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35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0"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24"/>
          <w:szCs w:val="24"/>
          <w:color w:val="auto"/>
        </w:rPr>
        <w:t>______________________</w:t>
      </w:r>
    </w:p>
    <w:p>
      <w:pPr>
        <w:spacing w:after="0" w:line="2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ind w:left="4940"/>
        <w:spacing w:after="0"/>
        <w:rPr>
          <w:sz w:val="20"/>
          <w:szCs w:val="20"/>
          <w:color w:val="auto"/>
        </w:rPr>
      </w:pPr>
      <w:r>
        <w:rPr>
          <w:rFonts w:ascii="Times New Roman" w:cs="Times New Roman" w:eastAsia="Times New Roman" w:hAnsi="Times New Roman"/>
          <w:sz w:val="22"/>
          <w:szCs w:val="22"/>
          <w:b w:val="1"/>
          <w:bCs w:val="1"/>
          <w:color w:val="auto"/>
        </w:rPr>
        <w:t>(Rule 14a-101)</w:t>
      </w:r>
    </w:p>
    <w:p>
      <w:pPr>
        <w:spacing w:after="0" w:line="200" w:lineRule="exact"/>
        <w:rPr>
          <w:sz w:val="24"/>
          <w:szCs w:val="24"/>
          <w:color w:val="auto"/>
        </w:rPr>
      </w:pPr>
    </w:p>
    <w:p>
      <w:pPr>
        <w:spacing w:after="0" w:line="2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5" w:lineRule="exact"/>
        <w:rPr>
          <w:sz w:val="24"/>
          <w:szCs w:val="24"/>
          <w:color w:val="auto"/>
        </w:rPr>
      </w:pPr>
    </w:p>
    <w:p>
      <w:pPr>
        <w:jc w:val="center"/>
        <w:ind w:right="-1120"/>
        <w:spacing w:after="0"/>
        <w:tabs>
          <w:tab w:leader="none" w:pos="1060" w:val="left"/>
        </w:tabs>
        <w:rPr>
          <w:sz w:val="20"/>
          <w:szCs w:val="20"/>
          <w:color w:val="auto"/>
        </w:rPr>
      </w:pPr>
      <w:r>
        <w:rPr>
          <w:rFonts w:ascii="Times New Roman" w:cs="Times New Roman" w:eastAsia="Times New Roman" w:hAnsi="Times New Roman"/>
          <w:sz w:val="22"/>
          <w:szCs w:val="22"/>
          <w:b w:val="1"/>
          <w:bCs w:val="1"/>
          <w:color w:val="auto"/>
        </w:rPr>
        <w:t>(Amendment No.</w:t>
      </w:r>
      <w:r>
        <w:rPr>
          <w:sz w:val="20"/>
          <w:szCs w:val="20"/>
          <w:color w:val="auto"/>
        </w:rPr>
        <w:tab/>
      </w:r>
      <w:r>
        <w:rPr>
          <w:rFonts w:ascii="Times New Roman" w:cs="Times New Roman" w:eastAsia="Times New Roman" w:hAnsi="Times New Roman"/>
          <w:sz w:val="22"/>
          <w:szCs w:val="22"/>
          <w:b w:val="1"/>
          <w:bCs w:val="1"/>
          <w:color w:val="auto"/>
        </w:rPr>
        <w:t>)</w:t>
      </w:r>
    </w:p>
    <w:p>
      <w:pPr>
        <w:spacing w:after="0" w:line="73"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24"/>
          <w:szCs w:val="24"/>
          <w:color w:val="auto"/>
        </w:rPr>
        <w:t>______________________</w:t>
      </w:r>
    </w:p>
    <w:p>
      <w:pPr>
        <w:sectPr>
          <w:pgSz w:w="11900" w:h="16838" w:orient="portrait"/>
          <w:cols w:equalWidth="0" w:num="1">
            <w:col w:w="10139"/>
          </w:cols>
          <w:pgMar w:left="320" w:top="1440" w:right="1440" w:bottom="1440" w:gutter="0" w:footer="0" w:header="0"/>
        </w:sectPr>
      </w:pPr>
    </w:p>
    <w:p>
      <w:pPr>
        <w:spacing w:after="0" w:line="30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Filed by the Registrant</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87" w:lineRule="exact"/>
        <w:rPr>
          <w:sz w:val="24"/>
          <w:szCs w:val="24"/>
          <w:color w:val="auto"/>
        </w:rPr>
      </w:pPr>
    </w:p>
    <w:p>
      <w:pPr>
        <w:sectPr>
          <w:pgSz w:w="11900" w:h="16838" w:orient="portrait"/>
          <w:cols w:equalWidth="0" w:num="4">
            <w:col w:w="1680" w:space="500"/>
            <w:col w:w="640" w:space="720"/>
            <w:col w:w="3100" w:space="720"/>
            <w:col w:w="2779"/>
          </w:cols>
          <w:pgMar w:left="320" w:top="1440" w:right="1440" w:bottom="1440" w:gutter="0" w:footer="0" w:header="0"/>
          <w:type w:val="continuous"/>
        </w:sectPr>
      </w:pPr>
    </w:p>
    <w:p>
      <w:pPr>
        <w:spacing w:after="0" w:line="13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Check the appropriate box:</w:t>
      </w:r>
    </w:p>
    <w:p>
      <w:pPr>
        <w:sectPr>
          <w:pgSz w:w="11900" w:h="16838" w:orient="portrait"/>
          <w:cols w:equalWidth="0" w:num="1">
            <w:col w:w="10139"/>
          </w:cols>
          <w:pgMar w:left="320" w:top="1440" w:right="1440" w:bottom="1440" w:gutter="0" w:footer="0" w:header="0"/>
          <w:type w:val="continuous"/>
        </w:sectPr>
      </w:pPr>
    </w:p>
    <w:p>
      <w:pPr>
        <w:spacing w:after="0" w:line="291" w:lineRule="exact"/>
        <w:rPr>
          <w:sz w:val="24"/>
          <w:szCs w:val="24"/>
          <w:color w:val="auto"/>
        </w:rPr>
      </w:pPr>
    </w:p>
    <w:p>
      <w:pPr>
        <w:ind w:left="580" w:hanging="554"/>
        <w:spacing w:after="0"/>
        <w:tabs>
          <w:tab w:leader="none" w:pos="5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Preliminary Proxy Statement</w:t>
      </w:r>
    </w:p>
    <w:p>
      <w:pPr>
        <w:spacing w:after="0" w:line="275" w:lineRule="exact"/>
        <w:rPr>
          <w:rFonts w:ascii="MS PGothic" w:cs="MS PGothic" w:eastAsia="MS PGothic" w:hAnsi="MS PGothic"/>
          <w:sz w:val="16"/>
          <w:szCs w:val="16"/>
          <w:color w:val="auto"/>
        </w:rPr>
      </w:pPr>
    </w:p>
    <w:p>
      <w:pPr>
        <w:ind w:left="580" w:hanging="554"/>
        <w:spacing w:after="0"/>
        <w:tabs>
          <w:tab w:leader="none" w:pos="5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83" w:lineRule="exact"/>
        <w:rPr>
          <w:sz w:val="24"/>
          <w:szCs w:val="24"/>
          <w:color w:val="auto"/>
        </w:rPr>
      </w:pPr>
    </w:p>
    <w:p>
      <w:pPr>
        <w:ind w:left="580" w:hanging="554"/>
        <w:spacing w:after="0"/>
        <w:tabs>
          <w:tab w:leader="none" w:pos="5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Definitive Proxy Statement</w:t>
      </w:r>
    </w:p>
    <w:p>
      <w:pPr>
        <w:spacing w:after="0" w:line="279" w:lineRule="exact"/>
        <w:rPr>
          <w:sz w:val="24"/>
          <w:szCs w:val="24"/>
          <w:color w:val="auto"/>
        </w:rPr>
      </w:pPr>
    </w:p>
    <w:p>
      <w:pPr>
        <w:ind w:left="580" w:hanging="554"/>
        <w:spacing w:after="0"/>
        <w:tabs>
          <w:tab w:leader="none" w:pos="58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Definitive Additional Materials</w:t>
      </w:r>
    </w:p>
    <w:p>
      <w:pPr>
        <w:spacing w:after="0" w:line="279" w:lineRule="exact"/>
        <w:rPr>
          <w:rFonts w:ascii="MS PGothic" w:cs="MS PGothic" w:eastAsia="MS PGothic" w:hAnsi="MS PGothic"/>
          <w:sz w:val="16"/>
          <w:szCs w:val="16"/>
          <w:color w:val="auto"/>
        </w:rPr>
      </w:pPr>
    </w:p>
    <w:p>
      <w:pPr>
        <w:ind w:left="580" w:hanging="554"/>
        <w:spacing w:after="0"/>
        <w:tabs>
          <w:tab w:leader="none" w:pos="58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Soliciting Material under §240.14a-12</w:t>
      </w:r>
    </w:p>
    <w:p>
      <w:pPr>
        <w:spacing w:after="0" w:line="3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43"/>
          <w:szCs w:val="43"/>
          <w:b w:val="1"/>
          <w:bCs w:val="1"/>
          <w:color w:val="auto"/>
        </w:rPr>
        <w:t>Honeywell International Inc.</w:t>
      </w:r>
    </w:p>
    <w:p>
      <w:pPr>
        <w:spacing w:after="0" w:line="14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115"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1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79" w:lineRule="exact"/>
        <w:rPr>
          <w:sz w:val="24"/>
          <w:szCs w:val="24"/>
          <w:color w:val="auto"/>
        </w:rPr>
      </w:pPr>
    </w:p>
    <w:p>
      <w:pPr>
        <w:ind w:left="580" w:hanging="554"/>
        <w:spacing w:after="0"/>
        <w:tabs>
          <w:tab w:leader="none" w:pos="580"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No fee required.</w:t>
      </w:r>
    </w:p>
    <w:p>
      <w:pPr>
        <w:spacing w:after="0" w:line="279" w:lineRule="exact"/>
        <w:rPr>
          <w:sz w:val="24"/>
          <w:szCs w:val="24"/>
          <w:color w:val="auto"/>
        </w:rPr>
      </w:pPr>
    </w:p>
    <w:p>
      <w:pPr>
        <w:ind w:left="580" w:hanging="554"/>
        <w:spacing w:after="0"/>
        <w:tabs>
          <w:tab w:leader="none" w:pos="580"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Fee paid previously with preliminary materials.</w:t>
      </w:r>
    </w:p>
    <w:p>
      <w:pPr>
        <w:spacing w:after="0" w:line="279" w:lineRule="exact"/>
        <w:rPr>
          <w:rFonts w:ascii="MS PGothic" w:cs="MS PGothic" w:eastAsia="MS PGothic" w:hAnsi="MS PGothic"/>
          <w:sz w:val="16"/>
          <w:szCs w:val="16"/>
          <w:color w:val="auto"/>
        </w:rPr>
      </w:pPr>
    </w:p>
    <w:p>
      <w:pPr>
        <w:ind w:left="580" w:hanging="554"/>
        <w:spacing w:after="0"/>
        <w:tabs>
          <w:tab w:leader="none" w:pos="580"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1419225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822960</wp:posOffset>
            </wp:positionV>
            <wp:extent cx="71234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380365</wp:posOffset>
            </wp:positionV>
            <wp:extent cx="7157720" cy="90049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9004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1533525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rFonts w:ascii="Arial" w:cs="Arial" w:eastAsia="Arial" w:hAnsi="Arial"/>
          <w:sz w:val="45"/>
          <w:szCs w:val="45"/>
          <w:b w:val="1"/>
          <w:bCs w:val="1"/>
          <w:color w:val="auto"/>
        </w:rPr>
        <w:t>LETTER FROM THE</w:t>
      </w:r>
    </w:p>
    <w:p>
      <w:pPr>
        <w:spacing w:after="0" w:line="69" w:lineRule="exact"/>
        <w:rPr>
          <w:sz w:val="20"/>
          <w:szCs w:val="20"/>
          <w:color w:val="auto"/>
        </w:rPr>
      </w:pPr>
    </w:p>
    <w:p>
      <w:pPr>
        <w:spacing w:after="0"/>
        <w:rPr>
          <w:sz w:val="20"/>
          <w:szCs w:val="20"/>
          <w:color w:val="auto"/>
        </w:rPr>
      </w:pPr>
      <w:r>
        <w:rPr>
          <w:rFonts w:ascii="Arial" w:cs="Arial" w:eastAsia="Arial" w:hAnsi="Arial"/>
          <w:sz w:val="45"/>
          <w:szCs w:val="45"/>
          <w:b w:val="1"/>
          <w:bCs w:val="1"/>
          <w:color w:val="auto"/>
        </w:rPr>
        <w:t>LEAD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41275</wp:posOffset>
            </wp:positionV>
            <wp:extent cx="1062990" cy="12515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2990" cy="1251585"/>
                    </a:xfrm>
                    <a:prstGeom prst="rect">
                      <a:avLst/>
                    </a:prstGeom>
                    <a:noFill/>
                  </pic:spPr>
                </pic:pic>
              </a:graphicData>
            </a:graphic>
          </wp:anchor>
        </w:drawing>
      </w:r>
    </w:p>
    <w:p>
      <w:pPr>
        <w:sectPr>
          <w:pgSz w:w="11900" w:h="16838" w:orient="portrait"/>
          <w:cols w:equalWidth="0" w:num="1">
            <w:col w:w="11240"/>
          </w:cols>
          <w:pgMar w:left="320" w:top="12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
        <w:spacing w:after="0"/>
        <w:rPr>
          <w:sz w:val="20"/>
          <w:szCs w:val="20"/>
          <w:color w:val="auto"/>
        </w:rPr>
      </w:pPr>
      <w:r>
        <w:rPr>
          <w:rFonts w:ascii="Arial" w:cs="Arial" w:eastAsia="Arial" w:hAnsi="Arial"/>
          <w:sz w:val="22"/>
          <w:szCs w:val="22"/>
          <w:color w:val="D7282F"/>
        </w:rPr>
        <w:t>DEAR SHAREOWNERS,</w:t>
      </w:r>
    </w:p>
    <w:p>
      <w:pPr>
        <w:spacing w:after="0" w:line="124" w:lineRule="exact"/>
        <w:rPr>
          <w:sz w:val="20"/>
          <w:szCs w:val="20"/>
          <w:color w:val="auto"/>
        </w:rPr>
      </w:pPr>
    </w:p>
    <w:p>
      <w:pPr>
        <w:ind w:left="20"/>
        <w:spacing w:after="0" w:line="248" w:lineRule="auto"/>
        <w:rPr>
          <w:sz w:val="20"/>
          <w:szCs w:val="20"/>
          <w:color w:val="auto"/>
        </w:rPr>
      </w:pPr>
      <w:r>
        <w:rPr>
          <w:rFonts w:ascii="Arial" w:cs="Arial" w:eastAsia="Arial" w:hAnsi="Arial"/>
          <w:sz w:val="16"/>
          <w:szCs w:val="16"/>
          <w:color w:val="auto"/>
        </w:rPr>
        <w:t>2025 marked a pivotal year for Honeywell. Over the past 12 months, the Company has made exceptional progress toward its separation into three industry-leading public companies: Honeywell; Honeywell Aerospace; and Solstice Advanced Materials. Each business is positioned to execute focused strategies, harness powerful secular trends and deliver sustainable long-term value for our shareowners.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William S. Ayer</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b w:val="1"/>
          <w:bCs w:val="1"/>
          <w:color w:val="D7282F"/>
        </w:rPr>
        <w:t>Lead Director</w:t>
      </w:r>
    </w:p>
    <w:p>
      <w:pPr>
        <w:spacing w:after="0" w:line="206" w:lineRule="exact"/>
        <w:rPr>
          <w:sz w:val="20"/>
          <w:szCs w:val="20"/>
          <w:color w:val="auto"/>
        </w:rPr>
      </w:pPr>
    </w:p>
    <w:p>
      <w:pPr>
        <w:sectPr>
          <w:pgSz w:w="11900" w:h="16838" w:orient="portrait"/>
          <w:cols w:equalWidth="0" w:num="2">
            <w:col w:w="8400" w:space="400"/>
            <w:col w:w="2440"/>
          </w:cols>
          <w:pgMar w:left="320" w:top="1293" w:right="339" w:bottom="1440" w:gutter="0" w:footer="0" w:header="0"/>
          <w:type w:val="continuous"/>
        </w:sectPr>
      </w:pPr>
    </w:p>
    <w:p>
      <w:pPr>
        <w:spacing w:after="0" w:line="25" w:lineRule="exact"/>
        <w:rPr>
          <w:sz w:val="20"/>
          <w:szCs w:val="20"/>
          <w:color w:val="auto"/>
        </w:rPr>
      </w:pPr>
    </w:p>
    <w:p>
      <w:pPr>
        <w:jc w:val="both"/>
        <w:ind w:left="20" w:right="200"/>
        <w:spacing w:after="0" w:line="248" w:lineRule="auto"/>
        <w:rPr>
          <w:sz w:val="20"/>
          <w:szCs w:val="20"/>
          <w:color w:val="auto"/>
        </w:rPr>
      </w:pPr>
      <w:r>
        <w:rPr>
          <w:rFonts w:ascii="Arial" w:cs="Arial" w:eastAsia="Arial" w:hAnsi="Arial"/>
          <w:sz w:val="16"/>
          <w:szCs w:val="16"/>
          <w:color w:val="auto"/>
        </w:rPr>
        <w:t>As I conclude my tenure as Honeywell’s independent Lead Director, I am struck by the tremendous progress the Company made this past year through its disciplined focus on portfolio transformation, operational excellence and strategic capital deployment. We reached a major milestone in October, when the Board formally approved the spin-off of Solstice Advanced Materials, which began trading on Nasdaq on October 30 under the ticker “SOLS.”</w:t>
      </w:r>
    </w:p>
    <w:p>
      <w:pPr>
        <w:spacing w:after="0" w:line="78" w:lineRule="exact"/>
        <w:rPr>
          <w:sz w:val="20"/>
          <w:szCs w:val="20"/>
          <w:color w:val="auto"/>
        </w:rPr>
      </w:pPr>
    </w:p>
    <w:p>
      <w:pPr>
        <w:ind w:left="20" w:right="180"/>
        <w:spacing w:after="0" w:line="237" w:lineRule="auto"/>
        <w:rPr>
          <w:sz w:val="20"/>
          <w:szCs w:val="20"/>
          <w:color w:val="auto"/>
        </w:rPr>
      </w:pPr>
      <w:r>
        <w:rPr>
          <w:rFonts w:ascii="Arial" w:cs="Arial" w:eastAsia="Arial" w:hAnsi="Arial"/>
          <w:sz w:val="16"/>
          <w:szCs w:val="16"/>
          <w:color w:val="auto"/>
        </w:rPr>
        <w:t>Throughout the year, Honeywell also continued to steer its Aerospace Technologies and Automation businesses toward separation, and we expect to complete that change in third quarter of 2026. In preparation, the Company announced that Jim Currier will serve as President and Chief Executive Officer of Honeywell Aerospace, which will become one of the world’s largest publicly-listed, pure-play aerospace and defense companies. In addition, Craig Arnold, the retired Chairman and Chief Executive Officer of Eaton who joined our Board as an independent director in 2025, will serve as independent Chairman of the Honeywell Aerospace Board. I am highly confident in the strategic leadership and strong governance mindset both will bring to Honeywell Aerospace as it enters its next chapter.</w:t>
      </w:r>
    </w:p>
    <w:p>
      <w:pPr>
        <w:spacing w:after="0" w:line="84" w:lineRule="exact"/>
        <w:rPr>
          <w:sz w:val="20"/>
          <w:szCs w:val="20"/>
          <w:color w:val="auto"/>
        </w:rPr>
      </w:pPr>
    </w:p>
    <w:p>
      <w:pPr>
        <w:ind w:left="20" w:right="280"/>
        <w:spacing w:after="0" w:line="239" w:lineRule="auto"/>
        <w:rPr>
          <w:sz w:val="20"/>
          <w:szCs w:val="20"/>
          <w:color w:val="auto"/>
        </w:rPr>
      </w:pPr>
      <w:r>
        <w:rPr>
          <w:rFonts w:ascii="Arial" w:cs="Arial" w:eastAsia="Arial" w:hAnsi="Arial"/>
          <w:sz w:val="16"/>
          <w:szCs w:val="16"/>
          <w:color w:val="auto"/>
        </w:rPr>
        <w:t>In parallel, the Company has established the leadership team for Honeywell, which will emerge from the separation as the global leader of the industrial world's transition from automation to autonomy. Vimal Kapur will continue to serve as Honeywell's Chairman and CEO, supported by a seasoned team of senior leaders who will shape the future of each of the three automation business segments: Building Automation; Industrial Automation; and Process Automation and Technology. The Board is confident that, under Vimal’s leadership, Honeywell will be positioned to thrive as it helps customers lead the journey to a more connected, autonomous future.</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 addition to Craig Arnold, we welcomed two exceptional new directors to the Board since our 2025 Annual Meeting:</w:t>
      </w:r>
    </w:p>
    <w:p>
      <w:pPr>
        <w:spacing w:after="0" w:line="113" w:lineRule="exact"/>
        <w:rPr>
          <w:sz w:val="20"/>
          <w:szCs w:val="20"/>
          <w:color w:val="auto"/>
        </w:rPr>
      </w:pPr>
    </w:p>
    <w:p>
      <w:pPr>
        <w:ind w:left="220" w:right="420" w:hanging="194"/>
        <w:spacing w:after="0" w:line="286" w:lineRule="auto"/>
        <w:tabs>
          <w:tab w:leader="none" w:pos="217" w:val="left"/>
        </w:tabs>
        <w:numPr>
          <w:ilvl w:val="0"/>
          <w:numId w:val="6"/>
        </w:numPr>
        <w:rPr>
          <w:rFonts w:ascii="Arial" w:cs="Arial" w:eastAsia="Arial" w:hAnsi="Arial"/>
          <w:sz w:val="16"/>
          <w:szCs w:val="16"/>
          <w:b w:val="1"/>
          <w:bCs w:val="1"/>
          <w:color w:val="D7282F"/>
        </w:rPr>
      </w:pPr>
      <w:r>
        <w:rPr>
          <w:rFonts w:ascii="Arial" w:cs="Arial" w:eastAsia="Arial" w:hAnsi="Arial"/>
          <w:sz w:val="16"/>
          <w:szCs w:val="16"/>
          <w:b w:val="1"/>
          <w:bCs w:val="1"/>
          <w:color w:val="auto"/>
        </w:rPr>
        <w:t>Indra K. Nooyi</w:t>
      </w:r>
      <w:r>
        <w:rPr>
          <w:rFonts w:ascii="Arial" w:cs="Arial" w:eastAsia="Arial" w:hAnsi="Arial"/>
          <w:sz w:val="16"/>
          <w:szCs w:val="16"/>
          <w:color w:val="auto"/>
        </w:rPr>
        <w:t>, former Chair and Chief Executive Officer of PepsiCo, who joined the Board on January 1, 2026 and brings unparalleled operational,</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and global leadership experience; and</w:t>
      </w:r>
    </w:p>
    <w:p>
      <w:pPr>
        <w:spacing w:after="0" w:line="20" w:lineRule="exact"/>
        <w:rPr>
          <w:rFonts w:ascii="Arial" w:cs="Arial" w:eastAsia="Arial" w:hAnsi="Arial"/>
          <w:sz w:val="16"/>
          <w:szCs w:val="16"/>
          <w:b w:val="1"/>
          <w:bCs w:val="1"/>
          <w:color w:val="D7282F"/>
        </w:rPr>
      </w:pPr>
    </w:p>
    <w:p>
      <w:pPr>
        <w:ind w:left="220" w:right="200" w:hanging="194"/>
        <w:spacing w:after="0" w:line="286" w:lineRule="auto"/>
        <w:tabs>
          <w:tab w:leader="none" w:pos="217" w:val="left"/>
        </w:tabs>
        <w:numPr>
          <w:ilvl w:val="0"/>
          <w:numId w:val="6"/>
        </w:numPr>
        <w:rPr>
          <w:rFonts w:ascii="Arial" w:cs="Arial" w:eastAsia="Arial" w:hAnsi="Arial"/>
          <w:sz w:val="16"/>
          <w:szCs w:val="16"/>
          <w:b w:val="1"/>
          <w:bCs w:val="1"/>
          <w:color w:val="D7282F"/>
        </w:rPr>
      </w:pPr>
      <w:r>
        <w:rPr>
          <w:rFonts w:ascii="Arial" w:cs="Arial" w:eastAsia="Arial" w:hAnsi="Arial"/>
          <w:sz w:val="16"/>
          <w:szCs w:val="16"/>
          <w:b w:val="1"/>
          <w:bCs w:val="1"/>
          <w:color w:val="auto"/>
        </w:rPr>
        <w:t>Marc Steinberg</w:t>
      </w:r>
      <w:r>
        <w:rPr>
          <w:rFonts w:ascii="Arial" w:cs="Arial" w:eastAsia="Arial" w:hAnsi="Arial"/>
          <w:sz w:val="16"/>
          <w:szCs w:val="16"/>
          <w:color w:val="auto"/>
        </w:rPr>
        <w:t>, a Partner at Elliott Investment Management, L.P., who joined the Board on May 31, 2025 and offers deep expertise in capital markets,</w:t>
      </w:r>
      <w:r>
        <w:rPr>
          <w:rFonts w:ascii="Arial" w:cs="Arial" w:eastAsia="Arial" w:hAnsi="Arial"/>
          <w:sz w:val="16"/>
          <w:szCs w:val="16"/>
          <w:b w:val="1"/>
          <w:bCs w:val="1"/>
          <w:color w:val="auto"/>
        </w:rPr>
        <w:t xml:space="preserve"> </w:t>
      </w:r>
      <w:r>
        <w:rPr>
          <w:rFonts w:ascii="Arial" w:cs="Arial" w:eastAsia="Arial" w:hAnsi="Arial"/>
          <w:sz w:val="16"/>
          <w:szCs w:val="16"/>
          <w:color w:val="auto"/>
        </w:rPr>
        <w:t>M&amp;A and capital allocation.</w:t>
      </w:r>
    </w:p>
    <w:p>
      <w:pPr>
        <w:spacing w:after="0" w:line="48" w:lineRule="exact"/>
        <w:rPr>
          <w:sz w:val="20"/>
          <w:szCs w:val="20"/>
          <w:color w:val="auto"/>
        </w:rPr>
      </w:pPr>
    </w:p>
    <w:p>
      <w:pPr>
        <w:ind w:left="20" w:right="240"/>
        <w:spacing w:after="0" w:line="242" w:lineRule="auto"/>
        <w:rPr>
          <w:sz w:val="20"/>
          <w:szCs w:val="20"/>
          <w:color w:val="auto"/>
        </w:rPr>
      </w:pPr>
      <w:r>
        <w:rPr>
          <w:rFonts w:ascii="Arial" w:cs="Arial" w:eastAsia="Arial" w:hAnsi="Arial"/>
          <w:sz w:val="16"/>
          <w:szCs w:val="16"/>
          <w:color w:val="auto"/>
        </w:rPr>
        <w:t>Following his re-election to the Board in 2026, Michael W. Lamach will become our independent Lead Director when my term ends at the annual meeting. Mike is incredibly well-suited for the role at this transformative time, given his prior experience serving as Chairman and CEO of Trane Technologies as it executed its separation from Ingersoll-Rand. His significant experience driving long-term growth, sustainable value creation and innovation has already been a valuable asset to the Board and will serve us well moving forward.</w:t>
      </w:r>
    </w:p>
    <w:p>
      <w:pPr>
        <w:spacing w:after="0" w:line="81" w:lineRule="exact"/>
        <w:rPr>
          <w:sz w:val="20"/>
          <w:szCs w:val="20"/>
          <w:color w:val="auto"/>
        </w:rPr>
      </w:pPr>
    </w:p>
    <w:p>
      <w:pPr>
        <w:ind w:left="20" w:right="60"/>
        <w:spacing w:after="0" w:line="248" w:lineRule="auto"/>
        <w:rPr>
          <w:sz w:val="20"/>
          <w:szCs w:val="20"/>
          <w:color w:val="auto"/>
        </w:rPr>
      </w:pPr>
      <w:r>
        <w:rPr>
          <w:rFonts w:ascii="Arial" w:cs="Arial" w:eastAsia="Arial" w:hAnsi="Arial"/>
          <w:sz w:val="16"/>
          <w:szCs w:val="16"/>
          <w:color w:val="auto"/>
        </w:rPr>
        <w:t>Together, these appointments further strengthen the Board’s breadth of perspectives and will be instrumental as Honeywell prepares for its next chapter. In parallel, I would like to take this opportunity to also recognize Kevin Burke for his long and distinguished service on Honeywell's Board. It has been an honor and pleasure to work with him during my entire tenure on the Board, and I wish him every success in the next stage of his journey.</w:t>
      </w:r>
    </w:p>
    <w:p>
      <w:pPr>
        <w:spacing w:after="0" w:line="64" w:lineRule="exact"/>
        <w:rPr>
          <w:sz w:val="20"/>
          <w:szCs w:val="20"/>
          <w:color w:val="auto"/>
        </w:rPr>
      </w:pPr>
    </w:p>
    <w:p>
      <w:pPr>
        <w:ind w:left="20" w:right="320"/>
        <w:spacing w:after="0" w:line="268" w:lineRule="auto"/>
        <w:rPr>
          <w:sz w:val="20"/>
          <w:szCs w:val="20"/>
          <w:color w:val="auto"/>
        </w:rPr>
      </w:pPr>
      <w:r>
        <w:rPr>
          <w:rFonts w:ascii="Arial" w:cs="Arial" w:eastAsia="Arial" w:hAnsi="Arial"/>
          <w:sz w:val="16"/>
          <w:szCs w:val="16"/>
          <w:color w:val="auto"/>
        </w:rPr>
        <w:t>As Honeywell continues its transformation, the Board remains highly confident in the path ahead. Guided by Vimal’s continued leadership, 2026 will be a defining year that shapes the long-term growth trajectories of both Honeywell and Honeywell Aerospace so that each can thrive independently.</w:t>
      </w:r>
    </w:p>
    <w:p>
      <w:pPr>
        <w:spacing w:after="0" w:line="62" w:lineRule="exact"/>
        <w:rPr>
          <w:sz w:val="20"/>
          <w:szCs w:val="20"/>
          <w:color w:val="auto"/>
        </w:rPr>
      </w:pPr>
    </w:p>
    <w:p>
      <w:pPr>
        <w:ind w:left="20" w:right="80"/>
        <w:spacing w:after="0" w:line="268" w:lineRule="auto"/>
        <w:rPr>
          <w:sz w:val="20"/>
          <w:szCs w:val="20"/>
          <w:color w:val="auto"/>
        </w:rPr>
      </w:pPr>
      <w:r>
        <w:rPr>
          <w:rFonts w:ascii="Arial" w:cs="Arial" w:eastAsia="Arial" w:hAnsi="Arial"/>
          <w:sz w:val="16"/>
          <w:szCs w:val="16"/>
          <w:color w:val="auto"/>
        </w:rPr>
        <w:t>In closing, I am honored to have had the privilege of serving as Lead Director these past two years, and, on behalf of the Board, I want to thank you for your continued confidence and investment in Honeywell during this exciting and transformative period.</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Sincerely,</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6"/>
          <w:szCs w:val="16"/>
          <w:color w:val="auto"/>
        </w:rPr>
        <w:t>William S. Ayer</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Lead Director</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60" w:type="dxa"/>
            <w:vAlign w:val="bottom"/>
          </w:tcPr>
          <w:p>
            <w:pPr>
              <w:ind w:left="6840"/>
              <w:spacing w:after="0"/>
              <w:rPr>
                <w:sz w:val="20"/>
                <w:szCs w:val="20"/>
                <w:color w:val="auto"/>
              </w:rPr>
            </w:pPr>
            <w:r>
              <w:rPr>
                <w:rFonts w:ascii="Arial" w:cs="Arial" w:eastAsia="Arial" w:hAnsi="Arial"/>
                <w:sz w:val="13"/>
                <w:szCs w:val="13"/>
                <w:b w:val="1"/>
                <w:bCs w:val="1"/>
                <w:color w:val="6D6E71"/>
              </w:rPr>
              <w:t>2026 NOTICE AND PROXY STATEMENT   |</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373"/>
        </w:trPr>
        <w:tc>
          <w:tcPr>
            <w:tcW w:w="10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1293" w:right="339" w:bottom="1440" w:gutter="0" w:footer="0" w:header="0"/>
          <w:type w:val="continuous"/>
        </w:sectPr>
      </w:pPr>
    </w:p>
    <w:bookmarkStart w:id="4" w:name="page5"/>
    <w:bookmarkEnd w:id="4"/>
    <w:p>
      <w:pPr>
        <w:ind w:right="620"/>
        <w:spacing w:after="0" w:line="298" w:lineRule="auto"/>
        <w:rPr>
          <w:sz w:val="20"/>
          <w:szCs w:val="20"/>
          <w:color w:val="auto"/>
        </w:rPr>
      </w:pPr>
      <w:r>
        <w:rPr>
          <w:rFonts w:ascii="Arial" w:cs="Arial" w:eastAsia="Arial" w:hAnsi="Arial"/>
          <w:sz w:val="45"/>
          <w:szCs w:val="45"/>
          <w:b w:val="1"/>
          <w:bCs w:val="1"/>
          <w:color w:val="auto"/>
        </w:rPr>
        <w:t>NOTICE OF ANNUAL MEETING OF SHAREOWNERS</w:t>
      </w:r>
    </w:p>
    <w:p>
      <w:pPr>
        <w:spacing w:after="0" w:line="202" w:lineRule="exact"/>
        <w:rPr>
          <w:sz w:val="20"/>
          <w:szCs w:val="20"/>
          <w:color w:val="auto"/>
        </w:rPr>
      </w:pPr>
    </w:p>
    <w:tbl>
      <w:tblPr>
        <w:tblLayout w:type="fixed"/>
        <w:tblInd w:w="1120" w:type="dxa"/>
        <w:tblCellMar>
          <w:top w:w="0" w:type="dxa"/>
          <w:left w:w="0" w:type="dxa"/>
          <w:bottom w:w="0" w:type="dxa"/>
          <w:right w:w="0" w:type="dxa"/>
        </w:tblCellMar>
      </w:tblPr>
      <w:tr>
        <w:trPr>
          <w:trHeight w:val="247"/>
        </w:trPr>
        <w:tc>
          <w:tcPr>
            <w:tcW w:w="1480" w:type="dxa"/>
            <w:vAlign w:val="bottom"/>
          </w:tcPr>
          <w:p>
            <w:pPr>
              <w:ind w:left="20"/>
              <w:spacing w:after="0"/>
              <w:rPr>
                <w:sz w:val="20"/>
                <w:szCs w:val="20"/>
                <w:color w:val="auto"/>
              </w:rPr>
            </w:pPr>
            <w:r>
              <w:rPr>
                <w:rFonts w:ascii="Arial" w:cs="Arial" w:eastAsia="Arial" w:hAnsi="Arial"/>
                <w:sz w:val="18"/>
                <w:szCs w:val="18"/>
                <w:b w:val="1"/>
                <w:bCs w:val="1"/>
                <w:color w:val="auto"/>
              </w:rPr>
              <w:t>DATE:</w:t>
            </w:r>
          </w:p>
        </w:tc>
        <w:tc>
          <w:tcPr>
            <w:tcW w:w="4680" w:type="dxa"/>
            <w:vAlign w:val="bottom"/>
          </w:tcPr>
          <w:p>
            <w:pPr>
              <w:ind w:left="100"/>
              <w:spacing w:after="0"/>
              <w:rPr>
                <w:sz w:val="20"/>
                <w:szCs w:val="20"/>
                <w:color w:val="auto"/>
              </w:rPr>
            </w:pPr>
            <w:r>
              <w:rPr>
                <w:rFonts w:ascii="Arial" w:cs="Arial" w:eastAsia="Arial" w:hAnsi="Arial"/>
                <w:sz w:val="14"/>
                <w:szCs w:val="14"/>
                <w:color w:val="auto"/>
              </w:rPr>
              <w:t>May 22, 2026</w:t>
            </w:r>
          </w:p>
        </w:tc>
        <w:tc>
          <w:tcPr>
            <w:tcW w:w="0" w:type="dxa"/>
            <w:vAlign w:val="bottom"/>
          </w:tcPr>
          <w:p>
            <w:pPr>
              <w:spacing w:after="0"/>
              <w:rPr>
                <w:sz w:val="1"/>
                <w:szCs w:val="1"/>
                <w:color w:val="auto"/>
              </w:rPr>
            </w:pPr>
          </w:p>
        </w:tc>
      </w:tr>
      <w:tr>
        <w:trPr>
          <w:trHeight w:val="527"/>
        </w:trPr>
        <w:tc>
          <w:tcPr>
            <w:tcW w:w="1480" w:type="dxa"/>
            <w:vAlign w:val="bottom"/>
          </w:tcPr>
          <w:p>
            <w:pPr>
              <w:ind w:left="20"/>
              <w:spacing w:after="0"/>
              <w:rPr>
                <w:sz w:val="20"/>
                <w:szCs w:val="20"/>
                <w:color w:val="auto"/>
              </w:rPr>
            </w:pPr>
            <w:r>
              <w:rPr>
                <w:rFonts w:ascii="Arial" w:cs="Arial" w:eastAsia="Arial" w:hAnsi="Arial"/>
                <w:sz w:val="18"/>
                <w:szCs w:val="18"/>
                <w:b w:val="1"/>
                <w:bCs w:val="1"/>
                <w:color w:val="auto"/>
              </w:rPr>
              <w:t>TIME:</w:t>
            </w:r>
          </w:p>
        </w:tc>
        <w:tc>
          <w:tcPr>
            <w:tcW w:w="4680" w:type="dxa"/>
            <w:vAlign w:val="bottom"/>
          </w:tcPr>
          <w:p>
            <w:pPr>
              <w:ind w:left="100"/>
              <w:spacing w:after="0"/>
              <w:rPr>
                <w:sz w:val="20"/>
                <w:szCs w:val="20"/>
                <w:color w:val="auto"/>
              </w:rPr>
            </w:pPr>
            <w:r>
              <w:rPr>
                <w:rFonts w:ascii="Arial" w:cs="Arial" w:eastAsia="Arial" w:hAnsi="Arial"/>
                <w:sz w:val="14"/>
                <w:szCs w:val="14"/>
                <w:color w:val="auto"/>
              </w:rPr>
              <w:t>10:30 a.m. EDT</w:t>
            </w:r>
          </w:p>
        </w:tc>
        <w:tc>
          <w:tcPr>
            <w:tcW w:w="0" w:type="dxa"/>
            <w:vAlign w:val="bottom"/>
          </w:tcPr>
          <w:p>
            <w:pPr>
              <w:spacing w:after="0"/>
              <w:rPr>
                <w:sz w:val="1"/>
                <w:szCs w:val="1"/>
                <w:color w:val="auto"/>
              </w:rPr>
            </w:pPr>
          </w:p>
        </w:tc>
      </w:tr>
      <w:tr>
        <w:trPr>
          <w:trHeight w:val="357"/>
        </w:trPr>
        <w:tc>
          <w:tcPr>
            <w:tcW w:w="14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PLACE:</w:t>
            </w:r>
          </w:p>
        </w:tc>
        <w:tc>
          <w:tcPr>
            <w:tcW w:w="4680" w:type="dxa"/>
            <w:vAlign w:val="bottom"/>
          </w:tcPr>
          <w:p>
            <w:pPr>
              <w:ind w:left="100"/>
              <w:spacing w:after="0"/>
              <w:rPr>
                <w:sz w:val="20"/>
                <w:szCs w:val="20"/>
                <w:color w:val="auto"/>
              </w:rPr>
            </w:pPr>
            <w:r>
              <w:rPr>
                <w:rFonts w:ascii="Arial" w:cs="Arial" w:eastAsia="Arial" w:hAnsi="Arial"/>
                <w:sz w:val="14"/>
                <w:szCs w:val="14"/>
                <w:b w:val="1"/>
                <w:bCs w:val="1"/>
                <w:color w:val="D7282F"/>
              </w:rPr>
              <w:t>www.virtualshareholdermeeting.com/HON2026</w:t>
            </w:r>
          </w:p>
        </w:tc>
        <w:tc>
          <w:tcPr>
            <w:tcW w:w="0" w:type="dxa"/>
            <w:vAlign w:val="bottom"/>
          </w:tcPr>
          <w:p>
            <w:pPr>
              <w:spacing w:after="0"/>
              <w:rPr>
                <w:sz w:val="1"/>
                <w:szCs w:val="1"/>
                <w:color w:val="auto"/>
              </w:rPr>
            </w:pPr>
          </w:p>
        </w:tc>
      </w:tr>
      <w:tr>
        <w:trPr>
          <w:trHeight w:val="162"/>
        </w:trPr>
        <w:tc>
          <w:tcPr>
            <w:tcW w:w="1480" w:type="dxa"/>
            <w:vAlign w:val="bottom"/>
            <w:vMerge w:val="continue"/>
          </w:tcPr>
          <w:p>
            <w:pPr>
              <w:spacing w:after="0"/>
              <w:rPr>
                <w:sz w:val="14"/>
                <w:szCs w:val="14"/>
                <w:color w:val="auto"/>
              </w:rPr>
            </w:pPr>
          </w:p>
        </w:tc>
        <w:tc>
          <w:tcPr>
            <w:tcW w:w="4680" w:type="dxa"/>
            <w:vAlign w:val="bottom"/>
          </w:tcPr>
          <w:p>
            <w:pPr>
              <w:ind w:left="100"/>
              <w:spacing w:after="0"/>
              <w:rPr>
                <w:sz w:val="20"/>
                <w:szCs w:val="20"/>
                <w:color w:val="auto"/>
              </w:rPr>
            </w:pPr>
            <w:r>
              <w:rPr>
                <w:rFonts w:ascii="Arial" w:cs="Arial" w:eastAsia="Arial" w:hAnsi="Arial"/>
                <w:sz w:val="14"/>
                <w:szCs w:val="14"/>
                <w:color w:val="auto"/>
              </w:rPr>
              <w:t>The meeting will be held in virtual format only. Please see page 120 of</w:t>
            </w:r>
          </w:p>
        </w:tc>
        <w:tc>
          <w:tcPr>
            <w:tcW w:w="0" w:type="dxa"/>
            <w:vAlign w:val="bottom"/>
          </w:tcPr>
          <w:p>
            <w:pPr>
              <w:spacing w:after="0"/>
              <w:rPr>
                <w:sz w:val="1"/>
                <w:szCs w:val="1"/>
                <w:color w:val="auto"/>
              </w:rPr>
            </w:pPr>
          </w:p>
        </w:tc>
      </w:tr>
      <w:tr>
        <w:trPr>
          <w:trHeight w:val="190"/>
        </w:trPr>
        <w:tc>
          <w:tcPr>
            <w:tcW w:w="1480" w:type="dxa"/>
            <w:vAlign w:val="bottom"/>
          </w:tcPr>
          <w:p>
            <w:pPr>
              <w:spacing w:after="0"/>
              <w:rPr>
                <w:sz w:val="16"/>
                <w:szCs w:val="16"/>
                <w:color w:val="auto"/>
              </w:rPr>
            </w:pPr>
          </w:p>
        </w:tc>
        <w:tc>
          <w:tcPr>
            <w:tcW w:w="4680" w:type="dxa"/>
            <w:vAlign w:val="bottom"/>
          </w:tcPr>
          <w:p>
            <w:pPr>
              <w:ind w:left="100"/>
              <w:spacing w:after="0"/>
              <w:rPr>
                <w:sz w:val="20"/>
                <w:szCs w:val="20"/>
                <w:color w:val="auto"/>
              </w:rPr>
            </w:pPr>
            <w:r>
              <w:rPr>
                <w:rFonts w:ascii="Arial" w:cs="Arial" w:eastAsia="Arial" w:hAnsi="Arial"/>
                <w:sz w:val="14"/>
                <w:szCs w:val="14"/>
                <w:color w:val="auto"/>
              </w:rPr>
              <w:t>the Proxy Statement for additional details.</w:t>
            </w:r>
          </w:p>
        </w:tc>
        <w:tc>
          <w:tcPr>
            <w:tcW w:w="0" w:type="dxa"/>
            <w:vAlign w:val="bottom"/>
          </w:tcPr>
          <w:p>
            <w:pPr>
              <w:spacing w:after="0"/>
              <w:rPr>
                <w:sz w:val="1"/>
                <w:szCs w:val="1"/>
                <w:color w:val="auto"/>
              </w:rPr>
            </w:pPr>
          </w:p>
        </w:tc>
      </w:tr>
      <w:tr>
        <w:trPr>
          <w:trHeight w:val="317"/>
        </w:trPr>
        <w:tc>
          <w:tcPr>
            <w:tcW w:w="1480" w:type="dxa"/>
            <w:vAlign w:val="bottom"/>
          </w:tcPr>
          <w:p>
            <w:pPr>
              <w:ind w:left="20"/>
              <w:spacing w:after="0"/>
              <w:rPr>
                <w:sz w:val="20"/>
                <w:szCs w:val="20"/>
                <w:color w:val="auto"/>
              </w:rPr>
            </w:pPr>
            <w:r>
              <w:rPr>
                <w:rFonts w:ascii="Arial" w:cs="Arial" w:eastAsia="Arial" w:hAnsi="Arial"/>
                <w:sz w:val="18"/>
                <w:szCs w:val="18"/>
                <w:b w:val="1"/>
                <w:bCs w:val="1"/>
                <w:color w:val="auto"/>
              </w:rPr>
              <w:t>RECORD DATE:</w:t>
            </w:r>
          </w:p>
        </w:tc>
        <w:tc>
          <w:tcPr>
            <w:tcW w:w="4680" w:type="dxa"/>
            <w:vAlign w:val="bottom"/>
          </w:tcPr>
          <w:p>
            <w:pPr>
              <w:ind w:left="100"/>
              <w:spacing w:after="0"/>
              <w:rPr>
                <w:sz w:val="20"/>
                <w:szCs w:val="20"/>
                <w:color w:val="auto"/>
              </w:rPr>
            </w:pPr>
            <w:r>
              <w:rPr>
                <w:rFonts w:ascii="Arial" w:cs="Arial" w:eastAsia="Arial" w:hAnsi="Arial"/>
                <w:sz w:val="14"/>
                <w:szCs w:val="14"/>
                <w:color w:val="auto"/>
              </w:rPr>
              <w:t>Close of business on March 27, 2026</w:t>
            </w:r>
          </w:p>
        </w:tc>
        <w:tc>
          <w:tcPr>
            <w:tcW w:w="0" w:type="dxa"/>
            <w:vAlign w:val="bottom"/>
          </w:tcPr>
          <w:p>
            <w:pPr>
              <w:spacing w:after="0"/>
              <w:rPr>
                <w:sz w:val="1"/>
                <w:szCs w:val="1"/>
                <w:color w:val="auto"/>
              </w:rPr>
            </w:pPr>
          </w:p>
        </w:tc>
      </w:tr>
      <w:tr>
        <w:trPr>
          <w:trHeight w:val="56"/>
        </w:trPr>
        <w:tc>
          <w:tcPr>
            <w:tcW w:w="1480" w:type="dxa"/>
            <w:vAlign w:val="bottom"/>
            <w:tcBorders>
              <w:bottom w:val="single" w:sz="8" w:color="D7282F"/>
            </w:tcBorders>
          </w:tcPr>
          <w:p>
            <w:pPr>
              <w:spacing w:after="0"/>
              <w:rPr>
                <w:sz w:val="4"/>
                <w:szCs w:val="4"/>
                <w:color w:val="auto"/>
              </w:rPr>
            </w:pPr>
          </w:p>
        </w:tc>
        <w:tc>
          <w:tcPr>
            <w:tcW w:w="4680" w:type="dxa"/>
            <w:vAlign w:val="bottom"/>
            <w:tcBorders>
              <w:bottom w:val="single" w:sz="8" w:color="D7282F"/>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MEETING AGENDA</w:t>
      </w:r>
    </w:p>
    <w:p>
      <w:pPr>
        <w:spacing w:after="0" w:line="91" w:lineRule="exact"/>
        <w:rPr>
          <w:sz w:val="20"/>
          <w:szCs w:val="20"/>
          <w:color w:val="auto"/>
        </w:rPr>
      </w:pPr>
    </w:p>
    <w:p>
      <w:pPr>
        <w:ind w:left="1320" w:hanging="180"/>
        <w:spacing w:after="0"/>
        <w:tabs>
          <w:tab w:leader="none" w:pos="1320" w:val="left"/>
        </w:tabs>
        <w:numPr>
          <w:ilvl w:val="0"/>
          <w:numId w:val="7"/>
        </w:numPr>
        <w:rPr>
          <w:rFonts w:ascii="Arial" w:cs="Arial" w:eastAsia="Arial" w:hAnsi="Arial"/>
          <w:sz w:val="14"/>
          <w:szCs w:val="14"/>
          <w:b w:val="1"/>
          <w:bCs w:val="1"/>
          <w:color w:val="D7282F"/>
        </w:rPr>
      </w:pPr>
      <w:r>
        <w:rPr>
          <w:rFonts w:ascii="Arial" w:cs="Arial" w:eastAsia="Arial" w:hAnsi="Arial"/>
          <w:sz w:val="14"/>
          <w:szCs w:val="14"/>
          <w:color w:val="auto"/>
        </w:rPr>
        <w:t>Election to the Board of Directors of the 12 nominees listed in the Proxy Statement.</w:t>
      </w:r>
    </w:p>
    <w:p>
      <w:pPr>
        <w:spacing w:after="0" w:line="82" w:lineRule="exact"/>
        <w:rPr>
          <w:rFonts w:ascii="Arial" w:cs="Arial" w:eastAsia="Arial" w:hAnsi="Arial"/>
          <w:sz w:val="14"/>
          <w:szCs w:val="14"/>
          <w:b w:val="1"/>
          <w:bCs w:val="1"/>
          <w:color w:val="D7282F"/>
        </w:rPr>
      </w:pPr>
    </w:p>
    <w:p>
      <w:pPr>
        <w:ind w:left="1320" w:hanging="180"/>
        <w:spacing w:after="0"/>
        <w:tabs>
          <w:tab w:leader="none" w:pos="1320" w:val="left"/>
        </w:tabs>
        <w:numPr>
          <w:ilvl w:val="0"/>
          <w:numId w:val="7"/>
        </w:numPr>
        <w:rPr>
          <w:rFonts w:ascii="Arial" w:cs="Arial" w:eastAsia="Arial" w:hAnsi="Arial"/>
          <w:sz w:val="14"/>
          <w:szCs w:val="14"/>
          <w:b w:val="1"/>
          <w:bCs w:val="1"/>
          <w:color w:val="D7282F"/>
        </w:rPr>
      </w:pPr>
      <w:r>
        <w:rPr>
          <w:rFonts w:ascii="Arial" w:cs="Arial" w:eastAsia="Arial" w:hAnsi="Arial"/>
          <w:sz w:val="14"/>
          <w:szCs w:val="14"/>
          <w:color w:val="auto"/>
        </w:rPr>
        <w:t>An advisory vote to approve executive compensation.</w:t>
      </w:r>
    </w:p>
    <w:p>
      <w:pPr>
        <w:spacing w:after="0" w:line="82" w:lineRule="exact"/>
        <w:rPr>
          <w:rFonts w:ascii="Arial" w:cs="Arial" w:eastAsia="Arial" w:hAnsi="Arial"/>
          <w:sz w:val="14"/>
          <w:szCs w:val="14"/>
          <w:b w:val="1"/>
          <w:bCs w:val="1"/>
          <w:color w:val="D7282F"/>
        </w:rPr>
      </w:pPr>
    </w:p>
    <w:p>
      <w:pPr>
        <w:ind w:left="1320" w:hanging="180"/>
        <w:spacing w:after="0"/>
        <w:tabs>
          <w:tab w:leader="none" w:pos="1320" w:val="left"/>
        </w:tabs>
        <w:numPr>
          <w:ilvl w:val="0"/>
          <w:numId w:val="7"/>
        </w:numPr>
        <w:rPr>
          <w:rFonts w:ascii="Arial" w:cs="Arial" w:eastAsia="Arial" w:hAnsi="Arial"/>
          <w:sz w:val="14"/>
          <w:szCs w:val="14"/>
          <w:b w:val="1"/>
          <w:bCs w:val="1"/>
          <w:color w:val="D7282F"/>
        </w:rPr>
      </w:pPr>
      <w:r>
        <w:rPr>
          <w:rFonts w:ascii="Arial" w:cs="Arial" w:eastAsia="Arial" w:hAnsi="Arial"/>
          <w:sz w:val="14"/>
          <w:szCs w:val="14"/>
          <w:color w:val="auto"/>
        </w:rPr>
        <w:t>Approval of the appointment of Deloitte &amp; Touche LLP as independent accountants for 2026.</w:t>
      </w:r>
    </w:p>
    <w:p>
      <w:pPr>
        <w:spacing w:after="0" w:line="68" w:lineRule="exact"/>
        <w:rPr>
          <w:rFonts w:ascii="Arial" w:cs="Arial" w:eastAsia="Arial" w:hAnsi="Arial"/>
          <w:sz w:val="14"/>
          <w:szCs w:val="14"/>
          <w:b w:val="1"/>
          <w:bCs w:val="1"/>
          <w:color w:val="D7282F"/>
        </w:rPr>
      </w:pPr>
    </w:p>
    <w:p>
      <w:pPr>
        <w:ind w:left="1340" w:right="60" w:hanging="200"/>
        <w:spacing w:after="0" w:line="273" w:lineRule="auto"/>
        <w:tabs>
          <w:tab w:leader="none" w:pos="1331" w:val="left"/>
        </w:tabs>
        <w:numPr>
          <w:ilvl w:val="0"/>
          <w:numId w:val="7"/>
        </w:numPr>
        <w:rPr>
          <w:rFonts w:ascii="Arial" w:cs="Arial" w:eastAsia="Arial" w:hAnsi="Arial"/>
          <w:sz w:val="14"/>
          <w:szCs w:val="14"/>
          <w:b w:val="1"/>
          <w:bCs w:val="1"/>
          <w:color w:val="D7282F"/>
        </w:rPr>
      </w:pPr>
      <w:r>
        <w:rPr>
          <w:rFonts w:ascii="Arial" w:cs="Arial" w:eastAsia="Arial" w:hAnsi="Arial"/>
          <w:sz w:val="14"/>
          <w:szCs w:val="14"/>
          <w:color w:val="auto"/>
        </w:rPr>
        <w:t>Approval of a proposal to adopt and approve a reverse stock split of the Company's common stock, a proportionate reduction in the Company's number of authorized shares and a reduction of the par value of the Company's common stock.</w:t>
      </w:r>
    </w:p>
    <w:p>
      <w:pPr>
        <w:spacing w:after="0" w:line="17" w:lineRule="exact"/>
        <w:rPr>
          <w:rFonts w:ascii="Arial" w:cs="Arial" w:eastAsia="Arial" w:hAnsi="Arial"/>
          <w:sz w:val="14"/>
          <w:szCs w:val="14"/>
          <w:b w:val="1"/>
          <w:bCs w:val="1"/>
          <w:color w:val="D7282F"/>
        </w:rPr>
      </w:pPr>
    </w:p>
    <w:p>
      <w:pPr>
        <w:ind w:left="1340" w:right="780" w:hanging="200"/>
        <w:spacing w:after="0" w:line="301" w:lineRule="auto"/>
        <w:tabs>
          <w:tab w:leader="none" w:pos="1331" w:val="left"/>
        </w:tabs>
        <w:numPr>
          <w:ilvl w:val="0"/>
          <w:numId w:val="7"/>
        </w:numPr>
        <w:rPr>
          <w:rFonts w:ascii="Arial" w:cs="Arial" w:eastAsia="Arial" w:hAnsi="Arial"/>
          <w:sz w:val="14"/>
          <w:szCs w:val="14"/>
          <w:b w:val="1"/>
          <w:bCs w:val="1"/>
          <w:color w:val="D7282F"/>
        </w:rPr>
      </w:pPr>
      <w:r>
        <w:rPr>
          <w:rFonts w:ascii="Arial" w:cs="Arial" w:eastAsia="Arial" w:hAnsi="Arial"/>
          <w:sz w:val="14"/>
          <w:szCs w:val="14"/>
          <w:color w:val="auto"/>
        </w:rPr>
        <w:t>If properly raised, one shareowner proposal described starting on page 116 of the Proxy Statement.</w:t>
      </w:r>
    </w:p>
    <w:p>
      <w:pPr>
        <w:spacing w:after="0" w:line="1" w:lineRule="exact"/>
        <w:rPr>
          <w:rFonts w:ascii="Arial" w:cs="Arial" w:eastAsia="Arial" w:hAnsi="Arial"/>
          <w:sz w:val="14"/>
          <w:szCs w:val="14"/>
          <w:b w:val="1"/>
          <w:bCs w:val="1"/>
          <w:color w:val="D7282F"/>
        </w:rPr>
      </w:pPr>
    </w:p>
    <w:p>
      <w:pPr>
        <w:ind w:left="1320" w:hanging="180"/>
        <w:spacing w:after="0"/>
        <w:tabs>
          <w:tab w:leader="none" w:pos="1320" w:val="left"/>
        </w:tabs>
        <w:numPr>
          <w:ilvl w:val="0"/>
          <w:numId w:val="7"/>
        </w:numPr>
        <w:rPr>
          <w:rFonts w:ascii="Arial" w:cs="Arial" w:eastAsia="Arial" w:hAnsi="Arial"/>
          <w:sz w:val="14"/>
          <w:szCs w:val="14"/>
          <w:b w:val="1"/>
          <w:bCs w:val="1"/>
          <w:color w:val="D7282F"/>
        </w:rPr>
      </w:pPr>
      <w:r>
        <w:rPr>
          <w:rFonts w:ascii="Arial" w:cs="Arial" w:eastAsia="Arial" w:hAnsi="Arial"/>
          <w:sz w:val="14"/>
          <w:szCs w:val="14"/>
          <w:color w:val="auto"/>
        </w:rPr>
        <w:t>Transact any other business that may properly come before the meeting.</w:t>
      </w:r>
    </w:p>
    <w:p>
      <w:pPr>
        <w:spacing w:after="0" w:line="150"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D7282F"/>
        </w:rPr>
        <w:t>IMPORTANT NOTICE OF INTERNET AVAILABILITY OF PROXY MATERIALS</w:t>
      </w:r>
    </w:p>
    <w:p>
      <w:pPr>
        <w:spacing w:after="0" w:line="82" w:lineRule="exact"/>
        <w:rPr>
          <w:sz w:val="20"/>
          <w:szCs w:val="20"/>
          <w:color w:val="auto"/>
        </w:rPr>
      </w:pPr>
    </w:p>
    <w:p>
      <w:pPr>
        <w:ind w:left="1140" w:right="80"/>
        <w:spacing w:after="0" w:line="251" w:lineRule="auto"/>
        <w:rPr>
          <w:sz w:val="20"/>
          <w:szCs w:val="20"/>
          <w:color w:val="auto"/>
        </w:rPr>
      </w:pPr>
      <w:r>
        <w:rPr>
          <w:rFonts w:ascii="Arial" w:cs="Arial" w:eastAsia="Arial" w:hAnsi="Arial"/>
          <w:sz w:val="14"/>
          <w:szCs w:val="14"/>
          <w:color w:val="auto"/>
        </w:rPr>
        <w:t>The Securities and Exchange Commission’s “Notice and Access” rule enables Honeywell to deliver a Notice of Internet Availability of Proxy Materials to shareowners in lieu of a paper copy of the Proxy Statement, related materials, and its Annual Report to Shareowners. It contains instructions on how to access the Proxy Statement and 2025 Annual Report and how to</w:t>
      </w:r>
    </w:p>
    <w:p>
      <w:pPr>
        <w:spacing w:after="0" w:line="2"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vote online.</w:t>
      </w:r>
    </w:p>
    <w:p>
      <w:pPr>
        <w:spacing w:after="0" w:line="55" w:lineRule="exact"/>
        <w:rPr>
          <w:sz w:val="20"/>
          <w:szCs w:val="20"/>
          <w:color w:val="auto"/>
        </w:rPr>
      </w:pPr>
    </w:p>
    <w:p>
      <w:pPr>
        <w:ind w:left="1140" w:right="280"/>
        <w:spacing w:after="0" w:line="277" w:lineRule="auto"/>
        <w:rPr>
          <w:sz w:val="20"/>
          <w:szCs w:val="20"/>
          <w:color w:val="auto"/>
        </w:rPr>
      </w:pPr>
      <w:r>
        <w:rPr>
          <w:rFonts w:ascii="Arial" w:cs="Arial" w:eastAsia="Arial" w:hAnsi="Arial"/>
          <w:sz w:val="14"/>
          <w:szCs w:val="14"/>
          <w:b w:val="1"/>
          <w:bCs w:val="1"/>
          <w:color w:val="auto"/>
        </w:rPr>
        <w:t>Shares cannot be voted by marking, writing on, and/or returning the Notice of Internet Availability. Any Notices of Internet Availability that are returned will not be counted as votes.</w:t>
      </w:r>
    </w:p>
    <w:p>
      <w:pPr>
        <w:spacing w:after="0" w:line="10" w:lineRule="exact"/>
        <w:rPr>
          <w:sz w:val="20"/>
          <w:szCs w:val="20"/>
          <w:color w:val="auto"/>
        </w:rPr>
      </w:pPr>
    </w:p>
    <w:p>
      <w:pPr>
        <w:ind w:left="1140" w:right="60"/>
        <w:spacing w:after="0" w:line="262" w:lineRule="auto"/>
        <w:rPr>
          <w:sz w:val="20"/>
          <w:szCs w:val="20"/>
          <w:color w:val="auto"/>
        </w:rPr>
      </w:pPr>
      <w:r>
        <w:rPr>
          <w:rFonts w:ascii="Arial" w:cs="Arial" w:eastAsia="Arial" w:hAnsi="Arial"/>
          <w:sz w:val="14"/>
          <w:szCs w:val="14"/>
          <w:color w:val="auto"/>
        </w:rPr>
        <w:t xml:space="preserve">Honeywell encourages shareowners to vote promptly as this will save the expense of additional proxy solicitation. Shareowners of record on the record date are entitled to vote online at the virtual meeting or prior to the meeting, by telephone, by mail, online at </w:t>
      </w:r>
      <w:r>
        <w:rPr>
          <w:rFonts w:ascii="Arial" w:cs="Arial" w:eastAsia="Arial" w:hAnsi="Arial"/>
          <w:sz w:val="14"/>
          <w:szCs w:val="14"/>
          <w:b w:val="1"/>
          <w:bCs w:val="1"/>
          <w:color w:val="D7282F"/>
        </w:rPr>
        <w:t>www.proxyvote.com</w:t>
      </w:r>
      <w:r>
        <w:rPr>
          <w:rFonts w:ascii="Arial" w:cs="Arial" w:eastAsia="Arial" w:hAnsi="Arial"/>
          <w:sz w:val="14"/>
          <w:szCs w:val="14"/>
          <w:color w:val="auto"/>
        </w:rPr>
        <w:t>, or by scanning the QR code on your proxy card or Notice of Internet Availability.</w:t>
      </w:r>
    </w:p>
    <w:p>
      <w:pPr>
        <w:spacing w:after="0" w:line="107"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D7282F"/>
        </w:rPr>
        <w:t>MEETING ADMISSION</w:t>
      </w:r>
    </w:p>
    <w:p>
      <w:pPr>
        <w:spacing w:after="0" w:line="82" w:lineRule="exact"/>
        <w:rPr>
          <w:sz w:val="20"/>
          <w:szCs w:val="20"/>
          <w:color w:val="auto"/>
        </w:rPr>
      </w:pPr>
    </w:p>
    <w:p>
      <w:pPr>
        <w:ind w:left="1140" w:right="40"/>
        <w:spacing w:after="0" w:line="248" w:lineRule="auto"/>
        <w:rPr>
          <w:sz w:val="20"/>
          <w:szCs w:val="20"/>
          <w:color w:val="auto"/>
        </w:rPr>
      </w:pPr>
      <w:r>
        <w:rPr>
          <w:rFonts w:ascii="Arial" w:cs="Arial" w:eastAsia="Arial" w:hAnsi="Arial"/>
          <w:sz w:val="14"/>
          <w:szCs w:val="14"/>
          <w:color w:val="auto"/>
        </w:rPr>
        <w:t xml:space="preserve">You are entitled to attend the virtual Annual Meeting of Shareowners, vote, and submit questions during the meeting by visiting </w:t>
      </w:r>
      <w:r>
        <w:rPr>
          <w:rFonts w:ascii="Arial" w:cs="Arial" w:eastAsia="Arial" w:hAnsi="Arial"/>
          <w:sz w:val="14"/>
          <w:szCs w:val="14"/>
          <w:b w:val="1"/>
          <w:bCs w:val="1"/>
          <w:color w:val="D7282F"/>
        </w:rPr>
        <w:t>www.virtualshareholdermeeting.com/HON2026</w:t>
      </w:r>
      <w:r>
        <w:rPr>
          <w:rFonts w:ascii="Arial" w:cs="Arial" w:eastAsia="Arial" w:hAnsi="Arial"/>
          <w:sz w:val="14"/>
          <w:szCs w:val="14"/>
          <w:color w:val="auto"/>
        </w:rPr>
        <w:t xml:space="preserve"> and entering the 16-digit control number included on the Notice of Internet Availability of Proxy Materials, on your proxy card (if you requested printed materials), or on the instructions that accompanied your Proxy Materials. You will only be entitled to vote and submit questions at the Annual Meeting if you are a shareowner as of the close of business on March 27,2026, the record date. More details on how to participate in this year's virtual Annual Meeting can be found under “Virtual Annual Meeting” beginning on page 120. In the event of a technical malfunction or other situation that at the discretion of the Chairman of the Board of Directors may affect the ability of the Annual Meeting to satisfy the requirements for a meeting of shareowners to be held, the Chairman or Corporate Secretary of Honeywell will convene the meeting at 12 p.m. EDT on the same date and at the location specified above solely for the purpose of holding the adjourned meeting at this later time. Under the foregoing circumstances, we will post information regarding the announcement on Honeywell’s Investor Relations website</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 xml:space="preserve">at </w:t>
      </w:r>
      <w:r>
        <w:rPr>
          <w:rFonts w:ascii="Arial" w:cs="Arial" w:eastAsia="Arial" w:hAnsi="Arial"/>
          <w:sz w:val="14"/>
          <w:szCs w:val="14"/>
          <w:b w:val="1"/>
          <w:bCs w:val="1"/>
          <w:color w:val="D7282F"/>
        </w:rPr>
        <w:t>investor.honeywell.com</w:t>
      </w:r>
      <w:r>
        <w:rPr>
          <w:rFonts w:ascii="Arial" w:cs="Arial" w:eastAsia="Arial" w:hAnsi="Arial"/>
          <w:sz w:val="14"/>
          <w:szCs w:val="14"/>
          <w:color w:val="auto"/>
        </w:rPr>
        <w:t>.</w:t>
      </w:r>
    </w:p>
    <w:p>
      <w:pPr>
        <w:spacing w:after="0" w:line="55" w:lineRule="exact"/>
        <w:rPr>
          <w:sz w:val="20"/>
          <w:szCs w:val="20"/>
          <w:color w:val="auto"/>
        </w:rPr>
      </w:pPr>
    </w:p>
    <w:p>
      <w:pPr>
        <w:ind w:left="1140" w:right="40"/>
        <w:spacing w:after="0" w:line="285" w:lineRule="auto"/>
        <w:rPr>
          <w:sz w:val="20"/>
          <w:szCs w:val="20"/>
          <w:color w:val="auto"/>
        </w:rPr>
      </w:pPr>
      <w:r>
        <w:rPr>
          <w:rFonts w:ascii="Arial" w:cs="Arial" w:eastAsia="Arial" w:hAnsi="Arial"/>
          <w:sz w:val="14"/>
          <w:szCs w:val="14"/>
          <w:color w:val="auto"/>
        </w:rPr>
        <w:t>This Notice of Annual Meeting of Shareowners and related Proxy Materials are being distributed or made available to shareowners beginning on or about April 10, 2026.</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74930</wp:posOffset>
            </wp:positionV>
            <wp:extent cx="899795" cy="3600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9979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SU PING LU</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D7282F"/>
        </w:rPr>
        <w:t>Senior Vice President, General Counsel and Corporate Secretary</w:t>
      </w:r>
    </w:p>
    <w:p>
      <w:pPr>
        <w:spacing w:after="0" w:line="348" w:lineRule="exact"/>
        <w:rPr>
          <w:sz w:val="20"/>
          <w:szCs w:val="20"/>
          <w:color w:val="auto"/>
        </w:rPr>
      </w:pPr>
    </w:p>
    <w:p>
      <w:pPr>
        <w:ind w:left="20"/>
        <w:spacing w:after="0"/>
        <w:tabs>
          <w:tab w:leader="none" w:pos="460" w:val="left"/>
          <w:tab w:leader="none" w:pos="184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sz w:val="1"/>
          <w:szCs w:val="1"/>
          <w:color w:val="auto"/>
        </w:rPr>
        <w:drawing>
          <wp:inline distT="0" distB="0" distL="0" distR="0">
            <wp:extent cx="548640" cy="10287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2026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-570230</wp:posOffset>
            </wp:positionV>
            <wp:extent cx="8255" cy="7277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72777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-553085</wp:posOffset>
            </wp:positionV>
            <wp:extent cx="196850" cy="3257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6850" cy="325755"/>
                    </a:xfrm>
                    <a:prstGeom prst="rect">
                      <a:avLst/>
                    </a:prstGeom>
                    <a:noFill/>
                  </pic:spPr>
                </pic:pic>
              </a:graphicData>
            </a:graphic>
          </wp:anchor>
        </w:drawing>
      </w:r>
    </w:p>
    <w:p>
      <w:pPr>
        <w:spacing w:after="0" w:line="111" w:lineRule="exact"/>
        <w:rPr>
          <w:sz w:val="20"/>
          <w:szCs w:val="20"/>
          <w:color w:val="auto"/>
        </w:rPr>
      </w:pPr>
    </w:p>
    <w:p>
      <w:pPr>
        <w:ind w:right="119"/>
        <w:spacing w:after="0" w:line="257" w:lineRule="auto"/>
        <w:rPr>
          <w:sz w:val="20"/>
          <w:szCs w:val="20"/>
          <w:color w:val="auto"/>
        </w:rPr>
      </w:pPr>
      <w:r>
        <w:rPr>
          <w:rFonts w:ascii="Arial" w:cs="Arial" w:eastAsia="Arial" w:hAnsi="Arial"/>
          <w:sz w:val="14"/>
          <w:szCs w:val="14"/>
          <w:color w:val="auto"/>
        </w:rPr>
        <w:t>In the U.S. or Canada, you can vote your shares by calling 800-690-6903. You will need the 16-digit control number on the Notice of Internet Availability or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84455</wp:posOffset>
            </wp:positionV>
            <wp:extent cx="325755" cy="265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5755"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BY INTERNET</w:t>
      </w:r>
    </w:p>
    <w:p>
      <w:pPr>
        <w:spacing w:after="0" w:line="131" w:lineRule="exact"/>
        <w:rPr>
          <w:sz w:val="20"/>
          <w:szCs w:val="20"/>
          <w:color w:val="auto"/>
        </w:rPr>
      </w:pPr>
    </w:p>
    <w:p>
      <w:pPr>
        <w:ind w:right="159"/>
        <w:spacing w:after="0" w:line="257" w:lineRule="auto"/>
        <w:rPr>
          <w:sz w:val="20"/>
          <w:szCs w:val="20"/>
          <w:color w:val="auto"/>
        </w:rPr>
      </w:pPr>
      <w:r>
        <w:rPr>
          <w:rFonts w:ascii="Arial" w:cs="Arial" w:eastAsia="Arial" w:hAnsi="Arial"/>
          <w:sz w:val="14"/>
          <w:szCs w:val="14"/>
          <w:color w:val="auto"/>
        </w:rPr>
        <w:t xml:space="preserve">You can vote your shares online at </w:t>
      </w:r>
      <w:r>
        <w:rPr>
          <w:rFonts w:ascii="Arial" w:cs="Arial" w:eastAsia="Arial" w:hAnsi="Arial"/>
          <w:sz w:val="14"/>
          <w:szCs w:val="14"/>
          <w:b w:val="1"/>
          <w:bCs w:val="1"/>
          <w:color w:val="D7282F"/>
        </w:rPr>
        <w:t xml:space="preserve">www.proxyvote.com. </w:t>
      </w:r>
      <w:r>
        <w:rPr>
          <w:rFonts w:ascii="Arial" w:cs="Arial" w:eastAsia="Arial" w:hAnsi="Arial"/>
          <w:sz w:val="14"/>
          <w:szCs w:val="14"/>
          <w:color w:val="000000"/>
        </w:rPr>
        <w:t>You will need</w:t>
      </w:r>
      <w:r>
        <w:rPr>
          <w:rFonts w:ascii="Arial" w:cs="Arial" w:eastAsia="Arial" w:hAnsi="Arial"/>
          <w:sz w:val="14"/>
          <w:szCs w:val="14"/>
          <w:b w:val="1"/>
          <w:bCs w:val="1"/>
          <w:color w:val="D7282F"/>
        </w:rPr>
        <w:t xml:space="preserve"> </w:t>
      </w:r>
      <w:r>
        <w:rPr>
          <w:rFonts w:ascii="Arial" w:cs="Arial" w:eastAsia="Arial" w:hAnsi="Arial"/>
          <w:sz w:val="14"/>
          <w:szCs w:val="14"/>
          <w:color w:val="000000"/>
        </w:rPr>
        <w:t>the 16-digit control number on the Notice of Internet Availability or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84455</wp:posOffset>
            </wp:positionV>
            <wp:extent cx="257175" cy="2571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BY SCANNING</w:t>
      </w:r>
    </w:p>
    <w:p>
      <w:pPr>
        <w:spacing w:after="0" w:line="118" w:lineRule="exact"/>
        <w:rPr>
          <w:sz w:val="20"/>
          <w:szCs w:val="20"/>
          <w:color w:val="auto"/>
        </w:rPr>
      </w:pPr>
    </w:p>
    <w:p>
      <w:pPr>
        <w:ind w:right="59"/>
        <w:spacing w:after="0" w:line="255" w:lineRule="auto"/>
        <w:rPr>
          <w:sz w:val="20"/>
          <w:szCs w:val="20"/>
          <w:color w:val="auto"/>
        </w:rPr>
      </w:pPr>
      <w:r>
        <w:rPr>
          <w:rFonts w:ascii="Arial" w:cs="Arial" w:eastAsia="Arial" w:hAnsi="Arial"/>
          <w:sz w:val="14"/>
          <w:szCs w:val="14"/>
          <w:color w:val="auto"/>
        </w:rPr>
        <w:t>You can vote your shares online by scanning the QR code on your proxy card. You will need the 16-digit control number on the Notice of Internet Availability or your proxy card. Additional software may need to be downloaded.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85725</wp:posOffset>
            </wp:positionV>
            <wp:extent cx="325755" cy="2489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575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BY MAIL</w:t>
      </w:r>
    </w:p>
    <w:p>
      <w:pPr>
        <w:spacing w:after="0" w:line="131" w:lineRule="exact"/>
        <w:rPr>
          <w:sz w:val="20"/>
          <w:szCs w:val="20"/>
          <w:color w:val="auto"/>
        </w:rPr>
      </w:pPr>
    </w:p>
    <w:p>
      <w:pPr>
        <w:ind w:right="39"/>
        <w:spacing w:after="0" w:line="256" w:lineRule="auto"/>
        <w:rPr>
          <w:sz w:val="20"/>
          <w:szCs w:val="20"/>
          <w:color w:val="auto"/>
        </w:rPr>
      </w:pPr>
      <w:r>
        <w:rPr>
          <w:rFonts w:ascii="Arial" w:cs="Arial" w:eastAsia="Arial" w:hAnsi="Arial"/>
          <w:sz w:val="14"/>
          <w:szCs w:val="14"/>
          <w:color w:val="auto"/>
        </w:rPr>
        <w:t>You can vote by mail by marking, dating, and signing your proxy card or voting instruction form, and returning it in the postage-paid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92710</wp:posOffset>
            </wp:positionV>
            <wp:extent cx="325755" cy="394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575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39"/>
        <w:spacing w:after="0" w:line="296" w:lineRule="auto"/>
        <w:rPr>
          <w:sz w:val="20"/>
          <w:szCs w:val="20"/>
          <w:color w:val="auto"/>
        </w:rPr>
      </w:pPr>
      <w:r>
        <w:rPr>
          <w:rFonts w:ascii="Arial" w:cs="Arial" w:eastAsia="Arial" w:hAnsi="Arial"/>
          <w:sz w:val="16"/>
          <w:szCs w:val="16"/>
          <w:b w:val="1"/>
          <w:bCs w:val="1"/>
          <w:color w:val="auto"/>
        </w:rPr>
        <w:t>VOTE DURING THE VIRTUAL MEETING OF SHAREOWNERS</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You can vote your shares during</w:t>
      </w:r>
    </w:p>
    <w:p>
      <w:pPr>
        <w:spacing w:after="0" w:line="15" w:lineRule="exact"/>
        <w:rPr>
          <w:sz w:val="20"/>
          <w:szCs w:val="20"/>
          <w:color w:val="auto"/>
        </w:rPr>
      </w:pPr>
    </w:p>
    <w:p>
      <w:pPr>
        <w:ind w:right="119"/>
        <w:spacing w:after="0" w:line="255" w:lineRule="auto"/>
        <w:rPr>
          <w:sz w:val="20"/>
          <w:szCs w:val="20"/>
          <w:color w:val="auto"/>
        </w:rPr>
      </w:pPr>
      <w:r>
        <w:rPr>
          <w:rFonts w:ascii="Arial" w:cs="Arial" w:eastAsia="Arial" w:hAnsi="Arial"/>
          <w:sz w:val="14"/>
          <w:szCs w:val="14"/>
          <w:color w:val="auto"/>
        </w:rPr>
        <w:t>the virtual meeting. You will need the 16-digit control number on the Notice of Internet Availability or your proxy card.</w:t>
      </w:r>
    </w:p>
    <w:p>
      <w:pPr>
        <w:sectPr>
          <w:pgSz w:w="11900" w:h="16838" w:orient="portrait"/>
          <w:cols w:equalWidth="0" w:num="2">
            <w:col w:w="7280" w:space="380"/>
            <w:col w:w="2479"/>
          </w:cols>
          <w:pgMar w:left="320" w:top="1293" w:right="1440" w:bottom="1440" w:gutter="0" w:footer="0" w:header="0"/>
        </w:sectPr>
      </w:pPr>
    </w:p>
    <w:bookmarkStart w:id="5" w:name="page6"/>
    <w:bookmarkEnd w:id="5"/>
    <w:p>
      <w:pPr>
        <w:spacing w:after="0"/>
        <w:rPr>
          <w:sz w:val="20"/>
          <w:szCs w:val="20"/>
          <w:color w:val="auto"/>
        </w:rPr>
      </w:pPr>
      <w:r>
        <w:rPr>
          <w:rFonts w:ascii="Arial" w:cs="Arial" w:eastAsia="Arial" w:hAnsi="Arial"/>
          <w:sz w:val="45"/>
          <w:szCs w:val="45"/>
          <w:b w:val="1"/>
          <w:bCs w:val="1"/>
          <w:color w:val="auto"/>
        </w:rPr>
        <w:t>TABLE OF CONTENTS</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20" w:type="dxa"/>
            <w:vAlign w:val="bottom"/>
          </w:tcPr>
          <w:p>
            <w:pPr>
              <w:ind w:left="520"/>
              <w:spacing w:after="0"/>
              <w:rPr>
                <w:sz w:val="20"/>
                <w:szCs w:val="20"/>
                <w:color w:val="auto"/>
              </w:rPr>
            </w:pPr>
            <w:r>
              <w:rPr>
                <w:rFonts w:ascii="Arial" w:cs="Arial" w:eastAsia="Arial" w:hAnsi="Arial"/>
                <w:sz w:val="16"/>
                <w:szCs w:val="16"/>
                <w:b w:val="1"/>
                <w:bCs w:val="1"/>
                <w:color w:val="D7282F"/>
              </w:rPr>
              <w:t>LETTER FROM THE LEAD DIRECTOR</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D7282F"/>
              </w:rPr>
              <w:t>1</w:t>
            </w:r>
          </w:p>
        </w:tc>
      </w:tr>
      <w:tr>
        <w:trPr>
          <w:trHeight w:val="243"/>
        </w:trPr>
        <w:tc>
          <w:tcPr>
            <w:tcW w:w="4920" w:type="dxa"/>
            <w:vAlign w:val="bottom"/>
          </w:tcPr>
          <w:p>
            <w:pPr>
              <w:ind w:left="520"/>
              <w:spacing w:after="0"/>
              <w:rPr>
                <w:sz w:val="20"/>
                <w:szCs w:val="20"/>
                <w:color w:val="auto"/>
              </w:rPr>
            </w:pPr>
            <w:r>
              <w:rPr>
                <w:rFonts w:ascii="Arial" w:cs="Arial" w:eastAsia="Arial" w:hAnsi="Arial"/>
                <w:sz w:val="16"/>
                <w:szCs w:val="16"/>
                <w:b w:val="1"/>
                <w:bCs w:val="1"/>
                <w:color w:val="D7282F"/>
              </w:rPr>
              <w:t>NOTICE OF ANNUAL MEETING OF SHAREOWNERS</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D7282F"/>
              </w:rPr>
              <w:t>2</w:t>
            </w:r>
          </w:p>
        </w:tc>
      </w:tr>
      <w:tr>
        <w:trPr>
          <w:trHeight w:val="243"/>
        </w:trPr>
        <w:tc>
          <w:tcPr>
            <w:tcW w:w="4920" w:type="dxa"/>
            <w:vAlign w:val="bottom"/>
          </w:tcPr>
          <w:p>
            <w:pPr>
              <w:ind w:left="520"/>
              <w:spacing w:after="0"/>
              <w:rPr>
                <w:sz w:val="20"/>
                <w:szCs w:val="20"/>
                <w:color w:val="auto"/>
              </w:rPr>
            </w:pPr>
            <w:r>
              <w:rPr>
                <w:rFonts w:ascii="Arial" w:cs="Arial" w:eastAsia="Arial" w:hAnsi="Arial"/>
                <w:sz w:val="16"/>
                <w:szCs w:val="16"/>
                <w:b w:val="1"/>
                <w:bCs w:val="1"/>
                <w:color w:val="D7282F"/>
              </w:rPr>
              <w:t>HONEYWELL PERFORMANCE IN 2025</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D7282F"/>
              </w:rPr>
              <w:t>4</w:t>
            </w:r>
          </w:p>
        </w:tc>
      </w:tr>
      <w:tr>
        <w:trPr>
          <w:trHeight w:val="235"/>
        </w:trPr>
        <w:tc>
          <w:tcPr>
            <w:tcW w:w="4920" w:type="dxa"/>
            <w:vAlign w:val="bottom"/>
          </w:tcPr>
          <w:p>
            <w:pPr>
              <w:ind w:left="520"/>
              <w:spacing w:after="0"/>
              <w:rPr>
                <w:sz w:val="20"/>
                <w:szCs w:val="20"/>
                <w:color w:val="auto"/>
              </w:rPr>
            </w:pPr>
            <w:r>
              <w:rPr>
                <w:rFonts w:ascii="Arial" w:cs="Arial" w:eastAsia="Arial" w:hAnsi="Arial"/>
                <w:sz w:val="16"/>
                <w:szCs w:val="16"/>
                <w:color w:val="auto"/>
              </w:rPr>
              <w:t>Honeywell Portfolio</w:t>
            </w:r>
          </w:p>
        </w:tc>
        <w:tc>
          <w:tcPr>
            <w:tcW w:w="4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43"/>
        </w:trPr>
        <w:tc>
          <w:tcPr>
            <w:tcW w:w="4920" w:type="dxa"/>
            <w:vAlign w:val="bottom"/>
          </w:tcPr>
          <w:p>
            <w:pPr>
              <w:ind w:left="520"/>
              <w:spacing w:after="0"/>
              <w:rPr>
                <w:sz w:val="20"/>
                <w:szCs w:val="20"/>
                <w:color w:val="auto"/>
              </w:rPr>
            </w:pPr>
            <w:r>
              <w:rPr>
                <w:rFonts w:ascii="Arial" w:cs="Arial" w:eastAsia="Arial" w:hAnsi="Arial"/>
                <w:sz w:val="16"/>
                <w:szCs w:val="16"/>
                <w:color w:val="auto"/>
              </w:rPr>
              <w:t>2025 Performance Highlights</w:t>
            </w:r>
          </w:p>
        </w:tc>
        <w:tc>
          <w:tcPr>
            <w:tcW w:w="4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43"/>
        </w:trPr>
        <w:tc>
          <w:tcPr>
            <w:tcW w:w="4920" w:type="dxa"/>
            <w:vAlign w:val="bottom"/>
          </w:tcPr>
          <w:p>
            <w:pPr>
              <w:ind w:left="520"/>
              <w:spacing w:after="0"/>
              <w:rPr>
                <w:sz w:val="20"/>
                <w:szCs w:val="20"/>
                <w:color w:val="auto"/>
              </w:rPr>
            </w:pPr>
            <w:r>
              <w:rPr>
                <w:rFonts w:ascii="Arial" w:cs="Arial" w:eastAsia="Arial" w:hAnsi="Arial"/>
                <w:sz w:val="16"/>
                <w:szCs w:val="16"/>
                <w:color w:val="auto"/>
              </w:rPr>
              <w:t>Commitment to Sustainability</w:t>
            </w:r>
          </w:p>
        </w:tc>
        <w:tc>
          <w:tcPr>
            <w:tcW w:w="4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51"/>
        </w:trPr>
        <w:tc>
          <w:tcPr>
            <w:tcW w:w="4920" w:type="dxa"/>
            <w:vAlign w:val="bottom"/>
          </w:tcPr>
          <w:p>
            <w:pPr>
              <w:ind w:left="520"/>
              <w:spacing w:after="0"/>
              <w:rPr>
                <w:sz w:val="20"/>
                <w:szCs w:val="20"/>
                <w:color w:val="auto"/>
              </w:rPr>
            </w:pPr>
            <w:r>
              <w:rPr>
                <w:rFonts w:ascii="Arial" w:cs="Arial" w:eastAsia="Arial" w:hAnsi="Arial"/>
                <w:sz w:val="16"/>
                <w:szCs w:val="16"/>
                <w:b w:val="1"/>
                <w:bCs w:val="1"/>
                <w:color w:val="D7282F"/>
              </w:rPr>
              <w:t>PROXY SUMMARY</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D7282F"/>
              </w:rPr>
              <w:t>11</w:t>
            </w:r>
          </w:p>
        </w:tc>
      </w:tr>
      <w:tr>
        <w:trPr>
          <w:trHeight w:val="235"/>
        </w:trPr>
        <w:tc>
          <w:tcPr>
            <w:tcW w:w="4920" w:type="dxa"/>
            <w:vAlign w:val="bottom"/>
          </w:tcPr>
          <w:p>
            <w:pPr>
              <w:ind w:left="520"/>
              <w:spacing w:after="0"/>
              <w:rPr>
                <w:sz w:val="20"/>
                <w:szCs w:val="20"/>
                <w:color w:val="auto"/>
              </w:rPr>
            </w:pPr>
            <w:r>
              <w:rPr>
                <w:rFonts w:ascii="Arial" w:cs="Arial" w:eastAsia="Arial" w:hAnsi="Arial"/>
                <w:sz w:val="16"/>
                <w:szCs w:val="16"/>
                <w:color w:val="auto"/>
              </w:rPr>
              <w:t>Annual Meeting of Shareowners</w:t>
            </w:r>
          </w:p>
        </w:tc>
        <w:tc>
          <w:tcPr>
            <w:tcW w:w="4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43"/>
        </w:trPr>
        <w:tc>
          <w:tcPr>
            <w:tcW w:w="4920" w:type="dxa"/>
            <w:vAlign w:val="bottom"/>
          </w:tcPr>
          <w:p>
            <w:pPr>
              <w:ind w:left="520"/>
              <w:spacing w:after="0"/>
              <w:rPr>
                <w:sz w:val="20"/>
                <w:szCs w:val="20"/>
                <w:color w:val="auto"/>
              </w:rPr>
            </w:pPr>
            <w:r>
              <w:rPr>
                <w:rFonts w:ascii="Arial" w:cs="Arial" w:eastAsia="Arial" w:hAnsi="Arial"/>
                <w:sz w:val="16"/>
                <w:szCs w:val="16"/>
                <w:color w:val="auto"/>
              </w:rPr>
              <w:t>Voting Matters</w:t>
            </w:r>
          </w:p>
        </w:tc>
        <w:tc>
          <w:tcPr>
            <w:tcW w:w="4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351"/>
        </w:trPr>
        <w:tc>
          <w:tcPr>
            <w:tcW w:w="4920" w:type="dxa"/>
            <w:vAlign w:val="bottom"/>
          </w:tcPr>
          <w:p>
            <w:pPr>
              <w:ind w:left="520"/>
              <w:spacing w:after="0"/>
              <w:rPr>
                <w:sz w:val="20"/>
                <w:szCs w:val="20"/>
                <w:color w:val="auto"/>
              </w:rPr>
            </w:pPr>
            <w:r>
              <w:rPr>
                <w:rFonts w:ascii="Arial" w:cs="Arial" w:eastAsia="Arial" w:hAnsi="Arial"/>
                <w:sz w:val="16"/>
                <w:szCs w:val="16"/>
                <w:color w:val="auto"/>
              </w:rPr>
              <w:t>Corporate Governance Highlights</w:t>
            </w:r>
          </w:p>
        </w:tc>
        <w:tc>
          <w:tcPr>
            <w:tcW w:w="44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178"/>
        </w:trPr>
        <w:tc>
          <w:tcPr>
            <w:tcW w:w="4920" w:type="dxa"/>
            <w:vAlign w:val="bottom"/>
            <w:tcBorders>
              <w:bottom w:val="single" w:sz="8" w:color="D7282F"/>
            </w:tcBorders>
          </w:tcPr>
          <w:p>
            <w:pPr>
              <w:spacing w:after="0"/>
              <w:rPr>
                <w:sz w:val="15"/>
                <w:szCs w:val="15"/>
                <w:color w:val="auto"/>
              </w:rPr>
            </w:pPr>
          </w:p>
        </w:tc>
        <w:tc>
          <w:tcPr>
            <w:tcW w:w="440" w:type="dxa"/>
            <w:vAlign w:val="bottom"/>
            <w:tcBorders>
              <w:bottom w:val="single" w:sz="8" w:color="D7282F"/>
            </w:tcBorders>
          </w:tcPr>
          <w:p>
            <w:pPr>
              <w:spacing w:after="0"/>
              <w:rPr>
                <w:sz w:val="15"/>
                <w:szCs w:val="15"/>
                <w:color w:val="auto"/>
              </w:rPr>
            </w:pPr>
          </w:p>
        </w:tc>
      </w:tr>
      <w:tr>
        <w:trPr>
          <w:trHeight w:val="269"/>
        </w:trPr>
        <w:tc>
          <w:tcPr>
            <w:tcW w:w="4920" w:type="dxa"/>
            <w:vAlign w:val="bottom"/>
          </w:tcPr>
          <w:p>
            <w:pPr>
              <w:ind w:left="520"/>
              <w:spacing w:after="0"/>
              <w:rPr>
                <w:sz w:val="20"/>
                <w:szCs w:val="20"/>
                <w:color w:val="auto"/>
              </w:rPr>
            </w:pPr>
            <w:r>
              <w:rPr>
                <w:rFonts w:ascii="Arial" w:cs="Arial" w:eastAsia="Arial" w:hAnsi="Arial"/>
                <w:sz w:val="16"/>
                <w:szCs w:val="16"/>
                <w:b w:val="1"/>
                <w:bCs w:val="1"/>
                <w:color w:val="D7282F"/>
              </w:rPr>
              <w:t>PROPOSAL 1: ELECTION OF DIRECTORS</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D7282F"/>
              </w:rPr>
              <w:t>17</w:t>
            </w:r>
          </w:p>
        </w:tc>
      </w:tr>
      <w:tr>
        <w:trPr>
          <w:trHeight w:val="316"/>
        </w:trPr>
        <w:tc>
          <w:tcPr>
            <w:tcW w:w="4920" w:type="dxa"/>
            <w:vAlign w:val="bottom"/>
          </w:tcPr>
          <w:p>
            <w:pPr>
              <w:ind w:left="520"/>
              <w:spacing w:after="0"/>
              <w:rPr>
                <w:sz w:val="20"/>
                <w:szCs w:val="20"/>
                <w:color w:val="auto"/>
              </w:rPr>
            </w:pPr>
            <w:r>
              <w:rPr>
                <w:rFonts w:ascii="Arial" w:cs="Arial" w:eastAsia="Arial" w:hAnsi="Arial"/>
                <w:sz w:val="16"/>
                <w:szCs w:val="16"/>
                <w:color w:val="auto"/>
              </w:rPr>
              <w:t>Director Skills and Qualifications</w:t>
            </w:r>
          </w:p>
        </w:tc>
        <w:tc>
          <w:tcPr>
            <w:tcW w:w="4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43"/>
        </w:trPr>
        <w:tc>
          <w:tcPr>
            <w:tcW w:w="4920" w:type="dxa"/>
            <w:vAlign w:val="bottom"/>
          </w:tcPr>
          <w:p>
            <w:pPr>
              <w:ind w:left="520"/>
              <w:spacing w:after="0"/>
              <w:rPr>
                <w:sz w:val="20"/>
                <w:szCs w:val="20"/>
                <w:color w:val="auto"/>
              </w:rPr>
            </w:pPr>
            <w:r>
              <w:rPr>
                <w:rFonts w:ascii="Arial" w:cs="Arial" w:eastAsia="Arial" w:hAnsi="Arial"/>
                <w:sz w:val="16"/>
                <w:szCs w:val="16"/>
                <w:color w:val="auto"/>
              </w:rPr>
              <w:t>Board Skillset Matrix</w:t>
            </w:r>
          </w:p>
        </w:tc>
        <w:tc>
          <w:tcPr>
            <w:tcW w:w="44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43"/>
        </w:trPr>
        <w:tc>
          <w:tcPr>
            <w:tcW w:w="4920" w:type="dxa"/>
            <w:vAlign w:val="bottom"/>
          </w:tcPr>
          <w:p>
            <w:pPr>
              <w:ind w:left="520"/>
              <w:spacing w:after="0"/>
              <w:rPr>
                <w:sz w:val="20"/>
                <w:szCs w:val="20"/>
                <w:color w:val="auto"/>
              </w:rPr>
            </w:pPr>
            <w:r>
              <w:rPr>
                <w:rFonts w:ascii="Arial" w:cs="Arial" w:eastAsia="Arial" w:hAnsi="Arial"/>
                <w:sz w:val="16"/>
                <w:szCs w:val="16"/>
                <w:color w:val="auto"/>
              </w:rPr>
              <w:t>Board Composition</w:t>
            </w:r>
          </w:p>
        </w:tc>
        <w:tc>
          <w:tcPr>
            <w:tcW w:w="44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43"/>
        </w:trPr>
        <w:tc>
          <w:tcPr>
            <w:tcW w:w="4920" w:type="dxa"/>
            <w:vAlign w:val="bottom"/>
          </w:tcPr>
          <w:p>
            <w:pPr>
              <w:ind w:left="520"/>
              <w:spacing w:after="0"/>
              <w:rPr>
                <w:sz w:val="20"/>
                <w:szCs w:val="20"/>
                <w:color w:val="auto"/>
              </w:rPr>
            </w:pPr>
            <w:r>
              <w:rPr>
                <w:rFonts w:ascii="Arial" w:cs="Arial" w:eastAsia="Arial" w:hAnsi="Arial"/>
                <w:sz w:val="16"/>
                <w:szCs w:val="16"/>
                <w:color w:val="auto"/>
              </w:rPr>
              <w:t>Nominees for Election</w:t>
            </w:r>
          </w:p>
        </w:tc>
        <w:tc>
          <w:tcPr>
            <w:tcW w:w="44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51"/>
        </w:trPr>
        <w:tc>
          <w:tcPr>
            <w:tcW w:w="4920" w:type="dxa"/>
            <w:vAlign w:val="bottom"/>
          </w:tcPr>
          <w:p>
            <w:pPr>
              <w:ind w:left="520"/>
              <w:spacing w:after="0"/>
              <w:rPr>
                <w:sz w:val="20"/>
                <w:szCs w:val="20"/>
                <w:color w:val="auto"/>
              </w:rPr>
            </w:pPr>
            <w:r>
              <w:rPr>
                <w:rFonts w:ascii="Arial" w:cs="Arial" w:eastAsia="Arial" w:hAnsi="Arial"/>
                <w:sz w:val="16"/>
                <w:szCs w:val="16"/>
                <w:b w:val="1"/>
                <w:bCs w:val="1"/>
                <w:color w:val="D7282F"/>
              </w:rPr>
              <w:t>CORPORATE GOVERNANCE</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D7282F"/>
              </w:rPr>
              <w:t>27</w:t>
            </w:r>
          </w:p>
        </w:tc>
      </w:tr>
      <w:tr>
        <w:trPr>
          <w:trHeight w:val="235"/>
        </w:trPr>
        <w:tc>
          <w:tcPr>
            <w:tcW w:w="4920" w:type="dxa"/>
            <w:vAlign w:val="bottom"/>
          </w:tcPr>
          <w:p>
            <w:pPr>
              <w:ind w:left="520"/>
              <w:spacing w:after="0"/>
              <w:rPr>
                <w:sz w:val="20"/>
                <w:szCs w:val="20"/>
                <w:color w:val="auto"/>
              </w:rPr>
            </w:pPr>
            <w:r>
              <w:rPr>
                <w:rFonts w:ascii="Arial" w:cs="Arial" w:eastAsia="Arial" w:hAnsi="Arial"/>
                <w:sz w:val="16"/>
                <w:szCs w:val="16"/>
                <w:color w:val="auto"/>
              </w:rPr>
              <w:t>Shareowner Outreach and Engagement</w:t>
            </w:r>
          </w:p>
        </w:tc>
        <w:tc>
          <w:tcPr>
            <w:tcW w:w="44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43"/>
        </w:trPr>
        <w:tc>
          <w:tcPr>
            <w:tcW w:w="4920" w:type="dxa"/>
            <w:vAlign w:val="bottom"/>
          </w:tcPr>
          <w:p>
            <w:pPr>
              <w:ind w:left="520"/>
              <w:spacing w:after="0"/>
              <w:rPr>
                <w:sz w:val="20"/>
                <w:szCs w:val="20"/>
                <w:color w:val="auto"/>
              </w:rPr>
            </w:pPr>
            <w:r>
              <w:rPr>
                <w:rFonts w:ascii="Arial" w:cs="Arial" w:eastAsia="Arial" w:hAnsi="Arial"/>
                <w:sz w:val="16"/>
                <w:szCs w:val="16"/>
                <w:color w:val="auto"/>
              </w:rPr>
              <w:t>Board Leadership Structure</w:t>
            </w:r>
          </w:p>
        </w:tc>
        <w:tc>
          <w:tcPr>
            <w:tcW w:w="44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43"/>
        </w:trPr>
        <w:tc>
          <w:tcPr>
            <w:tcW w:w="4920" w:type="dxa"/>
            <w:vAlign w:val="bottom"/>
          </w:tcPr>
          <w:p>
            <w:pPr>
              <w:ind w:left="520"/>
              <w:spacing w:after="0"/>
              <w:rPr>
                <w:sz w:val="20"/>
                <w:szCs w:val="20"/>
                <w:color w:val="auto"/>
              </w:rPr>
            </w:pPr>
            <w:r>
              <w:rPr>
                <w:rFonts w:ascii="Arial" w:cs="Arial" w:eastAsia="Arial" w:hAnsi="Arial"/>
                <w:sz w:val="16"/>
                <w:szCs w:val="16"/>
                <w:color w:val="auto"/>
              </w:rPr>
              <w:t>Director Independence</w:t>
            </w:r>
          </w:p>
        </w:tc>
        <w:tc>
          <w:tcPr>
            <w:tcW w:w="44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43"/>
        </w:trPr>
        <w:tc>
          <w:tcPr>
            <w:tcW w:w="4920" w:type="dxa"/>
            <w:vAlign w:val="bottom"/>
          </w:tcPr>
          <w:p>
            <w:pPr>
              <w:ind w:left="520"/>
              <w:spacing w:after="0"/>
              <w:rPr>
                <w:sz w:val="20"/>
                <w:szCs w:val="20"/>
                <w:color w:val="auto"/>
              </w:rPr>
            </w:pPr>
            <w:r>
              <w:rPr>
                <w:rFonts w:ascii="Arial" w:cs="Arial" w:eastAsia="Arial" w:hAnsi="Arial"/>
                <w:sz w:val="16"/>
                <w:szCs w:val="16"/>
                <w:color w:val="auto"/>
              </w:rPr>
              <w:t>Board Practices and Procedures</w:t>
            </w:r>
          </w:p>
        </w:tc>
        <w:tc>
          <w:tcPr>
            <w:tcW w:w="44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43"/>
        </w:trPr>
        <w:tc>
          <w:tcPr>
            <w:tcW w:w="4920" w:type="dxa"/>
            <w:vAlign w:val="bottom"/>
          </w:tcPr>
          <w:p>
            <w:pPr>
              <w:ind w:left="520"/>
              <w:spacing w:after="0"/>
              <w:rPr>
                <w:sz w:val="20"/>
                <w:szCs w:val="20"/>
                <w:color w:val="auto"/>
              </w:rPr>
            </w:pPr>
            <w:r>
              <w:rPr>
                <w:rFonts w:ascii="Arial" w:cs="Arial" w:eastAsia="Arial" w:hAnsi="Arial"/>
                <w:sz w:val="16"/>
                <w:szCs w:val="16"/>
                <w:color w:val="auto"/>
              </w:rPr>
              <w:t>Board Committees</w:t>
            </w:r>
          </w:p>
        </w:tc>
        <w:tc>
          <w:tcPr>
            <w:tcW w:w="44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43"/>
        </w:trPr>
        <w:tc>
          <w:tcPr>
            <w:tcW w:w="4920" w:type="dxa"/>
            <w:vAlign w:val="bottom"/>
          </w:tcPr>
          <w:p>
            <w:pPr>
              <w:ind w:left="520"/>
              <w:spacing w:after="0"/>
              <w:rPr>
                <w:sz w:val="20"/>
                <w:szCs w:val="20"/>
                <w:color w:val="auto"/>
              </w:rPr>
            </w:pPr>
            <w:r>
              <w:rPr>
                <w:rFonts w:ascii="Arial" w:cs="Arial" w:eastAsia="Arial" w:hAnsi="Arial"/>
                <w:sz w:val="16"/>
                <w:szCs w:val="16"/>
                <w:color w:val="auto"/>
              </w:rPr>
              <w:t>Board’s Role in Risk Oversight</w:t>
            </w:r>
          </w:p>
        </w:tc>
        <w:tc>
          <w:tcPr>
            <w:tcW w:w="44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51"/>
        </w:trPr>
        <w:tc>
          <w:tcPr>
            <w:tcW w:w="4920" w:type="dxa"/>
            <w:vAlign w:val="bottom"/>
          </w:tcPr>
          <w:p>
            <w:pPr>
              <w:ind w:left="520"/>
              <w:spacing w:after="0"/>
              <w:rPr>
                <w:sz w:val="20"/>
                <w:szCs w:val="20"/>
                <w:color w:val="auto"/>
              </w:rPr>
            </w:pPr>
            <w:r>
              <w:rPr>
                <w:rFonts w:ascii="Arial" w:cs="Arial" w:eastAsia="Arial" w:hAnsi="Arial"/>
                <w:sz w:val="16"/>
                <w:szCs w:val="16"/>
                <w:b w:val="1"/>
                <w:bCs w:val="1"/>
                <w:color w:val="D7282F"/>
              </w:rPr>
              <w:t>DIRECTOR COMPENSATION</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D7282F"/>
              </w:rPr>
              <w:t>48</w:t>
            </w:r>
          </w:p>
        </w:tc>
      </w:tr>
      <w:tr>
        <w:trPr>
          <w:trHeight w:val="235"/>
        </w:trPr>
        <w:tc>
          <w:tcPr>
            <w:tcW w:w="4920" w:type="dxa"/>
            <w:vAlign w:val="bottom"/>
          </w:tcPr>
          <w:p>
            <w:pPr>
              <w:ind w:left="520"/>
              <w:spacing w:after="0"/>
              <w:rPr>
                <w:sz w:val="20"/>
                <w:szCs w:val="20"/>
                <w:color w:val="auto"/>
              </w:rPr>
            </w:pPr>
            <w:r>
              <w:rPr>
                <w:rFonts w:ascii="Arial" w:cs="Arial" w:eastAsia="Arial" w:hAnsi="Arial"/>
                <w:sz w:val="16"/>
                <w:szCs w:val="16"/>
                <w:color w:val="auto"/>
              </w:rPr>
              <w:t>Elements of Compensation</w:t>
            </w:r>
          </w:p>
        </w:tc>
        <w:tc>
          <w:tcPr>
            <w:tcW w:w="44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43"/>
        </w:trPr>
        <w:tc>
          <w:tcPr>
            <w:tcW w:w="4920" w:type="dxa"/>
            <w:vAlign w:val="bottom"/>
          </w:tcPr>
          <w:p>
            <w:pPr>
              <w:ind w:left="520"/>
              <w:spacing w:after="0"/>
              <w:rPr>
                <w:sz w:val="20"/>
                <w:szCs w:val="20"/>
                <w:color w:val="auto"/>
              </w:rPr>
            </w:pPr>
            <w:r>
              <w:rPr>
                <w:rFonts w:ascii="Arial" w:cs="Arial" w:eastAsia="Arial" w:hAnsi="Arial"/>
                <w:sz w:val="16"/>
                <w:szCs w:val="16"/>
                <w:color w:val="auto"/>
              </w:rPr>
              <w:t>2025 Director Compensation Table</w:t>
            </w:r>
          </w:p>
        </w:tc>
        <w:tc>
          <w:tcPr>
            <w:tcW w:w="44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43"/>
        </w:trPr>
        <w:tc>
          <w:tcPr>
            <w:tcW w:w="4920" w:type="dxa"/>
            <w:vAlign w:val="bottom"/>
          </w:tcPr>
          <w:p>
            <w:pPr>
              <w:ind w:left="520"/>
              <w:spacing w:after="0"/>
              <w:rPr>
                <w:sz w:val="20"/>
                <w:szCs w:val="20"/>
                <w:color w:val="auto"/>
              </w:rPr>
            </w:pPr>
            <w:r>
              <w:rPr>
                <w:rFonts w:ascii="Arial" w:cs="Arial" w:eastAsia="Arial" w:hAnsi="Arial"/>
                <w:sz w:val="16"/>
                <w:szCs w:val="16"/>
                <w:color w:val="auto"/>
              </w:rPr>
              <w:t>Director Stock Ownership Guidelines</w:t>
            </w:r>
          </w:p>
        </w:tc>
        <w:tc>
          <w:tcPr>
            <w:tcW w:w="44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58"/>
        </w:trPr>
        <w:tc>
          <w:tcPr>
            <w:tcW w:w="4920" w:type="dxa"/>
            <w:vAlign w:val="bottom"/>
            <w:tcBorders>
              <w:bottom w:val="single" w:sz="8" w:color="D7282F"/>
            </w:tcBorders>
          </w:tcPr>
          <w:p>
            <w:pPr>
              <w:spacing w:after="0"/>
              <w:rPr>
                <w:sz w:val="22"/>
                <w:szCs w:val="22"/>
                <w:color w:val="auto"/>
              </w:rPr>
            </w:pPr>
          </w:p>
        </w:tc>
        <w:tc>
          <w:tcPr>
            <w:tcW w:w="440" w:type="dxa"/>
            <w:vAlign w:val="bottom"/>
            <w:tcBorders>
              <w:bottom w:val="single" w:sz="8" w:color="D7282F"/>
            </w:tcBorders>
          </w:tcPr>
          <w:p>
            <w:pPr>
              <w:spacing w:after="0"/>
              <w:rPr>
                <w:sz w:val="22"/>
                <w:szCs w:val="22"/>
                <w:color w:val="auto"/>
              </w:rPr>
            </w:pPr>
          </w:p>
        </w:tc>
      </w:tr>
      <w:tr>
        <w:trPr>
          <w:trHeight w:val="249"/>
        </w:trPr>
        <w:tc>
          <w:tcPr>
            <w:tcW w:w="4920" w:type="dxa"/>
            <w:vAlign w:val="bottom"/>
          </w:tcPr>
          <w:p>
            <w:pPr>
              <w:ind w:left="520"/>
              <w:spacing w:after="0"/>
              <w:rPr>
                <w:sz w:val="20"/>
                <w:szCs w:val="20"/>
                <w:color w:val="auto"/>
              </w:rPr>
            </w:pPr>
            <w:r>
              <w:rPr>
                <w:rFonts w:ascii="Arial" w:cs="Arial" w:eastAsia="Arial" w:hAnsi="Arial"/>
                <w:sz w:val="16"/>
                <w:szCs w:val="16"/>
                <w:b w:val="1"/>
                <w:bCs w:val="1"/>
                <w:color w:val="D7282F"/>
              </w:rPr>
              <w:t>PROPOSAL 2: ADVISORY VOTE TO APPROVE</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D7282F"/>
              </w:rPr>
              <w:t>51</w:t>
            </w:r>
          </w:p>
        </w:tc>
      </w:tr>
      <w:tr>
        <w:trPr>
          <w:trHeight w:val="223"/>
        </w:trPr>
        <w:tc>
          <w:tcPr>
            <w:tcW w:w="4920" w:type="dxa"/>
            <w:vAlign w:val="bottom"/>
          </w:tcPr>
          <w:p>
            <w:pPr>
              <w:ind w:left="520"/>
              <w:spacing w:after="0"/>
              <w:rPr>
                <w:sz w:val="20"/>
                <w:szCs w:val="20"/>
                <w:color w:val="auto"/>
              </w:rPr>
            </w:pPr>
            <w:r>
              <w:rPr>
                <w:rFonts w:ascii="Arial" w:cs="Arial" w:eastAsia="Arial" w:hAnsi="Arial"/>
                <w:sz w:val="16"/>
                <w:szCs w:val="16"/>
                <w:b w:val="1"/>
                <w:bCs w:val="1"/>
                <w:color w:val="D7282F"/>
              </w:rPr>
              <w:t>EXECUTIVE COMPENSATION</w:t>
            </w:r>
          </w:p>
        </w:tc>
        <w:tc>
          <w:tcPr>
            <w:tcW w:w="440" w:type="dxa"/>
            <w:vAlign w:val="bottom"/>
          </w:tcPr>
          <w:p>
            <w:pPr>
              <w:spacing w:after="0"/>
              <w:rPr>
                <w:sz w:val="19"/>
                <w:szCs w:val="19"/>
                <w:color w:val="auto"/>
              </w:rPr>
            </w:pPr>
          </w:p>
        </w:tc>
      </w:tr>
      <w:tr>
        <w:trPr>
          <w:trHeight w:val="243"/>
        </w:trPr>
        <w:tc>
          <w:tcPr>
            <w:tcW w:w="4920" w:type="dxa"/>
            <w:vAlign w:val="bottom"/>
          </w:tcPr>
          <w:p>
            <w:pPr>
              <w:ind w:left="520"/>
              <w:spacing w:after="0"/>
              <w:rPr>
                <w:sz w:val="20"/>
                <w:szCs w:val="20"/>
                <w:color w:val="auto"/>
              </w:rPr>
            </w:pPr>
            <w:r>
              <w:rPr>
                <w:rFonts w:ascii="Arial" w:cs="Arial" w:eastAsia="Arial" w:hAnsi="Arial"/>
                <w:sz w:val="16"/>
                <w:szCs w:val="16"/>
                <w:b w:val="1"/>
                <w:bCs w:val="1"/>
                <w:color w:val="D7282F"/>
              </w:rPr>
              <w:t>COMPENSATION DISCUSSION AND ANALYSIS</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D7282F"/>
              </w:rPr>
              <w:t>52</w:t>
            </w:r>
          </w:p>
        </w:tc>
      </w:tr>
      <w:tr>
        <w:trPr>
          <w:trHeight w:val="235"/>
        </w:trPr>
        <w:tc>
          <w:tcPr>
            <w:tcW w:w="4920" w:type="dxa"/>
            <w:vAlign w:val="bottom"/>
          </w:tcPr>
          <w:p>
            <w:pPr>
              <w:ind w:left="520"/>
              <w:spacing w:after="0"/>
              <w:rPr>
                <w:sz w:val="20"/>
                <w:szCs w:val="20"/>
                <w:color w:val="auto"/>
              </w:rPr>
            </w:pPr>
            <w:r>
              <w:rPr>
                <w:rFonts w:ascii="Arial" w:cs="Arial" w:eastAsia="Arial" w:hAnsi="Arial"/>
                <w:sz w:val="16"/>
                <w:szCs w:val="16"/>
                <w:color w:val="auto"/>
              </w:rPr>
              <w:t>Current Named Executive Officers (NEOs)</w:t>
            </w:r>
          </w:p>
        </w:tc>
        <w:tc>
          <w:tcPr>
            <w:tcW w:w="44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43"/>
        </w:trPr>
        <w:tc>
          <w:tcPr>
            <w:tcW w:w="4920" w:type="dxa"/>
            <w:vAlign w:val="bottom"/>
          </w:tcPr>
          <w:p>
            <w:pPr>
              <w:ind w:left="520"/>
              <w:spacing w:after="0"/>
              <w:rPr>
                <w:sz w:val="20"/>
                <w:szCs w:val="20"/>
                <w:color w:val="auto"/>
              </w:rPr>
            </w:pPr>
            <w:r>
              <w:rPr>
                <w:rFonts w:ascii="Arial" w:cs="Arial" w:eastAsia="Arial" w:hAnsi="Arial"/>
                <w:sz w:val="16"/>
                <w:szCs w:val="16"/>
                <w:color w:val="auto"/>
              </w:rPr>
              <w:t>Former Named Executive Officers</w:t>
            </w:r>
          </w:p>
        </w:tc>
        <w:tc>
          <w:tcPr>
            <w:tcW w:w="44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43"/>
        </w:trPr>
        <w:tc>
          <w:tcPr>
            <w:tcW w:w="4920" w:type="dxa"/>
            <w:vAlign w:val="bottom"/>
          </w:tcPr>
          <w:p>
            <w:pPr>
              <w:ind w:left="520"/>
              <w:spacing w:after="0"/>
              <w:rPr>
                <w:sz w:val="20"/>
                <w:szCs w:val="20"/>
                <w:color w:val="auto"/>
              </w:rPr>
            </w:pPr>
            <w:r>
              <w:rPr>
                <w:rFonts w:ascii="Arial" w:cs="Arial" w:eastAsia="Arial" w:hAnsi="Arial"/>
                <w:sz w:val="16"/>
                <w:szCs w:val="16"/>
                <w:color w:val="auto"/>
              </w:rPr>
              <w:t>Our Compensation Program</w:t>
            </w:r>
          </w:p>
        </w:tc>
        <w:tc>
          <w:tcPr>
            <w:tcW w:w="44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43"/>
        </w:trPr>
        <w:tc>
          <w:tcPr>
            <w:tcW w:w="4920" w:type="dxa"/>
            <w:vAlign w:val="bottom"/>
          </w:tcPr>
          <w:p>
            <w:pPr>
              <w:ind w:left="520"/>
              <w:spacing w:after="0"/>
              <w:rPr>
                <w:sz w:val="20"/>
                <w:szCs w:val="20"/>
                <w:color w:val="auto"/>
              </w:rPr>
            </w:pPr>
            <w:r>
              <w:rPr>
                <w:rFonts w:ascii="Arial" w:cs="Arial" w:eastAsia="Arial" w:hAnsi="Arial"/>
                <w:sz w:val="16"/>
                <w:szCs w:val="16"/>
                <w:color w:val="auto"/>
              </w:rPr>
              <w:t>2025 Compensation Summary</w:t>
            </w:r>
          </w:p>
        </w:tc>
        <w:tc>
          <w:tcPr>
            <w:tcW w:w="44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43"/>
        </w:trPr>
        <w:tc>
          <w:tcPr>
            <w:tcW w:w="4920" w:type="dxa"/>
            <w:vAlign w:val="bottom"/>
          </w:tcPr>
          <w:p>
            <w:pPr>
              <w:ind w:left="520"/>
              <w:spacing w:after="0"/>
              <w:rPr>
                <w:sz w:val="20"/>
                <w:szCs w:val="20"/>
                <w:color w:val="auto"/>
              </w:rPr>
            </w:pPr>
            <w:r>
              <w:rPr>
                <w:rFonts w:ascii="Arial" w:cs="Arial" w:eastAsia="Arial" w:hAnsi="Arial"/>
                <w:sz w:val="16"/>
                <w:szCs w:val="16"/>
                <w:color w:val="auto"/>
              </w:rPr>
              <w:t>Transaction Awards</w:t>
            </w:r>
          </w:p>
        </w:tc>
        <w:tc>
          <w:tcPr>
            <w:tcW w:w="44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43"/>
        </w:trPr>
        <w:tc>
          <w:tcPr>
            <w:tcW w:w="4920" w:type="dxa"/>
            <w:vAlign w:val="bottom"/>
          </w:tcPr>
          <w:p>
            <w:pPr>
              <w:ind w:left="520"/>
              <w:spacing w:after="0"/>
              <w:rPr>
                <w:sz w:val="20"/>
                <w:szCs w:val="20"/>
                <w:color w:val="auto"/>
              </w:rPr>
            </w:pPr>
            <w:r>
              <w:rPr>
                <w:rFonts w:ascii="Arial" w:cs="Arial" w:eastAsia="Arial" w:hAnsi="Arial"/>
                <w:sz w:val="16"/>
                <w:szCs w:val="16"/>
                <w:color w:val="auto"/>
              </w:rPr>
              <w:t>2025 Base Salary Decisions</w:t>
            </w:r>
          </w:p>
        </w:tc>
        <w:tc>
          <w:tcPr>
            <w:tcW w:w="44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43"/>
        </w:trPr>
        <w:tc>
          <w:tcPr>
            <w:tcW w:w="4920" w:type="dxa"/>
            <w:vAlign w:val="bottom"/>
          </w:tcPr>
          <w:p>
            <w:pPr>
              <w:ind w:left="520"/>
              <w:spacing w:after="0"/>
              <w:rPr>
                <w:sz w:val="20"/>
                <w:szCs w:val="20"/>
                <w:color w:val="auto"/>
              </w:rPr>
            </w:pPr>
            <w:r>
              <w:rPr>
                <w:rFonts w:ascii="Arial" w:cs="Arial" w:eastAsia="Arial" w:hAnsi="Arial"/>
                <w:sz w:val="16"/>
                <w:szCs w:val="16"/>
                <w:color w:val="auto"/>
              </w:rPr>
              <w:t>2025 Annual Incentive Compensation Plan Decisions</w:t>
            </w:r>
          </w:p>
        </w:tc>
        <w:tc>
          <w:tcPr>
            <w:tcW w:w="44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43"/>
        </w:trPr>
        <w:tc>
          <w:tcPr>
            <w:tcW w:w="4920" w:type="dxa"/>
            <w:vAlign w:val="bottom"/>
          </w:tcPr>
          <w:p>
            <w:pPr>
              <w:ind w:left="520"/>
              <w:spacing w:after="0"/>
              <w:rPr>
                <w:sz w:val="20"/>
                <w:szCs w:val="20"/>
                <w:color w:val="auto"/>
              </w:rPr>
            </w:pPr>
            <w:r>
              <w:rPr>
                <w:rFonts w:ascii="Arial" w:cs="Arial" w:eastAsia="Arial" w:hAnsi="Arial"/>
                <w:sz w:val="16"/>
                <w:szCs w:val="16"/>
                <w:color w:val="auto"/>
              </w:rPr>
              <w:t>2025 Long-Term Incentive Compensation Decisions</w:t>
            </w:r>
          </w:p>
        </w:tc>
        <w:tc>
          <w:tcPr>
            <w:tcW w:w="44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43"/>
        </w:trPr>
        <w:tc>
          <w:tcPr>
            <w:tcW w:w="4920" w:type="dxa"/>
            <w:vAlign w:val="bottom"/>
          </w:tcPr>
          <w:p>
            <w:pPr>
              <w:ind w:left="520"/>
              <w:spacing w:after="0"/>
              <w:rPr>
                <w:sz w:val="20"/>
                <w:szCs w:val="20"/>
                <w:color w:val="auto"/>
              </w:rPr>
            </w:pPr>
            <w:r>
              <w:rPr>
                <w:rFonts w:ascii="Arial" w:cs="Arial" w:eastAsia="Arial" w:hAnsi="Arial"/>
                <w:sz w:val="16"/>
                <w:szCs w:val="16"/>
                <w:color w:val="auto"/>
              </w:rPr>
              <w:t>Other Compensation and Benefit Programs</w:t>
            </w:r>
          </w:p>
        </w:tc>
        <w:tc>
          <w:tcPr>
            <w:tcW w:w="44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43"/>
        </w:trPr>
        <w:tc>
          <w:tcPr>
            <w:tcW w:w="4920" w:type="dxa"/>
            <w:vAlign w:val="bottom"/>
          </w:tcPr>
          <w:p>
            <w:pPr>
              <w:ind w:left="520"/>
              <w:spacing w:after="0"/>
              <w:rPr>
                <w:sz w:val="20"/>
                <w:szCs w:val="20"/>
                <w:color w:val="auto"/>
              </w:rPr>
            </w:pPr>
            <w:r>
              <w:rPr>
                <w:rFonts w:ascii="Arial" w:cs="Arial" w:eastAsia="Arial" w:hAnsi="Arial"/>
                <w:sz w:val="16"/>
                <w:szCs w:val="16"/>
                <w:color w:val="auto"/>
              </w:rPr>
              <w:t>Risk Oversight Considerations</w:t>
            </w:r>
          </w:p>
        </w:tc>
        <w:tc>
          <w:tcPr>
            <w:tcW w:w="44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231"/>
        </w:trPr>
        <w:tc>
          <w:tcPr>
            <w:tcW w:w="4920" w:type="dxa"/>
            <w:vAlign w:val="bottom"/>
          </w:tcPr>
          <w:p>
            <w:pPr>
              <w:ind w:left="520"/>
              <w:spacing w:after="0"/>
              <w:rPr>
                <w:sz w:val="20"/>
                <w:szCs w:val="20"/>
                <w:color w:val="auto"/>
              </w:rPr>
            </w:pPr>
            <w:r>
              <w:rPr>
                <w:rFonts w:ascii="Arial" w:cs="Arial" w:eastAsia="Arial" w:hAnsi="Arial"/>
                <w:sz w:val="16"/>
                <w:szCs w:val="16"/>
                <w:color w:val="auto"/>
              </w:rPr>
              <w:t>Management Development and Compensation Committee</w:t>
            </w:r>
          </w:p>
        </w:tc>
        <w:tc>
          <w:tcPr>
            <w:tcW w:w="44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215"/>
        </w:trPr>
        <w:tc>
          <w:tcPr>
            <w:tcW w:w="4920" w:type="dxa"/>
            <w:vAlign w:val="bottom"/>
          </w:tcPr>
          <w:p>
            <w:pPr>
              <w:ind w:left="520"/>
              <w:spacing w:after="0"/>
              <w:rPr>
                <w:sz w:val="20"/>
                <w:szCs w:val="20"/>
                <w:color w:val="auto"/>
              </w:rPr>
            </w:pPr>
            <w:r>
              <w:rPr>
                <w:rFonts w:ascii="Arial" w:cs="Arial" w:eastAsia="Arial" w:hAnsi="Arial"/>
                <w:sz w:val="16"/>
                <w:szCs w:val="16"/>
                <w:color w:val="auto"/>
              </w:rPr>
              <w:t>Report</w:t>
            </w:r>
          </w:p>
        </w:tc>
        <w:tc>
          <w:tcPr>
            <w:tcW w:w="4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-4944745</wp:posOffset>
            </wp:positionV>
            <wp:extent cx="111125" cy="1117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1125" cy="1117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-2235835</wp:posOffset>
            </wp:positionV>
            <wp:extent cx="111125" cy="1111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4260" w:type="dxa"/>
            <w:vAlign w:val="bottom"/>
          </w:tcPr>
          <w:p>
            <w:pPr>
              <w:ind w:left="500"/>
              <w:spacing w:after="0"/>
              <w:rPr>
                <w:sz w:val="20"/>
                <w:szCs w:val="20"/>
                <w:color w:val="auto"/>
              </w:rPr>
            </w:pPr>
            <w:r>
              <w:rPr>
                <w:rFonts w:ascii="Arial" w:cs="Arial" w:eastAsia="Arial" w:hAnsi="Arial"/>
                <w:sz w:val="16"/>
                <w:szCs w:val="16"/>
                <w:b w:val="1"/>
                <w:bCs w:val="1"/>
                <w:color w:val="D7282F"/>
              </w:rPr>
              <w:t>EXECUTIVE COMPENSATION TABLES</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D7282F"/>
              </w:rPr>
              <w:t>86</w:t>
            </w:r>
          </w:p>
        </w:tc>
      </w:tr>
      <w:tr>
        <w:trPr>
          <w:trHeight w:val="235"/>
        </w:trPr>
        <w:tc>
          <w:tcPr>
            <w:tcW w:w="4260" w:type="dxa"/>
            <w:vAlign w:val="bottom"/>
          </w:tcPr>
          <w:p>
            <w:pPr>
              <w:ind w:left="500"/>
              <w:spacing w:after="0"/>
              <w:rPr>
                <w:sz w:val="20"/>
                <w:szCs w:val="20"/>
                <w:color w:val="auto"/>
              </w:rPr>
            </w:pPr>
            <w:r>
              <w:rPr>
                <w:rFonts w:ascii="Arial" w:cs="Arial" w:eastAsia="Arial" w:hAnsi="Arial"/>
                <w:sz w:val="16"/>
                <w:szCs w:val="16"/>
                <w:color w:val="auto"/>
              </w:rPr>
              <w:t>Summary Compensation Table</w:t>
            </w:r>
          </w:p>
        </w:tc>
        <w:tc>
          <w:tcPr>
            <w:tcW w:w="110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243"/>
        </w:trPr>
        <w:tc>
          <w:tcPr>
            <w:tcW w:w="4260" w:type="dxa"/>
            <w:vAlign w:val="bottom"/>
          </w:tcPr>
          <w:p>
            <w:pPr>
              <w:ind w:left="500"/>
              <w:spacing w:after="0"/>
              <w:rPr>
                <w:sz w:val="20"/>
                <w:szCs w:val="20"/>
                <w:color w:val="auto"/>
              </w:rPr>
            </w:pPr>
            <w:r>
              <w:rPr>
                <w:rFonts w:ascii="Arial" w:cs="Arial" w:eastAsia="Arial" w:hAnsi="Arial"/>
                <w:sz w:val="16"/>
                <w:szCs w:val="16"/>
                <w:color w:val="auto"/>
              </w:rPr>
              <w:t>Other Compensation Tables</w:t>
            </w:r>
          </w:p>
        </w:tc>
        <w:tc>
          <w:tcPr>
            <w:tcW w:w="110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243"/>
        </w:trPr>
        <w:tc>
          <w:tcPr>
            <w:tcW w:w="4260" w:type="dxa"/>
            <w:vAlign w:val="bottom"/>
          </w:tcPr>
          <w:p>
            <w:pPr>
              <w:ind w:left="500"/>
              <w:spacing w:after="0"/>
              <w:rPr>
                <w:sz w:val="20"/>
                <w:szCs w:val="20"/>
                <w:color w:val="auto"/>
              </w:rPr>
            </w:pPr>
            <w:r>
              <w:rPr>
                <w:rFonts w:ascii="Arial" w:cs="Arial" w:eastAsia="Arial" w:hAnsi="Arial"/>
                <w:sz w:val="16"/>
                <w:szCs w:val="16"/>
                <w:color w:val="auto"/>
              </w:rPr>
              <w:t>CEO Pay Ratio</w:t>
            </w:r>
          </w:p>
        </w:tc>
        <w:tc>
          <w:tcPr>
            <w:tcW w:w="110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243"/>
        </w:trPr>
        <w:tc>
          <w:tcPr>
            <w:tcW w:w="4260" w:type="dxa"/>
            <w:vAlign w:val="bottom"/>
          </w:tcPr>
          <w:p>
            <w:pPr>
              <w:ind w:left="500"/>
              <w:spacing w:after="0"/>
              <w:rPr>
                <w:sz w:val="20"/>
                <w:szCs w:val="20"/>
                <w:color w:val="auto"/>
              </w:rPr>
            </w:pPr>
            <w:r>
              <w:rPr>
                <w:rFonts w:ascii="Arial" w:cs="Arial" w:eastAsia="Arial" w:hAnsi="Arial"/>
                <w:sz w:val="16"/>
                <w:szCs w:val="16"/>
                <w:color w:val="auto"/>
              </w:rPr>
              <w:t>Pay Versus Performance</w:t>
            </w:r>
          </w:p>
        </w:tc>
        <w:tc>
          <w:tcPr>
            <w:tcW w:w="110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70"/>
        </w:trPr>
        <w:tc>
          <w:tcPr>
            <w:tcW w:w="4260" w:type="dxa"/>
            <w:vAlign w:val="bottom"/>
            <w:tcBorders>
              <w:bottom w:val="single" w:sz="8" w:color="D7282F"/>
            </w:tcBorders>
          </w:tcPr>
          <w:p>
            <w:pPr>
              <w:spacing w:after="0"/>
              <w:rPr>
                <w:sz w:val="6"/>
                <w:szCs w:val="6"/>
                <w:color w:val="auto"/>
              </w:rPr>
            </w:pPr>
          </w:p>
        </w:tc>
        <w:tc>
          <w:tcPr>
            <w:tcW w:w="1100" w:type="dxa"/>
            <w:vAlign w:val="bottom"/>
            <w:tcBorders>
              <w:bottom w:val="single" w:sz="8" w:color="D7282F"/>
            </w:tcBorders>
          </w:tcPr>
          <w:p>
            <w:pPr>
              <w:spacing w:after="0"/>
              <w:rPr>
                <w:sz w:val="6"/>
                <w:szCs w:val="6"/>
                <w:color w:val="auto"/>
              </w:rPr>
            </w:pPr>
          </w:p>
        </w:tc>
      </w:tr>
    </w:tbl>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40" w:type="dxa"/>
            <w:vAlign w:val="bottom"/>
          </w:tcPr>
          <w:p>
            <w:pPr>
              <w:ind w:left="500"/>
              <w:spacing w:after="0"/>
              <w:rPr>
                <w:sz w:val="20"/>
                <w:szCs w:val="20"/>
                <w:color w:val="auto"/>
              </w:rPr>
            </w:pPr>
            <w:r>
              <w:rPr>
                <w:rFonts w:ascii="Arial" w:cs="Arial" w:eastAsia="Arial" w:hAnsi="Arial"/>
                <w:sz w:val="16"/>
                <w:szCs w:val="16"/>
                <w:b w:val="1"/>
                <w:bCs w:val="1"/>
                <w:color w:val="D7282F"/>
              </w:rPr>
              <w:t>PROPOSAL 3: APPROVAL OF</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D7282F"/>
              </w:rPr>
              <w:t>108</w:t>
            </w:r>
          </w:p>
        </w:tc>
      </w:tr>
      <w:tr>
        <w:trPr>
          <w:trHeight w:val="223"/>
        </w:trPr>
        <w:tc>
          <w:tcPr>
            <w:tcW w:w="4040" w:type="dxa"/>
            <w:vAlign w:val="bottom"/>
          </w:tcPr>
          <w:p>
            <w:pPr>
              <w:ind w:left="500"/>
              <w:spacing w:after="0"/>
              <w:rPr>
                <w:sz w:val="20"/>
                <w:szCs w:val="20"/>
                <w:color w:val="auto"/>
              </w:rPr>
            </w:pPr>
            <w:r>
              <w:rPr>
                <w:rFonts w:ascii="Arial" w:cs="Arial" w:eastAsia="Arial" w:hAnsi="Arial"/>
                <w:sz w:val="16"/>
                <w:szCs w:val="16"/>
                <w:b w:val="1"/>
                <w:bCs w:val="1"/>
                <w:color w:val="D7282F"/>
              </w:rPr>
              <w:t>INDEPENDENT ACCOUNTANTS</w:t>
            </w:r>
          </w:p>
        </w:tc>
        <w:tc>
          <w:tcPr>
            <w:tcW w:w="1320" w:type="dxa"/>
            <w:vAlign w:val="bottom"/>
          </w:tcPr>
          <w:p>
            <w:pPr>
              <w:spacing w:after="0"/>
              <w:rPr>
                <w:sz w:val="19"/>
                <w:szCs w:val="19"/>
                <w:color w:val="auto"/>
              </w:rPr>
            </w:pPr>
          </w:p>
        </w:tc>
      </w:tr>
      <w:tr>
        <w:trPr>
          <w:trHeight w:val="235"/>
        </w:trPr>
        <w:tc>
          <w:tcPr>
            <w:tcW w:w="4040" w:type="dxa"/>
            <w:vAlign w:val="bottom"/>
          </w:tcPr>
          <w:p>
            <w:pPr>
              <w:ind w:left="500"/>
              <w:spacing w:after="0"/>
              <w:rPr>
                <w:sz w:val="20"/>
                <w:szCs w:val="20"/>
                <w:color w:val="auto"/>
              </w:rPr>
            </w:pPr>
            <w:r>
              <w:rPr>
                <w:rFonts w:ascii="Arial" w:cs="Arial" w:eastAsia="Arial" w:hAnsi="Arial"/>
                <w:sz w:val="16"/>
                <w:szCs w:val="16"/>
                <w:color w:val="auto"/>
              </w:rPr>
              <w:t>Independent Accounting Firm Fees</w:t>
            </w:r>
          </w:p>
        </w:tc>
        <w:tc>
          <w:tcPr>
            <w:tcW w:w="132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351"/>
        </w:trPr>
        <w:tc>
          <w:tcPr>
            <w:tcW w:w="4040" w:type="dxa"/>
            <w:vAlign w:val="bottom"/>
          </w:tcPr>
          <w:p>
            <w:pPr>
              <w:ind w:left="500"/>
              <w:spacing w:after="0"/>
              <w:rPr>
                <w:sz w:val="20"/>
                <w:szCs w:val="20"/>
                <w:color w:val="auto"/>
              </w:rPr>
            </w:pPr>
            <w:r>
              <w:rPr>
                <w:rFonts w:ascii="Arial" w:cs="Arial" w:eastAsia="Arial" w:hAnsi="Arial"/>
                <w:sz w:val="16"/>
                <w:szCs w:val="16"/>
                <w:color w:val="auto"/>
              </w:rPr>
              <w:t>Non-Audit Services</w:t>
            </w:r>
          </w:p>
        </w:tc>
        <w:tc>
          <w:tcPr>
            <w:tcW w:w="132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351"/>
        </w:trPr>
        <w:tc>
          <w:tcPr>
            <w:tcW w:w="4040" w:type="dxa"/>
            <w:vAlign w:val="bottom"/>
          </w:tcPr>
          <w:p>
            <w:pPr>
              <w:ind w:left="500"/>
              <w:spacing w:after="0"/>
              <w:rPr>
                <w:sz w:val="20"/>
                <w:szCs w:val="20"/>
                <w:color w:val="auto"/>
              </w:rPr>
            </w:pPr>
            <w:r>
              <w:rPr>
                <w:rFonts w:ascii="Arial" w:cs="Arial" w:eastAsia="Arial" w:hAnsi="Arial"/>
                <w:sz w:val="16"/>
                <w:szCs w:val="16"/>
                <w:color w:val="auto"/>
              </w:rPr>
              <w:t>Audit Committee Report</w:t>
            </w:r>
          </w:p>
        </w:tc>
        <w:tc>
          <w:tcPr>
            <w:tcW w:w="1320" w:type="dxa"/>
            <w:vAlign w:val="bottom"/>
          </w:tcPr>
          <w:p>
            <w:pPr>
              <w:jc w:val="right"/>
              <w:spacing w:after="0"/>
              <w:rPr>
                <w:sz w:val="20"/>
                <w:szCs w:val="20"/>
                <w:color w:val="auto"/>
              </w:rPr>
            </w:pPr>
            <w:r>
              <w:rPr>
                <w:rFonts w:ascii="Arial" w:cs="Arial" w:eastAsia="Arial" w:hAnsi="Arial"/>
                <w:sz w:val="16"/>
                <w:szCs w:val="16"/>
                <w:color w:val="auto"/>
              </w:rPr>
              <w:t>109</w:t>
            </w:r>
          </w:p>
        </w:tc>
      </w:tr>
      <w:tr>
        <w:trPr>
          <w:trHeight w:val="70"/>
        </w:trPr>
        <w:tc>
          <w:tcPr>
            <w:tcW w:w="4040" w:type="dxa"/>
            <w:vAlign w:val="bottom"/>
            <w:tcBorders>
              <w:bottom w:val="single" w:sz="8" w:color="D7282F"/>
            </w:tcBorders>
          </w:tcPr>
          <w:p>
            <w:pPr>
              <w:spacing w:after="0"/>
              <w:rPr>
                <w:sz w:val="6"/>
                <w:szCs w:val="6"/>
                <w:color w:val="auto"/>
              </w:rPr>
            </w:pPr>
          </w:p>
        </w:tc>
        <w:tc>
          <w:tcPr>
            <w:tcW w:w="1320" w:type="dxa"/>
            <w:vAlign w:val="bottom"/>
            <w:tcBorders>
              <w:bottom w:val="single" w:sz="8" w:color="D7282F"/>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-908050</wp:posOffset>
            </wp:positionV>
            <wp:extent cx="111125" cy="1117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1125" cy="111760"/>
                    </a:xfrm>
                    <a:prstGeom prst="rect">
                      <a:avLst/>
                    </a:prstGeom>
                    <a:noFill/>
                  </pic:spPr>
                </pic:pic>
              </a:graphicData>
            </a:graphic>
          </wp:anchor>
        </w:drawing>
      </w:r>
    </w:p>
    <w:p>
      <w:pPr>
        <w:spacing w:after="0" w:line="101" w:lineRule="exact"/>
        <w:rPr>
          <w:sz w:val="20"/>
          <w:szCs w:val="20"/>
          <w:color w:val="auto"/>
        </w:rPr>
      </w:pPr>
    </w:p>
    <w:tbl>
      <w:tblPr>
        <w:tblLayout w:type="fixed"/>
        <w:tblInd w:w="500" w:type="dxa"/>
        <w:tblCellMar>
          <w:top w:w="0" w:type="dxa"/>
          <w:left w:w="0" w:type="dxa"/>
          <w:bottom w:w="0" w:type="dxa"/>
          <w:right w:w="0" w:type="dxa"/>
        </w:tblCellMar>
      </w:tblPr>
      <w:tr>
        <w:trPr>
          <w:trHeight w:val="223"/>
        </w:trPr>
        <w:tc>
          <w:tcPr>
            <w:tcW w:w="4280" w:type="dxa"/>
            <w:vAlign w:val="bottom"/>
          </w:tcPr>
          <w:p>
            <w:pPr>
              <w:spacing w:after="0"/>
              <w:rPr>
                <w:sz w:val="20"/>
                <w:szCs w:val="20"/>
                <w:color w:val="auto"/>
              </w:rPr>
            </w:pPr>
            <w:r>
              <w:rPr>
                <w:rFonts w:ascii="Arial" w:cs="Arial" w:eastAsia="Arial" w:hAnsi="Arial"/>
                <w:sz w:val="16"/>
                <w:szCs w:val="16"/>
                <w:b w:val="1"/>
                <w:bCs w:val="1"/>
                <w:color w:val="D7282F"/>
              </w:rPr>
              <w:t>PROPOSAL 4: REVERSE STOCK SPLIT PROPOSAL</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D7282F"/>
              </w:rPr>
              <w:t>110</w:t>
            </w:r>
          </w:p>
        </w:tc>
        <w:tc>
          <w:tcPr>
            <w:tcW w:w="0" w:type="dxa"/>
            <w:vAlign w:val="bottom"/>
          </w:tcPr>
          <w:p>
            <w:pPr>
              <w:spacing w:after="0"/>
              <w:rPr>
                <w:sz w:val="1"/>
                <w:szCs w:val="1"/>
                <w:color w:val="auto"/>
              </w:rPr>
            </w:pPr>
          </w:p>
        </w:tc>
      </w:tr>
      <w:tr>
        <w:trPr>
          <w:trHeight w:val="316"/>
        </w:trPr>
        <w:tc>
          <w:tcPr>
            <w:tcW w:w="4280" w:type="dxa"/>
            <w:vAlign w:val="bottom"/>
            <w:vMerge w:val="restart"/>
          </w:tcPr>
          <w:p>
            <w:pPr>
              <w:spacing w:after="0"/>
              <w:rPr>
                <w:sz w:val="20"/>
                <w:szCs w:val="20"/>
                <w:color w:val="auto"/>
              </w:rPr>
            </w:pPr>
            <w:r>
              <w:rPr>
                <w:rFonts w:ascii="Arial" w:cs="Arial" w:eastAsia="Arial" w:hAnsi="Arial"/>
                <w:sz w:val="16"/>
                <w:szCs w:val="16"/>
                <w:color w:val="auto"/>
              </w:rPr>
              <w:t>Reasons for the Board's Recommendation</w:t>
            </w:r>
          </w:p>
        </w:tc>
        <w:tc>
          <w:tcPr>
            <w:tcW w:w="560" w:type="dxa"/>
            <w:vAlign w:val="bottom"/>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108"/>
        </w:trPr>
        <w:tc>
          <w:tcPr>
            <w:tcW w:w="428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4280" w:type="dxa"/>
            <w:vAlign w:val="bottom"/>
            <w:vMerge w:val="restart"/>
          </w:tcPr>
          <w:p>
            <w:pPr>
              <w:spacing w:after="0"/>
              <w:rPr>
                <w:sz w:val="20"/>
                <w:szCs w:val="20"/>
                <w:color w:val="auto"/>
              </w:rPr>
            </w:pPr>
            <w:r>
              <w:rPr>
                <w:rFonts w:ascii="Arial" w:cs="Arial" w:eastAsia="Arial" w:hAnsi="Arial"/>
                <w:sz w:val="16"/>
                <w:szCs w:val="16"/>
                <w:color w:val="auto"/>
              </w:rPr>
              <w:t>Effects of the Reverse Stock Split Amendment</w:t>
            </w:r>
          </w:p>
        </w:tc>
        <w:tc>
          <w:tcPr>
            <w:tcW w:w="560" w:type="dxa"/>
            <w:vAlign w:val="bottom"/>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108"/>
        </w:trPr>
        <w:tc>
          <w:tcPr>
            <w:tcW w:w="428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147320</wp:posOffset>
            </wp:positionV>
            <wp:extent cx="34029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02965" cy="825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-692785</wp:posOffset>
            </wp:positionV>
            <wp:extent cx="111125" cy="1117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1125" cy="111760"/>
                    </a:xfrm>
                    <a:prstGeom prst="rect">
                      <a:avLst/>
                    </a:prstGeom>
                    <a:noFill/>
                  </pic:spPr>
                </pic:pic>
              </a:graphicData>
            </a:graphic>
          </wp:anchor>
        </w:drawing>
      </w:r>
    </w:p>
    <w:p>
      <w:pPr>
        <w:spacing w:after="0" w:line="346" w:lineRule="exact"/>
        <w:rPr>
          <w:sz w:val="20"/>
          <w:szCs w:val="20"/>
          <w:color w:val="auto"/>
        </w:rPr>
      </w:pPr>
    </w:p>
    <w:tbl>
      <w:tblPr>
        <w:tblLayout w:type="fixed"/>
        <w:tblInd w:w="500" w:type="dxa"/>
        <w:tblCellMar>
          <w:top w:w="0" w:type="dxa"/>
          <w:left w:w="0" w:type="dxa"/>
          <w:bottom w:w="0" w:type="dxa"/>
          <w:right w:w="0" w:type="dxa"/>
        </w:tblCellMar>
      </w:tblPr>
      <w:tr>
        <w:trPr>
          <w:trHeight w:val="203"/>
        </w:trPr>
        <w:tc>
          <w:tcPr>
            <w:tcW w:w="4120" w:type="dxa"/>
            <w:vAlign w:val="bottom"/>
          </w:tcPr>
          <w:p>
            <w:pPr>
              <w:spacing w:after="0"/>
              <w:rPr>
                <w:sz w:val="20"/>
                <w:szCs w:val="20"/>
                <w:color w:val="auto"/>
              </w:rPr>
            </w:pPr>
            <w:r>
              <w:rPr>
                <w:rFonts w:ascii="Arial" w:cs="Arial" w:eastAsia="Arial" w:hAnsi="Arial"/>
                <w:sz w:val="16"/>
                <w:szCs w:val="16"/>
                <w:b w:val="1"/>
                <w:bCs w:val="1"/>
                <w:color w:val="6D6E71"/>
              </w:rPr>
              <w:t>PROPOSAL 5: SHAREOWNER PROPOSAL —</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6D6E71"/>
              </w:rPr>
              <w:t>116</w:t>
            </w:r>
          </w:p>
        </w:tc>
      </w:tr>
      <w:tr>
        <w:trPr>
          <w:trHeight w:val="189"/>
        </w:trPr>
        <w:tc>
          <w:tcPr>
            <w:tcW w:w="4120" w:type="dxa"/>
            <w:vAlign w:val="bottom"/>
          </w:tcPr>
          <w:p>
            <w:pPr>
              <w:spacing w:after="0"/>
              <w:rPr>
                <w:sz w:val="20"/>
                <w:szCs w:val="20"/>
                <w:color w:val="auto"/>
              </w:rPr>
            </w:pPr>
            <w:r>
              <w:rPr>
                <w:rFonts w:ascii="Arial" w:cs="Arial" w:eastAsia="Arial" w:hAnsi="Arial"/>
                <w:sz w:val="16"/>
                <w:szCs w:val="16"/>
                <w:b w:val="1"/>
                <w:bCs w:val="1"/>
                <w:color w:val="6D6E71"/>
              </w:rPr>
              <w:t>SHAREHOLDER RIGHT TO ACT BY</w:t>
            </w:r>
          </w:p>
        </w:tc>
        <w:tc>
          <w:tcPr>
            <w:tcW w:w="720" w:type="dxa"/>
            <w:vAlign w:val="bottom"/>
          </w:tcPr>
          <w:p>
            <w:pPr>
              <w:spacing w:after="0"/>
              <w:rPr>
                <w:sz w:val="16"/>
                <w:szCs w:val="16"/>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6"/>
                <w:szCs w:val="16"/>
                <w:b w:val="1"/>
                <w:bCs w:val="1"/>
                <w:color w:val="6D6E71"/>
              </w:rPr>
              <w:t>WRITTEN CONSENT</w:t>
            </w:r>
          </w:p>
        </w:tc>
        <w:tc>
          <w:tcPr>
            <w:tcW w:w="720" w:type="dxa"/>
            <w:vAlign w:val="bottom"/>
          </w:tcPr>
          <w:p>
            <w:pPr>
              <w:spacing w:after="0"/>
              <w:rPr>
                <w:sz w:val="19"/>
                <w:szCs w:val="19"/>
                <w:color w:val="auto"/>
              </w:rPr>
            </w:pPr>
          </w:p>
        </w:tc>
      </w:tr>
      <w:tr>
        <w:trPr>
          <w:trHeight w:val="235"/>
        </w:trPr>
        <w:tc>
          <w:tcPr>
            <w:tcW w:w="4120" w:type="dxa"/>
            <w:vAlign w:val="bottom"/>
          </w:tcPr>
          <w:p>
            <w:pPr>
              <w:spacing w:after="0"/>
              <w:rPr>
                <w:sz w:val="20"/>
                <w:szCs w:val="20"/>
                <w:color w:val="auto"/>
              </w:rPr>
            </w:pPr>
            <w:r>
              <w:rPr>
                <w:rFonts w:ascii="Arial" w:cs="Arial" w:eastAsia="Arial" w:hAnsi="Arial"/>
                <w:sz w:val="16"/>
                <w:szCs w:val="16"/>
                <w:color w:val="auto"/>
              </w:rPr>
              <w:t>Board Recommendation – Proposal 5</w:t>
            </w:r>
          </w:p>
        </w:tc>
        <w:tc>
          <w:tcPr>
            <w:tcW w:w="720" w:type="dxa"/>
            <w:vAlign w:val="bottom"/>
          </w:tcPr>
          <w:p>
            <w:pPr>
              <w:jc w:val="right"/>
              <w:spacing w:after="0"/>
              <w:rPr>
                <w:sz w:val="20"/>
                <w:szCs w:val="20"/>
                <w:color w:val="auto"/>
              </w:rPr>
            </w:pPr>
            <w:r>
              <w:rPr>
                <w:rFonts w:ascii="Arial" w:cs="Arial" w:eastAsia="Arial" w:hAnsi="Arial"/>
                <w:sz w:val="16"/>
                <w:szCs w:val="16"/>
                <w:color w:val="auto"/>
              </w:rPr>
              <w:t>117</w:t>
            </w:r>
          </w:p>
        </w:tc>
      </w:tr>
      <w:tr>
        <w:trPr>
          <w:trHeight w:val="251"/>
        </w:trPr>
        <w:tc>
          <w:tcPr>
            <w:tcW w:w="4120" w:type="dxa"/>
            <w:vAlign w:val="bottom"/>
          </w:tcPr>
          <w:p>
            <w:pPr>
              <w:spacing w:after="0"/>
              <w:rPr>
                <w:sz w:val="20"/>
                <w:szCs w:val="20"/>
                <w:color w:val="auto"/>
              </w:rPr>
            </w:pPr>
            <w:r>
              <w:rPr>
                <w:rFonts w:ascii="Arial" w:cs="Arial" w:eastAsia="Arial" w:hAnsi="Arial"/>
                <w:sz w:val="16"/>
                <w:szCs w:val="16"/>
                <w:b w:val="1"/>
                <w:bCs w:val="1"/>
                <w:color w:val="D7282F"/>
              </w:rPr>
              <w:t>ADDITIONAL INFORMATION</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D7282F"/>
              </w:rPr>
              <w:t>119</w:t>
            </w:r>
          </w:p>
        </w:tc>
      </w:tr>
      <w:tr>
        <w:trPr>
          <w:trHeight w:val="235"/>
        </w:trPr>
        <w:tc>
          <w:tcPr>
            <w:tcW w:w="4120" w:type="dxa"/>
            <w:vAlign w:val="bottom"/>
          </w:tcPr>
          <w:p>
            <w:pPr>
              <w:spacing w:after="0"/>
              <w:rPr>
                <w:sz w:val="20"/>
                <w:szCs w:val="20"/>
                <w:color w:val="auto"/>
              </w:rPr>
            </w:pPr>
            <w:r>
              <w:rPr>
                <w:rFonts w:ascii="Arial" w:cs="Arial" w:eastAsia="Arial" w:hAnsi="Arial"/>
                <w:sz w:val="16"/>
                <w:szCs w:val="16"/>
                <w:color w:val="auto"/>
              </w:rPr>
              <w:t>Other Business</w:t>
            </w:r>
          </w:p>
        </w:tc>
        <w:tc>
          <w:tcPr>
            <w:tcW w:w="720" w:type="dxa"/>
            <w:vAlign w:val="bottom"/>
          </w:tcPr>
          <w:p>
            <w:pPr>
              <w:jc w:val="right"/>
              <w:spacing w:after="0"/>
              <w:rPr>
                <w:sz w:val="20"/>
                <w:szCs w:val="20"/>
                <w:color w:val="auto"/>
              </w:rPr>
            </w:pPr>
            <w:r>
              <w:rPr>
                <w:rFonts w:ascii="Arial" w:cs="Arial" w:eastAsia="Arial" w:hAnsi="Arial"/>
                <w:sz w:val="16"/>
                <w:szCs w:val="16"/>
                <w:color w:val="auto"/>
              </w:rPr>
              <w:t>119</w:t>
            </w:r>
          </w:p>
        </w:tc>
      </w:tr>
      <w:tr>
        <w:trPr>
          <w:trHeight w:val="243"/>
        </w:trPr>
        <w:tc>
          <w:tcPr>
            <w:tcW w:w="4120" w:type="dxa"/>
            <w:vAlign w:val="bottom"/>
          </w:tcPr>
          <w:p>
            <w:pPr>
              <w:spacing w:after="0"/>
              <w:rPr>
                <w:sz w:val="20"/>
                <w:szCs w:val="20"/>
                <w:color w:val="auto"/>
              </w:rPr>
            </w:pPr>
            <w:r>
              <w:rPr>
                <w:rFonts w:ascii="Arial" w:cs="Arial" w:eastAsia="Arial" w:hAnsi="Arial"/>
                <w:sz w:val="16"/>
                <w:szCs w:val="16"/>
                <w:color w:val="auto"/>
              </w:rPr>
              <w:t>Certain Relationships and Related Transactions</w:t>
            </w:r>
          </w:p>
        </w:tc>
        <w:tc>
          <w:tcPr>
            <w:tcW w:w="720" w:type="dxa"/>
            <w:vAlign w:val="bottom"/>
          </w:tcPr>
          <w:p>
            <w:pPr>
              <w:jc w:val="right"/>
              <w:spacing w:after="0"/>
              <w:rPr>
                <w:sz w:val="20"/>
                <w:szCs w:val="20"/>
                <w:color w:val="auto"/>
              </w:rPr>
            </w:pPr>
            <w:r>
              <w:rPr>
                <w:rFonts w:ascii="Arial" w:cs="Arial" w:eastAsia="Arial" w:hAnsi="Arial"/>
                <w:sz w:val="16"/>
                <w:szCs w:val="16"/>
                <w:color w:val="auto"/>
              </w:rPr>
              <w:t>119</w:t>
            </w:r>
          </w:p>
        </w:tc>
      </w:tr>
      <w:tr>
        <w:trPr>
          <w:trHeight w:val="243"/>
        </w:trPr>
        <w:tc>
          <w:tcPr>
            <w:tcW w:w="4120" w:type="dxa"/>
            <w:vAlign w:val="bottom"/>
          </w:tcPr>
          <w:p>
            <w:pPr>
              <w:spacing w:after="0"/>
              <w:rPr>
                <w:sz w:val="20"/>
                <w:szCs w:val="20"/>
                <w:color w:val="auto"/>
              </w:rPr>
            </w:pPr>
            <w:r>
              <w:rPr>
                <w:rFonts w:ascii="Arial" w:cs="Arial" w:eastAsia="Arial" w:hAnsi="Arial"/>
                <w:sz w:val="16"/>
                <w:szCs w:val="16"/>
                <w:color w:val="auto"/>
              </w:rPr>
              <w:t>Virtual Annual Meeting</w:t>
            </w:r>
          </w:p>
        </w:tc>
        <w:tc>
          <w:tcPr>
            <w:tcW w:w="720" w:type="dxa"/>
            <w:vAlign w:val="bottom"/>
          </w:tcPr>
          <w:p>
            <w:pPr>
              <w:jc w:val="right"/>
              <w:spacing w:after="0"/>
              <w:rPr>
                <w:sz w:val="20"/>
                <w:szCs w:val="20"/>
                <w:color w:val="auto"/>
              </w:rPr>
            </w:pPr>
            <w:r>
              <w:rPr>
                <w:rFonts w:ascii="Arial" w:cs="Arial" w:eastAsia="Arial" w:hAnsi="Arial"/>
                <w:sz w:val="16"/>
                <w:szCs w:val="16"/>
                <w:color w:val="auto"/>
              </w:rPr>
              <w:t>120</w:t>
            </w:r>
          </w:p>
        </w:tc>
      </w:tr>
      <w:tr>
        <w:trPr>
          <w:trHeight w:val="243"/>
        </w:trPr>
        <w:tc>
          <w:tcPr>
            <w:tcW w:w="4120" w:type="dxa"/>
            <w:vAlign w:val="bottom"/>
          </w:tcPr>
          <w:p>
            <w:pPr>
              <w:spacing w:after="0"/>
              <w:rPr>
                <w:sz w:val="20"/>
                <w:szCs w:val="20"/>
                <w:color w:val="auto"/>
              </w:rPr>
            </w:pPr>
            <w:r>
              <w:rPr>
                <w:rFonts w:ascii="Arial" w:cs="Arial" w:eastAsia="Arial" w:hAnsi="Arial"/>
                <w:sz w:val="16"/>
                <w:szCs w:val="16"/>
                <w:color w:val="auto"/>
              </w:rPr>
              <w:t>Notice and Access</w:t>
            </w:r>
          </w:p>
        </w:tc>
        <w:tc>
          <w:tcPr>
            <w:tcW w:w="720" w:type="dxa"/>
            <w:vAlign w:val="bottom"/>
          </w:tcPr>
          <w:p>
            <w:pPr>
              <w:jc w:val="right"/>
              <w:spacing w:after="0"/>
              <w:rPr>
                <w:sz w:val="20"/>
                <w:szCs w:val="20"/>
                <w:color w:val="auto"/>
              </w:rPr>
            </w:pPr>
            <w:r>
              <w:rPr>
                <w:rFonts w:ascii="Arial" w:cs="Arial" w:eastAsia="Arial" w:hAnsi="Arial"/>
                <w:sz w:val="16"/>
                <w:szCs w:val="16"/>
                <w:color w:val="auto"/>
              </w:rPr>
              <w:t>121</w:t>
            </w:r>
          </w:p>
        </w:tc>
      </w:tr>
      <w:tr>
        <w:trPr>
          <w:trHeight w:val="243"/>
        </w:trPr>
        <w:tc>
          <w:tcPr>
            <w:tcW w:w="4120" w:type="dxa"/>
            <w:vAlign w:val="bottom"/>
          </w:tcPr>
          <w:p>
            <w:pPr>
              <w:spacing w:after="0"/>
              <w:rPr>
                <w:sz w:val="20"/>
                <w:szCs w:val="20"/>
                <w:color w:val="auto"/>
              </w:rPr>
            </w:pPr>
            <w:r>
              <w:rPr>
                <w:rFonts w:ascii="Arial" w:cs="Arial" w:eastAsia="Arial" w:hAnsi="Arial"/>
                <w:sz w:val="16"/>
                <w:szCs w:val="16"/>
                <w:color w:val="auto"/>
              </w:rPr>
              <w:t>Stock Ownership Information</w:t>
            </w:r>
          </w:p>
        </w:tc>
        <w:tc>
          <w:tcPr>
            <w:tcW w:w="720" w:type="dxa"/>
            <w:vAlign w:val="bottom"/>
          </w:tcPr>
          <w:p>
            <w:pPr>
              <w:jc w:val="right"/>
              <w:spacing w:after="0"/>
              <w:rPr>
                <w:sz w:val="20"/>
                <w:szCs w:val="20"/>
                <w:color w:val="auto"/>
              </w:rPr>
            </w:pPr>
            <w:r>
              <w:rPr>
                <w:rFonts w:ascii="Arial" w:cs="Arial" w:eastAsia="Arial" w:hAnsi="Arial"/>
                <w:sz w:val="16"/>
                <w:szCs w:val="16"/>
                <w:color w:val="auto"/>
              </w:rPr>
              <w:t>121</w:t>
            </w:r>
          </w:p>
        </w:tc>
      </w:tr>
      <w:tr>
        <w:trPr>
          <w:trHeight w:val="243"/>
        </w:trPr>
        <w:tc>
          <w:tcPr>
            <w:tcW w:w="4120" w:type="dxa"/>
            <w:vAlign w:val="bottom"/>
          </w:tcPr>
          <w:p>
            <w:pPr>
              <w:spacing w:after="0"/>
              <w:rPr>
                <w:sz w:val="20"/>
                <w:szCs w:val="20"/>
                <w:color w:val="auto"/>
              </w:rPr>
            </w:pPr>
            <w:r>
              <w:rPr>
                <w:rFonts w:ascii="Arial" w:cs="Arial" w:eastAsia="Arial" w:hAnsi="Arial"/>
                <w:sz w:val="16"/>
                <w:szCs w:val="16"/>
                <w:color w:val="auto"/>
              </w:rPr>
              <w:t>Voting Procedures</w:t>
            </w:r>
          </w:p>
        </w:tc>
        <w:tc>
          <w:tcPr>
            <w:tcW w:w="72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243"/>
        </w:trPr>
        <w:tc>
          <w:tcPr>
            <w:tcW w:w="4120" w:type="dxa"/>
            <w:vAlign w:val="bottom"/>
          </w:tcPr>
          <w:p>
            <w:pPr>
              <w:spacing w:after="0"/>
              <w:rPr>
                <w:sz w:val="20"/>
                <w:szCs w:val="20"/>
                <w:color w:val="auto"/>
              </w:rPr>
            </w:pPr>
            <w:r>
              <w:rPr>
                <w:rFonts w:ascii="Arial" w:cs="Arial" w:eastAsia="Arial" w:hAnsi="Arial"/>
                <w:sz w:val="16"/>
                <w:szCs w:val="16"/>
                <w:color w:val="auto"/>
              </w:rPr>
              <w:t>Shareowner Proposals and Board Nominees</w:t>
            </w:r>
          </w:p>
        </w:tc>
        <w:tc>
          <w:tcPr>
            <w:tcW w:w="720" w:type="dxa"/>
            <w:vAlign w:val="bottom"/>
          </w:tcPr>
          <w:p>
            <w:pPr>
              <w:jc w:val="right"/>
              <w:spacing w:after="0"/>
              <w:rPr>
                <w:sz w:val="20"/>
                <w:szCs w:val="20"/>
                <w:color w:val="auto"/>
              </w:rPr>
            </w:pPr>
            <w:r>
              <w:rPr>
                <w:rFonts w:ascii="Arial" w:cs="Arial" w:eastAsia="Arial" w:hAnsi="Arial"/>
                <w:sz w:val="16"/>
                <w:szCs w:val="16"/>
                <w:color w:val="auto"/>
              </w:rPr>
              <w:t>125</w:t>
            </w:r>
          </w:p>
        </w:tc>
      </w:tr>
      <w:tr>
        <w:trPr>
          <w:trHeight w:val="243"/>
        </w:trPr>
        <w:tc>
          <w:tcPr>
            <w:tcW w:w="4120" w:type="dxa"/>
            <w:vAlign w:val="bottom"/>
          </w:tcPr>
          <w:p>
            <w:pPr>
              <w:spacing w:after="0"/>
              <w:rPr>
                <w:sz w:val="20"/>
                <w:szCs w:val="20"/>
                <w:color w:val="auto"/>
              </w:rPr>
            </w:pPr>
            <w:r>
              <w:rPr>
                <w:rFonts w:ascii="Arial" w:cs="Arial" w:eastAsia="Arial" w:hAnsi="Arial"/>
                <w:sz w:val="16"/>
                <w:szCs w:val="16"/>
                <w:color w:val="auto"/>
              </w:rPr>
              <w:t>Where Shareowners Can Find More Information</w:t>
            </w:r>
          </w:p>
        </w:tc>
        <w:tc>
          <w:tcPr>
            <w:tcW w:w="720" w:type="dxa"/>
            <w:vAlign w:val="bottom"/>
          </w:tcPr>
          <w:p>
            <w:pPr>
              <w:jc w:val="right"/>
              <w:spacing w:after="0"/>
              <w:rPr>
                <w:sz w:val="20"/>
                <w:szCs w:val="20"/>
                <w:color w:val="auto"/>
              </w:rPr>
            </w:pPr>
            <w:r>
              <w:rPr>
                <w:rFonts w:ascii="Arial" w:cs="Arial" w:eastAsia="Arial" w:hAnsi="Arial"/>
                <w:sz w:val="16"/>
                <w:szCs w:val="16"/>
                <w:color w:val="auto"/>
              </w:rPr>
              <w:t>126</w:t>
            </w:r>
          </w:p>
        </w:tc>
      </w:tr>
      <w:tr>
        <w:trPr>
          <w:trHeight w:val="231"/>
        </w:trPr>
        <w:tc>
          <w:tcPr>
            <w:tcW w:w="4120" w:type="dxa"/>
            <w:vAlign w:val="bottom"/>
          </w:tcPr>
          <w:p>
            <w:pPr>
              <w:spacing w:after="0"/>
              <w:rPr>
                <w:sz w:val="20"/>
                <w:szCs w:val="20"/>
                <w:color w:val="auto"/>
              </w:rPr>
            </w:pPr>
            <w:r>
              <w:rPr>
                <w:rFonts w:ascii="Arial" w:cs="Arial" w:eastAsia="Arial" w:hAnsi="Arial"/>
                <w:sz w:val="16"/>
                <w:szCs w:val="16"/>
                <w:b w:val="1"/>
                <w:bCs w:val="1"/>
                <w:color w:val="D7282F"/>
              </w:rPr>
              <w:t>APPENDIX A: RECONCILIATION OF NON-GAAP</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D7282F"/>
              </w:rPr>
              <w:t>129</w:t>
            </w:r>
          </w:p>
        </w:tc>
      </w:tr>
      <w:tr>
        <w:trPr>
          <w:trHeight w:val="223"/>
        </w:trPr>
        <w:tc>
          <w:tcPr>
            <w:tcW w:w="4120" w:type="dxa"/>
            <w:vAlign w:val="bottom"/>
          </w:tcPr>
          <w:p>
            <w:pPr>
              <w:spacing w:after="0"/>
              <w:rPr>
                <w:sz w:val="20"/>
                <w:szCs w:val="20"/>
                <w:color w:val="auto"/>
              </w:rPr>
            </w:pPr>
            <w:r>
              <w:rPr>
                <w:rFonts w:ascii="Arial" w:cs="Arial" w:eastAsia="Arial" w:hAnsi="Arial"/>
                <w:sz w:val="16"/>
                <w:szCs w:val="16"/>
                <w:b w:val="1"/>
                <w:bCs w:val="1"/>
                <w:color w:val="D7282F"/>
              </w:rPr>
              <w:t>FINANCIAL MEASURES</w:t>
            </w:r>
          </w:p>
        </w:tc>
        <w:tc>
          <w:tcPr>
            <w:tcW w:w="720" w:type="dxa"/>
            <w:vAlign w:val="bottom"/>
          </w:tcPr>
          <w:p>
            <w:pPr>
              <w:spacing w:after="0"/>
              <w:rPr>
                <w:sz w:val="19"/>
                <w:szCs w:val="19"/>
                <w:color w:val="auto"/>
              </w:rPr>
            </w:pPr>
          </w:p>
        </w:tc>
      </w:tr>
      <w:tr>
        <w:trPr>
          <w:trHeight w:val="243"/>
        </w:trPr>
        <w:tc>
          <w:tcPr>
            <w:tcW w:w="4120" w:type="dxa"/>
            <w:vAlign w:val="bottom"/>
          </w:tcPr>
          <w:p>
            <w:pPr>
              <w:spacing w:after="0"/>
              <w:rPr>
                <w:sz w:val="20"/>
                <w:szCs w:val="20"/>
                <w:color w:val="auto"/>
              </w:rPr>
            </w:pPr>
            <w:r>
              <w:rPr>
                <w:rFonts w:ascii="Arial" w:cs="Arial" w:eastAsia="Arial" w:hAnsi="Arial"/>
                <w:sz w:val="16"/>
                <w:szCs w:val="16"/>
                <w:b w:val="1"/>
                <w:bCs w:val="1"/>
                <w:color w:val="D7282F"/>
              </w:rPr>
              <w:t>APPENDIX B: CERTIFICATE OF AMENDMENT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D7282F"/>
              </w:rPr>
              <w:t>137</w:t>
            </w:r>
          </w:p>
        </w:tc>
      </w:tr>
      <w:tr>
        <w:trPr>
          <w:trHeight w:val="243"/>
        </w:trPr>
        <w:tc>
          <w:tcPr>
            <w:tcW w:w="4120" w:type="dxa"/>
            <w:vAlign w:val="bottom"/>
          </w:tcPr>
          <w:p>
            <w:pPr>
              <w:spacing w:after="0"/>
              <w:rPr>
                <w:sz w:val="20"/>
                <w:szCs w:val="20"/>
                <w:color w:val="auto"/>
              </w:rPr>
            </w:pPr>
            <w:r>
              <w:rPr>
                <w:rFonts w:ascii="Arial" w:cs="Arial" w:eastAsia="Arial" w:hAnsi="Arial"/>
                <w:sz w:val="16"/>
                <w:szCs w:val="16"/>
                <w:b w:val="1"/>
                <w:bCs w:val="1"/>
                <w:color w:val="D7282F"/>
              </w:rPr>
              <w:t>RECENT AWARDS</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D7282F"/>
              </w:rPr>
              <w:t>138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-2515235</wp:posOffset>
            </wp:positionV>
            <wp:extent cx="111125" cy="1111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spacing w:after="0" w:line="176"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Reconciliation, notes, and definitions of non-GAAP financial measures used in the Compensation Discussion and Analysis section and elsewhere in this Proxy Statement, other than as part of disclosure of target levels, can be found on page 52 or in Appendix A.</w:t>
      </w:r>
    </w:p>
    <w:p>
      <w:pPr>
        <w:spacing w:after="0" w:line="78"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Unless the context otherwise requires, the terms “Honeywell,” the “Company,” “we,” “our,” and “us” refer to Honeywell International Inc. and its subsidiaries.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1080" w:type="dxa"/>
        <w:tblCellMar>
          <w:top w:w="0" w:type="dxa"/>
          <w:left w:w="0" w:type="dxa"/>
          <w:bottom w:w="0" w:type="dxa"/>
          <w:right w:w="0" w:type="dxa"/>
        </w:tblCellMar>
      </w:tblPr>
      <w:tr>
        <w:trPr>
          <w:trHeight w:val="247"/>
        </w:trPr>
        <w:tc>
          <w:tcPr>
            <w:tcW w:w="3520" w:type="dxa"/>
            <w:vAlign w:val="bottom"/>
          </w:tcPr>
          <w:p>
            <w:pPr>
              <w:spacing w:after="0"/>
              <w:rPr>
                <w:sz w:val="20"/>
                <w:szCs w:val="20"/>
                <w:color w:val="auto"/>
              </w:rPr>
            </w:pPr>
            <w:r>
              <w:rPr>
                <w:rFonts w:ascii="Arial" w:cs="Arial" w:eastAsia="Arial" w:hAnsi="Arial"/>
                <w:sz w:val="13"/>
                <w:szCs w:val="13"/>
                <w:b w:val="1"/>
                <w:bCs w:val="1"/>
                <w:color w:val="6D6E71"/>
              </w:rPr>
              <w:t>2026 NOTICE AND PROXY STATEMENT   |</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211455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2613660</wp:posOffset>
            </wp:positionH>
            <wp:positionV relativeFrom="paragraph">
              <wp:posOffset>-127000</wp:posOffset>
            </wp:positionV>
            <wp:extent cx="548640" cy="1028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2">
            <w:col w:w="5360" w:space="400"/>
            <w:col w:w="5460"/>
          </w:cols>
          <w:pgMar w:left="320" w:top="1293" w:right="359" w:bottom="1440" w:gutter="0" w:footer="0" w:header="0"/>
        </w:sectPr>
      </w:pPr>
    </w:p>
    <w:bookmarkStart w:id="6" w:name="page7"/>
    <w:bookmarkEnd w:id="6"/>
    <w:p>
      <w:pPr>
        <w:spacing w:after="0"/>
        <w:rPr>
          <w:sz w:val="20"/>
          <w:szCs w:val="20"/>
          <w:color w:val="auto"/>
        </w:rPr>
      </w:pPr>
      <w:r>
        <w:rPr>
          <w:rFonts w:ascii="Arial" w:cs="Arial" w:eastAsia="Arial" w:hAnsi="Arial"/>
          <w:sz w:val="45"/>
          <w:szCs w:val="45"/>
          <w:b w:val="1"/>
          <w:bCs w:val="1"/>
          <w:color w:val="auto"/>
        </w:rPr>
        <w:t>HONEYWELL</w:t>
      </w:r>
    </w:p>
    <w:p>
      <w:pPr>
        <w:spacing w:after="0" w:line="69" w:lineRule="exact"/>
        <w:rPr>
          <w:sz w:val="20"/>
          <w:szCs w:val="20"/>
          <w:color w:val="auto"/>
        </w:rPr>
      </w:pPr>
    </w:p>
    <w:p>
      <w:pPr>
        <w:spacing w:after="0"/>
        <w:rPr>
          <w:sz w:val="20"/>
          <w:szCs w:val="20"/>
          <w:color w:val="auto"/>
        </w:rPr>
      </w:pPr>
      <w:r>
        <w:rPr>
          <w:rFonts w:ascii="Arial" w:cs="Arial" w:eastAsia="Arial" w:hAnsi="Arial"/>
          <w:sz w:val="45"/>
          <w:szCs w:val="45"/>
          <w:b w:val="1"/>
          <w:bCs w:val="1"/>
          <w:color w:val="auto"/>
        </w:rPr>
        <w:t>PERFORMANCE IN 2025</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HONEYWELL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106680</wp:posOffset>
            </wp:positionV>
            <wp:extent cx="8890" cy="1920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92024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106680</wp:posOffset>
            </wp:positionV>
            <wp:extent cx="8255" cy="1920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1920240"/>
                    </a:xfrm>
                    <a:prstGeom prst="rect">
                      <a:avLst/>
                    </a:prstGeom>
                    <a:noFill/>
                  </pic:spPr>
                </pic:pic>
              </a:graphicData>
            </a:graphic>
          </wp:anchor>
        </w:drawing>
      </w:r>
    </w:p>
    <w:p>
      <w:pPr>
        <w:sectPr>
          <w:pgSz w:w="11900" w:h="16838" w:orient="portrait"/>
          <w:cols w:equalWidth="0" w:num="1">
            <w:col w:w="10980"/>
          </w:cols>
          <w:pgMar w:left="320" w:top="1293" w:right="599" w:bottom="1440" w:gutter="0" w:footer="0" w:header="0"/>
        </w:sectPr>
      </w:pPr>
    </w:p>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1073"/>
        </w:trPr>
        <w:tc>
          <w:tcPr>
            <w:tcW w:w="2780" w:type="dxa"/>
            <w:vAlign w:val="bottom"/>
            <w:tcBorders>
              <w:right w:val="single" w:sz="8" w:color="D7282F"/>
            </w:tcBorders>
          </w:tcPr>
          <w:p>
            <w:pPr>
              <w:spacing w:after="0"/>
              <w:rPr>
                <w:sz w:val="20"/>
                <w:szCs w:val="20"/>
                <w:color w:val="auto"/>
              </w:rPr>
            </w:pPr>
            <w:r>
              <w:rPr>
                <w:rFonts w:ascii="Arial" w:cs="Arial" w:eastAsia="Arial" w:hAnsi="Arial"/>
                <w:sz w:val="16"/>
                <w:szCs w:val="16"/>
                <w:b w:val="1"/>
                <w:bCs w:val="1"/>
                <w:color w:val="6D6E71"/>
              </w:rPr>
              <w:t>AEROSPACE TECHNOLOGIES</w:t>
            </w:r>
          </w:p>
        </w:tc>
        <w:tc>
          <w:tcPr>
            <w:tcW w:w="2680" w:type="dxa"/>
            <w:vAlign w:val="bottom"/>
          </w:tcPr>
          <w:p>
            <w:pPr>
              <w:ind w:left="100"/>
              <w:spacing w:after="0"/>
              <w:rPr>
                <w:sz w:val="20"/>
                <w:szCs w:val="20"/>
                <w:color w:val="auto"/>
              </w:rPr>
            </w:pPr>
            <w:r>
              <w:rPr>
                <w:rFonts w:ascii="Arial" w:cs="Arial" w:eastAsia="Arial" w:hAnsi="Arial"/>
                <w:sz w:val="16"/>
                <w:szCs w:val="16"/>
                <w:b w:val="1"/>
                <w:bCs w:val="1"/>
                <w:color w:val="6D6E71"/>
              </w:rPr>
              <w:t>BUILDING AUTOMATION</w:t>
            </w:r>
          </w:p>
        </w:tc>
      </w:tr>
      <w:tr>
        <w:trPr>
          <w:trHeight w:val="641"/>
        </w:trPr>
        <w:tc>
          <w:tcPr>
            <w:tcW w:w="2780" w:type="dxa"/>
            <w:vAlign w:val="bottom"/>
            <w:tcBorders>
              <w:right w:val="single" w:sz="8" w:color="D7282F"/>
            </w:tcBorders>
          </w:tcPr>
          <w:p>
            <w:pPr>
              <w:spacing w:after="0"/>
              <w:rPr>
                <w:sz w:val="20"/>
                <w:szCs w:val="20"/>
                <w:color w:val="auto"/>
              </w:rPr>
            </w:pPr>
            <w:r>
              <w:rPr>
                <w:rFonts w:ascii="Arial" w:cs="Arial" w:eastAsia="Arial" w:hAnsi="Arial"/>
                <w:sz w:val="16"/>
                <w:szCs w:val="16"/>
                <w:color w:val="auto"/>
              </w:rPr>
              <w:t>Solutions to make air travel safer,</w:t>
            </w:r>
          </w:p>
        </w:tc>
        <w:tc>
          <w:tcPr>
            <w:tcW w:w="2680" w:type="dxa"/>
            <w:vAlign w:val="bottom"/>
          </w:tcPr>
          <w:p>
            <w:pPr>
              <w:ind w:left="100"/>
              <w:spacing w:after="0"/>
              <w:rPr>
                <w:sz w:val="20"/>
                <w:szCs w:val="20"/>
                <w:color w:val="auto"/>
              </w:rPr>
            </w:pPr>
            <w:r>
              <w:rPr>
                <w:rFonts w:ascii="Arial" w:cs="Arial" w:eastAsia="Arial" w:hAnsi="Arial"/>
                <w:sz w:val="16"/>
                <w:szCs w:val="16"/>
                <w:color w:val="auto"/>
              </w:rPr>
              <w:t>Transforming the way buildings</w:t>
            </w:r>
          </w:p>
        </w:tc>
      </w:tr>
      <w:tr>
        <w:trPr>
          <w:trHeight w:val="189"/>
        </w:trPr>
        <w:tc>
          <w:tcPr>
            <w:tcW w:w="2780" w:type="dxa"/>
            <w:vAlign w:val="bottom"/>
            <w:tcBorders>
              <w:right w:val="single" w:sz="8" w:color="D7282F"/>
            </w:tcBorders>
          </w:tcPr>
          <w:p>
            <w:pPr>
              <w:spacing w:after="0"/>
              <w:rPr>
                <w:sz w:val="20"/>
                <w:szCs w:val="20"/>
                <w:color w:val="auto"/>
              </w:rPr>
            </w:pPr>
            <w:r>
              <w:rPr>
                <w:rFonts w:ascii="Arial" w:cs="Arial" w:eastAsia="Arial" w:hAnsi="Arial"/>
                <w:sz w:val="16"/>
                <w:szCs w:val="16"/>
                <w:color w:val="auto"/>
              </w:rPr>
              <w:t>more efficient, and more</w:t>
            </w:r>
          </w:p>
        </w:tc>
        <w:tc>
          <w:tcPr>
            <w:tcW w:w="2680" w:type="dxa"/>
            <w:vAlign w:val="bottom"/>
          </w:tcPr>
          <w:p>
            <w:pPr>
              <w:ind w:left="100"/>
              <w:spacing w:after="0"/>
              <w:rPr>
                <w:sz w:val="20"/>
                <w:szCs w:val="20"/>
                <w:color w:val="auto"/>
              </w:rPr>
            </w:pPr>
            <w:r>
              <w:rPr>
                <w:rFonts w:ascii="Arial" w:cs="Arial" w:eastAsia="Arial" w:hAnsi="Arial"/>
                <w:sz w:val="16"/>
                <w:szCs w:val="16"/>
                <w:color w:val="auto"/>
              </w:rPr>
              <w:t>operate via hardware, software, and</w:t>
            </w:r>
          </w:p>
        </w:tc>
      </w:tr>
      <w:tr>
        <w:trPr>
          <w:trHeight w:val="203"/>
        </w:trPr>
        <w:tc>
          <w:tcPr>
            <w:tcW w:w="2780" w:type="dxa"/>
            <w:vAlign w:val="bottom"/>
            <w:tcBorders>
              <w:right w:val="single" w:sz="8" w:color="D7282F"/>
            </w:tcBorders>
          </w:tcPr>
          <w:p>
            <w:pPr>
              <w:spacing w:after="0"/>
              <w:rPr>
                <w:sz w:val="20"/>
                <w:szCs w:val="20"/>
                <w:color w:val="auto"/>
              </w:rPr>
            </w:pPr>
            <w:r>
              <w:rPr>
                <w:rFonts w:ascii="Arial" w:cs="Arial" w:eastAsia="Arial" w:hAnsi="Arial"/>
                <w:sz w:val="16"/>
                <w:szCs w:val="16"/>
                <w:color w:val="auto"/>
              </w:rPr>
              <w:t>environmentally responsible,</w:t>
            </w:r>
          </w:p>
        </w:tc>
        <w:tc>
          <w:tcPr>
            <w:tcW w:w="2680" w:type="dxa"/>
            <w:vAlign w:val="bottom"/>
          </w:tcPr>
          <w:p>
            <w:pPr>
              <w:ind w:left="100"/>
              <w:spacing w:after="0"/>
              <w:rPr>
                <w:sz w:val="20"/>
                <w:szCs w:val="20"/>
                <w:color w:val="auto"/>
              </w:rPr>
            </w:pPr>
            <w:r>
              <w:rPr>
                <w:rFonts w:ascii="Arial" w:cs="Arial" w:eastAsia="Arial" w:hAnsi="Arial"/>
                <w:sz w:val="16"/>
                <w:szCs w:val="16"/>
                <w:color w:val="auto"/>
              </w:rPr>
              <w:t>analytics to help improve quality of</w:t>
            </w:r>
          </w:p>
        </w:tc>
      </w:tr>
      <w:tr>
        <w:trPr>
          <w:trHeight w:val="189"/>
        </w:trPr>
        <w:tc>
          <w:tcPr>
            <w:tcW w:w="2780" w:type="dxa"/>
            <w:vAlign w:val="bottom"/>
            <w:tcBorders>
              <w:right w:val="single" w:sz="8" w:color="D7282F"/>
            </w:tcBorders>
          </w:tcPr>
          <w:p>
            <w:pPr>
              <w:spacing w:after="0"/>
              <w:rPr>
                <w:sz w:val="20"/>
                <w:szCs w:val="20"/>
                <w:color w:val="auto"/>
              </w:rPr>
            </w:pPr>
            <w:r>
              <w:rPr>
                <w:rFonts w:ascii="Arial" w:cs="Arial" w:eastAsia="Arial" w:hAnsi="Arial"/>
                <w:sz w:val="16"/>
                <w:szCs w:val="16"/>
                <w:color w:val="auto"/>
              </w:rPr>
              <w:t>including advanced aerial mobility</w:t>
            </w:r>
          </w:p>
        </w:tc>
        <w:tc>
          <w:tcPr>
            <w:tcW w:w="2680" w:type="dxa"/>
            <w:vAlign w:val="bottom"/>
          </w:tcPr>
          <w:p>
            <w:pPr>
              <w:ind w:left="100"/>
              <w:spacing w:after="0"/>
              <w:rPr>
                <w:sz w:val="20"/>
                <w:szCs w:val="20"/>
                <w:color w:val="auto"/>
              </w:rPr>
            </w:pPr>
            <w:r>
              <w:rPr>
                <w:rFonts w:ascii="Arial" w:cs="Arial" w:eastAsia="Arial" w:hAnsi="Arial"/>
                <w:sz w:val="16"/>
                <w:szCs w:val="16"/>
                <w:color w:val="auto"/>
              </w:rPr>
              <w:t>life and create safer, more efficient,</w:t>
            </w:r>
          </w:p>
        </w:tc>
      </w:tr>
      <w:tr>
        <w:trPr>
          <w:trHeight w:val="189"/>
        </w:trPr>
        <w:tc>
          <w:tcPr>
            <w:tcW w:w="2780" w:type="dxa"/>
            <w:vAlign w:val="bottom"/>
            <w:tcBorders>
              <w:right w:val="single" w:sz="8" w:color="D7282F"/>
            </w:tcBorders>
          </w:tcPr>
          <w:p>
            <w:pPr>
              <w:spacing w:after="0"/>
              <w:rPr>
                <w:sz w:val="20"/>
                <w:szCs w:val="20"/>
                <w:color w:val="auto"/>
              </w:rPr>
            </w:pPr>
            <w:r>
              <w:rPr>
                <w:rFonts w:ascii="Arial" w:cs="Arial" w:eastAsia="Arial" w:hAnsi="Arial"/>
                <w:sz w:val="16"/>
                <w:szCs w:val="16"/>
                <w:color w:val="auto"/>
              </w:rPr>
              <w:t>solutions and flight</w:t>
            </w:r>
          </w:p>
        </w:tc>
        <w:tc>
          <w:tcPr>
            <w:tcW w:w="2680" w:type="dxa"/>
            <w:vAlign w:val="bottom"/>
          </w:tcPr>
          <w:p>
            <w:pPr>
              <w:ind w:left="100"/>
              <w:spacing w:after="0"/>
              <w:rPr>
                <w:sz w:val="20"/>
                <w:szCs w:val="20"/>
                <w:color w:val="auto"/>
              </w:rPr>
            </w:pPr>
            <w:r>
              <w:rPr>
                <w:rFonts w:ascii="Arial" w:cs="Arial" w:eastAsia="Arial" w:hAnsi="Arial"/>
                <w:sz w:val="16"/>
                <w:szCs w:val="16"/>
                <w:color w:val="auto"/>
              </w:rPr>
              <w:t>more sustainable, and more</w:t>
            </w:r>
          </w:p>
        </w:tc>
      </w:tr>
      <w:tr>
        <w:trPr>
          <w:trHeight w:val="215"/>
        </w:trPr>
        <w:tc>
          <w:tcPr>
            <w:tcW w:w="2780" w:type="dxa"/>
            <w:vAlign w:val="bottom"/>
            <w:tcBorders>
              <w:right w:val="single" w:sz="8" w:color="D7282F"/>
            </w:tcBorders>
          </w:tcPr>
          <w:p>
            <w:pPr>
              <w:spacing w:after="0"/>
              <w:rPr>
                <w:sz w:val="20"/>
                <w:szCs w:val="20"/>
                <w:color w:val="auto"/>
              </w:rPr>
            </w:pPr>
            <w:r>
              <w:rPr>
                <w:rFonts w:ascii="Arial" w:cs="Arial" w:eastAsia="Arial" w:hAnsi="Arial"/>
                <w:sz w:val="16"/>
                <w:szCs w:val="16"/>
                <w:color w:val="auto"/>
              </w:rPr>
              <w:t>efficiency software</w:t>
            </w:r>
          </w:p>
        </w:tc>
        <w:tc>
          <w:tcPr>
            <w:tcW w:w="2680" w:type="dxa"/>
            <w:vAlign w:val="bottom"/>
          </w:tcPr>
          <w:p>
            <w:pPr>
              <w:ind w:left="100"/>
              <w:spacing w:after="0"/>
              <w:rPr>
                <w:sz w:val="20"/>
                <w:szCs w:val="20"/>
                <w:color w:val="auto"/>
              </w:rPr>
            </w:pPr>
            <w:r>
              <w:rPr>
                <w:rFonts w:ascii="Arial" w:cs="Arial" w:eastAsia="Arial" w:hAnsi="Arial"/>
                <w:sz w:val="16"/>
                <w:szCs w:val="16"/>
                <w:color w:val="auto"/>
              </w:rPr>
              <w:t>productive facilities</w:t>
            </w:r>
          </w:p>
        </w:tc>
      </w:tr>
      <w:tr>
        <w:trPr>
          <w:trHeight w:val="326"/>
        </w:trPr>
        <w:tc>
          <w:tcPr>
            <w:tcW w:w="2780" w:type="dxa"/>
            <w:vAlign w:val="bottom"/>
            <w:tcBorders>
              <w:right w:val="single" w:sz="8" w:color="D7282F"/>
            </w:tcBorders>
          </w:tcPr>
          <w:p>
            <w:pPr>
              <w:spacing w:after="0"/>
              <w:rPr>
                <w:sz w:val="24"/>
                <w:szCs w:val="24"/>
                <w:color w:val="auto"/>
              </w:rPr>
            </w:pPr>
          </w:p>
        </w:tc>
        <w:tc>
          <w:tcPr>
            <w:tcW w:w="26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-1851025</wp:posOffset>
            </wp:positionV>
            <wp:extent cx="265430" cy="265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5430" cy="265430"/>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-1851025</wp:posOffset>
            </wp:positionV>
            <wp:extent cx="265430" cy="265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5430" cy="265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440"/>
        <w:spacing w:after="0" w:line="314" w:lineRule="auto"/>
        <w:rPr>
          <w:sz w:val="20"/>
          <w:szCs w:val="20"/>
          <w:color w:val="auto"/>
        </w:rPr>
      </w:pPr>
      <w:r>
        <w:rPr>
          <w:rFonts w:ascii="Arial" w:cs="Arial" w:eastAsia="Arial" w:hAnsi="Arial"/>
          <w:sz w:val="16"/>
          <w:szCs w:val="16"/>
          <w:b w:val="1"/>
          <w:bCs w:val="1"/>
          <w:color w:val="6D6E71"/>
        </w:rPr>
        <w:t>PROCESS AUTOMATION &amp;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-775970</wp:posOffset>
            </wp:positionV>
            <wp:extent cx="265430" cy="265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5430" cy="265430"/>
                    </a:xfrm>
                    <a:prstGeom prst="rect">
                      <a:avLst/>
                    </a:prstGeom>
                    <a:noFill/>
                  </pic:spPr>
                </pic:pic>
              </a:graphicData>
            </a:graphic>
          </wp:anchor>
        </w:drawing>
      </w:r>
    </w:p>
    <w:p>
      <w:pPr>
        <w:spacing w:after="0" w:line="160"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Process technology, automation systems and software for downstream energy infrastructure, life sciences and the wider process industry, enabling safer and more productive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344170</wp:posOffset>
            </wp:positionV>
            <wp:extent cx="7123430" cy="7112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23430" cy="7112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b w:val="1"/>
          <w:bCs w:val="1"/>
          <w:color w:val="6D6E71"/>
        </w:rPr>
        <w:t>INDUSTRIAL AUTOMATION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-578485</wp:posOffset>
            </wp:positionV>
            <wp:extent cx="266065" cy="2571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6065" cy="25717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right="760"/>
        <w:spacing w:after="0" w:line="263" w:lineRule="auto"/>
        <w:rPr>
          <w:sz w:val="20"/>
          <w:szCs w:val="20"/>
          <w:color w:val="auto"/>
        </w:rPr>
      </w:pPr>
      <w:r>
        <w:rPr>
          <w:rFonts w:ascii="Arial" w:cs="Arial" w:eastAsia="Arial" w:hAnsi="Arial"/>
          <w:sz w:val="16"/>
          <w:szCs w:val="16"/>
          <w:color w:val="auto"/>
        </w:rPr>
        <w:t>Mission-critical sensors and measurements products that enable</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diverse applications in aerospace, semiconductors, utilities, gas transmission and other industrial end markets</w:t>
      </w:r>
    </w:p>
    <w:p>
      <w:pPr>
        <w:spacing w:after="0" w:line="309" w:lineRule="exact"/>
        <w:rPr>
          <w:sz w:val="20"/>
          <w:szCs w:val="20"/>
          <w:color w:val="auto"/>
        </w:rPr>
      </w:pPr>
    </w:p>
    <w:p>
      <w:pPr>
        <w:sectPr>
          <w:pgSz w:w="11900" w:h="16838" w:orient="portrait"/>
          <w:cols w:equalWidth="0" w:num="3">
            <w:col w:w="5480" w:space="260"/>
            <w:col w:w="2520" w:space="280"/>
            <w:col w:w="2440"/>
          </w:cols>
          <w:pgMar w:left="320" w:top="1293" w:right="599" w:bottom="1440" w:gutter="0" w:footer="0" w:header="0"/>
          <w:type w:val="continuous"/>
        </w:sectPr>
      </w:pPr>
    </w:p>
    <w:p>
      <w:pPr>
        <w:spacing w:after="0" w:line="204"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D7282F"/>
        </w:rPr>
        <w:t>CONNECTED VIA HONEYWELL FORGE</w:t>
      </w:r>
    </w:p>
    <w:p>
      <w:pPr>
        <w:spacing w:after="0" w:line="45" w:lineRule="exact"/>
        <w:rPr>
          <w:sz w:val="20"/>
          <w:szCs w:val="20"/>
          <w:color w:val="auto"/>
        </w:rPr>
      </w:pPr>
    </w:p>
    <w:p>
      <w:pPr>
        <w:ind w:left="160" w:right="320"/>
        <w:spacing w:after="0" w:line="286" w:lineRule="auto"/>
        <w:rPr>
          <w:sz w:val="20"/>
          <w:szCs w:val="20"/>
          <w:color w:val="auto"/>
        </w:rPr>
      </w:pPr>
      <w:r>
        <w:rPr>
          <w:rFonts w:ascii="Arial" w:cs="Arial" w:eastAsia="Arial" w:hAnsi="Arial"/>
          <w:sz w:val="16"/>
          <w:szCs w:val="16"/>
          <w:color w:val="auto"/>
        </w:rPr>
        <w:t>Honeywell Forge is our hardware-agnostic, open-architecture platform designed to harness the power of our extensive domain expertise to provide scalable, customizable, AI-enabled solutions that deliver actionable, enterprise-level insights in real-time.</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DELIVERING THE FUTURE OF AUTOMATION, AIR TRAVEL, AND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124460</wp:posOffset>
            </wp:positionV>
            <wp:extent cx="5717540" cy="23831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17540" cy="238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0" w:hanging="192"/>
        <w:spacing w:after="0"/>
        <w:tabs>
          <w:tab w:leader="none" w:pos="200" w:val="left"/>
        </w:tabs>
        <w:numPr>
          <w:ilvl w:val="0"/>
          <w:numId w:val="8"/>
        </w:numPr>
        <w:rPr>
          <w:rFonts w:ascii="Arial" w:cs="Arial" w:eastAsia="Arial" w:hAnsi="Arial"/>
          <w:sz w:val="13"/>
          <w:szCs w:val="13"/>
          <w:color w:val="auto"/>
        </w:rPr>
      </w:pPr>
      <w:r>
        <w:rPr>
          <w:rFonts w:ascii="Arial" w:cs="Arial" w:eastAsia="Arial" w:hAnsi="Arial"/>
          <w:sz w:val="13"/>
          <w:szCs w:val="13"/>
          <w:color w:val="auto"/>
        </w:rPr>
        <w:t>Represents composition of 2025 sales. Differences between segment sales figures and the sum of sales figures for the businesses within each segment are due to rounding.</w:t>
      </w:r>
    </w:p>
    <w:p>
      <w:pPr>
        <w:spacing w:after="0" w:line="139" w:lineRule="exact"/>
        <w:rPr>
          <w:sz w:val="20"/>
          <w:szCs w:val="20"/>
          <w:color w:val="auto"/>
        </w:rPr>
      </w:pPr>
    </w:p>
    <w:p>
      <w:pPr>
        <w:ind w:left="20"/>
        <w:spacing w:after="0"/>
        <w:tabs>
          <w:tab w:leader="none" w:pos="460" w:val="left"/>
          <w:tab w:leader="none" w:pos="184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sz w:val="1"/>
          <w:szCs w:val="1"/>
          <w:color w:val="auto"/>
        </w:rPr>
        <w:drawing>
          <wp:inline distT="0" distB="0" distL="0" distR="0">
            <wp:extent cx="548640" cy="10287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2026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293" w:right="599" w:bottom="1440" w:gutter="0" w:footer="0" w:header="0"/>
          <w:type w:val="continuous"/>
        </w:sectPr>
      </w:pPr>
    </w:p>
    <w:bookmarkStart w:id="7" w:name="page8"/>
    <w:bookmarkEnd w:id="7"/>
    <w:p>
      <w:pPr>
        <w:jc w:val="right"/>
        <w:spacing w:after="0"/>
        <w:rPr>
          <w:sz w:val="20"/>
          <w:szCs w:val="20"/>
          <w:color w:val="auto"/>
        </w:rPr>
      </w:pPr>
      <w:r>
        <w:rPr>
          <w:rFonts w:ascii="Arial" w:cs="Arial" w:eastAsia="Arial" w:hAnsi="Arial"/>
          <w:sz w:val="13"/>
          <w:szCs w:val="13"/>
          <w:b w:val="1"/>
          <w:bCs w:val="1"/>
          <w:color w:val="6D6E71"/>
        </w:rPr>
        <w:t>HONEYWELL PERFORMANCE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2025 PERFORMANCE HIGHLIGHTS</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FINANCIAL SUMMARY</w:t>
      </w:r>
    </w:p>
    <w:p>
      <w:pPr>
        <w:spacing w:after="0" w:line="128" w:lineRule="exact"/>
        <w:rPr>
          <w:sz w:val="20"/>
          <w:szCs w:val="20"/>
          <w:color w:val="auto"/>
        </w:rPr>
      </w:pPr>
    </w:p>
    <w:p>
      <w:pPr>
        <w:ind w:right="40"/>
        <w:spacing w:after="0" w:line="233" w:lineRule="auto"/>
        <w:rPr>
          <w:sz w:val="20"/>
          <w:szCs w:val="20"/>
          <w:color w:val="auto"/>
        </w:rPr>
      </w:pPr>
      <w:r>
        <w:rPr>
          <w:rFonts w:ascii="Arial" w:cs="Arial" w:eastAsia="Arial" w:hAnsi="Arial"/>
          <w:sz w:val="16"/>
          <w:szCs w:val="16"/>
          <w:color w:val="auto"/>
        </w:rPr>
        <w:t>In 2025, Honeywell continued its portfolio transformation, while demonstrating strong sales growth and operational performance. The Company completed the spin-off of Solstice Advanced Materials (NASDAQ: SOLS) on October 30, 2025 and realigned our business segments, which became effective in the first quarter of 2026, ahead of the planned separation into two, leading independent companies — Honeywell and Honeywell Aerospace. This final step in the Company’s transformation is expected to be completed in the third quarter of 2026. While executing this transformation, we delivered 8% reported sales growth and 7% organic</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sales growth, a significant improvement from the 3% organic growth we achieved in 2024, as our strategic focus on accelerating top-line performance yielded results. This included double-digit growth in Aerospace Technologies for the third consecutive year and significant acceleration in Building Automation with 8% organic</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growth, up from 2% in 2024. Strong segment profit growth was driven by commercial excellence and continued operational improvements, including in our supply chain. Earnings per share (EPS) from continuing operations declined 8% versus the prior year principally driven by a goodwill impairment charge related to Industrial Automation. Excluding these charges and other items, adjusted EPS</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grew 12% for the year driven by strong segment profit growth and a lower share count. We also generated free cash flow</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$5.1 billion with free cash flow margin</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13.5%, while making meaningful investments in future growth, including net research and development (R&amp;D) expenditures equal to 4.8% of sales. Consistent with Chairman and CEO Vimal Kapur’s strategic priorities, we continued to leverage our balance sheet, deploying $10.0 billion of capital in 2025, including $2.2 billion for three strategic acquisitions. A summary of our financial performance is provided in the table below.</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D7282F"/>
        </w:rPr>
        <w:t>STRONG PERFORMANCE ACROSS THE BOARD</w:t>
      </w:r>
    </w:p>
    <w:p>
      <w:pPr>
        <w:sectPr>
          <w:pgSz w:w="11900" w:h="16838" w:orient="portrait"/>
          <w:cols w:equalWidth="0" w:num="1">
            <w:col w:w="11240"/>
          </w:cols>
          <w:pgMar w:left="320" w:top="230" w:right="339" w:bottom="1440" w:gutter="0" w:footer="0" w:header="0"/>
        </w:sectPr>
      </w:pPr>
    </w:p>
    <w:p>
      <w:pPr>
        <w:spacing w:after="0" w:line="16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6D6E71"/>
        </w:rPr>
        <w:t>ADJUSTED SALES</w:t>
      </w:r>
      <w:r>
        <w:rPr>
          <w:rFonts w:ascii="Arial" w:cs="Arial" w:eastAsia="Arial" w:hAnsi="Arial"/>
          <w:sz w:val="10"/>
          <w:szCs w:val="10"/>
          <w:b w:val="1"/>
          <w:bCs w:val="1"/>
          <w:color w:val="6D6E71"/>
        </w:rPr>
        <w:t>(1)</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6D6E71"/>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87630</wp:posOffset>
            </wp:positionV>
            <wp:extent cx="1191260" cy="13544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91260" cy="13544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6D6E71"/>
        </w:rPr>
        <w:t>ADJUSTED EARNINGS</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b w:val="1"/>
          <w:bCs w:val="1"/>
          <w:color w:val="6D6E71"/>
        </w:rPr>
        <w:t>PER SHARE</w:t>
      </w:r>
      <w:r>
        <w:rPr>
          <w:rFonts w:ascii="Arial" w:cs="Arial" w:eastAsia="Arial" w:hAnsi="Arial"/>
          <w:sz w:val="10"/>
          <w:szCs w:val="10"/>
          <w:b w:val="1"/>
          <w:bCs w:val="1"/>
          <w:color w:val="6D6E71"/>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97790</wp:posOffset>
            </wp:positionV>
            <wp:extent cx="1191260" cy="13544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91260" cy="13544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6D6E71"/>
        </w:rPr>
        <w:t>FREE CASH FLOW</w:t>
      </w:r>
      <w:r>
        <w:rPr>
          <w:rFonts w:ascii="Arial" w:cs="Arial" w:eastAsia="Arial" w:hAnsi="Arial"/>
          <w:sz w:val="10"/>
          <w:szCs w:val="10"/>
          <w:b w:val="1"/>
          <w:bCs w:val="1"/>
          <w:color w:val="6D6E71"/>
        </w:rPr>
        <w:t>(1)</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6D6E71"/>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191260" cy="13544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91260" cy="13544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6D6E71"/>
        </w:rPr>
        <w:t>CAPITAL DEPLOYMENT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6D6E71"/>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87630</wp:posOffset>
            </wp:positionV>
            <wp:extent cx="1191260" cy="13544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91260" cy="13544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4">
            <w:col w:w="1820" w:space="720"/>
            <w:col w:w="1940" w:space="720"/>
            <w:col w:w="2080" w:space="720"/>
            <w:col w:w="3240"/>
          </w:cols>
          <w:pgMar w:left="320" w:top="2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0" w:hanging="192"/>
        <w:spacing w:after="0"/>
        <w:tabs>
          <w:tab w:leader="none" w:pos="200" w:val="left"/>
        </w:tabs>
        <w:numPr>
          <w:ilvl w:val="0"/>
          <w:numId w:val="9"/>
        </w:numPr>
        <w:rPr>
          <w:rFonts w:ascii="Arial" w:cs="Arial" w:eastAsia="Arial" w:hAnsi="Arial"/>
          <w:sz w:val="16"/>
          <w:szCs w:val="16"/>
          <w:color w:val="auto"/>
          <w:vertAlign w:val="superscript"/>
        </w:rPr>
      </w:pPr>
      <w:r>
        <w:rPr>
          <w:rFonts w:ascii="Arial" w:cs="Arial" w:eastAsia="Arial" w:hAnsi="Arial"/>
          <w:sz w:val="13"/>
          <w:szCs w:val="13"/>
          <w:color w:val="auto"/>
        </w:rPr>
        <w:t>See Appendix A of this Proxy Statement for additional information regarding non-GAAP measures.</w:t>
      </w:r>
    </w:p>
    <w:p>
      <w:pPr>
        <w:spacing w:after="0" w:line="56" w:lineRule="exact"/>
        <w:rPr>
          <w:rFonts w:ascii="Arial" w:cs="Arial" w:eastAsia="Arial" w:hAnsi="Arial"/>
          <w:sz w:val="16"/>
          <w:szCs w:val="16"/>
          <w:color w:val="auto"/>
          <w:vertAlign w:val="superscript"/>
        </w:rPr>
      </w:pPr>
    </w:p>
    <w:p>
      <w:pPr>
        <w:ind w:left="240" w:hanging="232"/>
        <w:spacing w:after="0" w:line="207" w:lineRule="auto"/>
        <w:tabs>
          <w:tab w:leader="none" w:pos="240" w:val="left"/>
        </w:tabs>
        <w:numPr>
          <w:ilvl w:val="0"/>
          <w:numId w:val="9"/>
        </w:numPr>
        <w:rPr>
          <w:rFonts w:ascii="Arial" w:cs="Arial" w:eastAsia="Arial" w:hAnsi="Arial"/>
          <w:sz w:val="16"/>
          <w:szCs w:val="16"/>
          <w:color w:val="auto"/>
          <w:vertAlign w:val="superscript"/>
        </w:rPr>
      </w:pPr>
      <w:r>
        <w:rPr>
          <w:rFonts w:ascii="Arial" w:cs="Arial" w:eastAsia="Arial" w:hAnsi="Arial"/>
          <w:sz w:val="13"/>
          <w:szCs w:val="13"/>
          <w:color w:val="auto"/>
        </w:rPr>
        <w:t>Represents Adjusted Free Cash Flow. See Appendix A of this Proxy Statement for additional information regarding non-GAAP measures.</w:t>
      </w:r>
    </w:p>
    <w:p>
      <w:pPr>
        <w:spacing w:after="0" w:line="51" w:lineRule="exact"/>
        <w:rPr>
          <w:sz w:val="20"/>
          <w:szCs w:val="20"/>
          <w:color w:val="auto"/>
        </w:rPr>
      </w:pPr>
    </w:p>
    <w:p>
      <w:pPr>
        <w:ind w:left="200" w:right="60" w:hanging="192"/>
        <w:spacing w:after="0" w:line="264" w:lineRule="auto"/>
        <w:tabs>
          <w:tab w:leader="none" w:pos="195" w:val="left"/>
        </w:tabs>
        <w:numPr>
          <w:ilvl w:val="0"/>
          <w:numId w:val="10"/>
        </w:numPr>
        <w:rPr>
          <w:rFonts w:ascii="Arial" w:cs="Arial" w:eastAsia="Arial" w:hAnsi="Arial"/>
          <w:sz w:val="13"/>
          <w:szCs w:val="13"/>
          <w:color w:val="auto"/>
        </w:rPr>
      </w:pPr>
      <w:r>
        <w:rPr>
          <w:rFonts w:ascii="Arial" w:cs="Arial" w:eastAsia="Arial" w:hAnsi="Arial"/>
          <w:sz w:val="13"/>
          <w:szCs w:val="13"/>
          <w:color w:val="auto"/>
        </w:rPr>
        <w:t>Excluding the impact of investments related to the Bombardier Agreement (BBD Agreement) announced on December 2, 2024, which resulted in reductions to sales of $0.4 billion, adjusted earnings per share of $0.45, and adjusted free cash flow of $0.5 billion.</w:t>
      </w:r>
    </w:p>
    <w:p>
      <w:pPr>
        <w:spacing w:after="0" w:line="19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ACCELERATING ORGANIC GROWTH</w:t>
      </w:r>
    </w:p>
    <w:p>
      <w:pPr>
        <w:spacing w:after="0" w:line="141"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In 2025, we continued to drive organic growth underpinned by a commitment to developing innovative new solutions that solve our customers’ most challenging problems. We are unlocking growth through thoughtful, differentiated customer outcomes, and enhanced, recurring revenue streams through the monetization of our vast installed base.</w:t>
      </w:r>
    </w:p>
    <w:p>
      <w:pPr>
        <w:spacing w:after="0" w:line="56" w:lineRule="exact"/>
        <w:rPr>
          <w:sz w:val="20"/>
          <w:szCs w:val="20"/>
          <w:color w:val="auto"/>
        </w:rPr>
      </w:pPr>
    </w:p>
    <w:p>
      <w:pPr>
        <w:ind w:left="200" w:hanging="192"/>
        <w:spacing w:after="0"/>
        <w:tabs>
          <w:tab w:leader="none" w:pos="200" w:val="left"/>
        </w:tabs>
        <w:numPr>
          <w:ilvl w:val="0"/>
          <w:numId w:val="11"/>
        </w:numPr>
        <w:rPr>
          <w:rFonts w:ascii="Arial" w:cs="Arial" w:eastAsia="Arial" w:hAnsi="Arial"/>
          <w:sz w:val="16"/>
          <w:szCs w:val="16"/>
          <w:b w:val="1"/>
          <w:bCs w:val="1"/>
          <w:color w:val="D7282F"/>
        </w:rPr>
      </w:pPr>
      <w:r>
        <w:rPr>
          <w:rFonts w:ascii="Arial" w:cs="Arial" w:eastAsia="Arial" w:hAnsi="Arial"/>
          <w:sz w:val="16"/>
          <w:szCs w:val="16"/>
          <w:color w:val="auto"/>
        </w:rPr>
        <w:t>Our growth strategies resulted in 8% reported sales growth and 7% organic</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growth in 2025, a clear acceleration from 3% organic growth in 2024.</w:t>
      </w:r>
    </w:p>
    <w:p>
      <w:pPr>
        <w:spacing w:after="0" w:line="44" w:lineRule="exact"/>
        <w:rPr>
          <w:rFonts w:ascii="Arial" w:cs="Arial" w:eastAsia="Arial" w:hAnsi="Arial"/>
          <w:sz w:val="16"/>
          <w:szCs w:val="16"/>
          <w:b w:val="1"/>
          <w:bCs w:val="1"/>
          <w:color w:val="D7282F"/>
        </w:rPr>
      </w:pPr>
    </w:p>
    <w:p>
      <w:pPr>
        <w:ind w:left="200" w:right="180" w:hanging="192"/>
        <w:spacing w:after="0" w:line="266" w:lineRule="auto"/>
        <w:tabs>
          <w:tab w:leader="none" w:pos="197" w:val="left"/>
        </w:tabs>
        <w:numPr>
          <w:ilvl w:val="0"/>
          <w:numId w:val="11"/>
        </w:numPr>
        <w:rPr>
          <w:rFonts w:ascii="Arial" w:cs="Arial" w:eastAsia="Arial" w:hAnsi="Arial"/>
          <w:sz w:val="16"/>
          <w:szCs w:val="16"/>
          <w:b w:val="1"/>
          <w:bCs w:val="1"/>
          <w:color w:val="D7282F"/>
        </w:rPr>
      </w:pPr>
      <w:r>
        <w:rPr>
          <w:rFonts w:ascii="Arial" w:cs="Arial" w:eastAsia="Arial" w:hAnsi="Arial"/>
          <w:sz w:val="16"/>
          <w:szCs w:val="16"/>
          <w:color w:val="auto"/>
        </w:rPr>
        <w:t>We drove organic sales growth in two out of four segments, highlighted by a significant acceleration in Building Automation and continued momentum in Aerospace Technologies, while driving a meaningful recovery in Industrial Automation which ended the year flat on organic sales.</w:t>
      </w:r>
    </w:p>
    <w:p>
      <w:pPr>
        <w:spacing w:after="0" w:line="35" w:lineRule="exact"/>
        <w:rPr>
          <w:rFonts w:ascii="Arial" w:cs="Arial" w:eastAsia="Arial" w:hAnsi="Arial"/>
          <w:sz w:val="16"/>
          <w:szCs w:val="16"/>
          <w:b w:val="1"/>
          <w:bCs w:val="1"/>
          <w:color w:val="D7282F"/>
        </w:rPr>
      </w:pPr>
    </w:p>
    <w:p>
      <w:pPr>
        <w:ind w:left="200" w:right="440" w:hanging="192"/>
        <w:spacing w:after="0" w:line="286" w:lineRule="auto"/>
        <w:tabs>
          <w:tab w:leader="none" w:pos="197" w:val="left"/>
        </w:tabs>
        <w:numPr>
          <w:ilvl w:val="0"/>
          <w:numId w:val="11"/>
        </w:numPr>
        <w:rPr>
          <w:rFonts w:ascii="Arial" w:cs="Arial" w:eastAsia="Arial" w:hAnsi="Arial"/>
          <w:sz w:val="16"/>
          <w:szCs w:val="16"/>
          <w:b w:val="1"/>
          <w:bCs w:val="1"/>
          <w:color w:val="D7282F"/>
        </w:rPr>
      </w:pPr>
      <w:r>
        <w:rPr>
          <w:rFonts w:ascii="Arial" w:cs="Arial" w:eastAsia="Arial" w:hAnsi="Arial"/>
          <w:sz w:val="16"/>
          <w:szCs w:val="16"/>
          <w:color w:val="auto"/>
        </w:rPr>
        <w:t>Our high-growth regions continue to represent a meaningful contributor to growth with our differentiated presence in these key regions, growing high single digits year over year, highlighted by strength in the Middle East and India.</w:t>
      </w:r>
    </w:p>
    <w:p>
      <w:pPr>
        <w:spacing w:after="0" w:line="20" w:lineRule="exact"/>
        <w:rPr>
          <w:rFonts w:ascii="Arial" w:cs="Arial" w:eastAsia="Arial" w:hAnsi="Arial"/>
          <w:sz w:val="16"/>
          <w:szCs w:val="16"/>
          <w:b w:val="1"/>
          <w:bCs w:val="1"/>
          <w:color w:val="D7282F"/>
        </w:rPr>
      </w:pPr>
    </w:p>
    <w:p>
      <w:pPr>
        <w:ind w:left="200" w:right="160" w:hanging="192"/>
        <w:spacing w:after="0" w:line="286" w:lineRule="auto"/>
        <w:tabs>
          <w:tab w:leader="none" w:pos="197" w:val="left"/>
        </w:tabs>
        <w:numPr>
          <w:ilvl w:val="0"/>
          <w:numId w:val="11"/>
        </w:numPr>
        <w:rPr>
          <w:rFonts w:ascii="Arial" w:cs="Arial" w:eastAsia="Arial" w:hAnsi="Arial"/>
          <w:sz w:val="16"/>
          <w:szCs w:val="16"/>
          <w:b w:val="1"/>
          <w:bCs w:val="1"/>
          <w:color w:val="D7282F"/>
        </w:rPr>
      </w:pPr>
      <w:r>
        <w:rPr>
          <w:rFonts w:ascii="Arial" w:cs="Arial" w:eastAsia="Arial" w:hAnsi="Arial"/>
          <w:sz w:val="16"/>
          <w:szCs w:val="16"/>
          <w:color w:val="auto"/>
        </w:rPr>
        <w:t>We leveraged our innovation playbook to incubate new technologies and expand our new product offerings across a broad range of markets, driving our new product vitality index (NPI) to 4% of sales in 2025 and contributing meaningfully to organic growth in 2025.</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60" w:type="dxa"/>
            <w:vAlign w:val="bottom"/>
          </w:tcPr>
          <w:p>
            <w:pPr>
              <w:ind w:left="6840"/>
              <w:spacing w:after="0"/>
              <w:rPr>
                <w:sz w:val="20"/>
                <w:szCs w:val="20"/>
                <w:color w:val="auto"/>
              </w:rPr>
            </w:pPr>
            <w:r>
              <w:rPr>
                <w:rFonts w:ascii="Arial" w:cs="Arial" w:eastAsia="Arial" w:hAnsi="Arial"/>
                <w:sz w:val="13"/>
                <w:szCs w:val="13"/>
                <w:b w:val="1"/>
                <w:bCs w:val="1"/>
                <w:color w:val="6D6E71"/>
              </w:rPr>
              <w:t>2026 NOTICE AND PROXY STATEMENT   |</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373"/>
        </w:trPr>
        <w:tc>
          <w:tcPr>
            <w:tcW w:w="10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3"/>
          <w:szCs w:val="13"/>
          <w:b w:val="1"/>
          <w:bCs w:val="1"/>
          <w:color w:val="6D6E71"/>
        </w:rPr>
        <w:t>HONEYWELL PERFORMANCE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0" w:right="80" w:hanging="192"/>
        <w:spacing w:after="0" w:line="286" w:lineRule="auto"/>
        <w:tabs>
          <w:tab w:leader="none" w:pos="197" w:val="left"/>
        </w:tabs>
        <w:numPr>
          <w:ilvl w:val="0"/>
          <w:numId w:val="12"/>
        </w:numPr>
        <w:rPr>
          <w:rFonts w:ascii="Arial" w:cs="Arial" w:eastAsia="Arial" w:hAnsi="Arial"/>
          <w:sz w:val="16"/>
          <w:szCs w:val="16"/>
          <w:b w:val="1"/>
          <w:bCs w:val="1"/>
          <w:color w:val="D7282F"/>
        </w:rPr>
      </w:pPr>
      <w:r>
        <w:rPr>
          <w:rFonts w:ascii="Arial" w:cs="Arial" w:eastAsia="Arial" w:hAnsi="Arial"/>
          <w:sz w:val="16"/>
          <w:szCs w:val="16"/>
          <w:color w:val="auto"/>
        </w:rPr>
        <w:t>We continued our efforts to streamline our portfolio by strengthening our focus on our core offerings where we have a differentiated right to play, including the May 2025 divestiture of our personal protective equipment (PPE) business and the October 2025 spin-off of Solstice Advanced Materials.</w:t>
      </w:r>
    </w:p>
    <w:p>
      <w:pPr>
        <w:spacing w:after="0" w:line="20" w:lineRule="exact"/>
        <w:rPr>
          <w:rFonts w:ascii="Arial" w:cs="Arial" w:eastAsia="Arial" w:hAnsi="Arial"/>
          <w:sz w:val="16"/>
          <w:szCs w:val="16"/>
          <w:b w:val="1"/>
          <w:bCs w:val="1"/>
          <w:color w:val="D7282F"/>
        </w:rPr>
      </w:pPr>
    </w:p>
    <w:p>
      <w:pPr>
        <w:ind w:left="200" w:right="40" w:hanging="192"/>
        <w:spacing w:after="0" w:line="275" w:lineRule="auto"/>
        <w:tabs>
          <w:tab w:leader="none" w:pos="197" w:val="left"/>
        </w:tabs>
        <w:numPr>
          <w:ilvl w:val="0"/>
          <w:numId w:val="12"/>
        </w:numPr>
        <w:rPr>
          <w:rFonts w:ascii="Arial" w:cs="Arial" w:eastAsia="Arial" w:hAnsi="Arial"/>
          <w:sz w:val="16"/>
          <w:szCs w:val="16"/>
          <w:b w:val="1"/>
          <w:bCs w:val="1"/>
          <w:color w:val="D7282F"/>
        </w:rPr>
      </w:pPr>
      <w:r>
        <w:rPr>
          <w:rFonts w:ascii="Arial" w:cs="Arial" w:eastAsia="Arial" w:hAnsi="Arial"/>
          <w:sz w:val="16"/>
          <w:szCs w:val="16"/>
          <w:color w:val="auto"/>
        </w:rPr>
        <w:t>We are implementing artificial intelligence (AI) technologies internally to streamline employee productivity, while deploying across our differentiated offerings. One example is Honeywell Forge, which leverages decades of cross-domain operational expertise to build AI-enabled applications and services that enhance productivity, optimize operations, and support safety and security for our customers in mission-critical environments.</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FORMING STANDALONE LEADERS IN AEROSPACE AND AUTOMATION</w:t>
      </w:r>
    </w:p>
    <w:p>
      <w:pPr>
        <w:spacing w:after="0" w:line="128"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In February 2025, we announced plans to separate into three industry-leading public companies in Honeywell Aerospace, Honeywell and Solstice Advanced Materials. These companies will have dedicated strategies, operational independence, and tailored capital deployment, enabling each respective management team to fully focus on the opportunities and investment needs ahead of each business. We expect to complete the final step of these tax-free separations for Honeywell shareowners (from a U.S. tax perspective) in the third quarter of 2026 when we spin Honeywell Aerospace. Below we provide more on the strategic rationale for the separations.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D7282F"/>
        </w:rPr>
        <w:t>THE TIME IS RIGHT</w:t>
      </w:r>
    </w:p>
    <w:p>
      <w:pPr>
        <w:spacing w:after="0" w:line="112" w:lineRule="exact"/>
        <w:rPr>
          <w:sz w:val="20"/>
          <w:szCs w:val="20"/>
          <w:color w:val="auto"/>
        </w:rPr>
      </w:pPr>
    </w:p>
    <w:p>
      <w:pPr>
        <w:ind w:left="200" w:hanging="192"/>
        <w:spacing w:after="0"/>
        <w:tabs>
          <w:tab w:leader="none" w:pos="200" w:val="left"/>
        </w:tabs>
        <w:numPr>
          <w:ilvl w:val="0"/>
          <w:numId w:val="13"/>
        </w:numPr>
        <w:rPr>
          <w:rFonts w:ascii="Arial" w:cs="Arial" w:eastAsia="Arial" w:hAnsi="Arial"/>
          <w:sz w:val="16"/>
          <w:szCs w:val="16"/>
          <w:b w:val="1"/>
          <w:bCs w:val="1"/>
          <w:color w:val="D7282F"/>
        </w:rPr>
      </w:pPr>
      <w:r>
        <w:rPr>
          <w:rFonts w:ascii="Arial" w:cs="Arial" w:eastAsia="Arial" w:hAnsi="Arial"/>
          <w:sz w:val="16"/>
          <w:szCs w:val="16"/>
          <w:b w:val="1"/>
          <w:bCs w:val="1"/>
          <w:color w:val="auto"/>
        </w:rPr>
        <w:t xml:space="preserve">Operational transformations: </w:t>
      </w:r>
      <w:r>
        <w:rPr>
          <w:rFonts w:ascii="Arial" w:cs="Arial" w:eastAsia="Arial" w:hAnsi="Arial"/>
          <w:sz w:val="16"/>
          <w:szCs w:val="16"/>
          <w:color w:val="auto"/>
        </w:rPr>
        <w:t>Streamlined, digitalized backbone and integrated supply chains.</w:t>
      </w:r>
    </w:p>
    <w:p>
      <w:pPr>
        <w:spacing w:after="0" w:line="86" w:lineRule="exact"/>
        <w:rPr>
          <w:rFonts w:ascii="Arial" w:cs="Arial" w:eastAsia="Arial" w:hAnsi="Arial"/>
          <w:sz w:val="16"/>
          <w:szCs w:val="16"/>
          <w:b w:val="1"/>
          <w:bCs w:val="1"/>
          <w:color w:val="D7282F"/>
        </w:rPr>
      </w:pPr>
    </w:p>
    <w:p>
      <w:pPr>
        <w:ind w:left="200" w:hanging="192"/>
        <w:spacing w:after="0"/>
        <w:tabs>
          <w:tab w:leader="none" w:pos="200" w:val="left"/>
        </w:tabs>
        <w:numPr>
          <w:ilvl w:val="0"/>
          <w:numId w:val="13"/>
        </w:numPr>
        <w:rPr>
          <w:rFonts w:ascii="Arial" w:cs="Arial" w:eastAsia="Arial" w:hAnsi="Arial"/>
          <w:sz w:val="16"/>
          <w:szCs w:val="16"/>
          <w:b w:val="1"/>
          <w:bCs w:val="1"/>
          <w:color w:val="D7282F"/>
        </w:rPr>
      </w:pPr>
      <w:r>
        <w:rPr>
          <w:rFonts w:ascii="Arial" w:cs="Arial" w:eastAsia="Arial" w:hAnsi="Arial"/>
          <w:sz w:val="16"/>
          <w:szCs w:val="16"/>
          <w:b w:val="1"/>
          <w:bCs w:val="1"/>
          <w:color w:val="auto"/>
        </w:rPr>
        <w:t xml:space="preserve">Portfolio optimization progress: </w:t>
      </w:r>
      <w:r>
        <w:rPr>
          <w:rFonts w:ascii="Arial" w:cs="Arial" w:eastAsia="Arial" w:hAnsi="Arial"/>
          <w:sz w:val="16"/>
          <w:szCs w:val="16"/>
          <w:color w:val="auto"/>
        </w:rPr>
        <w:t>Business re-segmentation; strategic bolt-ons and non-core pruning.</w:t>
      </w:r>
    </w:p>
    <w:p>
      <w:pPr>
        <w:spacing w:after="0" w:line="86" w:lineRule="exact"/>
        <w:rPr>
          <w:rFonts w:ascii="Arial" w:cs="Arial" w:eastAsia="Arial" w:hAnsi="Arial"/>
          <w:sz w:val="16"/>
          <w:szCs w:val="16"/>
          <w:b w:val="1"/>
          <w:bCs w:val="1"/>
          <w:color w:val="D7282F"/>
        </w:rPr>
      </w:pPr>
    </w:p>
    <w:p>
      <w:pPr>
        <w:ind w:left="200" w:hanging="192"/>
        <w:spacing w:after="0"/>
        <w:tabs>
          <w:tab w:leader="none" w:pos="200" w:val="left"/>
        </w:tabs>
        <w:numPr>
          <w:ilvl w:val="0"/>
          <w:numId w:val="13"/>
        </w:numPr>
        <w:rPr>
          <w:rFonts w:ascii="Arial" w:cs="Arial" w:eastAsia="Arial" w:hAnsi="Arial"/>
          <w:sz w:val="16"/>
          <w:szCs w:val="16"/>
          <w:b w:val="1"/>
          <w:bCs w:val="1"/>
          <w:color w:val="D7282F"/>
        </w:rPr>
      </w:pPr>
      <w:r>
        <w:rPr>
          <w:rFonts w:ascii="Arial" w:cs="Arial" w:eastAsia="Arial" w:hAnsi="Arial"/>
          <w:sz w:val="16"/>
          <w:szCs w:val="16"/>
          <w:b w:val="1"/>
          <w:bCs w:val="1"/>
          <w:color w:val="auto"/>
        </w:rPr>
        <w:t xml:space="preserve">Best-in-class operating playbook: </w:t>
      </w:r>
      <w:r>
        <w:rPr>
          <w:rFonts w:ascii="Arial" w:cs="Arial" w:eastAsia="Arial" w:hAnsi="Arial"/>
          <w:sz w:val="16"/>
          <w:szCs w:val="16"/>
          <w:color w:val="auto"/>
        </w:rPr>
        <w:t>Mature Accelerator operating system fostering a culture of execution and rigor.</w:t>
      </w:r>
    </w:p>
    <w:p>
      <w:pPr>
        <w:spacing w:after="0" w:line="86" w:lineRule="exact"/>
        <w:rPr>
          <w:rFonts w:ascii="Arial" w:cs="Arial" w:eastAsia="Arial" w:hAnsi="Arial"/>
          <w:sz w:val="16"/>
          <w:szCs w:val="16"/>
          <w:b w:val="1"/>
          <w:bCs w:val="1"/>
          <w:color w:val="D7282F"/>
        </w:rPr>
      </w:pPr>
    </w:p>
    <w:p>
      <w:pPr>
        <w:ind w:left="200" w:hanging="192"/>
        <w:spacing w:after="0"/>
        <w:tabs>
          <w:tab w:leader="none" w:pos="200" w:val="left"/>
        </w:tabs>
        <w:numPr>
          <w:ilvl w:val="0"/>
          <w:numId w:val="13"/>
        </w:numPr>
        <w:rPr>
          <w:rFonts w:ascii="Arial" w:cs="Arial" w:eastAsia="Arial" w:hAnsi="Arial"/>
          <w:sz w:val="16"/>
          <w:szCs w:val="16"/>
          <w:b w:val="1"/>
          <w:bCs w:val="1"/>
          <w:color w:val="D7282F"/>
        </w:rPr>
      </w:pPr>
      <w:r>
        <w:rPr>
          <w:rFonts w:ascii="Arial" w:cs="Arial" w:eastAsia="Arial" w:hAnsi="Arial"/>
          <w:sz w:val="16"/>
          <w:szCs w:val="16"/>
          <w:b w:val="1"/>
          <w:bCs w:val="1"/>
          <w:color w:val="auto"/>
        </w:rPr>
        <w:t xml:space="preserve">Divergence of business strategies: </w:t>
      </w:r>
      <w:r>
        <w:rPr>
          <w:rFonts w:ascii="Arial" w:cs="Arial" w:eastAsia="Arial" w:hAnsi="Arial"/>
          <w:sz w:val="16"/>
          <w:szCs w:val="16"/>
          <w:color w:val="auto"/>
        </w:rPr>
        <w:t>Differing end market dynamics / strategic choices requiring independent go-forward paths.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D7282F"/>
        </w:rPr>
        <w:t>RATIONALE FOR SEPARATION</w:t>
      </w:r>
    </w:p>
    <w:p>
      <w:pPr>
        <w:spacing w:after="0" w:line="112" w:lineRule="exact"/>
        <w:rPr>
          <w:sz w:val="20"/>
          <w:szCs w:val="20"/>
          <w:color w:val="auto"/>
        </w:rPr>
      </w:pPr>
    </w:p>
    <w:p>
      <w:pPr>
        <w:ind w:left="200" w:right="40" w:hanging="192"/>
        <w:spacing w:after="0" w:line="299" w:lineRule="auto"/>
        <w:tabs>
          <w:tab w:leader="none" w:pos="197" w:val="left"/>
        </w:tabs>
        <w:numPr>
          <w:ilvl w:val="0"/>
          <w:numId w:val="14"/>
        </w:numPr>
        <w:rPr>
          <w:rFonts w:ascii="Arial" w:cs="Arial" w:eastAsia="Arial" w:hAnsi="Arial"/>
          <w:sz w:val="16"/>
          <w:szCs w:val="16"/>
          <w:b w:val="1"/>
          <w:bCs w:val="1"/>
          <w:color w:val="D7282F"/>
        </w:rPr>
      </w:pPr>
      <w:r>
        <w:rPr>
          <w:rFonts w:ascii="Arial" w:cs="Arial" w:eastAsia="Arial" w:hAnsi="Arial"/>
          <w:sz w:val="16"/>
          <w:szCs w:val="16"/>
          <w:b w:val="1"/>
          <w:bCs w:val="1"/>
          <w:color w:val="auto"/>
        </w:rPr>
        <w:t xml:space="preserve">Strategic: </w:t>
      </w:r>
      <w:r>
        <w:rPr>
          <w:rFonts w:ascii="Arial" w:cs="Arial" w:eastAsia="Arial" w:hAnsi="Arial"/>
          <w:sz w:val="16"/>
          <w:szCs w:val="16"/>
          <w:color w:val="auto"/>
        </w:rPr>
        <w:t>Singular focus providing clear alignment in Company purpose and incentives; greater end market intimacy and faster reaction time to changing</w:t>
      </w:r>
      <w:r>
        <w:rPr>
          <w:rFonts w:ascii="Arial" w:cs="Arial" w:eastAsia="Arial" w:hAnsi="Arial"/>
          <w:sz w:val="16"/>
          <w:szCs w:val="16"/>
          <w:b w:val="1"/>
          <w:bCs w:val="1"/>
          <w:color w:val="auto"/>
        </w:rPr>
        <w:t xml:space="preserve"> </w:t>
      </w:r>
      <w:r>
        <w:rPr>
          <w:rFonts w:ascii="Arial" w:cs="Arial" w:eastAsia="Arial" w:hAnsi="Arial"/>
          <w:sz w:val="16"/>
          <w:szCs w:val="16"/>
          <w:color w:val="auto"/>
        </w:rPr>
        <w:t>market dynamics.</w:t>
      </w:r>
    </w:p>
    <w:p>
      <w:pPr>
        <w:ind w:left="200" w:right="560" w:hanging="192"/>
        <w:spacing w:after="0" w:line="299" w:lineRule="auto"/>
        <w:tabs>
          <w:tab w:leader="none" w:pos="197" w:val="left"/>
        </w:tabs>
        <w:numPr>
          <w:ilvl w:val="0"/>
          <w:numId w:val="14"/>
        </w:numPr>
        <w:rPr>
          <w:rFonts w:ascii="Arial" w:cs="Arial" w:eastAsia="Arial" w:hAnsi="Arial"/>
          <w:sz w:val="16"/>
          <w:szCs w:val="16"/>
          <w:b w:val="1"/>
          <w:bCs w:val="1"/>
          <w:color w:val="D7282F"/>
        </w:rPr>
      </w:pPr>
      <w:r>
        <w:rPr>
          <w:rFonts w:ascii="Arial" w:cs="Arial" w:eastAsia="Arial" w:hAnsi="Arial"/>
          <w:sz w:val="16"/>
          <w:szCs w:val="16"/>
          <w:b w:val="1"/>
          <w:bCs w:val="1"/>
          <w:color w:val="auto"/>
        </w:rPr>
        <w:t xml:space="preserve">Operational: </w:t>
      </w:r>
      <w:r>
        <w:rPr>
          <w:rFonts w:ascii="Arial" w:cs="Arial" w:eastAsia="Arial" w:hAnsi="Arial"/>
          <w:sz w:val="16"/>
          <w:szCs w:val="16"/>
          <w:color w:val="auto"/>
        </w:rPr>
        <w:t>Enhanced organizational agility, greater accountability, and simplified decision-making; dedicated boards with highly relevant domain</w:t>
      </w:r>
      <w:r>
        <w:rPr>
          <w:rFonts w:ascii="Arial" w:cs="Arial" w:eastAsia="Arial" w:hAnsi="Arial"/>
          <w:sz w:val="16"/>
          <w:szCs w:val="16"/>
          <w:b w:val="1"/>
          <w:bCs w:val="1"/>
          <w:color w:val="auto"/>
        </w:rPr>
        <w:t xml:space="preserve"> </w:t>
      </w:r>
      <w:r>
        <w:rPr>
          <w:rFonts w:ascii="Arial" w:cs="Arial" w:eastAsia="Arial" w:hAnsi="Arial"/>
          <w:sz w:val="16"/>
          <w:szCs w:val="16"/>
          <w:color w:val="auto"/>
        </w:rPr>
        <w:t>expertise.</w:t>
      </w:r>
    </w:p>
    <w:p>
      <w:pPr>
        <w:ind w:left="200" w:hanging="192"/>
        <w:spacing w:after="0" w:line="304" w:lineRule="auto"/>
        <w:tabs>
          <w:tab w:leader="none" w:pos="197" w:val="left"/>
        </w:tabs>
        <w:numPr>
          <w:ilvl w:val="0"/>
          <w:numId w:val="14"/>
        </w:numPr>
        <w:rPr>
          <w:rFonts w:ascii="Arial" w:cs="Arial" w:eastAsia="Arial" w:hAnsi="Arial"/>
          <w:sz w:val="16"/>
          <w:szCs w:val="16"/>
          <w:b w:val="1"/>
          <w:bCs w:val="1"/>
          <w:color w:val="D7282F"/>
        </w:rPr>
      </w:pPr>
      <w:r>
        <w:rPr>
          <w:rFonts w:ascii="Arial" w:cs="Arial" w:eastAsia="Arial" w:hAnsi="Arial"/>
          <w:sz w:val="16"/>
          <w:szCs w:val="16"/>
          <w:b w:val="1"/>
          <w:bCs w:val="1"/>
          <w:color w:val="auto"/>
        </w:rPr>
        <w:t xml:space="preserve">Financial: </w:t>
      </w:r>
      <w:r>
        <w:rPr>
          <w:rFonts w:ascii="Arial" w:cs="Arial" w:eastAsia="Arial" w:hAnsi="Arial"/>
          <w:sz w:val="16"/>
          <w:szCs w:val="16"/>
          <w:color w:val="auto"/>
        </w:rPr>
        <w:t>Investor base aligned with each company’s distinct and compelling investment profiles; improved ability to customize capital allocation priorities</w:t>
      </w:r>
      <w:r>
        <w:rPr>
          <w:rFonts w:ascii="Arial" w:cs="Arial" w:eastAsia="Arial" w:hAnsi="Arial"/>
          <w:sz w:val="16"/>
          <w:szCs w:val="16"/>
          <w:b w:val="1"/>
          <w:bCs w:val="1"/>
          <w:color w:val="auto"/>
        </w:rPr>
        <w:t xml:space="preserve"> </w:t>
      </w:r>
      <w:r>
        <w:rPr>
          <w:rFonts w:ascii="Arial" w:cs="Arial" w:eastAsia="Arial" w:hAnsi="Arial"/>
          <w:sz w:val="16"/>
          <w:szCs w:val="16"/>
          <w:color w:val="auto"/>
        </w:rPr>
        <w:t>aligned with strategic focus.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23430" cy="5226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23430" cy="522605"/>
                    </a:xfrm>
                    <a:prstGeom prst="rect">
                      <a:avLst/>
                    </a:prstGeom>
                    <a:noFill/>
                  </pic:spPr>
                </pic:pic>
              </a:graphicData>
            </a:graphic>
          </wp:anchor>
        </w:drawing>
      </w:r>
    </w:p>
    <w:p>
      <w:pPr>
        <w:spacing w:after="0" w:line="364" w:lineRule="exact"/>
        <w:rPr>
          <w:sz w:val="20"/>
          <w:szCs w:val="20"/>
          <w:color w:val="auto"/>
        </w:rPr>
      </w:pPr>
    </w:p>
    <w:p>
      <w:pPr>
        <w:ind w:left="900"/>
        <w:spacing w:after="0"/>
        <w:rPr>
          <w:sz w:val="20"/>
          <w:szCs w:val="20"/>
          <w:color w:val="auto"/>
        </w:rPr>
      </w:pPr>
      <w:r>
        <w:rPr>
          <w:rFonts w:ascii="Arial" w:cs="Arial" w:eastAsia="Arial" w:hAnsi="Arial"/>
          <w:sz w:val="22"/>
          <w:szCs w:val="22"/>
          <w:b w:val="1"/>
          <w:bCs w:val="1"/>
          <w:color w:val="FFFFFF"/>
        </w:rPr>
        <w:t>AEROSPACE*</w:t>
      </w:r>
    </w:p>
    <w:p>
      <w:pPr>
        <w:spacing w:after="0" w:line="200" w:lineRule="exact"/>
        <w:rPr>
          <w:sz w:val="20"/>
          <w:szCs w:val="20"/>
          <w:color w:val="auto"/>
        </w:rPr>
      </w:pPr>
    </w:p>
    <w:p>
      <w:pPr>
        <w:spacing w:after="0" w:line="290" w:lineRule="exact"/>
        <w:rPr>
          <w:sz w:val="20"/>
          <w:szCs w:val="20"/>
          <w:color w:val="auto"/>
        </w:rPr>
      </w:pPr>
    </w:p>
    <w:p>
      <w:pPr>
        <w:jc w:val="both"/>
        <w:ind w:right="240"/>
        <w:spacing w:after="0" w:line="266" w:lineRule="auto"/>
        <w:rPr>
          <w:sz w:val="20"/>
          <w:szCs w:val="20"/>
          <w:color w:val="auto"/>
        </w:rPr>
      </w:pPr>
      <w:r>
        <w:rPr>
          <w:rFonts w:ascii="Arial" w:cs="Arial" w:eastAsia="Arial" w:hAnsi="Arial"/>
          <w:sz w:val="16"/>
          <w:szCs w:val="16"/>
          <w:color w:val="auto"/>
        </w:rPr>
        <w:t>After the separation, Honeywell Aerospace will be one of the largest publicly-traded aerospace suppliers globally, well-positioned as a premier technology and systems provider for all forms of aircraft. Our large installed base, recurring aftermarket sales, best-in-class margins, and leading R&amp;D investment will enable the Company to capitalize on commercial original equipment (OE) and defense tailwinds currently benefiting the industry.</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494"/>
        </w:trPr>
        <w:tc>
          <w:tcPr>
            <w:tcW w:w="3760" w:type="dxa"/>
            <w:vAlign w:val="bottom"/>
            <w:tcBorders>
              <w:right w:val="single" w:sz="8" w:color="D7282F"/>
            </w:tcBorders>
          </w:tcPr>
          <w:p>
            <w:pPr>
              <w:jc w:val="center"/>
              <w:spacing w:after="0"/>
              <w:rPr>
                <w:sz w:val="20"/>
                <w:szCs w:val="20"/>
                <w:color w:val="auto"/>
              </w:rPr>
            </w:pPr>
            <w:r>
              <w:rPr>
                <w:rFonts w:ascii="Arial" w:cs="Arial" w:eastAsia="Arial" w:hAnsi="Arial"/>
                <w:sz w:val="43"/>
                <w:szCs w:val="43"/>
                <w:b w:val="1"/>
                <w:bCs w:val="1"/>
                <w:color w:val="auto"/>
                <w:w w:val="99"/>
              </w:rPr>
              <w:t>$17.5B</w:t>
            </w:r>
          </w:p>
        </w:tc>
        <w:tc>
          <w:tcPr>
            <w:tcW w:w="3740" w:type="dxa"/>
            <w:vAlign w:val="bottom"/>
            <w:tcBorders>
              <w:right w:val="single" w:sz="8" w:color="D7282F"/>
            </w:tcBorders>
            <w:vMerge w:val="restart"/>
          </w:tcPr>
          <w:p>
            <w:pPr>
              <w:jc w:val="right"/>
              <w:ind w:right="1325"/>
              <w:spacing w:after="0"/>
              <w:rPr>
                <w:sz w:val="20"/>
                <w:szCs w:val="20"/>
                <w:color w:val="auto"/>
              </w:rPr>
            </w:pPr>
            <w:r>
              <w:rPr>
                <w:rFonts w:ascii="Arial" w:cs="Arial" w:eastAsia="Arial" w:hAnsi="Arial"/>
                <w:sz w:val="43"/>
                <w:szCs w:val="43"/>
                <w:b w:val="1"/>
                <w:bCs w:val="1"/>
                <w:color w:val="auto"/>
              </w:rPr>
              <w:t>12%</w:t>
            </w:r>
          </w:p>
        </w:tc>
        <w:tc>
          <w:tcPr>
            <w:tcW w:w="3720" w:type="dxa"/>
            <w:vAlign w:val="bottom"/>
          </w:tcPr>
          <w:p>
            <w:pPr>
              <w:jc w:val="center"/>
              <w:spacing w:after="0"/>
              <w:rPr>
                <w:sz w:val="20"/>
                <w:szCs w:val="20"/>
                <w:color w:val="auto"/>
              </w:rPr>
            </w:pPr>
            <w:r>
              <w:rPr>
                <w:rFonts w:ascii="Arial" w:cs="Arial" w:eastAsia="Arial" w:hAnsi="Arial"/>
                <w:sz w:val="43"/>
                <w:szCs w:val="43"/>
                <w:b w:val="1"/>
                <w:bCs w:val="1"/>
                <w:color w:val="auto"/>
                <w:w w:val="99"/>
              </w:rPr>
              <w:t>24%</w:t>
            </w:r>
          </w:p>
        </w:tc>
        <w:tc>
          <w:tcPr>
            <w:tcW w:w="0" w:type="dxa"/>
            <w:vAlign w:val="bottom"/>
          </w:tcPr>
          <w:p>
            <w:pPr>
              <w:spacing w:after="0"/>
              <w:rPr>
                <w:sz w:val="1"/>
                <w:szCs w:val="1"/>
                <w:color w:val="auto"/>
              </w:rPr>
            </w:pPr>
          </w:p>
        </w:tc>
      </w:tr>
      <w:tr>
        <w:trPr>
          <w:trHeight w:val="163"/>
        </w:trPr>
        <w:tc>
          <w:tcPr>
            <w:tcW w:w="3760" w:type="dxa"/>
            <w:vAlign w:val="bottom"/>
            <w:tcBorders>
              <w:right w:val="single" w:sz="8" w:color="D7282F"/>
            </w:tcBorders>
            <w:vMerge w:val="restart"/>
          </w:tcPr>
          <w:p>
            <w:pPr>
              <w:jc w:val="center"/>
              <w:spacing w:after="0"/>
              <w:rPr>
                <w:sz w:val="20"/>
                <w:szCs w:val="20"/>
                <w:color w:val="auto"/>
              </w:rPr>
            </w:pPr>
            <w:r>
              <w:rPr>
                <w:rFonts w:ascii="Arial" w:cs="Arial" w:eastAsia="Arial" w:hAnsi="Arial"/>
                <w:sz w:val="16"/>
                <w:szCs w:val="16"/>
                <w:color w:val="auto"/>
              </w:rPr>
              <w:t>2025 Sales</w:t>
            </w:r>
          </w:p>
        </w:tc>
        <w:tc>
          <w:tcPr>
            <w:tcW w:w="3740" w:type="dxa"/>
            <w:vAlign w:val="bottom"/>
            <w:tcBorders>
              <w:right w:val="single" w:sz="8" w:color="D7282F"/>
            </w:tcBorders>
            <w:vMerge w:val="continue"/>
          </w:tcPr>
          <w:p>
            <w:pPr>
              <w:spacing w:after="0"/>
              <w:rPr>
                <w:sz w:val="14"/>
                <w:szCs w:val="14"/>
                <w:color w:val="auto"/>
              </w:rPr>
            </w:pPr>
          </w:p>
        </w:tc>
        <w:tc>
          <w:tcPr>
            <w:tcW w:w="3720" w:type="dxa"/>
            <w:vAlign w:val="bottom"/>
            <w:vMerge w:val="restart"/>
          </w:tcPr>
          <w:p>
            <w:pPr>
              <w:jc w:val="center"/>
              <w:spacing w:after="0"/>
              <w:rPr>
                <w:sz w:val="20"/>
                <w:szCs w:val="20"/>
                <w:color w:val="auto"/>
              </w:rPr>
            </w:pPr>
            <w:r>
              <w:rPr>
                <w:rFonts w:ascii="Arial" w:cs="Arial" w:eastAsia="Arial" w:hAnsi="Arial"/>
                <w:sz w:val="16"/>
                <w:szCs w:val="16"/>
                <w:color w:val="auto"/>
              </w:rPr>
              <w:t>2025 Segment Margin</w:t>
            </w:r>
          </w:p>
        </w:tc>
        <w:tc>
          <w:tcPr>
            <w:tcW w:w="0" w:type="dxa"/>
            <w:vAlign w:val="bottom"/>
          </w:tcPr>
          <w:p>
            <w:pPr>
              <w:spacing w:after="0"/>
              <w:rPr>
                <w:sz w:val="1"/>
                <w:szCs w:val="1"/>
                <w:color w:val="auto"/>
              </w:rPr>
            </w:pPr>
          </w:p>
        </w:tc>
      </w:tr>
      <w:tr>
        <w:trPr>
          <w:trHeight w:val="52"/>
        </w:trPr>
        <w:tc>
          <w:tcPr>
            <w:tcW w:w="3760" w:type="dxa"/>
            <w:vAlign w:val="bottom"/>
            <w:tcBorders>
              <w:right w:val="single" w:sz="8" w:color="D7282F"/>
            </w:tcBorders>
            <w:vMerge w:val="continue"/>
          </w:tcPr>
          <w:p>
            <w:pPr>
              <w:spacing w:after="0"/>
              <w:rPr>
                <w:sz w:val="4"/>
                <w:szCs w:val="4"/>
                <w:color w:val="auto"/>
              </w:rPr>
            </w:pPr>
          </w:p>
        </w:tc>
        <w:tc>
          <w:tcPr>
            <w:tcW w:w="3740" w:type="dxa"/>
            <w:vAlign w:val="bottom"/>
            <w:tcBorders>
              <w:right w:val="single" w:sz="8" w:color="D7282F"/>
            </w:tcBorders>
          </w:tcPr>
          <w:p>
            <w:pPr>
              <w:spacing w:after="0"/>
              <w:rPr>
                <w:sz w:val="4"/>
                <w:szCs w:val="4"/>
                <w:color w:val="auto"/>
              </w:rPr>
            </w:pPr>
          </w:p>
        </w:tc>
        <w:tc>
          <w:tcPr>
            <w:tcW w:w="3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13"/>
        </w:trPr>
        <w:tc>
          <w:tcPr>
            <w:tcW w:w="3760" w:type="dxa"/>
            <w:vAlign w:val="bottom"/>
            <w:tcBorders>
              <w:right w:val="single" w:sz="8" w:color="D7282F"/>
            </w:tcBorders>
          </w:tcPr>
          <w:p>
            <w:pPr>
              <w:jc w:val="center"/>
              <w:spacing w:after="0" w:line="313" w:lineRule="exact"/>
              <w:rPr>
                <w:sz w:val="20"/>
                <w:szCs w:val="20"/>
                <w:color w:val="auto"/>
              </w:rPr>
            </w:pPr>
            <w:r>
              <w:rPr>
                <w:rFonts w:ascii="Arial" w:cs="Arial" w:eastAsia="Arial" w:hAnsi="Arial"/>
                <w:sz w:val="36"/>
                <w:szCs w:val="36"/>
                <w:b w:val="1"/>
                <w:bCs w:val="1"/>
                <w:color w:val="auto"/>
              </w:rPr>
              <w:t>$17.8B</w:t>
            </w:r>
          </w:p>
        </w:tc>
        <w:tc>
          <w:tcPr>
            <w:tcW w:w="3740" w:type="dxa"/>
            <w:vAlign w:val="bottom"/>
            <w:tcBorders>
              <w:right w:val="single" w:sz="8" w:color="D7282F"/>
            </w:tcBorders>
            <w:vMerge w:val="restart"/>
          </w:tcPr>
          <w:p>
            <w:pPr>
              <w:jc w:val="center"/>
              <w:spacing w:after="0"/>
              <w:rPr>
                <w:sz w:val="20"/>
                <w:szCs w:val="20"/>
                <w:color w:val="auto"/>
              </w:rPr>
            </w:pPr>
            <w:r>
              <w:rPr>
                <w:rFonts w:ascii="Arial" w:cs="Arial" w:eastAsia="Arial" w:hAnsi="Arial"/>
                <w:sz w:val="16"/>
                <w:szCs w:val="16"/>
                <w:color w:val="auto"/>
                <w:w w:val="98"/>
              </w:rPr>
              <w:t>2025 Organic</w:t>
            </w:r>
            <w:r>
              <w:rPr>
                <w:rFonts w:ascii="Arial" w:cs="Arial" w:eastAsia="Arial" w:hAnsi="Arial"/>
                <w:sz w:val="21"/>
                <w:szCs w:val="21"/>
                <w:color w:val="auto"/>
                <w:w w:val="98"/>
                <w:vertAlign w:val="superscript"/>
              </w:rPr>
              <w:t>(1)</w:t>
            </w:r>
            <w:r>
              <w:rPr>
                <w:rFonts w:ascii="Arial" w:cs="Arial" w:eastAsia="Arial" w:hAnsi="Arial"/>
                <w:sz w:val="16"/>
                <w:szCs w:val="16"/>
                <w:color w:val="auto"/>
                <w:w w:val="98"/>
              </w:rPr>
              <w:t xml:space="preserve"> Sales Growth</w:t>
            </w:r>
          </w:p>
        </w:tc>
        <w:tc>
          <w:tcPr>
            <w:tcW w:w="3720" w:type="dxa"/>
            <w:vAlign w:val="bottom"/>
          </w:tcPr>
          <w:p>
            <w:pPr>
              <w:jc w:val="center"/>
              <w:spacing w:after="0" w:line="313" w:lineRule="exact"/>
              <w:rPr>
                <w:sz w:val="20"/>
                <w:szCs w:val="20"/>
                <w:color w:val="auto"/>
              </w:rPr>
            </w:pPr>
            <w:r>
              <w:rPr>
                <w:rFonts w:ascii="Arial" w:cs="Arial" w:eastAsia="Arial" w:hAnsi="Arial"/>
                <w:sz w:val="36"/>
                <w:szCs w:val="36"/>
                <w:b w:val="1"/>
                <w:bCs w:val="1"/>
                <w:color w:val="auto"/>
              </w:rPr>
              <w:t>26%</w:t>
            </w:r>
          </w:p>
        </w:tc>
        <w:tc>
          <w:tcPr>
            <w:tcW w:w="0" w:type="dxa"/>
            <w:vAlign w:val="bottom"/>
          </w:tcPr>
          <w:p>
            <w:pPr>
              <w:spacing w:after="0"/>
              <w:rPr>
                <w:sz w:val="1"/>
                <w:szCs w:val="1"/>
                <w:color w:val="auto"/>
              </w:rPr>
            </w:pPr>
          </w:p>
        </w:tc>
      </w:tr>
      <w:tr>
        <w:trPr>
          <w:trHeight w:val="123"/>
        </w:trPr>
        <w:tc>
          <w:tcPr>
            <w:tcW w:w="3760" w:type="dxa"/>
            <w:vAlign w:val="bottom"/>
            <w:tcBorders>
              <w:right w:val="single" w:sz="8" w:color="D7282F"/>
            </w:tcBorders>
          </w:tcPr>
          <w:p>
            <w:pPr>
              <w:spacing w:after="0"/>
              <w:rPr>
                <w:sz w:val="10"/>
                <w:szCs w:val="10"/>
                <w:color w:val="auto"/>
              </w:rPr>
            </w:pPr>
          </w:p>
        </w:tc>
        <w:tc>
          <w:tcPr>
            <w:tcW w:w="3740" w:type="dxa"/>
            <w:vAlign w:val="bottom"/>
            <w:tcBorders>
              <w:right w:val="single" w:sz="8" w:color="D7282F"/>
            </w:tcBorders>
            <w:vMerge w:val="continue"/>
          </w:tcPr>
          <w:p>
            <w:pPr>
              <w:spacing w:after="0"/>
              <w:rPr>
                <w:sz w:val="10"/>
                <w:szCs w:val="10"/>
                <w:color w:val="auto"/>
              </w:rPr>
            </w:pPr>
          </w:p>
        </w:tc>
        <w:tc>
          <w:tcPr>
            <w:tcW w:w="3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5"/>
        </w:trPr>
        <w:tc>
          <w:tcPr>
            <w:tcW w:w="3760" w:type="dxa"/>
            <w:vAlign w:val="bottom"/>
            <w:tcBorders>
              <w:right w:val="single" w:sz="8" w:color="D7282F"/>
            </w:tcBorders>
          </w:tcPr>
          <w:p>
            <w:pPr>
              <w:jc w:val="center"/>
              <w:spacing w:after="0"/>
              <w:rPr>
                <w:sz w:val="20"/>
                <w:szCs w:val="20"/>
                <w:color w:val="auto"/>
              </w:rPr>
            </w:pPr>
            <w:r>
              <w:rPr>
                <w:rFonts w:ascii="Arial" w:cs="Arial" w:eastAsia="Arial" w:hAnsi="Arial"/>
                <w:sz w:val="16"/>
                <w:szCs w:val="16"/>
                <w:color w:val="auto"/>
                <w:w w:val="98"/>
              </w:rPr>
              <w:t>Adjusted Sales</w:t>
            </w:r>
            <w:r>
              <w:rPr>
                <w:rFonts w:ascii="Arial" w:cs="Arial" w:eastAsia="Arial" w:hAnsi="Arial"/>
                <w:sz w:val="21"/>
                <w:szCs w:val="21"/>
                <w:color w:val="auto"/>
                <w:w w:val="98"/>
                <w:vertAlign w:val="superscript"/>
              </w:rPr>
              <w:t>(1)</w:t>
            </w:r>
          </w:p>
        </w:tc>
        <w:tc>
          <w:tcPr>
            <w:tcW w:w="3740" w:type="dxa"/>
            <w:vAlign w:val="bottom"/>
            <w:tcBorders>
              <w:right w:val="single" w:sz="8" w:color="D7282F"/>
            </w:tcBorders>
          </w:tcPr>
          <w:p>
            <w:pPr>
              <w:spacing w:after="0"/>
              <w:rPr>
                <w:sz w:val="24"/>
                <w:szCs w:val="24"/>
                <w:color w:val="auto"/>
              </w:rPr>
            </w:pPr>
          </w:p>
        </w:tc>
        <w:tc>
          <w:tcPr>
            <w:tcW w:w="3720" w:type="dxa"/>
            <w:vAlign w:val="bottom"/>
          </w:tcPr>
          <w:p>
            <w:pPr>
              <w:jc w:val="center"/>
              <w:spacing w:after="0"/>
              <w:rPr>
                <w:sz w:val="20"/>
                <w:szCs w:val="20"/>
                <w:color w:val="auto"/>
              </w:rPr>
            </w:pPr>
            <w:r>
              <w:rPr>
                <w:rFonts w:ascii="Arial" w:cs="Arial" w:eastAsia="Arial" w:hAnsi="Arial"/>
                <w:sz w:val="16"/>
                <w:szCs w:val="16"/>
                <w:color w:val="auto"/>
                <w:w w:val="98"/>
              </w:rPr>
              <w:t>Adjusted Segment Margin</w:t>
            </w:r>
            <w:r>
              <w:rPr>
                <w:rFonts w:ascii="Arial" w:cs="Arial" w:eastAsia="Arial" w:hAnsi="Arial"/>
                <w:sz w:val="21"/>
                <w:szCs w:val="21"/>
                <w:color w:val="auto"/>
                <w:w w:val="98"/>
                <w:vertAlign w:val="superscript"/>
              </w:rPr>
              <w:t>(1)</w:t>
            </w:r>
          </w:p>
        </w:tc>
        <w:tc>
          <w:tcPr>
            <w:tcW w:w="0" w:type="dxa"/>
            <w:vAlign w:val="bottom"/>
          </w:tcPr>
          <w:p>
            <w:pPr>
              <w:spacing w:after="0"/>
              <w:rPr>
                <w:sz w:val="1"/>
                <w:szCs w:val="1"/>
                <w:color w:val="auto"/>
              </w:rPr>
            </w:pPr>
          </w:p>
        </w:tc>
      </w:tr>
      <w:tr>
        <w:trPr>
          <w:trHeight w:val="66"/>
        </w:trPr>
        <w:tc>
          <w:tcPr>
            <w:tcW w:w="3760" w:type="dxa"/>
            <w:vAlign w:val="bottom"/>
            <w:tcBorders>
              <w:bottom w:val="single" w:sz="8" w:color="D7282F"/>
              <w:right w:val="single" w:sz="8" w:color="D7282F"/>
            </w:tcBorders>
          </w:tcPr>
          <w:p>
            <w:pPr>
              <w:spacing w:after="0"/>
              <w:rPr>
                <w:sz w:val="5"/>
                <w:szCs w:val="5"/>
                <w:color w:val="auto"/>
              </w:rPr>
            </w:pPr>
          </w:p>
        </w:tc>
        <w:tc>
          <w:tcPr>
            <w:tcW w:w="3740" w:type="dxa"/>
            <w:vAlign w:val="bottom"/>
            <w:tcBorders>
              <w:bottom w:val="single" w:sz="8" w:color="D7282F"/>
              <w:right w:val="single" w:sz="8" w:color="D7282F"/>
            </w:tcBorders>
          </w:tcPr>
          <w:p>
            <w:pPr>
              <w:spacing w:after="0"/>
              <w:rPr>
                <w:sz w:val="5"/>
                <w:szCs w:val="5"/>
                <w:color w:val="auto"/>
              </w:rPr>
            </w:pPr>
          </w:p>
        </w:tc>
        <w:tc>
          <w:tcPr>
            <w:tcW w:w="3720" w:type="dxa"/>
            <w:vAlign w:val="bottom"/>
            <w:tcBorders>
              <w:bottom w:val="single" w:sz="8" w:color="D7282F"/>
            </w:tcBorders>
          </w:tcPr>
          <w:p>
            <w:pPr>
              <w:spacing w:after="0"/>
              <w:rPr>
                <w:sz w:val="5"/>
                <w:szCs w:val="5"/>
                <w:color w:val="auto"/>
              </w:rPr>
            </w:pPr>
          </w:p>
        </w:tc>
        <w:tc>
          <w:tcPr>
            <w:tcW w:w="0" w:type="dxa"/>
            <w:vAlign w:val="bottom"/>
          </w:tcPr>
          <w:p>
            <w:pPr>
              <w:spacing w:after="0"/>
              <w:rPr>
                <w:sz w:val="1"/>
                <w:szCs w:val="1"/>
                <w:color w:val="auto"/>
              </w:rPr>
            </w:pPr>
          </w:p>
        </w:tc>
      </w:tr>
      <w:tr>
        <w:trPr>
          <w:trHeight w:val="533"/>
        </w:trPr>
        <w:tc>
          <w:tcPr>
            <w:tcW w:w="3760" w:type="dxa"/>
            <w:vAlign w:val="bottom"/>
            <w:tcBorders>
              <w:right w:val="single" w:sz="8" w:color="D7282F"/>
            </w:tcBorders>
          </w:tcPr>
          <w:p>
            <w:pPr>
              <w:jc w:val="center"/>
              <w:spacing w:after="0"/>
              <w:rPr>
                <w:sz w:val="20"/>
                <w:szCs w:val="20"/>
                <w:color w:val="auto"/>
              </w:rPr>
            </w:pPr>
            <w:r>
              <w:rPr>
                <w:rFonts w:ascii="Arial" w:cs="Arial" w:eastAsia="Arial" w:hAnsi="Arial"/>
                <w:sz w:val="43"/>
                <w:szCs w:val="43"/>
                <w:b w:val="1"/>
                <w:bCs w:val="1"/>
                <w:color w:val="auto"/>
                <w:w w:val="98"/>
              </w:rPr>
              <w:t>~90%</w:t>
            </w:r>
          </w:p>
        </w:tc>
        <w:tc>
          <w:tcPr>
            <w:tcW w:w="3740" w:type="dxa"/>
            <w:vAlign w:val="bottom"/>
            <w:tcBorders>
              <w:right w:val="single" w:sz="8" w:color="D7282F"/>
            </w:tcBorders>
          </w:tcPr>
          <w:p>
            <w:pPr>
              <w:jc w:val="center"/>
              <w:spacing w:after="0"/>
              <w:rPr>
                <w:sz w:val="20"/>
                <w:szCs w:val="20"/>
                <w:color w:val="auto"/>
              </w:rPr>
            </w:pPr>
            <w:r>
              <w:rPr>
                <w:rFonts w:ascii="Arial" w:cs="Arial" w:eastAsia="Arial" w:hAnsi="Arial"/>
                <w:sz w:val="43"/>
                <w:szCs w:val="43"/>
                <w:b w:val="1"/>
                <w:bCs w:val="1"/>
                <w:color w:val="auto"/>
              </w:rPr>
              <w:t>~200K</w:t>
            </w:r>
          </w:p>
        </w:tc>
        <w:tc>
          <w:tcPr>
            <w:tcW w:w="3720" w:type="dxa"/>
            <w:vAlign w:val="bottom"/>
          </w:tcPr>
          <w:p>
            <w:pPr>
              <w:jc w:val="center"/>
              <w:spacing w:after="0"/>
              <w:rPr>
                <w:sz w:val="20"/>
                <w:szCs w:val="20"/>
                <w:color w:val="auto"/>
              </w:rPr>
            </w:pPr>
            <w:r>
              <w:rPr>
                <w:rFonts w:ascii="Arial" w:cs="Arial" w:eastAsia="Arial" w:hAnsi="Arial"/>
                <w:sz w:val="43"/>
                <w:szCs w:val="43"/>
                <w:b w:val="1"/>
                <w:bCs w:val="1"/>
                <w:color w:val="auto"/>
                <w:w w:val="98"/>
              </w:rPr>
              <w:t>~80%</w:t>
            </w:r>
          </w:p>
        </w:tc>
        <w:tc>
          <w:tcPr>
            <w:tcW w:w="0" w:type="dxa"/>
            <w:vAlign w:val="bottom"/>
          </w:tcPr>
          <w:p>
            <w:pPr>
              <w:spacing w:after="0"/>
              <w:rPr>
                <w:sz w:val="1"/>
                <w:szCs w:val="1"/>
                <w:color w:val="auto"/>
              </w:rPr>
            </w:pPr>
          </w:p>
        </w:tc>
      </w:tr>
      <w:tr>
        <w:trPr>
          <w:trHeight w:val="189"/>
        </w:trPr>
        <w:tc>
          <w:tcPr>
            <w:tcW w:w="3760" w:type="dxa"/>
            <w:vAlign w:val="bottom"/>
            <w:tcBorders>
              <w:right w:val="single" w:sz="8" w:color="D7282F"/>
            </w:tcBorders>
          </w:tcPr>
          <w:p>
            <w:pPr>
              <w:jc w:val="center"/>
              <w:spacing w:after="0"/>
              <w:rPr>
                <w:sz w:val="20"/>
                <w:szCs w:val="20"/>
                <w:color w:val="auto"/>
              </w:rPr>
            </w:pPr>
            <w:r>
              <w:rPr>
                <w:rFonts w:ascii="Arial" w:cs="Arial" w:eastAsia="Arial" w:hAnsi="Arial"/>
                <w:sz w:val="16"/>
                <w:szCs w:val="16"/>
                <w:color w:val="auto"/>
              </w:rPr>
              <w:t>Global Aircraft with</w:t>
            </w:r>
          </w:p>
        </w:tc>
        <w:tc>
          <w:tcPr>
            <w:tcW w:w="3740" w:type="dxa"/>
            <w:vAlign w:val="bottom"/>
            <w:tcBorders>
              <w:right w:val="single" w:sz="8" w:color="D7282F"/>
            </w:tcBorders>
          </w:tcPr>
          <w:p>
            <w:pPr>
              <w:jc w:val="center"/>
              <w:spacing w:after="0"/>
              <w:rPr>
                <w:sz w:val="20"/>
                <w:szCs w:val="20"/>
                <w:color w:val="auto"/>
              </w:rPr>
            </w:pPr>
            <w:r>
              <w:rPr>
                <w:rFonts w:ascii="Arial" w:cs="Arial" w:eastAsia="Arial" w:hAnsi="Arial"/>
                <w:sz w:val="16"/>
                <w:szCs w:val="16"/>
                <w:color w:val="auto"/>
              </w:rPr>
              <w:t>Engines &amp; Auxiliary Power Units</w:t>
            </w:r>
          </w:p>
        </w:tc>
        <w:tc>
          <w:tcPr>
            <w:tcW w:w="3720" w:type="dxa"/>
            <w:vAlign w:val="bottom"/>
          </w:tcPr>
          <w:p>
            <w:pPr>
              <w:jc w:val="center"/>
              <w:spacing w:after="0"/>
              <w:rPr>
                <w:sz w:val="20"/>
                <w:szCs w:val="20"/>
                <w:color w:val="auto"/>
              </w:rPr>
            </w:pPr>
            <w:r>
              <w:rPr>
                <w:rFonts w:ascii="Arial" w:cs="Arial" w:eastAsia="Arial" w:hAnsi="Arial"/>
                <w:sz w:val="16"/>
                <w:szCs w:val="16"/>
                <w:color w:val="auto"/>
              </w:rPr>
              <w:t>Orbiting Satellites with</w:t>
            </w:r>
          </w:p>
        </w:tc>
        <w:tc>
          <w:tcPr>
            <w:tcW w:w="0" w:type="dxa"/>
            <w:vAlign w:val="bottom"/>
          </w:tcPr>
          <w:p>
            <w:pPr>
              <w:spacing w:after="0"/>
              <w:rPr>
                <w:sz w:val="1"/>
                <w:szCs w:val="1"/>
                <w:color w:val="auto"/>
              </w:rPr>
            </w:pPr>
          </w:p>
        </w:tc>
      </w:tr>
      <w:tr>
        <w:trPr>
          <w:trHeight w:val="215"/>
        </w:trPr>
        <w:tc>
          <w:tcPr>
            <w:tcW w:w="3760" w:type="dxa"/>
            <w:vAlign w:val="bottom"/>
            <w:tcBorders>
              <w:right w:val="single" w:sz="8" w:color="D7282F"/>
            </w:tcBorders>
          </w:tcPr>
          <w:p>
            <w:pPr>
              <w:jc w:val="center"/>
              <w:spacing w:after="0"/>
              <w:rPr>
                <w:sz w:val="20"/>
                <w:szCs w:val="20"/>
                <w:color w:val="auto"/>
              </w:rPr>
            </w:pPr>
            <w:r>
              <w:rPr>
                <w:rFonts w:ascii="Arial" w:cs="Arial" w:eastAsia="Arial" w:hAnsi="Arial"/>
                <w:sz w:val="16"/>
                <w:szCs w:val="16"/>
                <w:color w:val="auto"/>
              </w:rPr>
              <w:t>HON Avionics</w:t>
            </w:r>
          </w:p>
        </w:tc>
        <w:tc>
          <w:tcPr>
            <w:tcW w:w="3740" w:type="dxa"/>
            <w:vAlign w:val="bottom"/>
            <w:tcBorders>
              <w:right w:val="single" w:sz="8" w:color="D7282F"/>
            </w:tcBorders>
          </w:tcPr>
          <w:p>
            <w:pPr>
              <w:jc w:val="center"/>
              <w:spacing w:after="0"/>
              <w:rPr>
                <w:sz w:val="20"/>
                <w:szCs w:val="20"/>
                <w:color w:val="auto"/>
              </w:rPr>
            </w:pPr>
            <w:r>
              <w:rPr>
                <w:rFonts w:ascii="Arial" w:cs="Arial" w:eastAsia="Arial" w:hAnsi="Arial"/>
                <w:sz w:val="16"/>
                <w:szCs w:val="16"/>
                <w:color w:val="auto"/>
              </w:rPr>
              <w:t>Delivered Since 1959</w:t>
            </w:r>
          </w:p>
        </w:tc>
        <w:tc>
          <w:tcPr>
            <w:tcW w:w="3720" w:type="dxa"/>
            <w:vAlign w:val="bottom"/>
          </w:tcPr>
          <w:p>
            <w:pPr>
              <w:jc w:val="center"/>
              <w:spacing w:after="0"/>
              <w:rPr>
                <w:sz w:val="20"/>
                <w:szCs w:val="20"/>
                <w:color w:val="auto"/>
              </w:rPr>
            </w:pPr>
            <w:r>
              <w:rPr>
                <w:rFonts w:ascii="Arial" w:cs="Arial" w:eastAsia="Arial" w:hAnsi="Arial"/>
                <w:sz w:val="16"/>
                <w:szCs w:val="16"/>
                <w:color w:val="auto"/>
              </w:rPr>
              <w:t>HON Content</w:t>
            </w:r>
          </w:p>
        </w:tc>
        <w:tc>
          <w:tcPr>
            <w:tcW w:w="0" w:type="dxa"/>
            <w:vAlign w:val="bottom"/>
          </w:tcPr>
          <w:p>
            <w:pPr>
              <w:spacing w:after="0"/>
              <w:rPr>
                <w:sz w:val="1"/>
                <w:szCs w:val="1"/>
                <w:color w:val="auto"/>
              </w:rPr>
            </w:pPr>
          </w:p>
        </w:tc>
      </w:tr>
      <w:tr>
        <w:trPr>
          <w:trHeight w:val="29"/>
        </w:trPr>
        <w:tc>
          <w:tcPr>
            <w:tcW w:w="3760" w:type="dxa"/>
            <w:vAlign w:val="bottom"/>
            <w:tcBorders>
              <w:right w:val="single" w:sz="8" w:color="D7282F"/>
            </w:tcBorders>
          </w:tcPr>
          <w:p>
            <w:pPr>
              <w:spacing w:after="0"/>
              <w:rPr>
                <w:sz w:val="2"/>
                <w:szCs w:val="2"/>
                <w:color w:val="auto"/>
              </w:rPr>
            </w:pPr>
          </w:p>
        </w:tc>
        <w:tc>
          <w:tcPr>
            <w:tcW w:w="3740" w:type="dxa"/>
            <w:vAlign w:val="bottom"/>
            <w:tcBorders>
              <w:right w:val="single" w:sz="8" w:color="D7282F"/>
            </w:tcBorders>
          </w:tcPr>
          <w:p>
            <w:pPr>
              <w:spacing w:after="0"/>
              <w:rPr>
                <w:sz w:val="2"/>
                <w:szCs w:val="2"/>
                <w:color w:val="auto"/>
              </w:rPr>
            </w:pPr>
          </w:p>
        </w:tc>
        <w:tc>
          <w:tcPr>
            <w:tcW w:w="3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200" w:hanging="192"/>
        <w:spacing w:after="0"/>
        <w:tabs>
          <w:tab w:leader="none" w:pos="2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Represents 2025 financial results for the Aerospace Technologies segment.</w:t>
      </w:r>
    </w:p>
    <w:p>
      <w:pPr>
        <w:spacing w:after="0" w:line="49" w:lineRule="exact"/>
        <w:rPr>
          <w:sz w:val="20"/>
          <w:szCs w:val="20"/>
          <w:color w:val="auto"/>
        </w:rPr>
      </w:pPr>
    </w:p>
    <w:p>
      <w:pPr>
        <w:ind w:left="200" w:hanging="192"/>
        <w:spacing w:after="0"/>
        <w:tabs>
          <w:tab w:leader="none" w:pos="200" w:val="left"/>
        </w:tabs>
        <w:numPr>
          <w:ilvl w:val="0"/>
          <w:numId w:val="16"/>
        </w:numPr>
        <w:rPr>
          <w:rFonts w:ascii="Arial" w:cs="Arial" w:eastAsia="Arial" w:hAnsi="Arial"/>
          <w:sz w:val="16"/>
          <w:szCs w:val="16"/>
          <w:color w:val="auto"/>
          <w:vertAlign w:val="superscript"/>
        </w:rPr>
      </w:pPr>
      <w:r>
        <w:rPr>
          <w:rFonts w:ascii="Arial" w:cs="Arial" w:eastAsia="Arial" w:hAnsi="Arial"/>
          <w:sz w:val="13"/>
          <w:szCs w:val="13"/>
          <w:color w:val="auto"/>
        </w:rPr>
        <w:t>See Appendix A of this Proxy Statement for additional information regarding non-GAAP measures.</w:t>
      </w:r>
    </w:p>
    <w:p>
      <w:pPr>
        <w:spacing w:after="0" w:line="204" w:lineRule="exact"/>
        <w:rPr>
          <w:sz w:val="20"/>
          <w:szCs w:val="20"/>
          <w:color w:val="auto"/>
        </w:rPr>
      </w:pPr>
    </w:p>
    <w:p>
      <w:pPr>
        <w:ind w:left="20"/>
        <w:spacing w:after="0"/>
        <w:tabs>
          <w:tab w:leader="none" w:pos="460" w:val="left"/>
          <w:tab w:leader="none" w:pos="184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sz w:val="1"/>
          <w:szCs w:val="1"/>
          <w:color w:val="auto"/>
        </w:rPr>
        <w:drawing>
          <wp:inline distT="0" distB="0" distL="0" distR="0">
            <wp:extent cx="548640" cy="10287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2026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3"/>
          <w:szCs w:val="13"/>
          <w:b w:val="1"/>
          <w:bCs w:val="1"/>
          <w:color w:val="6D6E71"/>
        </w:rPr>
        <w:t>HONEYWELL PERFORMANCE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619125</wp:posOffset>
            </wp:positionV>
            <wp:extent cx="7123430" cy="514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2343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900"/>
        <w:spacing w:after="0"/>
        <w:rPr>
          <w:sz w:val="20"/>
          <w:szCs w:val="20"/>
          <w:color w:val="auto"/>
        </w:rPr>
      </w:pPr>
      <w:r>
        <w:rPr>
          <w:rFonts w:ascii="Arial" w:cs="Arial" w:eastAsia="Arial" w:hAnsi="Arial"/>
          <w:sz w:val="22"/>
          <w:szCs w:val="22"/>
          <w:b w:val="1"/>
          <w:bCs w:val="1"/>
          <w:color w:val="FFFFFF"/>
        </w:rPr>
        <w:t>AUTOMATION</w:t>
      </w:r>
    </w:p>
    <w:p>
      <w:pPr>
        <w:spacing w:after="0" w:line="200" w:lineRule="exact"/>
        <w:rPr>
          <w:sz w:val="20"/>
          <w:szCs w:val="20"/>
          <w:color w:val="auto"/>
        </w:rPr>
      </w:pPr>
    </w:p>
    <w:p>
      <w:pPr>
        <w:spacing w:after="0" w:line="277" w:lineRule="exact"/>
        <w:rPr>
          <w:sz w:val="20"/>
          <w:szCs w:val="20"/>
          <w:color w:val="auto"/>
        </w:rPr>
      </w:pPr>
    </w:p>
    <w:p>
      <w:pPr>
        <w:ind w:right="40"/>
        <w:spacing w:after="0" w:line="239" w:lineRule="auto"/>
        <w:rPr>
          <w:sz w:val="20"/>
          <w:szCs w:val="20"/>
          <w:color w:val="auto"/>
        </w:rPr>
      </w:pPr>
      <w:r>
        <w:rPr>
          <w:rFonts w:ascii="Arial" w:cs="Arial" w:eastAsia="Arial" w:hAnsi="Arial"/>
          <w:sz w:val="16"/>
          <w:szCs w:val="16"/>
          <w:color w:val="auto"/>
        </w:rPr>
        <w:t>Similarly, the Automation business will be an approximately $20 billion leading, pure-play automation company with a vast installed base and comprehensive portfolio of technologies, solutions, and software enabling us to solve the world’s most complex problems and power the digital transformation, globally. Our advanced technologies, coupled with deep domain expertise, are capable of delivering differentiated, cross-domain solutions and customer outcomes at the enterprise level. These outcomes, supported by AI-enabled Honeywell Forge applications, will position Honeywell to lead the transition to an autonomous future.</w:t>
      </w:r>
    </w:p>
    <w:p>
      <w:pPr>
        <w:spacing w:after="0" w:line="88" w:lineRule="exact"/>
        <w:rPr>
          <w:sz w:val="20"/>
          <w:szCs w:val="20"/>
          <w:color w:val="auto"/>
        </w:rPr>
      </w:pPr>
    </w:p>
    <w:tbl>
      <w:tblPr>
        <w:tblLayout w:type="fixed"/>
        <w:tblInd w:w="660" w:type="dxa"/>
        <w:tblCellMar>
          <w:top w:w="0" w:type="dxa"/>
          <w:left w:w="0" w:type="dxa"/>
          <w:bottom w:w="0" w:type="dxa"/>
          <w:right w:w="0" w:type="dxa"/>
        </w:tblCellMar>
      </w:tblPr>
      <w:tr>
        <w:trPr>
          <w:trHeight w:val="494"/>
        </w:trPr>
        <w:tc>
          <w:tcPr>
            <w:tcW w:w="3100" w:type="dxa"/>
            <w:vAlign w:val="bottom"/>
            <w:tcBorders>
              <w:right w:val="single" w:sz="8" w:color="D7282F"/>
            </w:tcBorders>
          </w:tcPr>
          <w:p>
            <w:pPr>
              <w:jc w:val="center"/>
              <w:ind w:right="532"/>
              <w:spacing w:after="0"/>
              <w:rPr>
                <w:sz w:val="20"/>
                <w:szCs w:val="20"/>
                <w:color w:val="auto"/>
              </w:rPr>
            </w:pPr>
            <w:r>
              <w:rPr>
                <w:rFonts w:ascii="Arial" w:cs="Arial" w:eastAsia="Arial" w:hAnsi="Arial"/>
                <w:sz w:val="43"/>
                <w:szCs w:val="43"/>
                <w:b w:val="1"/>
                <w:bCs w:val="1"/>
                <w:color w:val="auto"/>
              </w:rPr>
              <w:t>&gt;10M</w:t>
            </w:r>
          </w:p>
        </w:tc>
        <w:tc>
          <w:tcPr>
            <w:tcW w:w="3740" w:type="dxa"/>
            <w:vAlign w:val="bottom"/>
            <w:tcBorders>
              <w:right w:val="single" w:sz="8" w:color="D7282F"/>
            </w:tcBorders>
          </w:tcPr>
          <w:p>
            <w:pPr>
              <w:jc w:val="center"/>
              <w:spacing w:after="0"/>
              <w:rPr>
                <w:sz w:val="20"/>
                <w:szCs w:val="20"/>
                <w:color w:val="auto"/>
              </w:rPr>
            </w:pPr>
            <w:r>
              <w:rPr>
                <w:rFonts w:ascii="Arial" w:cs="Arial" w:eastAsia="Arial" w:hAnsi="Arial"/>
                <w:sz w:val="43"/>
                <w:szCs w:val="43"/>
                <w:b w:val="1"/>
                <w:bCs w:val="1"/>
                <w:color w:val="auto"/>
              </w:rPr>
              <w:t>~20K</w:t>
            </w:r>
          </w:p>
        </w:tc>
        <w:tc>
          <w:tcPr>
            <w:tcW w:w="2800" w:type="dxa"/>
            <w:vAlign w:val="bottom"/>
          </w:tcPr>
          <w:p>
            <w:pPr>
              <w:jc w:val="center"/>
              <w:ind w:left="752"/>
              <w:spacing w:after="0"/>
              <w:rPr>
                <w:sz w:val="20"/>
                <w:szCs w:val="20"/>
                <w:color w:val="auto"/>
              </w:rPr>
            </w:pPr>
            <w:r>
              <w:rPr>
                <w:rFonts w:ascii="Arial" w:cs="Arial" w:eastAsia="Arial" w:hAnsi="Arial"/>
                <w:sz w:val="43"/>
                <w:szCs w:val="43"/>
                <w:b w:val="1"/>
                <w:bCs w:val="1"/>
                <w:color w:val="auto"/>
              </w:rPr>
              <w:t>&gt;5K+</w:t>
            </w:r>
          </w:p>
        </w:tc>
      </w:tr>
      <w:tr>
        <w:trPr>
          <w:trHeight w:val="230"/>
        </w:trPr>
        <w:tc>
          <w:tcPr>
            <w:tcW w:w="3100" w:type="dxa"/>
            <w:vAlign w:val="bottom"/>
            <w:tcBorders>
              <w:right w:val="single" w:sz="8" w:color="D7282F"/>
            </w:tcBorders>
          </w:tcPr>
          <w:p>
            <w:pPr>
              <w:jc w:val="center"/>
              <w:ind w:right="532"/>
              <w:spacing w:after="0"/>
              <w:rPr>
                <w:sz w:val="20"/>
                <w:szCs w:val="20"/>
                <w:color w:val="auto"/>
              </w:rPr>
            </w:pPr>
            <w:r>
              <w:rPr>
                <w:rFonts w:ascii="Arial" w:cs="Arial" w:eastAsia="Arial" w:hAnsi="Arial"/>
                <w:sz w:val="16"/>
                <w:szCs w:val="16"/>
                <w:color w:val="auto"/>
              </w:rPr>
              <w:t>Global Installed Base in Buildings</w:t>
            </w:r>
          </w:p>
        </w:tc>
        <w:tc>
          <w:tcPr>
            <w:tcW w:w="3740" w:type="dxa"/>
            <w:vAlign w:val="bottom"/>
            <w:tcBorders>
              <w:right w:val="single" w:sz="8" w:color="D7282F"/>
            </w:tcBorders>
          </w:tcPr>
          <w:p>
            <w:pPr>
              <w:jc w:val="center"/>
              <w:spacing w:after="0"/>
              <w:rPr>
                <w:sz w:val="20"/>
                <w:szCs w:val="20"/>
                <w:color w:val="auto"/>
              </w:rPr>
            </w:pPr>
            <w:r>
              <w:rPr>
                <w:rFonts w:ascii="Arial" w:cs="Arial" w:eastAsia="Arial" w:hAnsi="Arial"/>
                <w:sz w:val="16"/>
                <w:szCs w:val="16"/>
                <w:color w:val="auto"/>
              </w:rPr>
              <w:t>Process Plants with HON Technology</w:t>
            </w:r>
          </w:p>
        </w:tc>
        <w:tc>
          <w:tcPr>
            <w:tcW w:w="2800" w:type="dxa"/>
            <w:vAlign w:val="bottom"/>
          </w:tcPr>
          <w:p>
            <w:pPr>
              <w:jc w:val="center"/>
              <w:ind w:left="752"/>
              <w:spacing w:after="0"/>
              <w:rPr>
                <w:sz w:val="20"/>
                <w:szCs w:val="20"/>
                <w:color w:val="auto"/>
              </w:rPr>
            </w:pPr>
            <w:r>
              <w:rPr>
                <w:rFonts w:ascii="Arial" w:cs="Arial" w:eastAsia="Arial" w:hAnsi="Arial"/>
                <w:sz w:val="16"/>
                <w:szCs w:val="16"/>
                <w:color w:val="auto"/>
              </w:rPr>
              <w:t>Top Tier Channel Partners</w:t>
            </w:r>
          </w:p>
        </w:tc>
      </w:tr>
    </w:tbl>
    <w:p>
      <w:pPr>
        <w:spacing w:after="0" w:line="31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PORTFOLIO OPTIMIZATION AND STRATEGIC CAPITAL DEPLOYMENT</w:t>
      </w:r>
    </w:p>
    <w:p>
      <w:pPr>
        <w:spacing w:after="0" w:line="114" w:lineRule="exact"/>
        <w:rPr>
          <w:sz w:val="20"/>
          <w:szCs w:val="20"/>
          <w:color w:val="auto"/>
        </w:rPr>
      </w:pPr>
    </w:p>
    <w:p>
      <w:pPr>
        <w:ind w:right="60"/>
        <w:spacing w:after="0" w:line="238" w:lineRule="auto"/>
        <w:rPr>
          <w:sz w:val="20"/>
          <w:szCs w:val="20"/>
          <w:color w:val="auto"/>
        </w:rPr>
      </w:pPr>
      <w:r>
        <w:rPr>
          <w:rFonts w:ascii="Arial" w:cs="Arial" w:eastAsia="Arial" w:hAnsi="Arial"/>
          <w:sz w:val="16"/>
          <w:szCs w:val="16"/>
          <w:color w:val="auto"/>
        </w:rPr>
        <w:t>Portfolio optimization and capital deployment remain a central focus for Honeywell, as evidenced by the separation and segment realignment announcements that we made during 2025 as well as the numerous acquisitions that we announced and/or completed. We continued to deploy significant capital in 2025, totaling $10.0 billion to M&amp;A, dividends, share repurchases, and capital expenditures, resulting in over $32 billion since 2023, well above our commitment to deploy at least $25 billion in capital from 2023 to 2025. In fact, we have deployed $12 billion towards M&amp;A since 2023 via a disciplined framework, targeting opportunities that align with our core strategies, adding value to our existing business, and further fortifying our growth-oriented portfolio. We have also applied this approach to strategic portfolio pruning where business model fit is limited, particularly with assets that have less opportunity to drive recurring, connected, and aftermarket offerings.</w:t>
      </w:r>
    </w:p>
    <w:p>
      <w:pPr>
        <w:spacing w:after="0" w:line="86"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Our R&amp;D investments have been pivotal in driving strong growth in new product introductions that not only sustain our core business but also generate incremental decoupled revenue streams, and we invested 4.8% of sales on research and development in 2025, an increase from 4.2% in 2024. By focusing on innovation, we are developing advanced technologies and solutions that meet evolving customer needs, enhance operational efficiencies, and deliver additional value. We are excited about the recent execution on our portfolio optimization goals that will ultimately lead to enhanced financial performance and improved shareowner value. Important portfolio optimization and capital deployment milestones that defined 2025 include:</w:t>
      </w:r>
    </w:p>
    <w:p>
      <w:pPr>
        <w:spacing w:after="0" w:line="83" w:lineRule="exact"/>
        <w:rPr>
          <w:sz w:val="20"/>
          <w:szCs w:val="20"/>
          <w:color w:val="auto"/>
        </w:rPr>
      </w:pPr>
    </w:p>
    <w:p>
      <w:pPr>
        <w:ind w:left="200" w:right="200" w:hanging="192"/>
        <w:spacing w:after="0" w:line="264" w:lineRule="auto"/>
        <w:tabs>
          <w:tab w:leader="none" w:pos="197" w:val="left"/>
        </w:tabs>
        <w:numPr>
          <w:ilvl w:val="0"/>
          <w:numId w:val="17"/>
        </w:numPr>
        <w:rPr>
          <w:rFonts w:ascii="Arial" w:cs="Arial" w:eastAsia="Arial" w:hAnsi="Arial"/>
          <w:sz w:val="16"/>
          <w:szCs w:val="16"/>
          <w:b w:val="1"/>
          <w:bCs w:val="1"/>
          <w:color w:val="D7282F"/>
        </w:rPr>
      </w:pPr>
      <w:r>
        <w:rPr>
          <w:rFonts w:ascii="Arial" w:cs="Arial" w:eastAsia="Arial" w:hAnsi="Arial"/>
          <w:sz w:val="16"/>
          <w:szCs w:val="16"/>
          <w:color w:val="auto"/>
        </w:rPr>
        <w:t>Closed the sale of our PPE business to Protective Industrial Products, Inc. in May for $1.325 billion in an all-cash transaction, marking the completion of our exit from the PPE space and further optimizing our portfolio for growth in our core businesses.</w:t>
      </w:r>
    </w:p>
    <w:p>
      <w:pPr>
        <w:ind w:left="200" w:right="140" w:hanging="192"/>
        <w:spacing w:after="0" w:line="264" w:lineRule="auto"/>
        <w:tabs>
          <w:tab w:leader="none" w:pos="197" w:val="left"/>
        </w:tabs>
        <w:numPr>
          <w:ilvl w:val="0"/>
          <w:numId w:val="17"/>
        </w:numPr>
        <w:rPr>
          <w:rFonts w:ascii="Arial" w:cs="Arial" w:eastAsia="Arial" w:hAnsi="Arial"/>
          <w:sz w:val="16"/>
          <w:szCs w:val="16"/>
          <w:b w:val="1"/>
          <w:bCs w:val="1"/>
          <w:color w:val="D7282F"/>
        </w:rPr>
      </w:pPr>
      <w:r>
        <w:rPr>
          <w:rFonts w:ascii="Arial" w:cs="Arial" w:eastAsia="Arial" w:hAnsi="Arial"/>
          <w:sz w:val="16"/>
          <w:szCs w:val="16"/>
          <w:color w:val="auto"/>
        </w:rPr>
        <w:t>Closed the acquisition of Sundyne in June for $2.2 billion in an all-cash transaction, enhancing Honeywell's end-to-end solutions in process technologies and critical equipment, alongside automation and control systems enabled by Honeywell Forge.</w:t>
      </w:r>
    </w:p>
    <w:p>
      <w:pPr>
        <w:ind w:left="200" w:right="460" w:hanging="192"/>
        <w:spacing w:after="0" w:line="268" w:lineRule="auto"/>
        <w:tabs>
          <w:tab w:leader="none" w:pos="197" w:val="left"/>
        </w:tabs>
        <w:numPr>
          <w:ilvl w:val="0"/>
          <w:numId w:val="17"/>
        </w:numPr>
        <w:rPr>
          <w:rFonts w:ascii="Arial" w:cs="Arial" w:eastAsia="Arial" w:hAnsi="Arial"/>
          <w:sz w:val="16"/>
          <w:szCs w:val="16"/>
          <w:b w:val="1"/>
          <w:bCs w:val="1"/>
          <w:color w:val="D7282F"/>
        </w:rPr>
      </w:pPr>
      <w:r>
        <w:rPr>
          <w:rFonts w:ascii="Arial" w:cs="Arial" w:eastAsia="Arial" w:hAnsi="Arial"/>
          <w:sz w:val="16"/>
          <w:szCs w:val="16"/>
          <w:color w:val="auto"/>
        </w:rPr>
        <w:t>Closed the acquisition of Li-ion Tamer in July, further strengthening our portfolio of fire life safety technologies with mission-critical lithium-ion battery safety solutions serving high-growth sectors such as cloud computing and renewable energy.</w:t>
      </w:r>
    </w:p>
    <w:p>
      <w:pPr>
        <w:spacing w:after="0" w:line="7" w:lineRule="exact"/>
        <w:rPr>
          <w:rFonts w:ascii="Arial" w:cs="Arial" w:eastAsia="Arial" w:hAnsi="Arial"/>
          <w:sz w:val="16"/>
          <w:szCs w:val="16"/>
          <w:b w:val="1"/>
          <w:bCs w:val="1"/>
          <w:color w:val="D7282F"/>
        </w:rPr>
      </w:pPr>
    </w:p>
    <w:p>
      <w:pPr>
        <w:ind w:left="200" w:right="160" w:hanging="192"/>
        <w:spacing w:after="0" w:line="264" w:lineRule="auto"/>
        <w:tabs>
          <w:tab w:leader="none" w:pos="197" w:val="left"/>
        </w:tabs>
        <w:numPr>
          <w:ilvl w:val="0"/>
          <w:numId w:val="17"/>
        </w:numPr>
        <w:rPr>
          <w:rFonts w:ascii="Arial" w:cs="Arial" w:eastAsia="Arial" w:hAnsi="Arial"/>
          <w:sz w:val="16"/>
          <w:szCs w:val="16"/>
          <w:b w:val="1"/>
          <w:bCs w:val="1"/>
          <w:color w:val="D7282F"/>
        </w:rPr>
      </w:pPr>
      <w:r>
        <w:rPr>
          <w:rFonts w:ascii="Arial" w:cs="Arial" w:eastAsia="Arial" w:hAnsi="Arial"/>
          <w:sz w:val="16"/>
          <w:szCs w:val="16"/>
          <w:color w:val="auto"/>
        </w:rPr>
        <w:t>Closed the acquisition of SparkMeter’s data platform and software technologies in August, including three utility platforms that expand our Smart Energy portfolio with leading grid management solutions for utilities.</w:t>
      </w:r>
    </w:p>
    <w:p>
      <w:pPr>
        <w:ind w:left="200" w:hanging="192"/>
        <w:spacing w:after="0" w:line="264" w:lineRule="auto"/>
        <w:tabs>
          <w:tab w:leader="none" w:pos="197" w:val="left"/>
        </w:tabs>
        <w:numPr>
          <w:ilvl w:val="0"/>
          <w:numId w:val="17"/>
        </w:numPr>
        <w:rPr>
          <w:rFonts w:ascii="Arial" w:cs="Arial" w:eastAsia="Arial" w:hAnsi="Arial"/>
          <w:sz w:val="16"/>
          <w:szCs w:val="16"/>
          <w:b w:val="1"/>
          <w:bCs w:val="1"/>
          <w:color w:val="D7282F"/>
        </w:rPr>
      </w:pPr>
      <w:r>
        <w:rPr>
          <w:rFonts w:ascii="Arial" w:cs="Arial" w:eastAsia="Arial" w:hAnsi="Arial"/>
          <w:sz w:val="16"/>
          <w:szCs w:val="16"/>
          <w:color w:val="auto"/>
        </w:rPr>
        <w:t>Completed the spin-off of Solstice Advanced Materials into an independent, publicly-traded specialty chemicals company in October, marking another step towards a simplified portfolio capable of generating stronger organic growth with less cyclicality and capital intensity.</w:t>
      </w:r>
    </w:p>
    <w:p>
      <w:pPr>
        <w:ind w:left="200" w:right="20" w:hanging="192"/>
        <w:spacing w:after="0" w:line="257" w:lineRule="auto"/>
        <w:tabs>
          <w:tab w:leader="none" w:pos="197" w:val="left"/>
        </w:tabs>
        <w:numPr>
          <w:ilvl w:val="0"/>
          <w:numId w:val="17"/>
        </w:numPr>
        <w:rPr>
          <w:rFonts w:ascii="Arial" w:cs="Arial" w:eastAsia="Arial" w:hAnsi="Arial"/>
          <w:sz w:val="16"/>
          <w:szCs w:val="16"/>
          <w:b w:val="1"/>
          <w:bCs w:val="1"/>
          <w:color w:val="D7282F"/>
        </w:rPr>
      </w:pPr>
      <w:r>
        <w:rPr>
          <w:rFonts w:ascii="Arial" w:cs="Arial" w:eastAsia="Arial" w:hAnsi="Arial"/>
          <w:sz w:val="16"/>
          <w:szCs w:val="16"/>
          <w:color w:val="auto"/>
        </w:rPr>
        <w:t>Announced the acquisition of Johnson Matthey’s Catalyst Technologies business in May, which complements Honeywell's existing UOP business of selling catalyst and process technologies and expands its installed base across refining and petrochemical catalysts. The total consideration was adjusted to £1.325 billion in February 2026.</w:t>
      </w:r>
    </w:p>
    <w:p>
      <w:pPr>
        <w:spacing w:after="0" w:line="2" w:lineRule="exact"/>
        <w:rPr>
          <w:rFonts w:ascii="Arial" w:cs="Arial" w:eastAsia="Arial" w:hAnsi="Arial"/>
          <w:sz w:val="16"/>
          <w:szCs w:val="16"/>
          <w:b w:val="1"/>
          <w:bCs w:val="1"/>
          <w:color w:val="D7282F"/>
        </w:rPr>
      </w:pPr>
    </w:p>
    <w:p>
      <w:pPr>
        <w:ind w:left="200" w:right="160" w:hanging="192"/>
        <w:spacing w:after="0" w:line="248" w:lineRule="auto"/>
        <w:tabs>
          <w:tab w:leader="none" w:pos="197" w:val="left"/>
        </w:tabs>
        <w:numPr>
          <w:ilvl w:val="0"/>
          <w:numId w:val="17"/>
        </w:numPr>
        <w:rPr>
          <w:rFonts w:ascii="Arial" w:cs="Arial" w:eastAsia="Arial" w:hAnsi="Arial"/>
          <w:sz w:val="16"/>
          <w:szCs w:val="16"/>
          <w:b w:val="1"/>
          <w:bCs w:val="1"/>
          <w:color w:val="D7282F"/>
        </w:rPr>
      </w:pPr>
      <w:r>
        <w:rPr>
          <w:rFonts w:ascii="Arial" w:cs="Arial" w:eastAsia="Arial" w:hAnsi="Arial"/>
          <w:sz w:val="16"/>
          <w:szCs w:val="16"/>
          <w:color w:val="auto"/>
        </w:rPr>
        <w:t>Announced the planned divestiture of our Productivity Solutions and Services (“PSS”) and Warehouse and Workflow Solutions (“WWS”) businesses, enabling a deeper focus on accelerating value creation as a pure-play automation business following our planned Honeywell Aerospace separation next year.</w:t>
      </w:r>
    </w:p>
    <w:p>
      <w:pPr>
        <w:spacing w:after="0" w:line="23" w:lineRule="exact"/>
        <w:rPr>
          <w:rFonts w:ascii="Arial" w:cs="Arial" w:eastAsia="Arial" w:hAnsi="Arial"/>
          <w:sz w:val="16"/>
          <w:szCs w:val="16"/>
          <w:b w:val="1"/>
          <w:bCs w:val="1"/>
          <w:color w:val="D7282F"/>
        </w:rPr>
      </w:pPr>
    </w:p>
    <w:p>
      <w:pPr>
        <w:ind w:left="200" w:right="580" w:hanging="192"/>
        <w:spacing w:after="0" w:line="264" w:lineRule="auto"/>
        <w:tabs>
          <w:tab w:leader="none" w:pos="197" w:val="left"/>
        </w:tabs>
        <w:numPr>
          <w:ilvl w:val="0"/>
          <w:numId w:val="17"/>
        </w:numPr>
        <w:rPr>
          <w:rFonts w:ascii="Arial" w:cs="Arial" w:eastAsia="Arial" w:hAnsi="Arial"/>
          <w:sz w:val="16"/>
          <w:szCs w:val="16"/>
          <w:b w:val="1"/>
          <w:bCs w:val="1"/>
          <w:color w:val="D7282F"/>
        </w:rPr>
      </w:pPr>
      <w:r>
        <w:rPr>
          <w:rFonts w:ascii="Arial" w:cs="Arial" w:eastAsia="Arial" w:hAnsi="Arial"/>
          <w:sz w:val="16"/>
          <w:szCs w:val="16"/>
          <w:color w:val="auto"/>
        </w:rPr>
        <w:t>Divested all of its legacy Bendix asbestos liabilities, as well as certain non-Bendix asbestos liabilities, to Delticus in October, allowing Honeywell to permanently divest these legacy asbestos liabilities and allowing the Company to focus on redeploying capital toward core growth priorities.</w:t>
      </w:r>
    </w:p>
    <w:p>
      <w:pPr>
        <w:ind w:left="200" w:right="260" w:hanging="192"/>
        <w:spacing w:after="0" w:line="248" w:lineRule="auto"/>
        <w:tabs>
          <w:tab w:leader="none" w:pos="197" w:val="left"/>
        </w:tabs>
        <w:numPr>
          <w:ilvl w:val="0"/>
          <w:numId w:val="17"/>
        </w:numPr>
        <w:rPr>
          <w:rFonts w:ascii="Arial" w:cs="Arial" w:eastAsia="Arial" w:hAnsi="Arial"/>
          <w:sz w:val="16"/>
          <w:szCs w:val="16"/>
          <w:b w:val="1"/>
          <w:bCs w:val="1"/>
          <w:color w:val="D7282F"/>
        </w:rPr>
      </w:pPr>
      <w:r>
        <w:rPr>
          <w:rFonts w:ascii="Arial" w:cs="Arial" w:eastAsia="Arial" w:hAnsi="Arial"/>
          <w:sz w:val="16"/>
          <w:szCs w:val="16"/>
          <w:color w:val="auto"/>
        </w:rPr>
        <w:t>Announced the realignment of Honeywell segments in October into a simplified structure of three reporting segments in addition to our Aerospace Technologies segment, aligned to our strategy to deliver the future of automation through high-ROI, outcomes-based solutions. The new reporting took effect in the beginning of first quarter 2026.</w:t>
      </w:r>
    </w:p>
    <w:p>
      <w:pPr>
        <w:spacing w:after="0" w:line="10" w:lineRule="exact"/>
        <w:rPr>
          <w:rFonts w:ascii="Arial" w:cs="Arial" w:eastAsia="Arial" w:hAnsi="Arial"/>
          <w:sz w:val="16"/>
          <w:szCs w:val="16"/>
          <w:b w:val="1"/>
          <w:bCs w:val="1"/>
          <w:color w:val="D7282F"/>
        </w:rPr>
      </w:pPr>
    </w:p>
    <w:p>
      <w:pPr>
        <w:ind w:left="200" w:hanging="192"/>
        <w:spacing w:after="0"/>
        <w:tabs>
          <w:tab w:leader="none" w:pos="200" w:val="left"/>
        </w:tabs>
        <w:numPr>
          <w:ilvl w:val="0"/>
          <w:numId w:val="17"/>
        </w:numPr>
        <w:rPr>
          <w:rFonts w:ascii="Arial" w:cs="Arial" w:eastAsia="Arial" w:hAnsi="Arial"/>
          <w:sz w:val="16"/>
          <w:szCs w:val="16"/>
          <w:b w:val="1"/>
          <w:bCs w:val="1"/>
          <w:color w:val="D7282F"/>
        </w:rPr>
      </w:pPr>
      <w:r>
        <w:rPr>
          <w:rFonts w:ascii="Arial" w:cs="Arial" w:eastAsia="Arial" w:hAnsi="Arial"/>
          <w:sz w:val="16"/>
          <w:szCs w:val="16"/>
          <w:color w:val="auto"/>
        </w:rPr>
        <w:t>Repurchased $3.8 billion in Honeywell shares, reducing the weighted average share count by 1.9%.</w:t>
      </w:r>
    </w:p>
    <w:p>
      <w:pPr>
        <w:spacing w:after="0" w:line="59" w:lineRule="exact"/>
        <w:rPr>
          <w:rFonts w:ascii="Arial" w:cs="Arial" w:eastAsia="Arial" w:hAnsi="Arial"/>
          <w:sz w:val="16"/>
          <w:szCs w:val="16"/>
          <w:b w:val="1"/>
          <w:bCs w:val="1"/>
          <w:color w:val="D7282F"/>
        </w:rPr>
      </w:pPr>
    </w:p>
    <w:p>
      <w:pPr>
        <w:ind w:left="200" w:hanging="192"/>
        <w:spacing w:after="0"/>
        <w:tabs>
          <w:tab w:leader="none" w:pos="200" w:val="left"/>
        </w:tabs>
        <w:numPr>
          <w:ilvl w:val="0"/>
          <w:numId w:val="17"/>
        </w:numPr>
        <w:rPr>
          <w:rFonts w:ascii="Arial" w:cs="Arial" w:eastAsia="Arial" w:hAnsi="Arial"/>
          <w:sz w:val="16"/>
          <w:szCs w:val="16"/>
          <w:b w:val="1"/>
          <w:bCs w:val="1"/>
          <w:color w:val="D7282F"/>
        </w:rPr>
      </w:pPr>
      <w:r>
        <w:rPr>
          <w:rFonts w:ascii="Arial" w:cs="Arial" w:eastAsia="Arial" w:hAnsi="Arial"/>
          <w:sz w:val="16"/>
          <w:szCs w:val="16"/>
          <w:color w:val="auto"/>
        </w:rPr>
        <w:t>Raised our dividend for the 16th time over 15 consecutive years.</w:t>
      </w:r>
    </w:p>
    <w:p>
      <w:pPr>
        <w:spacing w:after="0" w:line="45" w:lineRule="exact"/>
        <w:rPr>
          <w:rFonts w:ascii="Arial" w:cs="Arial" w:eastAsia="Arial" w:hAnsi="Arial"/>
          <w:sz w:val="16"/>
          <w:szCs w:val="16"/>
          <w:b w:val="1"/>
          <w:bCs w:val="1"/>
          <w:color w:val="D7282F"/>
        </w:rPr>
      </w:pPr>
    </w:p>
    <w:p>
      <w:pPr>
        <w:ind w:left="200" w:hanging="192"/>
        <w:spacing w:after="0"/>
        <w:tabs>
          <w:tab w:leader="none" w:pos="200" w:val="left"/>
        </w:tabs>
        <w:numPr>
          <w:ilvl w:val="0"/>
          <w:numId w:val="17"/>
        </w:numPr>
        <w:rPr>
          <w:rFonts w:ascii="Arial" w:cs="Arial" w:eastAsia="Arial" w:hAnsi="Arial"/>
          <w:sz w:val="16"/>
          <w:szCs w:val="16"/>
          <w:b w:val="1"/>
          <w:bCs w:val="1"/>
          <w:color w:val="D7282F"/>
        </w:rPr>
      </w:pPr>
      <w:r>
        <w:rPr>
          <w:rFonts w:ascii="Arial" w:cs="Arial" w:eastAsia="Arial" w:hAnsi="Arial"/>
          <w:sz w:val="16"/>
          <w:szCs w:val="16"/>
          <w:color w:val="auto"/>
        </w:rPr>
        <w:t>Deployed approximately $1.0 billion to high-return capital expenditures.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60" w:type="dxa"/>
            <w:vAlign w:val="bottom"/>
          </w:tcPr>
          <w:p>
            <w:pPr>
              <w:ind w:left="6840"/>
              <w:spacing w:after="0"/>
              <w:rPr>
                <w:sz w:val="20"/>
                <w:szCs w:val="20"/>
                <w:color w:val="auto"/>
              </w:rPr>
            </w:pPr>
            <w:r>
              <w:rPr>
                <w:rFonts w:ascii="Arial" w:cs="Arial" w:eastAsia="Arial" w:hAnsi="Arial"/>
                <w:sz w:val="13"/>
                <w:szCs w:val="13"/>
                <w:b w:val="1"/>
                <w:bCs w:val="1"/>
                <w:color w:val="6D6E71"/>
              </w:rPr>
              <w:t>2026 NOTICE AND PROXY STATEMENT   |</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373"/>
        </w:trPr>
        <w:tc>
          <w:tcPr>
            <w:tcW w:w="10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0" w:name="page11"/>
    <w:bookmarkEnd w:id="10"/>
    <w:p>
      <w:pPr>
        <w:spacing w:after="0"/>
        <w:rPr>
          <w:sz w:val="20"/>
          <w:szCs w:val="20"/>
          <w:color w:val="auto"/>
        </w:rPr>
      </w:pPr>
      <w:r>
        <w:rPr>
          <w:rFonts w:ascii="Arial" w:cs="Arial" w:eastAsia="Arial" w:hAnsi="Arial"/>
          <w:sz w:val="13"/>
          <w:szCs w:val="13"/>
          <w:b w:val="1"/>
          <w:bCs w:val="1"/>
          <w:color w:val="6D6E71"/>
        </w:rPr>
        <w:t>HONEYWELL PERFORMANCE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HONEYWELL ACCELERATOR — OUR OPERATING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115570</wp:posOffset>
            </wp:positionV>
            <wp:extent cx="3206115" cy="32061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06115" cy="3206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In 2021, we began the work of bolstering our best-in-class operating system to extract incremental value from our day-to-day operations. Honeywell Accelerator was designed to provide a centralized source of best practices that build a foundation of excellence across our diverse portfolio, accelerating our ongoing transformation into a software-industrial company. In 2022, we implemented the Global Design Models (GDMs) to facilitate knowledge transfer across similar business units in our portfolio. We leveled up in 2023 with the unveiling of Honeywell Accelerator 3.0, expanding on our operating system and GDMs by standardizing end-to-end processes across our four main business models: products, projects, aftermarket services, and software. In 2024, we progressed further in each of our GDMs, deploying best practices in a consistent manner across the portfolio while enabling scaled capabilities across business models, and our operating system proved to be a powerful integration tool throughout the significant M&amp;A actions that we took during the year.</w:t>
      </w:r>
    </w:p>
    <w:p>
      <w:pPr>
        <w:spacing w:after="0" w:line="68" w:lineRule="exact"/>
        <w:rPr>
          <w:sz w:val="20"/>
          <w:szCs w:val="20"/>
          <w:color w:val="auto"/>
        </w:rPr>
      </w:pPr>
    </w:p>
    <w:p>
      <w:pPr>
        <w:ind w:right="120"/>
        <w:spacing w:after="0" w:line="198" w:lineRule="exact"/>
        <w:rPr>
          <w:sz w:val="20"/>
          <w:szCs w:val="20"/>
          <w:color w:val="auto"/>
        </w:rPr>
      </w:pPr>
      <w:r>
        <w:rPr>
          <w:rFonts w:ascii="Arial" w:cs="Arial" w:eastAsia="Arial" w:hAnsi="Arial"/>
          <w:sz w:val="16"/>
          <w:szCs w:val="16"/>
          <w:color w:val="auto"/>
        </w:rPr>
        <w:t>In 2025, we continued to broaden the reach and impact of Honeywell Accelerator, delivering meaningful financial benefits and reinforcing our differentiation in the marketplace. Key accomplishments included completing the implementation of a new enterprise project management system for our Projects businesses, which has driven significant improvements in cost</w:t>
      </w:r>
      <w:r>
        <w:rPr>
          <w:rFonts w:ascii="MS PGothic" w:cs="MS PGothic" w:eastAsia="MS PGothic" w:hAnsi="MS PGothic"/>
          <w:sz w:val="16"/>
          <w:szCs w:val="16"/>
          <w:color w:val="auto"/>
        </w:rPr>
        <w:t>‑</w:t>
      </w:r>
      <w:r>
        <w:rPr>
          <w:rFonts w:ascii="Arial" w:cs="Arial" w:eastAsia="Arial" w:hAnsi="Arial"/>
          <w:sz w:val="16"/>
          <w:szCs w:val="16"/>
          <w:color w:val="auto"/>
        </w:rPr>
        <w:t>estimation and scheduling accuracy, as well as deploying an Enterprise Asset Management (EAM) system for our Services businesses that enhances our ability to catalog and leverage our installed base to accelerate software and services growth. These advancements contributed to reported sales growth of 8% and organic</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sales growth of 7% year over year—the highest growth rate since 2022. Importantly, Honeywell Accelerator is more than a collection of tools; it is a set of principles that instills a growth mindset across the Company.</w:t>
      </w:r>
    </w:p>
    <w:p>
      <w:pPr>
        <w:spacing w:after="0" w:line="97"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As we look to 2026, we will continue to leverage our differentiated Honeywell Accelerator capabilities to drive further marketplace wins and to successfully execute our planned separation and other simplification efforts.</w:t>
      </w:r>
    </w:p>
    <w:p>
      <w:pPr>
        <w:spacing w:after="0" w:line="39" w:lineRule="exact"/>
        <w:rPr>
          <w:sz w:val="20"/>
          <w:szCs w:val="20"/>
          <w:color w:val="auto"/>
        </w:rPr>
      </w:pPr>
    </w:p>
    <w:p>
      <w:pPr>
        <w:ind w:left="200" w:hanging="192"/>
        <w:spacing w:after="0"/>
        <w:tabs>
          <w:tab w:leader="none" w:pos="200" w:val="left"/>
        </w:tabs>
        <w:numPr>
          <w:ilvl w:val="0"/>
          <w:numId w:val="18"/>
        </w:numPr>
        <w:rPr>
          <w:rFonts w:ascii="Arial" w:cs="Arial" w:eastAsia="Arial" w:hAnsi="Arial"/>
          <w:sz w:val="16"/>
          <w:szCs w:val="16"/>
          <w:color w:val="auto"/>
          <w:vertAlign w:val="superscript"/>
        </w:rPr>
      </w:pPr>
      <w:r>
        <w:rPr>
          <w:rFonts w:ascii="Arial" w:cs="Arial" w:eastAsia="Arial" w:hAnsi="Arial"/>
          <w:sz w:val="13"/>
          <w:szCs w:val="13"/>
          <w:color w:val="auto"/>
        </w:rPr>
        <w:t>See Appendix A of this Proxy Statement for additional information regarding non-GAAP measures.</w:t>
      </w:r>
    </w:p>
    <w:p>
      <w:pPr>
        <w:spacing w:after="0" w:line="190" w:lineRule="exact"/>
        <w:rPr>
          <w:sz w:val="20"/>
          <w:szCs w:val="20"/>
          <w:color w:val="auto"/>
        </w:rPr>
      </w:pPr>
    </w:p>
    <w:p>
      <w:pPr>
        <w:ind w:left="20"/>
        <w:spacing w:after="0"/>
        <w:tabs>
          <w:tab w:leader="none" w:pos="460" w:val="left"/>
          <w:tab w:leader="none" w:pos="184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sz w:val="1"/>
          <w:szCs w:val="1"/>
          <w:color w:val="auto"/>
        </w:rPr>
        <w:drawing>
          <wp:inline distT="0" distB="0" distL="0" distR="0">
            <wp:extent cx="548640" cy="10287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2026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0" w:right="379" w:bottom="1440" w:gutter="0" w:footer="0" w:header="0"/>
        </w:sectPr>
      </w:pPr>
    </w:p>
    <w:bookmarkStart w:id="11" w:name="page12"/>
    <w:bookmarkEnd w:id="11"/>
    <w:p>
      <w:pPr>
        <w:jc w:val="right"/>
        <w:spacing w:after="0"/>
        <w:rPr>
          <w:sz w:val="20"/>
          <w:szCs w:val="20"/>
          <w:color w:val="auto"/>
        </w:rPr>
      </w:pPr>
      <w:r>
        <w:rPr>
          <w:rFonts w:ascii="Arial" w:cs="Arial" w:eastAsia="Arial" w:hAnsi="Arial"/>
          <w:sz w:val="13"/>
          <w:szCs w:val="13"/>
          <w:b w:val="1"/>
          <w:bCs w:val="1"/>
          <w:color w:val="6D6E71"/>
        </w:rPr>
        <w:t>HONEYWELL PERFORMANCE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COMMITMENT TO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2343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2343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3680" w:type="dxa"/>
            <w:vAlign w:val="bottom"/>
            <w:tcBorders>
              <w:right w:val="single" w:sz="8" w:color="D7282F"/>
            </w:tcBorders>
            <w:gridSpan w:val="2"/>
          </w:tcPr>
          <w:p>
            <w:pPr>
              <w:ind w:left="1220"/>
              <w:spacing w:after="0"/>
              <w:rPr>
                <w:sz w:val="20"/>
                <w:szCs w:val="20"/>
                <w:color w:val="auto"/>
              </w:rPr>
            </w:pPr>
            <w:r>
              <w:rPr>
                <w:rFonts w:ascii="Arial" w:cs="Arial" w:eastAsia="Arial" w:hAnsi="Arial"/>
                <w:sz w:val="16"/>
                <w:szCs w:val="16"/>
                <w:color w:val="auto"/>
              </w:rPr>
              <w:t>Our people, our communities,</w:t>
            </w:r>
          </w:p>
        </w:tc>
        <w:tc>
          <w:tcPr>
            <w:tcW w:w="1400" w:type="dxa"/>
            <w:vAlign w:val="bottom"/>
          </w:tcPr>
          <w:p>
            <w:pPr>
              <w:spacing w:after="0"/>
              <w:rPr>
                <w:sz w:val="24"/>
                <w:szCs w:val="24"/>
                <w:color w:val="auto"/>
              </w:rPr>
            </w:pPr>
          </w:p>
        </w:tc>
        <w:tc>
          <w:tcPr>
            <w:tcW w:w="2460" w:type="dxa"/>
            <w:vAlign w:val="bottom"/>
            <w:tcBorders>
              <w:right w:val="single" w:sz="8" w:color="D7282F"/>
            </w:tcBorders>
          </w:tcPr>
          <w:p>
            <w:pPr>
              <w:ind w:left="60"/>
              <w:spacing w:after="0"/>
              <w:rPr>
                <w:sz w:val="20"/>
                <w:szCs w:val="20"/>
                <w:color w:val="auto"/>
              </w:rPr>
            </w:pPr>
            <w:r>
              <w:rPr>
                <w:rFonts w:ascii="Arial" w:cs="Arial" w:eastAsia="Arial" w:hAnsi="Arial"/>
                <w:sz w:val="16"/>
                <w:szCs w:val="16"/>
                <w:color w:val="auto"/>
              </w:rPr>
              <w:t>Sustainable growth and</w:t>
            </w:r>
          </w:p>
        </w:tc>
        <w:tc>
          <w:tcPr>
            <w:tcW w:w="180" w:type="dxa"/>
            <w:vAlign w:val="bottom"/>
          </w:tcPr>
          <w:p>
            <w:pPr>
              <w:spacing w:after="0"/>
              <w:rPr>
                <w:sz w:val="24"/>
                <w:szCs w:val="24"/>
                <w:color w:val="auto"/>
              </w:rPr>
            </w:pPr>
          </w:p>
        </w:tc>
        <w:tc>
          <w:tcPr>
            <w:tcW w:w="3500" w:type="dxa"/>
            <w:vAlign w:val="bottom"/>
          </w:tcPr>
          <w:p>
            <w:pPr>
              <w:ind w:left="1340"/>
              <w:spacing w:after="0"/>
              <w:rPr>
                <w:sz w:val="20"/>
                <w:szCs w:val="20"/>
                <w:color w:val="auto"/>
              </w:rPr>
            </w:pPr>
            <w:r>
              <w:rPr>
                <w:rFonts w:ascii="Arial" w:cs="Arial" w:eastAsia="Arial" w:hAnsi="Arial"/>
                <w:sz w:val="16"/>
                <w:szCs w:val="16"/>
                <w:color w:val="auto"/>
              </w:rPr>
              <w:t>Technologies that expand the</w:t>
            </w:r>
          </w:p>
        </w:tc>
        <w:tc>
          <w:tcPr>
            <w:tcW w:w="0" w:type="dxa"/>
            <w:vAlign w:val="bottom"/>
          </w:tcPr>
          <w:p>
            <w:pPr>
              <w:spacing w:after="0"/>
              <w:rPr>
                <w:sz w:val="1"/>
                <w:szCs w:val="1"/>
                <w:color w:val="auto"/>
              </w:rPr>
            </w:pPr>
          </w:p>
        </w:tc>
      </w:tr>
      <w:tr>
        <w:trPr>
          <w:trHeight w:val="203"/>
        </w:trPr>
        <w:tc>
          <w:tcPr>
            <w:tcW w:w="3680" w:type="dxa"/>
            <w:vAlign w:val="bottom"/>
            <w:tcBorders>
              <w:right w:val="single" w:sz="8" w:color="D7282F"/>
            </w:tcBorders>
            <w:gridSpan w:val="2"/>
          </w:tcPr>
          <w:p>
            <w:pPr>
              <w:ind w:left="1220"/>
              <w:spacing w:after="0"/>
              <w:rPr>
                <w:sz w:val="20"/>
                <w:szCs w:val="20"/>
                <w:color w:val="auto"/>
              </w:rPr>
            </w:pPr>
            <w:r>
              <w:rPr>
                <w:rFonts w:ascii="Arial" w:cs="Arial" w:eastAsia="Arial" w:hAnsi="Arial"/>
                <w:sz w:val="16"/>
                <w:szCs w:val="16"/>
                <w:color w:val="auto"/>
              </w:rPr>
              <w:t>and the environment</w:t>
            </w:r>
          </w:p>
        </w:tc>
        <w:tc>
          <w:tcPr>
            <w:tcW w:w="1400" w:type="dxa"/>
            <w:vAlign w:val="bottom"/>
          </w:tcPr>
          <w:p>
            <w:pPr>
              <w:spacing w:after="0"/>
              <w:rPr>
                <w:sz w:val="17"/>
                <w:szCs w:val="17"/>
                <w:color w:val="auto"/>
              </w:rPr>
            </w:pPr>
          </w:p>
        </w:tc>
        <w:tc>
          <w:tcPr>
            <w:tcW w:w="2460" w:type="dxa"/>
            <w:vAlign w:val="bottom"/>
            <w:tcBorders>
              <w:right w:val="single" w:sz="8" w:color="D7282F"/>
            </w:tcBorders>
          </w:tcPr>
          <w:p>
            <w:pPr>
              <w:ind w:left="60"/>
              <w:spacing w:after="0"/>
              <w:rPr>
                <w:sz w:val="20"/>
                <w:szCs w:val="20"/>
                <w:color w:val="auto"/>
              </w:rPr>
            </w:pPr>
            <w:r>
              <w:rPr>
                <w:rFonts w:ascii="Arial" w:cs="Arial" w:eastAsia="Arial" w:hAnsi="Arial"/>
                <w:sz w:val="16"/>
                <w:szCs w:val="16"/>
                <w:color w:val="auto"/>
              </w:rPr>
              <w:t>accelerated productivity</w:t>
            </w:r>
          </w:p>
        </w:tc>
        <w:tc>
          <w:tcPr>
            <w:tcW w:w="180" w:type="dxa"/>
            <w:vAlign w:val="bottom"/>
          </w:tcPr>
          <w:p>
            <w:pPr>
              <w:spacing w:after="0"/>
              <w:rPr>
                <w:sz w:val="17"/>
                <w:szCs w:val="17"/>
                <w:color w:val="auto"/>
              </w:rPr>
            </w:pPr>
          </w:p>
        </w:tc>
        <w:tc>
          <w:tcPr>
            <w:tcW w:w="3500" w:type="dxa"/>
            <w:vAlign w:val="bottom"/>
          </w:tcPr>
          <w:p>
            <w:pPr>
              <w:ind w:left="1340"/>
              <w:spacing w:after="0"/>
              <w:rPr>
                <w:sz w:val="20"/>
                <w:szCs w:val="20"/>
                <w:color w:val="auto"/>
              </w:rPr>
            </w:pPr>
            <w:r>
              <w:rPr>
                <w:rFonts w:ascii="Arial" w:cs="Arial" w:eastAsia="Arial" w:hAnsi="Arial"/>
                <w:sz w:val="16"/>
                <w:szCs w:val="16"/>
                <w:color w:val="auto"/>
              </w:rPr>
              <w:t>sustainable capacity of our</w:t>
            </w:r>
          </w:p>
        </w:tc>
        <w:tc>
          <w:tcPr>
            <w:tcW w:w="0" w:type="dxa"/>
            <w:vAlign w:val="bottom"/>
          </w:tcPr>
          <w:p>
            <w:pPr>
              <w:spacing w:after="0"/>
              <w:rPr>
                <w:sz w:val="1"/>
                <w:szCs w:val="1"/>
                <w:color w:val="auto"/>
              </w:rPr>
            </w:pPr>
          </w:p>
        </w:tc>
      </w:tr>
      <w:tr>
        <w:trPr>
          <w:trHeight w:val="215"/>
        </w:trPr>
        <w:tc>
          <w:tcPr>
            <w:tcW w:w="1740" w:type="dxa"/>
            <w:vAlign w:val="bottom"/>
          </w:tcPr>
          <w:p>
            <w:pPr>
              <w:spacing w:after="0"/>
              <w:rPr>
                <w:sz w:val="18"/>
                <w:szCs w:val="18"/>
                <w:color w:val="auto"/>
              </w:rPr>
            </w:pPr>
          </w:p>
        </w:tc>
        <w:tc>
          <w:tcPr>
            <w:tcW w:w="1940" w:type="dxa"/>
            <w:vAlign w:val="bottom"/>
            <w:tcBorders>
              <w:right w:val="single" w:sz="8" w:color="D7282F"/>
            </w:tcBorders>
          </w:tcPr>
          <w:p>
            <w:pPr>
              <w:spacing w:after="0"/>
              <w:rPr>
                <w:sz w:val="18"/>
                <w:szCs w:val="18"/>
                <w:color w:val="auto"/>
              </w:rPr>
            </w:pPr>
          </w:p>
        </w:tc>
        <w:tc>
          <w:tcPr>
            <w:tcW w:w="1400" w:type="dxa"/>
            <w:vAlign w:val="bottom"/>
          </w:tcPr>
          <w:p>
            <w:pPr>
              <w:spacing w:after="0"/>
              <w:rPr>
                <w:sz w:val="18"/>
                <w:szCs w:val="18"/>
                <w:color w:val="auto"/>
              </w:rPr>
            </w:pPr>
          </w:p>
        </w:tc>
        <w:tc>
          <w:tcPr>
            <w:tcW w:w="2460" w:type="dxa"/>
            <w:vAlign w:val="bottom"/>
            <w:tcBorders>
              <w:right w:val="single" w:sz="8" w:color="D7282F"/>
            </w:tcBorders>
          </w:tcPr>
          <w:p>
            <w:pPr>
              <w:spacing w:after="0"/>
              <w:rPr>
                <w:sz w:val="18"/>
                <w:szCs w:val="18"/>
                <w:color w:val="auto"/>
              </w:rPr>
            </w:pPr>
          </w:p>
        </w:tc>
        <w:tc>
          <w:tcPr>
            <w:tcW w:w="180" w:type="dxa"/>
            <w:vAlign w:val="bottom"/>
          </w:tcPr>
          <w:p>
            <w:pPr>
              <w:spacing w:after="0"/>
              <w:rPr>
                <w:sz w:val="18"/>
                <w:szCs w:val="18"/>
                <w:color w:val="auto"/>
              </w:rPr>
            </w:pPr>
          </w:p>
        </w:tc>
        <w:tc>
          <w:tcPr>
            <w:tcW w:w="3500" w:type="dxa"/>
            <w:vAlign w:val="bottom"/>
          </w:tcPr>
          <w:p>
            <w:pPr>
              <w:ind w:left="1340"/>
              <w:spacing w:after="0"/>
              <w:rPr>
                <w:sz w:val="20"/>
                <w:szCs w:val="20"/>
                <w:color w:val="auto"/>
              </w:rPr>
            </w:pPr>
            <w:r>
              <w:rPr>
                <w:rFonts w:ascii="Arial" w:cs="Arial" w:eastAsia="Arial" w:hAnsi="Arial"/>
                <w:sz w:val="16"/>
                <w:szCs w:val="16"/>
                <w:color w:val="auto"/>
              </w:rPr>
              <w:t>world</w:t>
            </w:r>
          </w:p>
        </w:tc>
        <w:tc>
          <w:tcPr>
            <w:tcW w:w="0" w:type="dxa"/>
            <w:vAlign w:val="bottom"/>
          </w:tcPr>
          <w:p>
            <w:pPr>
              <w:spacing w:after="0"/>
              <w:rPr>
                <w:sz w:val="1"/>
                <w:szCs w:val="1"/>
                <w:color w:val="auto"/>
              </w:rPr>
            </w:pPr>
          </w:p>
        </w:tc>
      </w:tr>
      <w:tr>
        <w:trPr>
          <w:trHeight w:val="568"/>
        </w:trPr>
        <w:tc>
          <w:tcPr>
            <w:tcW w:w="1740" w:type="dxa"/>
            <w:vAlign w:val="bottom"/>
          </w:tcPr>
          <w:p>
            <w:pPr>
              <w:ind w:left="100"/>
              <w:spacing w:after="0"/>
              <w:rPr>
                <w:sz w:val="20"/>
                <w:szCs w:val="20"/>
                <w:color w:val="auto"/>
              </w:rPr>
            </w:pPr>
            <w:r>
              <w:rPr>
                <w:rFonts w:ascii="Arial" w:cs="Arial" w:eastAsia="Arial" w:hAnsi="Arial"/>
                <w:sz w:val="16"/>
                <w:szCs w:val="16"/>
                <w:b w:val="1"/>
                <w:bCs w:val="1"/>
                <w:color w:val="D7282F"/>
              </w:rPr>
              <w:t>WE</w:t>
            </w:r>
          </w:p>
        </w:tc>
        <w:tc>
          <w:tcPr>
            <w:tcW w:w="1940" w:type="dxa"/>
            <w:vAlign w:val="bottom"/>
            <w:tcBorders>
              <w:right w:val="single" w:sz="8" w:color="D7282F"/>
            </w:tcBorders>
          </w:tcPr>
          <w:p>
            <w:pPr>
              <w:spacing w:after="0"/>
              <w:rPr>
                <w:sz w:val="24"/>
                <w:szCs w:val="24"/>
                <w:color w:val="auto"/>
              </w:rPr>
            </w:pPr>
          </w:p>
        </w:tc>
        <w:tc>
          <w:tcPr>
            <w:tcW w:w="1400" w:type="dxa"/>
            <w:vAlign w:val="bottom"/>
          </w:tcPr>
          <w:p>
            <w:pPr>
              <w:ind w:left="320"/>
              <w:spacing w:after="0"/>
              <w:rPr>
                <w:sz w:val="20"/>
                <w:szCs w:val="20"/>
                <w:color w:val="auto"/>
              </w:rPr>
            </w:pPr>
            <w:r>
              <w:rPr>
                <w:rFonts w:ascii="Arial" w:cs="Arial" w:eastAsia="Arial" w:hAnsi="Arial"/>
                <w:sz w:val="16"/>
                <w:szCs w:val="16"/>
                <w:b w:val="1"/>
                <w:bCs w:val="1"/>
                <w:color w:val="D7282F"/>
              </w:rPr>
              <w:t>WE ACHIEVE</w:t>
            </w:r>
          </w:p>
        </w:tc>
        <w:tc>
          <w:tcPr>
            <w:tcW w:w="2460" w:type="dxa"/>
            <w:vAlign w:val="bottom"/>
            <w:tcBorders>
              <w:right w:val="single" w:sz="8" w:color="D7282F"/>
            </w:tcBorders>
          </w:tcPr>
          <w:p>
            <w:pPr>
              <w:spacing w:after="0"/>
              <w:rPr>
                <w:sz w:val="24"/>
                <w:szCs w:val="24"/>
                <w:color w:val="auto"/>
              </w:rPr>
            </w:pPr>
          </w:p>
        </w:tc>
        <w:tc>
          <w:tcPr>
            <w:tcW w:w="180" w:type="dxa"/>
            <w:vAlign w:val="bottom"/>
          </w:tcPr>
          <w:p>
            <w:pPr>
              <w:spacing w:after="0"/>
              <w:rPr>
                <w:sz w:val="24"/>
                <w:szCs w:val="24"/>
                <w:color w:val="auto"/>
              </w:rPr>
            </w:pPr>
          </w:p>
        </w:tc>
        <w:tc>
          <w:tcPr>
            <w:tcW w:w="3500" w:type="dxa"/>
            <w:vAlign w:val="bottom"/>
          </w:tcPr>
          <w:p>
            <w:pPr>
              <w:ind w:left="140"/>
              <w:spacing w:after="0"/>
              <w:rPr>
                <w:sz w:val="20"/>
                <w:szCs w:val="20"/>
                <w:color w:val="auto"/>
              </w:rPr>
            </w:pPr>
            <w:r>
              <w:rPr>
                <w:rFonts w:ascii="Arial" w:cs="Arial" w:eastAsia="Arial" w:hAnsi="Arial"/>
                <w:sz w:val="16"/>
                <w:szCs w:val="16"/>
                <w:b w:val="1"/>
                <w:bCs w:val="1"/>
                <w:color w:val="D7282F"/>
              </w:rPr>
              <w:t>WE DEVELOP</w:t>
            </w:r>
          </w:p>
        </w:tc>
        <w:tc>
          <w:tcPr>
            <w:tcW w:w="0" w:type="dxa"/>
            <w:vAlign w:val="bottom"/>
          </w:tcPr>
          <w:p>
            <w:pPr>
              <w:spacing w:after="0"/>
              <w:rPr>
                <w:sz w:val="1"/>
                <w:szCs w:val="1"/>
                <w:color w:val="auto"/>
              </w:rPr>
            </w:pPr>
          </w:p>
        </w:tc>
      </w:tr>
      <w:tr>
        <w:trPr>
          <w:trHeight w:val="244"/>
        </w:trPr>
        <w:tc>
          <w:tcPr>
            <w:tcW w:w="1740" w:type="dxa"/>
            <w:vAlign w:val="bottom"/>
          </w:tcPr>
          <w:p>
            <w:pPr>
              <w:ind w:left="100"/>
              <w:spacing w:after="0"/>
              <w:rPr>
                <w:sz w:val="20"/>
                <w:szCs w:val="20"/>
                <w:color w:val="auto"/>
              </w:rPr>
            </w:pPr>
            <w:r>
              <w:rPr>
                <w:rFonts w:ascii="Arial" w:cs="Arial" w:eastAsia="Arial" w:hAnsi="Arial"/>
                <w:sz w:val="16"/>
                <w:szCs w:val="16"/>
                <w:b w:val="1"/>
                <w:bCs w:val="1"/>
                <w:color w:val="D7282F"/>
              </w:rPr>
              <w:t>PROTECT</w:t>
            </w:r>
          </w:p>
        </w:tc>
        <w:tc>
          <w:tcPr>
            <w:tcW w:w="1940" w:type="dxa"/>
            <w:vAlign w:val="bottom"/>
            <w:tcBorders>
              <w:right w:val="single" w:sz="8" w:color="D7282F"/>
            </w:tcBorders>
          </w:tcPr>
          <w:p>
            <w:pPr>
              <w:spacing w:after="0"/>
              <w:rPr>
                <w:sz w:val="21"/>
                <w:szCs w:val="21"/>
                <w:color w:val="auto"/>
              </w:rPr>
            </w:pPr>
          </w:p>
        </w:tc>
        <w:tc>
          <w:tcPr>
            <w:tcW w:w="1400" w:type="dxa"/>
            <w:vAlign w:val="bottom"/>
          </w:tcPr>
          <w:p>
            <w:pPr>
              <w:spacing w:after="0"/>
              <w:rPr>
                <w:sz w:val="21"/>
                <w:szCs w:val="21"/>
                <w:color w:val="auto"/>
              </w:rPr>
            </w:pPr>
          </w:p>
        </w:tc>
        <w:tc>
          <w:tcPr>
            <w:tcW w:w="2460" w:type="dxa"/>
            <w:vAlign w:val="bottom"/>
            <w:tcBorders>
              <w:right w:val="single" w:sz="8" w:color="D7282F"/>
            </w:tcBorders>
          </w:tcPr>
          <w:p>
            <w:pPr>
              <w:spacing w:after="0"/>
              <w:rPr>
                <w:sz w:val="21"/>
                <w:szCs w:val="21"/>
                <w:color w:val="auto"/>
              </w:rPr>
            </w:pPr>
          </w:p>
        </w:tc>
        <w:tc>
          <w:tcPr>
            <w:tcW w:w="18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1740" w:type="dxa"/>
            <w:vAlign w:val="bottom"/>
            <w:tcBorders>
              <w:bottom w:val="single" w:sz="8" w:color="D7282F"/>
            </w:tcBorders>
          </w:tcPr>
          <w:p>
            <w:pPr>
              <w:spacing w:after="0"/>
              <w:rPr>
                <w:sz w:val="11"/>
                <w:szCs w:val="11"/>
                <w:color w:val="auto"/>
              </w:rPr>
            </w:pPr>
          </w:p>
        </w:tc>
        <w:tc>
          <w:tcPr>
            <w:tcW w:w="9480" w:type="dxa"/>
            <w:vAlign w:val="bottom"/>
            <w:tcBorders>
              <w:bottom w:val="single" w:sz="8" w:color="D7282F"/>
            </w:tcBorders>
            <w:gridSpan w:val="5"/>
          </w:tcPr>
          <w:p>
            <w:pPr>
              <w:spacing w:after="0"/>
              <w:rPr>
                <w:sz w:val="11"/>
                <w:szCs w:val="11"/>
                <w:color w:val="auto"/>
              </w:rPr>
            </w:pPr>
          </w:p>
        </w:tc>
        <w:tc>
          <w:tcPr>
            <w:tcW w:w="0" w:type="dxa"/>
            <w:vAlign w:val="bottom"/>
          </w:tcPr>
          <w:p>
            <w:pPr>
              <w:spacing w:after="0"/>
              <w:rPr>
                <w:sz w:val="1"/>
                <w:szCs w:val="1"/>
                <w:color w:val="auto"/>
              </w:rPr>
            </w:pPr>
          </w:p>
        </w:tc>
      </w:tr>
      <w:tr>
        <w:trPr>
          <w:trHeight w:val="317"/>
        </w:trPr>
        <w:tc>
          <w:tcPr>
            <w:tcW w:w="1740" w:type="dxa"/>
            <w:vAlign w:val="bottom"/>
          </w:tcPr>
          <w:p>
            <w:pPr>
              <w:spacing w:after="0"/>
              <w:rPr>
                <w:sz w:val="24"/>
                <w:szCs w:val="24"/>
                <w:color w:val="auto"/>
              </w:rPr>
            </w:pPr>
          </w:p>
        </w:tc>
        <w:tc>
          <w:tcPr>
            <w:tcW w:w="9480" w:type="dxa"/>
            <w:vAlign w:val="bottom"/>
            <w:gridSpan w:val="5"/>
          </w:tcPr>
          <w:p>
            <w:pPr>
              <w:ind w:left="28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Committed to being</w:t>
            </w:r>
            <w:r>
              <w:rPr>
                <w:rFonts w:ascii="Arial" w:cs="Arial" w:eastAsia="Arial" w:hAnsi="Arial"/>
                <w:sz w:val="16"/>
                <w:szCs w:val="16"/>
                <w:b w:val="1"/>
                <w:bCs w:val="1"/>
                <w:color w:val="D7282F"/>
              </w:rPr>
              <w:t xml:space="preserve"> carbon neutral </w:t>
            </w:r>
            <w:r>
              <w:rPr>
                <w:rFonts w:ascii="Arial" w:cs="Arial" w:eastAsia="Arial" w:hAnsi="Arial"/>
                <w:sz w:val="16"/>
                <w:szCs w:val="16"/>
                <w:color w:val="000000"/>
              </w:rPr>
              <w:t>in Honeywell's operations and facilities by 2035.</w:t>
            </w:r>
            <w:r>
              <w:rPr>
                <w:rFonts w:ascii="Arial" w:cs="Arial" w:eastAsia="Arial" w:hAnsi="Arial"/>
                <w:sz w:val="21"/>
                <w:szCs w:val="21"/>
                <w:color w:val="000000"/>
                <w:vertAlign w:val="superscript"/>
              </w:rPr>
              <w:t>(1)</w:t>
            </w:r>
          </w:p>
        </w:tc>
        <w:tc>
          <w:tcPr>
            <w:tcW w:w="0" w:type="dxa"/>
            <w:vAlign w:val="bottom"/>
          </w:tcPr>
          <w:p>
            <w:pPr>
              <w:spacing w:after="0"/>
              <w:rPr>
                <w:sz w:val="1"/>
                <w:szCs w:val="1"/>
                <w:color w:val="auto"/>
              </w:rPr>
            </w:pPr>
          </w:p>
        </w:tc>
      </w:tr>
      <w:tr>
        <w:trPr>
          <w:trHeight w:val="223"/>
        </w:trPr>
        <w:tc>
          <w:tcPr>
            <w:tcW w:w="1740" w:type="dxa"/>
            <w:vAlign w:val="bottom"/>
          </w:tcPr>
          <w:p>
            <w:pPr>
              <w:spacing w:after="0"/>
              <w:rPr>
                <w:sz w:val="19"/>
                <w:szCs w:val="19"/>
                <w:color w:val="auto"/>
              </w:rPr>
            </w:pPr>
          </w:p>
        </w:tc>
        <w:tc>
          <w:tcPr>
            <w:tcW w:w="9480" w:type="dxa"/>
            <w:vAlign w:val="bottom"/>
            <w:gridSpan w:val="5"/>
          </w:tcPr>
          <w:p>
            <w:pPr>
              <w:ind w:left="28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Committed to a 50% reduction in our U.S. Scope 1 and 2 emissions by 2030 from a 2018 baseline.</w:t>
            </w:r>
          </w:p>
        </w:tc>
        <w:tc>
          <w:tcPr>
            <w:tcW w:w="0" w:type="dxa"/>
            <w:vAlign w:val="bottom"/>
          </w:tcPr>
          <w:p>
            <w:pPr>
              <w:spacing w:after="0"/>
              <w:rPr>
                <w:sz w:val="1"/>
                <w:szCs w:val="1"/>
                <w:color w:val="auto"/>
              </w:rPr>
            </w:pPr>
          </w:p>
        </w:tc>
      </w:tr>
      <w:tr>
        <w:trPr>
          <w:trHeight w:val="257"/>
        </w:trPr>
        <w:tc>
          <w:tcPr>
            <w:tcW w:w="1740" w:type="dxa"/>
            <w:vAlign w:val="bottom"/>
          </w:tcPr>
          <w:p>
            <w:pPr>
              <w:spacing w:after="0"/>
              <w:rPr>
                <w:sz w:val="22"/>
                <w:szCs w:val="22"/>
                <w:color w:val="auto"/>
              </w:rPr>
            </w:pPr>
          </w:p>
        </w:tc>
        <w:tc>
          <w:tcPr>
            <w:tcW w:w="9480" w:type="dxa"/>
            <w:vAlign w:val="bottom"/>
            <w:gridSpan w:val="5"/>
          </w:tcPr>
          <w:p>
            <w:pPr>
              <w:ind w:left="28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Science-based target approved by the</w:t>
            </w:r>
            <w:r>
              <w:rPr>
                <w:rFonts w:ascii="Arial" w:cs="Arial" w:eastAsia="Arial" w:hAnsi="Arial"/>
                <w:sz w:val="16"/>
                <w:szCs w:val="16"/>
                <w:b w:val="1"/>
                <w:bCs w:val="1"/>
                <w:color w:val="D7282F"/>
              </w:rPr>
              <w:t xml:space="preserve"> Science Based Targets initiative (SBTi)</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236"/>
        </w:trPr>
        <w:tc>
          <w:tcPr>
            <w:tcW w:w="1740" w:type="dxa"/>
            <w:vAlign w:val="bottom"/>
          </w:tcPr>
          <w:p>
            <w:pPr>
              <w:ind w:left="100"/>
              <w:spacing w:after="0"/>
              <w:rPr>
                <w:sz w:val="20"/>
                <w:szCs w:val="20"/>
                <w:color w:val="auto"/>
              </w:rPr>
            </w:pPr>
            <w:r>
              <w:rPr>
                <w:rFonts w:ascii="Arial" w:cs="Arial" w:eastAsia="Arial" w:hAnsi="Arial"/>
                <w:sz w:val="16"/>
                <w:szCs w:val="16"/>
                <w:b w:val="1"/>
                <w:bCs w:val="1"/>
                <w:color w:val="auto"/>
              </w:rPr>
              <w:t>PATH TO</w:t>
            </w:r>
          </w:p>
        </w:tc>
        <w:tc>
          <w:tcPr>
            <w:tcW w:w="9480" w:type="dxa"/>
            <w:vAlign w:val="bottom"/>
            <w:gridSpan w:val="5"/>
          </w:tcPr>
          <w:p>
            <w:pPr>
              <w:ind w:left="28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SBTi target includes a commitment to</w:t>
            </w:r>
            <w:r>
              <w:rPr>
                <w:rFonts w:ascii="Arial" w:cs="Arial" w:eastAsia="Arial" w:hAnsi="Arial"/>
                <w:sz w:val="16"/>
                <w:szCs w:val="16"/>
                <w:b w:val="1"/>
                <w:bCs w:val="1"/>
                <w:color w:val="D7282F"/>
              </w:rPr>
              <w:t xml:space="preserve"> reduce Scope 3 </w:t>
            </w:r>
            <w:r>
              <w:rPr>
                <w:rFonts w:ascii="Arial" w:cs="Arial" w:eastAsia="Arial" w:hAnsi="Arial"/>
                <w:sz w:val="16"/>
                <w:szCs w:val="16"/>
                <w:color w:val="000000"/>
              </w:rPr>
              <w:t>indirect emissions, including through partnerships with industry</w:t>
            </w:r>
          </w:p>
        </w:tc>
        <w:tc>
          <w:tcPr>
            <w:tcW w:w="0" w:type="dxa"/>
            <w:vAlign w:val="bottom"/>
          </w:tcPr>
          <w:p>
            <w:pPr>
              <w:spacing w:after="0"/>
              <w:rPr>
                <w:sz w:val="1"/>
                <w:szCs w:val="1"/>
                <w:color w:val="auto"/>
              </w:rPr>
            </w:pPr>
          </w:p>
        </w:tc>
      </w:tr>
      <w:tr>
        <w:trPr>
          <w:trHeight w:val="216"/>
        </w:trPr>
        <w:tc>
          <w:tcPr>
            <w:tcW w:w="1740" w:type="dxa"/>
            <w:vAlign w:val="bottom"/>
          </w:tcPr>
          <w:p>
            <w:pPr>
              <w:ind w:left="100"/>
              <w:spacing w:after="0"/>
              <w:rPr>
                <w:sz w:val="20"/>
                <w:szCs w:val="20"/>
                <w:color w:val="auto"/>
              </w:rPr>
            </w:pPr>
            <w:r>
              <w:rPr>
                <w:rFonts w:ascii="Arial" w:cs="Arial" w:eastAsia="Arial" w:hAnsi="Arial"/>
                <w:sz w:val="16"/>
                <w:szCs w:val="16"/>
                <w:b w:val="1"/>
                <w:bCs w:val="1"/>
                <w:color w:val="auto"/>
              </w:rPr>
              <w:t>CARBON</w:t>
            </w:r>
          </w:p>
        </w:tc>
        <w:tc>
          <w:tcPr>
            <w:tcW w:w="5980" w:type="dxa"/>
            <w:vAlign w:val="bottom"/>
            <w:gridSpan w:val="4"/>
          </w:tcPr>
          <w:p>
            <w:pPr>
              <w:ind w:left="460"/>
              <w:spacing w:after="0"/>
              <w:rPr>
                <w:sz w:val="20"/>
                <w:szCs w:val="20"/>
                <w:color w:val="auto"/>
              </w:rPr>
            </w:pPr>
            <w:r>
              <w:rPr>
                <w:rFonts w:ascii="Arial" w:cs="Arial" w:eastAsia="Arial" w:hAnsi="Arial"/>
                <w:sz w:val="16"/>
                <w:szCs w:val="16"/>
                <w:color w:val="auto"/>
              </w:rPr>
              <w:t>leaders to identify and implement best practices.</w:t>
            </w:r>
          </w:p>
        </w:tc>
        <w:tc>
          <w:tcPr>
            <w:tcW w:w="3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40" w:type="dxa"/>
            <w:vAlign w:val="bottom"/>
          </w:tcPr>
          <w:p>
            <w:pPr>
              <w:ind w:left="100"/>
              <w:spacing w:after="0"/>
              <w:rPr>
                <w:sz w:val="20"/>
                <w:szCs w:val="20"/>
                <w:color w:val="auto"/>
              </w:rPr>
            </w:pPr>
            <w:r>
              <w:rPr>
                <w:rFonts w:ascii="Arial" w:cs="Arial" w:eastAsia="Arial" w:hAnsi="Arial"/>
                <w:sz w:val="16"/>
                <w:szCs w:val="16"/>
                <w:b w:val="1"/>
                <w:bCs w:val="1"/>
                <w:color w:val="auto"/>
              </w:rPr>
              <w:t>NEUTRALITY</w:t>
            </w:r>
          </w:p>
        </w:tc>
        <w:tc>
          <w:tcPr>
            <w:tcW w:w="19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740" w:type="dxa"/>
            <w:vAlign w:val="bottom"/>
            <w:tcBorders>
              <w:bottom w:val="single" w:sz="8" w:color="939598"/>
            </w:tcBorders>
          </w:tcPr>
          <w:p>
            <w:pPr>
              <w:spacing w:after="0"/>
              <w:rPr>
                <w:sz w:val="6"/>
                <w:szCs w:val="6"/>
                <w:color w:val="auto"/>
              </w:rPr>
            </w:pPr>
          </w:p>
        </w:tc>
        <w:tc>
          <w:tcPr>
            <w:tcW w:w="9480" w:type="dxa"/>
            <w:vAlign w:val="bottom"/>
            <w:tcBorders>
              <w:bottom w:val="single" w:sz="8" w:color="939598"/>
            </w:tcBorders>
            <w:gridSpan w:val="5"/>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1740" w:type="dxa"/>
            <w:vAlign w:val="bottom"/>
          </w:tcPr>
          <w:p>
            <w:pPr>
              <w:spacing w:after="0"/>
              <w:rPr>
                <w:sz w:val="23"/>
                <w:szCs w:val="23"/>
                <w:color w:val="auto"/>
              </w:rPr>
            </w:pPr>
          </w:p>
        </w:tc>
        <w:tc>
          <w:tcPr>
            <w:tcW w:w="9480" w:type="dxa"/>
            <w:vAlign w:val="bottom"/>
            <w:gridSpan w:val="5"/>
          </w:tcPr>
          <w:p>
            <w:pPr>
              <w:ind w:left="28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More than</w:t>
            </w:r>
            <w:r>
              <w:rPr>
                <w:rFonts w:ascii="Arial" w:cs="Arial" w:eastAsia="Arial" w:hAnsi="Arial"/>
                <w:sz w:val="16"/>
                <w:szCs w:val="16"/>
                <w:b w:val="1"/>
                <w:bCs w:val="1"/>
                <w:color w:val="D7282F"/>
              </w:rPr>
              <w:t xml:space="preserve"> 3,000 </w:t>
            </w:r>
            <w:r>
              <w:rPr>
                <w:rFonts w:ascii="Arial" w:cs="Arial" w:eastAsia="Arial" w:hAnsi="Arial"/>
                <w:sz w:val="16"/>
                <w:szCs w:val="16"/>
                <w:color w:val="000000"/>
              </w:rPr>
              <w:t>acres remediated and restored as valuable community assets.</w:t>
            </w:r>
          </w:p>
        </w:tc>
        <w:tc>
          <w:tcPr>
            <w:tcW w:w="0" w:type="dxa"/>
            <w:vAlign w:val="bottom"/>
          </w:tcPr>
          <w:p>
            <w:pPr>
              <w:spacing w:after="0"/>
              <w:rPr>
                <w:sz w:val="1"/>
                <w:szCs w:val="1"/>
                <w:color w:val="auto"/>
              </w:rPr>
            </w:pPr>
          </w:p>
        </w:tc>
      </w:tr>
      <w:tr>
        <w:trPr>
          <w:trHeight w:val="236"/>
        </w:trPr>
        <w:tc>
          <w:tcPr>
            <w:tcW w:w="1740" w:type="dxa"/>
            <w:vAlign w:val="bottom"/>
          </w:tcPr>
          <w:p>
            <w:pPr>
              <w:spacing w:after="0"/>
              <w:rPr>
                <w:sz w:val="20"/>
                <w:szCs w:val="20"/>
                <w:color w:val="auto"/>
              </w:rPr>
            </w:pPr>
          </w:p>
        </w:tc>
        <w:tc>
          <w:tcPr>
            <w:tcW w:w="9480" w:type="dxa"/>
            <w:vAlign w:val="bottom"/>
            <w:gridSpan w:val="5"/>
          </w:tcPr>
          <w:p>
            <w:pPr>
              <w:ind w:left="28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Safety record</w:t>
            </w:r>
            <w:r>
              <w:rPr>
                <w:rFonts w:ascii="Arial" w:cs="Arial" w:eastAsia="Arial" w:hAnsi="Arial"/>
                <w:sz w:val="16"/>
                <w:szCs w:val="16"/>
                <w:b w:val="1"/>
                <w:bCs w:val="1"/>
                <w:color w:val="D7282F"/>
              </w:rPr>
              <w:t xml:space="preserve"> &gt;4x </w:t>
            </w:r>
            <w:r>
              <w:rPr>
                <w:rFonts w:ascii="Arial" w:cs="Arial" w:eastAsia="Arial" w:hAnsi="Arial"/>
                <w:sz w:val="16"/>
                <w:szCs w:val="16"/>
                <w:color w:val="000000"/>
              </w:rPr>
              <w:t>better than the weighted average total recordable incident rate (TRIR) of the industries in which Honeywell</w:t>
            </w:r>
          </w:p>
        </w:tc>
        <w:tc>
          <w:tcPr>
            <w:tcW w:w="0" w:type="dxa"/>
            <w:vAlign w:val="bottom"/>
          </w:tcPr>
          <w:p>
            <w:pPr>
              <w:spacing w:after="0"/>
              <w:rPr>
                <w:sz w:val="1"/>
                <w:szCs w:val="1"/>
                <w:color w:val="auto"/>
              </w:rPr>
            </w:pPr>
          </w:p>
        </w:tc>
      </w:tr>
      <w:tr>
        <w:trPr>
          <w:trHeight w:val="215"/>
        </w:trPr>
        <w:tc>
          <w:tcPr>
            <w:tcW w:w="1740" w:type="dxa"/>
            <w:vAlign w:val="bottom"/>
          </w:tcPr>
          <w:p>
            <w:pPr>
              <w:spacing w:after="0"/>
              <w:rPr>
                <w:sz w:val="18"/>
                <w:szCs w:val="18"/>
                <w:color w:val="auto"/>
              </w:rPr>
            </w:pPr>
          </w:p>
        </w:tc>
        <w:tc>
          <w:tcPr>
            <w:tcW w:w="3340" w:type="dxa"/>
            <w:vAlign w:val="bottom"/>
            <w:gridSpan w:val="2"/>
          </w:tcPr>
          <w:p>
            <w:pPr>
              <w:ind w:left="460"/>
              <w:spacing w:after="0"/>
              <w:rPr>
                <w:sz w:val="20"/>
                <w:szCs w:val="20"/>
                <w:color w:val="auto"/>
              </w:rPr>
            </w:pPr>
            <w:r>
              <w:rPr>
                <w:rFonts w:ascii="Arial" w:cs="Arial" w:eastAsia="Arial" w:hAnsi="Arial"/>
                <w:sz w:val="16"/>
                <w:szCs w:val="16"/>
                <w:color w:val="auto"/>
              </w:rPr>
              <w:t>operates.</w:t>
            </w: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174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SUSTAINABLE</w:t>
            </w:r>
          </w:p>
        </w:tc>
        <w:tc>
          <w:tcPr>
            <w:tcW w:w="5980" w:type="dxa"/>
            <w:vAlign w:val="bottom"/>
            <w:gridSpan w:val="4"/>
          </w:tcPr>
          <w:p>
            <w:pPr>
              <w:ind w:left="280"/>
              <w:spacing w:after="0"/>
              <w:rPr>
                <w:sz w:val="20"/>
                <w:szCs w:val="20"/>
                <w:color w:val="auto"/>
              </w:rPr>
            </w:pPr>
            <w:r>
              <w:rPr>
                <w:rFonts w:ascii="Arial" w:cs="Arial" w:eastAsia="Arial" w:hAnsi="Arial"/>
                <w:sz w:val="16"/>
                <w:szCs w:val="16"/>
                <w:b w:val="1"/>
                <w:bCs w:val="1"/>
                <w:color w:val="D7282F"/>
              </w:rPr>
              <w:t xml:space="preserve">•  7,000 </w:t>
            </w:r>
            <w:r>
              <w:rPr>
                <w:rFonts w:ascii="Arial" w:cs="Arial" w:eastAsia="Arial" w:hAnsi="Arial"/>
                <w:sz w:val="16"/>
                <w:szCs w:val="16"/>
                <w:color w:val="000000"/>
              </w:rPr>
              <w:t>efficiency, emissions reduction, water and waste projects since 2010.</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1740" w:type="dxa"/>
            <w:vAlign w:val="bottom"/>
            <w:vMerge w:val="continue"/>
          </w:tcPr>
          <w:p>
            <w:pPr>
              <w:spacing w:after="0"/>
              <w:rPr>
                <w:sz w:val="5"/>
                <w:szCs w:val="5"/>
                <w:color w:val="auto"/>
              </w:rPr>
            </w:pPr>
          </w:p>
        </w:tc>
        <w:tc>
          <w:tcPr>
            <w:tcW w:w="19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740" w:type="dxa"/>
            <w:vAlign w:val="bottom"/>
          </w:tcPr>
          <w:p>
            <w:pPr>
              <w:ind w:left="100"/>
              <w:spacing w:after="0"/>
              <w:rPr>
                <w:sz w:val="20"/>
                <w:szCs w:val="20"/>
                <w:color w:val="auto"/>
              </w:rPr>
            </w:pPr>
            <w:r>
              <w:rPr>
                <w:rFonts w:ascii="Arial" w:cs="Arial" w:eastAsia="Arial" w:hAnsi="Arial"/>
                <w:sz w:val="16"/>
                <w:szCs w:val="16"/>
                <w:b w:val="1"/>
                <w:bCs w:val="1"/>
                <w:color w:val="auto"/>
              </w:rPr>
              <w:t>OPERATIONS</w:t>
            </w:r>
          </w:p>
        </w:tc>
        <w:tc>
          <w:tcPr>
            <w:tcW w:w="19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1740" w:type="dxa"/>
            <w:vAlign w:val="bottom"/>
            <w:tcBorders>
              <w:bottom w:val="single" w:sz="8" w:color="939598"/>
            </w:tcBorders>
          </w:tcPr>
          <w:p>
            <w:pPr>
              <w:spacing w:after="0"/>
              <w:rPr>
                <w:sz w:val="5"/>
                <w:szCs w:val="5"/>
                <w:color w:val="auto"/>
              </w:rPr>
            </w:pPr>
          </w:p>
        </w:tc>
        <w:tc>
          <w:tcPr>
            <w:tcW w:w="9480" w:type="dxa"/>
            <w:vAlign w:val="bottom"/>
            <w:tcBorders>
              <w:bottom w:val="single" w:sz="8" w:color="939598"/>
            </w:tcBorders>
            <w:gridSpan w:val="5"/>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740" w:type="dxa"/>
            <w:vAlign w:val="bottom"/>
          </w:tcPr>
          <w:p>
            <w:pPr>
              <w:spacing w:after="0"/>
              <w:rPr>
                <w:sz w:val="23"/>
                <w:szCs w:val="23"/>
                <w:color w:val="auto"/>
              </w:rPr>
            </w:pPr>
          </w:p>
        </w:tc>
        <w:tc>
          <w:tcPr>
            <w:tcW w:w="9480" w:type="dxa"/>
            <w:vAlign w:val="bottom"/>
            <w:gridSpan w:val="5"/>
          </w:tcPr>
          <w:p>
            <w:pPr>
              <w:ind w:left="28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Decades-long</w:t>
            </w:r>
            <w:r>
              <w:rPr>
                <w:rFonts w:ascii="Arial" w:cs="Arial" w:eastAsia="Arial" w:hAnsi="Arial"/>
                <w:sz w:val="16"/>
                <w:szCs w:val="16"/>
                <w:b w:val="1"/>
                <w:bCs w:val="1"/>
                <w:color w:val="D7282F"/>
              </w:rPr>
              <w:t xml:space="preserve"> history of innovation </w:t>
            </w:r>
            <w:r>
              <w:rPr>
                <w:rFonts w:ascii="Arial" w:cs="Arial" w:eastAsia="Arial" w:hAnsi="Arial"/>
                <w:sz w:val="16"/>
                <w:szCs w:val="16"/>
                <w:color w:val="000000"/>
              </w:rPr>
              <w:t>to help customers meet their sustainability-oriented goals.</w:t>
            </w:r>
          </w:p>
        </w:tc>
        <w:tc>
          <w:tcPr>
            <w:tcW w:w="0" w:type="dxa"/>
            <w:vAlign w:val="bottom"/>
          </w:tcPr>
          <w:p>
            <w:pPr>
              <w:spacing w:after="0"/>
              <w:rPr>
                <w:sz w:val="1"/>
                <w:szCs w:val="1"/>
                <w:color w:val="auto"/>
              </w:rPr>
            </w:pPr>
          </w:p>
        </w:tc>
      </w:tr>
      <w:tr>
        <w:trPr>
          <w:trHeight w:val="304"/>
        </w:trPr>
        <w:tc>
          <w:tcPr>
            <w:tcW w:w="1740" w:type="dxa"/>
            <w:vAlign w:val="bottom"/>
          </w:tcPr>
          <w:p>
            <w:pPr>
              <w:spacing w:after="0"/>
              <w:rPr>
                <w:sz w:val="24"/>
                <w:szCs w:val="24"/>
                <w:color w:val="auto"/>
              </w:rPr>
            </w:pPr>
          </w:p>
        </w:tc>
        <w:tc>
          <w:tcPr>
            <w:tcW w:w="9480" w:type="dxa"/>
            <w:vAlign w:val="bottom"/>
            <w:gridSpan w:val="5"/>
          </w:tcPr>
          <w:p>
            <w:pPr>
              <w:ind w:left="280"/>
              <w:spacing w:after="0"/>
              <w:rPr>
                <w:sz w:val="20"/>
                <w:szCs w:val="20"/>
                <w:color w:val="auto"/>
              </w:rPr>
            </w:pPr>
            <w:r>
              <w:rPr>
                <w:rFonts w:ascii="Arial" w:cs="Arial" w:eastAsia="Arial" w:hAnsi="Arial"/>
                <w:sz w:val="16"/>
                <w:szCs w:val="16"/>
                <w:b w:val="1"/>
                <w:bCs w:val="1"/>
                <w:color w:val="D7282F"/>
              </w:rPr>
              <w:t xml:space="preserve">•  &gt;60% </w:t>
            </w:r>
            <w:r>
              <w:rPr>
                <w:rFonts w:ascii="Arial" w:cs="Arial" w:eastAsia="Arial" w:hAnsi="Arial"/>
                <w:sz w:val="16"/>
                <w:szCs w:val="16"/>
                <w:color w:val="000000"/>
              </w:rPr>
              <w:t>of 2025 new product research and development investment was directed toward sustainability-oriented outcomes.</w:t>
            </w:r>
            <w:r>
              <w:rPr>
                <w:rFonts w:ascii="Arial" w:cs="Arial" w:eastAsia="Arial" w:hAnsi="Arial"/>
                <w:sz w:val="21"/>
                <w:szCs w:val="21"/>
                <w:color w:val="000000"/>
                <w:vertAlign w:val="superscript"/>
              </w:rPr>
              <w:t>(2)</w:t>
            </w:r>
          </w:p>
        </w:tc>
        <w:tc>
          <w:tcPr>
            <w:tcW w:w="0" w:type="dxa"/>
            <w:vAlign w:val="bottom"/>
          </w:tcPr>
          <w:p>
            <w:pPr>
              <w:spacing w:after="0"/>
              <w:rPr>
                <w:sz w:val="1"/>
                <w:szCs w:val="1"/>
                <w:color w:val="auto"/>
              </w:rPr>
            </w:pPr>
          </w:p>
        </w:tc>
      </w:tr>
      <w:tr>
        <w:trPr>
          <w:trHeight w:val="270"/>
        </w:trPr>
        <w:tc>
          <w:tcPr>
            <w:tcW w:w="1740" w:type="dxa"/>
            <w:vAlign w:val="bottom"/>
          </w:tcPr>
          <w:p>
            <w:pPr>
              <w:spacing w:after="0"/>
              <w:rPr>
                <w:sz w:val="23"/>
                <w:szCs w:val="23"/>
                <w:color w:val="auto"/>
              </w:rPr>
            </w:pPr>
          </w:p>
        </w:tc>
        <w:tc>
          <w:tcPr>
            <w:tcW w:w="9480" w:type="dxa"/>
            <w:vAlign w:val="bottom"/>
            <w:gridSpan w:val="5"/>
          </w:tcPr>
          <w:p>
            <w:pPr>
              <w:ind w:left="280"/>
              <w:spacing w:after="0"/>
              <w:rPr>
                <w:sz w:val="20"/>
                <w:szCs w:val="20"/>
                <w:color w:val="auto"/>
              </w:rPr>
            </w:pPr>
            <w:r>
              <w:rPr>
                <w:rFonts w:ascii="Arial" w:cs="Arial" w:eastAsia="Arial" w:hAnsi="Arial"/>
                <w:sz w:val="16"/>
                <w:szCs w:val="16"/>
                <w:b w:val="1"/>
                <w:bCs w:val="1"/>
                <w:color w:val="D7282F"/>
              </w:rPr>
              <w:t xml:space="preserve">•  &gt;60% </w:t>
            </w:r>
            <w:r>
              <w:rPr>
                <w:rFonts w:ascii="Arial" w:cs="Arial" w:eastAsia="Arial" w:hAnsi="Arial"/>
                <w:sz w:val="16"/>
                <w:szCs w:val="16"/>
                <w:color w:val="000000"/>
              </w:rPr>
              <w:t>of 2025 sales were from offerings that contribute to sustainability-oriented outcomes.</w:t>
            </w:r>
            <w:r>
              <w:rPr>
                <w:rFonts w:ascii="Arial" w:cs="Arial" w:eastAsia="Arial" w:hAnsi="Arial"/>
                <w:sz w:val="21"/>
                <w:szCs w:val="21"/>
                <w:color w:val="000000"/>
                <w:vertAlign w:val="superscript"/>
              </w:rPr>
              <w:t>(2)</w:t>
            </w:r>
          </w:p>
        </w:tc>
        <w:tc>
          <w:tcPr>
            <w:tcW w:w="0" w:type="dxa"/>
            <w:vAlign w:val="bottom"/>
          </w:tcPr>
          <w:p>
            <w:pPr>
              <w:spacing w:after="0"/>
              <w:rPr>
                <w:sz w:val="1"/>
                <w:szCs w:val="1"/>
                <w:color w:val="auto"/>
              </w:rPr>
            </w:pPr>
          </w:p>
        </w:tc>
      </w:tr>
      <w:tr>
        <w:trPr>
          <w:trHeight w:val="190"/>
        </w:trPr>
        <w:tc>
          <w:tcPr>
            <w:tcW w:w="1740" w:type="dxa"/>
            <w:vAlign w:val="bottom"/>
          </w:tcPr>
          <w:p>
            <w:pPr>
              <w:ind w:left="100"/>
              <w:spacing w:after="0"/>
              <w:rPr>
                <w:sz w:val="20"/>
                <w:szCs w:val="20"/>
                <w:color w:val="auto"/>
              </w:rPr>
            </w:pPr>
            <w:r>
              <w:rPr>
                <w:rFonts w:ascii="Arial" w:cs="Arial" w:eastAsia="Arial" w:hAnsi="Arial"/>
                <w:sz w:val="16"/>
                <w:szCs w:val="16"/>
                <w:b w:val="1"/>
                <w:bCs w:val="1"/>
                <w:color w:val="auto"/>
              </w:rPr>
              <w:t>SUSTAINABILITY-</w:t>
            </w:r>
          </w:p>
        </w:tc>
        <w:tc>
          <w:tcPr>
            <w:tcW w:w="9480" w:type="dxa"/>
            <w:vAlign w:val="bottom"/>
            <w:gridSpan w:val="5"/>
          </w:tcPr>
          <w:p>
            <w:pPr>
              <w:ind w:left="280"/>
              <w:spacing w:after="0" w:line="190" w:lineRule="exact"/>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We estimate that Honeywell technologies will have a cumulative impact of</w:t>
            </w:r>
            <w:r>
              <w:rPr>
                <w:rFonts w:ascii="Arial" w:cs="Arial" w:eastAsia="Arial" w:hAnsi="Arial"/>
                <w:sz w:val="16"/>
                <w:szCs w:val="16"/>
                <w:b w:val="1"/>
                <w:bCs w:val="1"/>
                <w:color w:val="D7282F"/>
              </w:rPr>
              <w:t xml:space="preserve"> mitigating 1.4 billion metric tons of CO</w:t>
            </w:r>
            <w:r>
              <w:rPr>
                <w:rFonts w:ascii="Arial" w:cs="Arial" w:eastAsia="Arial" w:hAnsi="Arial"/>
                <w:sz w:val="21"/>
                <w:szCs w:val="21"/>
                <w:b w:val="1"/>
                <w:bCs w:val="1"/>
                <w:color w:val="D7282F"/>
                <w:vertAlign w:val="subscript"/>
              </w:rPr>
              <w:t>2</w:t>
            </w:r>
            <w:r>
              <w:rPr>
                <w:rFonts w:ascii="Arial" w:cs="Arial" w:eastAsia="Arial" w:hAnsi="Arial"/>
                <w:sz w:val="16"/>
                <w:szCs w:val="16"/>
                <w:b w:val="1"/>
                <w:bCs w:val="1"/>
                <w:color w:val="D7282F"/>
              </w:rPr>
              <w:t>e</w:t>
            </w:r>
          </w:p>
        </w:tc>
        <w:tc>
          <w:tcPr>
            <w:tcW w:w="0" w:type="dxa"/>
            <w:vAlign w:val="bottom"/>
          </w:tcPr>
          <w:p>
            <w:pPr>
              <w:spacing w:after="0"/>
              <w:rPr>
                <w:sz w:val="1"/>
                <w:szCs w:val="1"/>
                <w:color w:val="auto"/>
              </w:rPr>
            </w:pPr>
          </w:p>
        </w:tc>
      </w:tr>
      <w:tr>
        <w:trPr>
          <w:trHeight w:val="231"/>
        </w:trPr>
        <w:tc>
          <w:tcPr>
            <w:tcW w:w="1740" w:type="dxa"/>
            <w:vAlign w:val="bottom"/>
          </w:tcPr>
          <w:p>
            <w:pPr>
              <w:ind w:left="100"/>
              <w:spacing w:after="0"/>
              <w:rPr>
                <w:sz w:val="20"/>
                <w:szCs w:val="20"/>
                <w:color w:val="auto"/>
              </w:rPr>
            </w:pPr>
            <w:r>
              <w:rPr>
                <w:rFonts w:ascii="Arial" w:cs="Arial" w:eastAsia="Arial" w:hAnsi="Arial"/>
                <w:sz w:val="16"/>
                <w:szCs w:val="16"/>
                <w:b w:val="1"/>
                <w:bCs w:val="1"/>
                <w:color w:val="auto"/>
              </w:rPr>
              <w:t>ORIENTED</w:t>
            </w:r>
          </w:p>
        </w:tc>
        <w:tc>
          <w:tcPr>
            <w:tcW w:w="3340" w:type="dxa"/>
            <w:vAlign w:val="bottom"/>
            <w:gridSpan w:val="2"/>
          </w:tcPr>
          <w:p>
            <w:pPr>
              <w:ind w:left="460"/>
              <w:spacing w:after="0" w:line="231" w:lineRule="exact"/>
              <w:rPr>
                <w:sz w:val="20"/>
                <w:szCs w:val="20"/>
                <w:color w:val="auto"/>
              </w:rPr>
            </w:pPr>
            <w:r>
              <w:rPr>
                <w:rFonts w:ascii="Arial" w:cs="Arial" w:eastAsia="Arial" w:hAnsi="Arial"/>
                <w:sz w:val="16"/>
                <w:szCs w:val="16"/>
                <w:color w:val="auto"/>
              </w:rPr>
              <w:t>between 2023 and 2030.</w:t>
            </w:r>
            <w:r>
              <w:rPr>
                <w:rFonts w:ascii="Arial" w:cs="Arial" w:eastAsia="Arial" w:hAnsi="Arial"/>
                <w:sz w:val="21"/>
                <w:szCs w:val="21"/>
                <w:color w:val="auto"/>
                <w:vertAlign w:val="superscript"/>
              </w:rPr>
              <w:t>(3)</w:t>
            </w:r>
          </w:p>
        </w:tc>
        <w:tc>
          <w:tcPr>
            <w:tcW w:w="2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-3669665</wp:posOffset>
            </wp:positionV>
            <wp:extent cx="334010" cy="3943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4010" cy="39433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-3669665</wp:posOffset>
            </wp:positionV>
            <wp:extent cx="394335" cy="3943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94335" cy="39433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-3669665</wp:posOffset>
            </wp:positionV>
            <wp:extent cx="394335" cy="3943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94335" cy="394335"/>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-2555240</wp:posOffset>
            </wp:positionV>
            <wp:extent cx="325755" cy="3257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-1560830</wp:posOffset>
            </wp:positionV>
            <wp:extent cx="325755" cy="3257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-694690</wp:posOffset>
            </wp:positionV>
            <wp:extent cx="325755" cy="3257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5755" cy="32575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6"/>
          <w:szCs w:val="16"/>
          <w:b w:val="1"/>
          <w:bCs w:val="1"/>
          <w:color w:val="auto"/>
        </w:rPr>
        <w:t>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23430" cy="32143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23430" cy="3214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0" w:hanging="192"/>
        <w:spacing w:after="0"/>
        <w:tabs>
          <w:tab w:leader="none" w:pos="200" w:val="left"/>
        </w:tabs>
        <w:numPr>
          <w:ilvl w:val="0"/>
          <w:numId w:val="19"/>
        </w:numPr>
        <w:rPr>
          <w:rFonts w:ascii="Arial" w:cs="Arial" w:eastAsia="Arial" w:hAnsi="Arial"/>
          <w:sz w:val="16"/>
          <w:szCs w:val="16"/>
          <w:color w:val="auto"/>
          <w:vertAlign w:val="superscript"/>
        </w:rPr>
      </w:pPr>
      <w:r>
        <w:rPr>
          <w:rFonts w:ascii="Arial" w:cs="Arial" w:eastAsia="Arial" w:hAnsi="Arial"/>
          <w:sz w:val="13"/>
          <w:szCs w:val="13"/>
          <w:color w:val="auto"/>
        </w:rPr>
        <w:t>Scope 1 and Scope 2.</w:t>
      </w:r>
    </w:p>
    <w:p>
      <w:pPr>
        <w:spacing w:after="0" w:line="63" w:lineRule="exact"/>
        <w:rPr>
          <w:rFonts w:ascii="Arial" w:cs="Arial" w:eastAsia="Arial" w:hAnsi="Arial"/>
          <w:sz w:val="16"/>
          <w:szCs w:val="16"/>
          <w:color w:val="auto"/>
          <w:vertAlign w:val="superscript"/>
        </w:rPr>
      </w:pPr>
    </w:p>
    <w:p>
      <w:pPr>
        <w:ind w:left="200" w:right="300" w:hanging="192"/>
        <w:spacing w:after="0" w:line="230" w:lineRule="auto"/>
        <w:tabs>
          <w:tab w:leader="none" w:pos="200" w:val="left"/>
        </w:tabs>
        <w:numPr>
          <w:ilvl w:val="0"/>
          <w:numId w:val="19"/>
        </w:numPr>
        <w:rPr>
          <w:rFonts w:ascii="Arial" w:cs="Arial" w:eastAsia="Arial" w:hAnsi="Arial"/>
          <w:sz w:val="16"/>
          <w:szCs w:val="16"/>
          <w:color w:val="auto"/>
          <w:vertAlign w:val="superscript"/>
        </w:rPr>
      </w:pPr>
      <w:r>
        <w:rPr>
          <w:rFonts w:ascii="Arial" w:cs="Arial" w:eastAsia="Arial" w:hAnsi="Arial"/>
          <w:sz w:val="13"/>
          <w:szCs w:val="13"/>
          <w:color w:val="auto"/>
        </w:rPr>
        <w:t xml:space="preserve">Percentages include investment and results from the Company's former Advanced Materials business prior to spin-off and Personal Protective Equipment business prior to sale, Methodology for identifying sustainability-oriented offerings is available at </w:t>
      </w:r>
      <w:r>
        <w:rPr>
          <w:rFonts w:ascii="Arial" w:cs="Arial" w:eastAsia="Arial" w:hAnsi="Arial"/>
          <w:sz w:val="13"/>
          <w:szCs w:val="13"/>
          <w:b w:val="1"/>
          <w:bCs w:val="1"/>
          <w:color w:val="D7282F"/>
        </w:rPr>
        <w:t>investor.honeywell.com/esg-information</w:t>
      </w:r>
      <w:r>
        <w:rPr>
          <w:rFonts w:ascii="Arial" w:cs="Arial" w:eastAsia="Arial" w:hAnsi="Arial"/>
          <w:sz w:val="13"/>
          <w:szCs w:val="13"/>
          <w:color w:val="auto"/>
        </w:rPr>
        <w:t xml:space="preserve"> (see “Identification of Sustainability-Oriented Offerings”).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60" w:type="dxa"/>
            <w:vAlign w:val="bottom"/>
          </w:tcPr>
          <w:p>
            <w:pPr>
              <w:ind w:left="6840"/>
              <w:spacing w:after="0"/>
              <w:rPr>
                <w:sz w:val="20"/>
                <w:szCs w:val="20"/>
                <w:color w:val="auto"/>
              </w:rPr>
            </w:pPr>
            <w:r>
              <w:rPr>
                <w:rFonts w:ascii="Arial" w:cs="Arial" w:eastAsia="Arial" w:hAnsi="Arial"/>
                <w:sz w:val="13"/>
                <w:szCs w:val="13"/>
                <w:b w:val="1"/>
                <w:bCs w:val="1"/>
                <w:color w:val="6D6E71"/>
              </w:rPr>
              <w:t>2026 NOTICE AND PROXY STATEMENT   |</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373"/>
        </w:trPr>
        <w:tc>
          <w:tcPr>
            <w:tcW w:w="10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852" w:gutter="0" w:footer="0" w:header="0"/>
        </w:sectPr>
      </w:pPr>
    </w:p>
    <w:bookmarkStart w:id="12" w:name="page13"/>
    <w:bookmarkEnd w:id="12"/>
    <w:p>
      <w:pPr>
        <w:spacing w:after="0"/>
        <w:rPr>
          <w:sz w:val="20"/>
          <w:szCs w:val="20"/>
          <w:color w:val="auto"/>
        </w:rPr>
      </w:pPr>
      <w:r>
        <w:rPr>
          <w:rFonts w:ascii="Arial" w:cs="Arial" w:eastAsia="Arial" w:hAnsi="Arial"/>
          <w:sz w:val="13"/>
          <w:szCs w:val="13"/>
          <w:b w:val="1"/>
          <w:bCs w:val="1"/>
          <w:color w:val="6D6E71"/>
        </w:rPr>
        <w:t>HONEYWELL PERFORMANCE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0" w:right="200" w:hanging="192"/>
        <w:spacing w:after="0" w:line="230" w:lineRule="auto"/>
        <w:tabs>
          <w:tab w:leader="none" w:pos="200" w:val="left"/>
        </w:tabs>
        <w:numPr>
          <w:ilvl w:val="0"/>
          <w:numId w:val="20"/>
        </w:numPr>
        <w:rPr>
          <w:rFonts w:ascii="Arial" w:cs="Arial" w:eastAsia="Arial" w:hAnsi="Arial"/>
          <w:sz w:val="16"/>
          <w:szCs w:val="16"/>
          <w:color w:val="auto"/>
          <w:vertAlign w:val="superscript"/>
        </w:rPr>
      </w:pPr>
      <w:r>
        <w:rPr>
          <w:rFonts w:ascii="Arial" w:cs="Arial" w:eastAsia="Arial" w:hAnsi="Arial"/>
          <w:sz w:val="13"/>
          <w:szCs w:val="13"/>
          <w:color w:val="auto"/>
        </w:rPr>
        <w:t xml:space="preserve">Calculation excludes projected impact associated with the Company’s former Advanced Materials business after the spin-off from the Company in October 2025. Methodology for estimating GHG mitigation impact is available at </w:t>
      </w:r>
      <w:r>
        <w:rPr>
          <w:rFonts w:ascii="Arial" w:cs="Arial" w:eastAsia="Arial" w:hAnsi="Arial"/>
          <w:sz w:val="13"/>
          <w:szCs w:val="13"/>
          <w:b w:val="1"/>
          <w:bCs w:val="1"/>
          <w:color w:val="D7282F"/>
        </w:rPr>
        <w:t>investor.honeywell.com/esg-information</w:t>
      </w:r>
      <w:r>
        <w:rPr>
          <w:rFonts w:ascii="Arial" w:cs="Arial" w:eastAsia="Arial" w:hAnsi="Arial"/>
          <w:sz w:val="13"/>
          <w:szCs w:val="13"/>
          <w:color w:val="auto"/>
        </w:rPr>
        <w:t xml:space="preserve"> (see “GHG Mitigation Impact of Honeywell Technologies”).</w:t>
      </w:r>
    </w:p>
    <w:p>
      <w:pPr>
        <w:spacing w:after="0" w:line="58" w:lineRule="exact"/>
        <w:rPr>
          <w:rFonts w:ascii="Arial" w:cs="Arial" w:eastAsia="Arial" w:hAnsi="Arial"/>
          <w:sz w:val="16"/>
          <w:szCs w:val="16"/>
          <w:color w:val="auto"/>
          <w:vertAlign w:val="superscript"/>
        </w:rPr>
      </w:pPr>
    </w:p>
    <w:p>
      <w:pPr>
        <w:ind w:left="200" w:right="180" w:hanging="192"/>
        <w:spacing w:after="0" w:line="226" w:lineRule="auto"/>
        <w:tabs>
          <w:tab w:leader="none" w:pos="200" w:val="left"/>
        </w:tabs>
        <w:numPr>
          <w:ilvl w:val="0"/>
          <w:numId w:val="20"/>
        </w:numPr>
        <w:rPr>
          <w:rFonts w:ascii="Arial" w:cs="Arial" w:eastAsia="Arial" w:hAnsi="Arial"/>
          <w:sz w:val="16"/>
          <w:szCs w:val="16"/>
          <w:color w:val="auto"/>
          <w:vertAlign w:val="superscript"/>
        </w:rPr>
      </w:pPr>
      <w:r>
        <w:rPr>
          <w:rFonts w:ascii="Arial" w:cs="Arial" w:eastAsia="Arial" w:hAnsi="Arial"/>
          <w:sz w:val="13"/>
          <w:szCs w:val="13"/>
          <w:color w:val="auto"/>
        </w:rPr>
        <w:t>Includes product lines associated with Aerospace Technologies, which is expected to become a standalone public company in the third quarter of 2026, and the PSS and WWS businesses, which are classified as held for sale as of December 31, 2025.</w:t>
      </w:r>
    </w:p>
    <w:p>
      <w:pPr>
        <w:spacing w:after="0" w:line="95" w:lineRule="exact"/>
        <w:rPr>
          <w:sz w:val="20"/>
          <w:szCs w:val="20"/>
          <w:color w:val="auto"/>
        </w:rPr>
      </w:pPr>
    </w:p>
    <w:p>
      <w:pPr>
        <w:ind w:right="1600"/>
        <w:spacing w:after="0" w:line="296" w:lineRule="auto"/>
        <w:rPr>
          <w:sz w:val="20"/>
          <w:szCs w:val="20"/>
          <w:color w:val="auto"/>
        </w:rPr>
      </w:pPr>
      <w:r>
        <w:rPr>
          <w:rFonts w:ascii="Arial" w:cs="Arial" w:eastAsia="Arial" w:hAnsi="Arial"/>
          <w:sz w:val="16"/>
          <w:szCs w:val="16"/>
          <w:color w:val="auto"/>
        </w:rPr>
        <w:t xml:space="preserve">For more information about Honeywell's commitment to sustainability and community initiatives, please see our 2025 Impact Report at </w:t>
      </w:r>
      <w:r>
        <w:rPr>
          <w:rFonts w:ascii="Arial" w:cs="Arial" w:eastAsia="Arial" w:hAnsi="Arial"/>
          <w:sz w:val="16"/>
          <w:szCs w:val="16"/>
          <w:b w:val="1"/>
          <w:bCs w:val="1"/>
          <w:color w:val="D7282F"/>
        </w:rPr>
        <w:t>investor.honeywell.com/esg-information</w:t>
      </w:r>
      <w:r>
        <w:rPr>
          <w:rFonts w:ascii="Arial" w:cs="Arial" w:eastAsia="Arial" w:hAnsi="Arial"/>
          <w:sz w:val="16"/>
          <w:szCs w:val="16"/>
          <w:color w:val="000000"/>
        </w:rPr>
        <w:t>.</w:t>
      </w:r>
    </w:p>
    <w:p>
      <w:pPr>
        <w:spacing w:after="0" w:line="237"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2025 YEAR IN REVIEW</w:t>
      </w:r>
    </w:p>
    <w:p>
      <w:pPr>
        <w:spacing w:after="0" w:line="127"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In 2025, Honeywell once again operated through macroeconomic and geopolitical uncertainty to deliver strong financial results and deploy significant capital towards M&amp;A, share repurchases, dividends, and capital expenditures. We continued to progress towards our portfolio optimization goals through the announcement of our intent to separate Honeywell from its Aerospace business as well as the successful spin-off of Solstice Advanced Materials into an independent, publicly-traded company. We made further changes to our world-class Board and management team, including naming Jim Masso President and CEO of our Process Automation business, naming Pete Lau President and CEO of our Industrial Automation segment, naming Jim Currier President and CEO of Honeywell Aerospace post-separation, and appointing Craig Arnold as independent Board Chair of Honeywell Aerospace post-separation. We also achieved significant customer wins across our businesses in deals that will provide a path to accelerated growth in the coming decades, and we remain focused on the needs of our customers, employees, shareowners, environment, and society as we look to the future. Below we provide a timeline of some of the key milestones achieved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121920</wp:posOffset>
            </wp:positionV>
            <wp:extent cx="5717540" cy="17913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17540" cy="179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sz w:val="1"/>
          <w:szCs w:val="1"/>
          <w:color w:val="auto"/>
        </w:rPr>
        <w:drawing>
          <wp:inline distT="0" distB="0" distL="0" distR="0">
            <wp:extent cx="548640" cy="10287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2026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0" w:right="379" w:bottom="1440" w:gutter="0" w:footer="0" w:header="0"/>
        </w:sectPr>
      </w:pPr>
    </w:p>
    <w:bookmarkStart w:id="13" w:name="page14"/>
    <w:bookmarkEnd w:id="13"/>
    <w:p>
      <w:pPr>
        <w:spacing w:after="0"/>
        <w:rPr>
          <w:sz w:val="20"/>
          <w:szCs w:val="20"/>
          <w:color w:val="auto"/>
        </w:rPr>
      </w:pPr>
      <w:r>
        <w:rPr>
          <w:rFonts w:ascii="Arial" w:cs="Arial" w:eastAsia="Arial" w:hAnsi="Arial"/>
          <w:sz w:val="45"/>
          <w:szCs w:val="45"/>
          <w:b w:val="1"/>
          <w:bCs w:val="1"/>
          <w:color w:val="auto"/>
        </w:rPr>
        <w:t>PROXY</w:t>
      </w:r>
    </w:p>
    <w:p>
      <w:pPr>
        <w:spacing w:after="0" w:line="69" w:lineRule="exact"/>
        <w:rPr>
          <w:sz w:val="20"/>
          <w:szCs w:val="20"/>
          <w:color w:val="auto"/>
        </w:rPr>
      </w:pPr>
    </w:p>
    <w:p>
      <w:pPr>
        <w:spacing w:after="0"/>
        <w:rPr>
          <w:sz w:val="20"/>
          <w:szCs w:val="20"/>
          <w:color w:val="auto"/>
        </w:rPr>
      </w:pPr>
      <w:r>
        <w:rPr>
          <w:rFonts w:ascii="Arial" w:cs="Arial" w:eastAsia="Arial" w:hAnsi="Arial"/>
          <w:sz w:val="45"/>
          <w:szCs w:val="45"/>
          <w:b w:val="1"/>
          <w:bCs w:val="1"/>
          <w:color w:val="auto"/>
        </w:rPr>
        <w:t>SUMMARY</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30"/>
          <w:szCs w:val="30"/>
          <w:b w:val="1"/>
          <w:bCs w:val="1"/>
          <w:color w:val="D7282F"/>
        </w:rPr>
        <w:t>ANNUAL MEETING OF SHAREOWNERS</w:t>
      </w:r>
    </w:p>
    <w:p>
      <w:pPr>
        <w:sectPr>
          <w:pgSz w:w="11900" w:h="16838" w:orient="portrait"/>
          <w:cols w:equalWidth="0" w:num="1">
            <w:col w:w="11240"/>
          </w:cols>
          <w:pgMar w:left="320" w:top="1293" w:right="339" w:bottom="1440" w:gutter="0" w:footer="0" w:header="0"/>
        </w:sectPr>
      </w:pPr>
    </w:p>
    <w:p>
      <w:pPr>
        <w:spacing w:after="0" w:line="18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TIME AND DATE</w:t>
      </w:r>
    </w:p>
    <w:p>
      <w:pPr>
        <w:spacing w:after="0" w:line="29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PLACE</w:t>
      </w:r>
    </w:p>
    <w:p>
      <w:pPr>
        <w:spacing w:after="0" w:line="347" w:lineRule="exact"/>
        <w:rPr>
          <w:sz w:val="20"/>
          <w:szCs w:val="20"/>
          <w:color w:val="auto"/>
        </w:rPr>
      </w:pPr>
    </w:p>
    <w:p>
      <w:pPr>
        <w:ind w:left="20" w:right="360"/>
        <w:spacing w:after="0" w:line="527" w:lineRule="auto"/>
        <w:rPr>
          <w:sz w:val="20"/>
          <w:szCs w:val="20"/>
          <w:color w:val="auto"/>
        </w:rPr>
      </w:pPr>
      <w:r>
        <w:rPr>
          <w:rFonts w:ascii="Arial" w:cs="Arial" w:eastAsia="Arial" w:hAnsi="Arial"/>
          <w:sz w:val="17"/>
          <w:szCs w:val="17"/>
          <w:b w:val="1"/>
          <w:bCs w:val="1"/>
          <w:color w:val="auto"/>
        </w:rPr>
        <w:t>RECORD DATE ADMISSION</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May 22, 2026, 10:30 a.m. EDT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meeting will be held in virtual format only.</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Please visit </w:t>
      </w:r>
      <w:r>
        <w:rPr>
          <w:rFonts w:ascii="Arial" w:cs="Arial" w:eastAsia="Arial" w:hAnsi="Arial"/>
          <w:sz w:val="16"/>
          <w:szCs w:val="16"/>
          <w:b w:val="1"/>
          <w:bCs w:val="1"/>
          <w:color w:val="D7282F"/>
        </w:rPr>
        <w:t>www.virtualshareholdermeeting.com/HON2026</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Shareowners as of March 27, 2026, are entitled to vote.</w:t>
      </w:r>
    </w:p>
    <w:p>
      <w:pPr>
        <w:spacing w:after="0" w:line="302"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To attend the virtual Annual Meeting of Shareowners (the Annual Meeting) online, vote, and submit questions during the meeting, you will need the 16-digit control number included on the Notice of Internet Availability of Proxy Materials, on your proxy card (if you requested printed materials), or on the instructions that accompanied your Proxy Materials.</w:t>
      </w:r>
    </w:p>
    <w:p>
      <w:pPr>
        <w:spacing w:after="0" w:line="200" w:lineRule="exact"/>
        <w:rPr>
          <w:sz w:val="20"/>
          <w:szCs w:val="20"/>
          <w:color w:val="auto"/>
        </w:rPr>
      </w:pPr>
    </w:p>
    <w:p>
      <w:pPr>
        <w:sectPr>
          <w:pgSz w:w="11900" w:h="16838" w:orient="portrait"/>
          <w:cols w:equalWidth="0" w:num="2">
            <w:col w:w="1700" w:space="720"/>
            <w:col w:w="8820"/>
          </w:cols>
          <w:pgMar w:left="320" w:top="1293" w:right="339" w:bottom="1440" w:gutter="0" w:footer="0" w:header="0"/>
          <w:type w:val="continuous"/>
        </w:sectPr>
      </w:pPr>
    </w:p>
    <w:p>
      <w:pPr>
        <w:spacing w:after="0" w:line="277"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VOTING MATTERS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40" w:type="dxa"/>
            <w:vAlign w:val="bottom"/>
          </w:tcPr>
          <w:p>
            <w:pPr>
              <w:ind w:left="20"/>
              <w:spacing w:after="0"/>
              <w:rPr>
                <w:sz w:val="20"/>
                <w:szCs w:val="20"/>
                <w:color w:val="auto"/>
              </w:rPr>
            </w:pPr>
            <w:r>
              <w:rPr>
                <w:rFonts w:ascii="Arial" w:cs="Arial" w:eastAsia="Arial" w:hAnsi="Arial"/>
                <w:sz w:val="14"/>
                <w:szCs w:val="14"/>
                <w:b w:val="1"/>
                <w:bCs w:val="1"/>
                <w:color w:val="auto"/>
              </w:rPr>
              <w:t>Proposals</w:t>
            </w:r>
          </w:p>
        </w:tc>
        <w:tc>
          <w:tcPr>
            <w:tcW w:w="5260" w:type="dxa"/>
            <w:vAlign w:val="bottom"/>
          </w:tcPr>
          <w:p>
            <w:pPr>
              <w:spacing w:after="0"/>
              <w:rPr>
                <w:sz w:val="17"/>
                <w:szCs w:val="17"/>
                <w:color w:val="auto"/>
              </w:rPr>
            </w:pPr>
          </w:p>
        </w:tc>
        <w:tc>
          <w:tcPr>
            <w:tcW w:w="4120" w:type="dxa"/>
            <w:vAlign w:val="bottom"/>
          </w:tcPr>
          <w:p>
            <w:pPr>
              <w:ind w:left="1740"/>
              <w:spacing w:after="0"/>
              <w:rPr>
                <w:sz w:val="20"/>
                <w:szCs w:val="20"/>
                <w:color w:val="auto"/>
              </w:rPr>
            </w:pPr>
            <w:r>
              <w:rPr>
                <w:rFonts w:ascii="Arial" w:cs="Arial" w:eastAsia="Arial" w:hAnsi="Arial"/>
                <w:sz w:val="14"/>
                <w:szCs w:val="14"/>
                <w:b w:val="1"/>
                <w:bCs w:val="1"/>
                <w:color w:val="auto"/>
              </w:rPr>
              <w:t>Recommended Vote</w:t>
            </w:r>
          </w:p>
        </w:tc>
        <w:tc>
          <w:tcPr>
            <w:tcW w:w="1020" w:type="dxa"/>
            <w:vAlign w:val="bottom"/>
            <w:gridSpan w:val="2"/>
          </w:tcPr>
          <w:p>
            <w:pPr>
              <w:ind w:left="6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4"/>
        </w:trPr>
        <w:tc>
          <w:tcPr>
            <w:tcW w:w="840" w:type="dxa"/>
            <w:vAlign w:val="bottom"/>
            <w:tcBorders>
              <w:top w:val="single" w:sz="8" w:color="D7282F"/>
            </w:tcBorders>
          </w:tcPr>
          <w:p>
            <w:pPr>
              <w:ind w:left="20"/>
              <w:spacing w:after="0"/>
              <w:rPr>
                <w:sz w:val="20"/>
                <w:szCs w:val="20"/>
                <w:color w:val="auto"/>
              </w:rPr>
            </w:pPr>
            <w:r>
              <w:rPr>
                <w:rFonts w:ascii="Arial" w:cs="Arial" w:eastAsia="Arial" w:hAnsi="Arial"/>
                <w:sz w:val="14"/>
                <w:szCs w:val="14"/>
                <w:b w:val="1"/>
                <w:bCs w:val="1"/>
                <w:color w:val="D7282F"/>
              </w:rPr>
              <w:t>No. 1</w:t>
            </w:r>
          </w:p>
        </w:tc>
        <w:tc>
          <w:tcPr>
            <w:tcW w:w="5260" w:type="dxa"/>
            <w:vAlign w:val="bottom"/>
            <w:tcBorders>
              <w:top w:val="single" w:sz="8" w:color="D7282F"/>
            </w:tcBorders>
          </w:tcPr>
          <w:p>
            <w:pPr>
              <w:ind w:left="100"/>
              <w:spacing w:after="0"/>
              <w:rPr>
                <w:sz w:val="20"/>
                <w:szCs w:val="20"/>
                <w:color w:val="auto"/>
              </w:rPr>
            </w:pPr>
            <w:r>
              <w:rPr>
                <w:rFonts w:ascii="Arial" w:cs="Arial" w:eastAsia="Arial" w:hAnsi="Arial"/>
                <w:sz w:val="14"/>
                <w:szCs w:val="14"/>
                <w:color w:val="auto"/>
              </w:rPr>
              <w:t>Election of Directors</w:t>
            </w:r>
          </w:p>
        </w:tc>
        <w:tc>
          <w:tcPr>
            <w:tcW w:w="4120" w:type="dxa"/>
            <w:vAlign w:val="bottom"/>
            <w:tcBorders>
              <w:top w:val="single" w:sz="8" w:color="D7282F"/>
            </w:tcBorders>
          </w:tcPr>
          <w:p>
            <w:pPr>
              <w:ind w:left="1740"/>
              <w:spacing w:after="0"/>
              <w:rPr>
                <w:sz w:val="20"/>
                <w:szCs w:val="20"/>
                <w:color w:val="auto"/>
              </w:rPr>
            </w:pPr>
            <w:r>
              <w:rPr>
                <w:rFonts w:ascii="Arial" w:cs="Arial" w:eastAsia="Arial" w:hAnsi="Arial"/>
                <w:sz w:val="14"/>
                <w:szCs w:val="14"/>
                <w:b w:val="1"/>
                <w:bCs w:val="1"/>
                <w:color w:val="D7282F"/>
              </w:rPr>
              <w:t>FOR each nominee</w:t>
            </w:r>
          </w:p>
        </w:tc>
        <w:tc>
          <w:tcPr>
            <w:tcW w:w="1000" w:type="dxa"/>
            <w:vAlign w:val="bottom"/>
            <w:tcBorders>
              <w:top w:val="single" w:sz="8" w:color="D7282F"/>
            </w:tcBorders>
          </w:tcPr>
          <w:p>
            <w:pPr>
              <w:jc w:val="right"/>
              <w:spacing w:after="0"/>
              <w:rPr>
                <w:sz w:val="20"/>
                <w:szCs w:val="20"/>
                <w:color w:val="auto"/>
              </w:rPr>
            </w:pPr>
            <w:r>
              <w:rPr>
                <w:rFonts w:ascii="Arial" w:cs="Arial" w:eastAsia="Arial" w:hAnsi="Arial"/>
                <w:sz w:val="14"/>
                <w:szCs w:val="14"/>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840" w:type="dxa"/>
            <w:vAlign w:val="bottom"/>
            <w:tcBorders>
              <w:bottom w:val="single" w:sz="8" w:color="939598"/>
            </w:tcBorders>
          </w:tcPr>
          <w:p>
            <w:pPr>
              <w:spacing w:after="0"/>
              <w:rPr>
                <w:sz w:val="2"/>
                <w:szCs w:val="2"/>
                <w:color w:val="auto"/>
              </w:rPr>
            </w:pPr>
          </w:p>
        </w:tc>
        <w:tc>
          <w:tcPr>
            <w:tcW w:w="5260" w:type="dxa"/>
            <w:vAlign w:val="bottom"/>
            <w:tcBorders>
              <w:bottom w:val="single" w:sz="8" w:color="939598"/>
            </w:tcBorders>
          </w:tcPr>
          <w:p>
            <w:pPr>
              <w:spacing w:after="0"/>
              <w:rPr>
                <w:sz w:val="2"/>
                <w:szCs w:val="2"/>
                <w:color w:val="auto"/>
              </w:rPr>
            </w:pPr>
          </w:p>
        </w:tc>
        <w:tc>
          <w:tcPr>
            <w:tcW w:w="412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4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D7282F"/>
              </w:rPr>
              <w:t>No. 2</w:t>
            </w:r>
          </w:p>
        </w:tc>
        <w:tc>
          <w:tcPr>
            <w:tcW w:w="5260" w:type="dxa"/>
            <w:vAlign w:val="bottom"/>
            <w:tcBorders>
              <w:bottom w:val="single" w:sz="8" w:color="939598"/>
            </w:tcBorders>
          </w:tcPr>
          <w:p>
            <w:pPr>
              <w:ind w:left="100"/>
              <w:spacing w:after="0"/>
              <w:rPr>
                <w:sz w:val="20"/>
                <w:szCs w:val="20"/>
                <w:color w:val="auto"/>
              </w:rPr>
            </w:pPr>
            <w:r>
              <w:rPr>
                <w:rFonts w:ascii="Arial" w:cs="Arial" w:eastAsia="Arial" w:hAnsi="Arial"/>
                <w:sz w:val="14"/>
                <w:szCs w:val="14"/>
                <w:color w:val="auto"/>
              </w:rPr>
              <w:t>Advisory Vote to Approve Executive Compensation</w:t>
            </w:r>
          </w:p>
        </w:tc>
        <w:tc>
          <w:tcPr>
            <w:tcW w:w="4120" w:type="dxa"/>
            <w:vAlign w:val="bottom"/>
            <w:tcBorders>
              <w:bottom w:val="single" w:sz="8" w:color="939598"/>
            </w:tcBorders>
          </w:tcPr>
          <w:p>
            <w:pPr>
              <w:ind w:left="1740"/>
              <w:spacing w:after="0"/>
              <w:rPr>
                <w:sz w:val="20"/>
                <w:szCs w:val="20"/>
                <w:color w:val="auto"/>
              </w:rPr>
            </w:pPr>
            <w:r>
              <w:rPr>
                <w:rFonts w:ascii="Arial" w:cs="Arial" w:eastAsia="Arial" w:hAnsi="Arial"/>
                <w:sz w:val="14"/>
                <w:szCs w:val="14"/>
                <w:b w:val="1"/>
                <w:bCs w:val="1"/>
                <w:color w:val="D7282F"/>
              </w:rPr>
              <w:t>FOR</w:t>
            </w:r>
          </w:p>
        </w:tc>
        <w:tc>
          <w:tcPr>
            <w:tcW w:w="10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D7282F"/>
              </w:rPr>
              <w:t>No. 3</w:t>
            </w:r>
          </w:p>
        </w:tc>
        <w:tc>
          <w:tcPr>
            <w:tcW w:w="5260" w:type="dxa"/>
            <w:vAlign w:val="bottom"/>
            <w:tcBorders>
              <w:bottom w:val="single" w:sz="8" w:color="939598"/>
            </w:tcBorders>
          </w:tcPr>
          <w:p>
            <w:pPr>
              <w:ind w:left="100"/>
              <w:spacing w:after="0"/>
              <w:rPr>
                <w:sz w:val="20"/>
                <w:szCs w:val="20"/>
                <w:color w:val="auto"/>
              </w:rPr>
            </w:pPr>
            <w:r>
              <w:rPr>
                <w:rFonts w:ascii="Arial" w:cs="Arial" w:eastAsia="Arial" w:hAnsi="Arial"/>
                <w:sz w:val="14"/>
                <w:szCs w:val="14"/>
                <w:color w:val="auto"/>
              </w:rPr>
              <w:t>Approval of Independent Accountants</w:t>
            </w:r>
          </w:p>
        </w:tc>
        <w:tc>
          <w:tcPr>
            <w:tcW w:w="4120" w:type="dxa"/>
            <w:vAlign w:val="bottom"/>
            <w:tcBorders>
              <w:bottom w:val="single" w:sz="8" w:color="939598"/>
            </w:tcBorders>
          </w:tcPr>
          <w:p>
            <w:pPr>
              <w:ind w:left="1740"/>
              <w:spacing w:after="0"/>
              <w:rPr>
                <w:sz w:val="20"/>
                <w:szCs w:val="20"/>
                <w:color w:val="auto"/>
              </w:rPr>
            </w:pPr>
            <w:r>
              <w:rPr>
                <w:rFonts w:ascii="Arial" w:cs="Arial" w:eastAsia="Arial" w:hAnsi="Arial"/>
                <w:sz w:val="14"/>
                <w:szCs w:val="14"/>
                <w:b w:val="1"/>
                <w:bCs w:val="1"/>
                <w:color w:val="D7282F"/>
              </w:rPr>
              <w:t>FOR</w:t>
            </w:r>
          </w:p>
        </w:tc>
        <w:tc>
          <w:tcPr>
            <w:tcW w:w="10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108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40" w:type="dxa"/>
            <w:vAlign w:val="bottom"/>
            <w:vMerge w:val="restart"/>
          </w:tcPr>
          <w:p>
            <w:pPr>
              <w:ind w:left="20"/>
              <w:spacing w:after="0"/>
              <w:rPr>
                <w:sz w:val="20"/>
                <w:szCs w:val="20"/>
                <w:color w:val="auto"/>
              </w:rPr>
            </w:pPr>
            <w:r>
              <w:rPr>
                <w:rFonts w:ascii="Arial" w:cs="Arial" w:eastAsia="Arial" w:hAnsi="Arial"/>
                <w:sz w:val="14"/>
                <w:szCs w:val="14"/>
                <w:b w:val="1"/>
                <w:bCs w:val="1"/>
                <w:color w:val="D7282F"/>
              </w:rPr>
              <w:t>No. 4</w:t>
            </w:r>
          </w:p>
        </w:tc>
        <w:tc>
          <w:tcPr>
            <w:tcW w:w="5260" w:type="dxa"/>
            <w:vAlign w:val="bottom"/>
            <w:vMerge w:val="restart"/>
          </w:tcPr>
          <w:p>
            <w:pPr>
              <w:ind w:left="100"/>
              <w:spacing w:after="0"/>
              <w:rPr>
                <w:sz w:val="20"/>
                <w:szCs w:val="20"/>
                <w:color w:val="auto"/>
              </w:rPr>
            </w:pPr>
            <w:r>
              <w:rPr>
                <w:rFonts w:ascii="Arial" w:cs="Arial" w:eastAsia="Arial" w:hAnsi="Arial"/>
                <w:sz w:val="14"/>
                <w:szCs w:val="14"/>
                <w:color w:val="auto"/>
              </w:rPr>
              <w:t>Reverse Stock Split Proposal</w:t>
            </w:r>
          </w:p>
        </w:tc>
        <w:tc>
          <w:tcPr>
            <w:tcW w:w="4120" w:type="dxa"/>
            <w:vAlign w:val="bottom"/>
          </w:tcPr>
          <w:p>
            <w:pPr>
              <w:ind w:left="1740"/>
              <w:spacing w:after="0"/>
              <w:rPr>
                <w:sz w:val="20"/>
                <w:szCs w:val="20"/>
                <w:color w:val="auto"/>
              </w:rPr>
            </w:pPr>
            <w:r>
              <w:rPr>
                <w:rFonts w:ascii="Arial" w:cs="Arial" w:eastAsia="Arial" w:hAnsi="Arial"/>
                <w:sz w:val="14"/>
                <w:szCs w:val="14"/>
                <w:b w:val="1"/>
                <w:bCs w:val="1"/>
                <w:color w:val="D7282F"/>
              </w:rPr>
              <w:t>FOR</w:t>
            </w:r>
          </w:p>
        </w:tc>
        <w:tc>
          <w:tcPr>
            <w:tcW w:w="1000" w:type="dxa"/>
            <w:vAlign w:val="bottom"/>
          </w:tcPr>
          <w:p>
            <w:pPr>
              <w:jc w:val="right"/>
              <w:spacing w:after="0"/>
              <w:rPr>
                <w:sz w:val="20"/>
                <w:szCs w:val="20"/>
                <w:color w:val="auto"/>
              </w:rPr>
            </w:pPr>
            <w:r>
              <w:rPr>
                <w:rFonts w:ascii="Arial" w:cs="Arial" w:eastAsia="Arial" w:hAnsi="Arial"/>
                <w:sz w:val="14"/>
                <w:szCs w:val="14"/>
                <w:color w:val="auto"/>
              </w:rPr>
              <w:t>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40" w:type="dxa"/>
            <w:vAlign w:val="bottom"/>
            <w:vMerge w:val="continue"/>
          </w:tcPr>
          <w:p>
            <w:pPr>
              <w:spacing w:after="0"/>
              <w:rPr>
                <w:sz w:val="9"/>
                <w:szCs w:val="9"/>
                <w:color w:val="auto"/>
              </w:rPr>
            </w:pPr>
          </w:p>
        </w:tc>
        <w:tc>
          <w:tcPr>
            <w:tcW w:w="5260" w:type="dxa"/>
            <w:vAlign w:val="bottom"/>
            <w:vMerge w:val="continue"/>
          </w:tcPr>
          <w:p>
            <w:pPr>
              <w:spacing w:after="0"/>
              <w:rPr>
                <w:sz w:val="9"/>
                <w:szCs w:val="9"/>
                <w:color w:val="auto"/>
              </w:rPr>
            </w:pPr>
          </w:p>
        </w:tc>
        <w:tc>
          <w:tcPr>
            <w:tcW w:w="4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840" w:type="dxa"/>
            <w:vAlign w:val="bottom"/>
            <w:tcBorders>
              <w:bottom w:val="single" w:sz="8" w:color="939598"/>
            </w:tcBorders>
          </w:tcPr>
          <w:p>
            <w:pPr>
              <w:spacing w:after="0"/>
              <w:rPr>
                <w:sz w:val="10"/>
                <w:szCs w:val="10"/>
                <w:color w:val="auto"/>
              </w:rPr>
            </w:pPr>
          </w:p>
        </w:tc>
        <w:tc>
          <w:tcPr>
            <w:tcW w:w="5260" w:type="dxa"/>
            <w:vAlign w:val="bottom"/>
            <w:tcBorders>
              <w:bottom w:val="single" w:sz="8" w:color="939598"/>
            </w:tcBorders>
          </w:tcPr>
          <w:p>
            <w:pPr>
              <w:spacing w:after="0"/>
              <w:rPr>
                <w:sz w:val="10"/>
                <w:szCs w:val="10"/>
                <w:color w:val="auto"/>
              </w:rPr>
            </w:pPr>
          </w:p>
        </w:tc>
        <w:tc>
          <w:tcPr>
            <w:tcW w:w="4120" w:type="dxa"/>
            <w:vAlign w:val="bottom"/>
            <w:tcBorders>
              <w:bottom w:val="single" w:sz="8" w:color="939598"/>
            </w:tcBorders>
          </w:tcPr>
          <w:p>
            <w:pPr>
              <w:spacing w:after="0"/>
              <w:rPr>
                <w:sz w:val="10"/>
                <w:szCs w:val="10"/>
                <w:color w:val="auto"/>
              </w:rPr>
            </w:pPr>
          </w:p>
        </w:tc>
        <w:tc>
          <w:tcPr>
            <w:tcW w:w="1000" w:type="dxa"/>
            <w:vAlign w:val="bottom"/>
            <w:tcBorders>
              <w:bottom w:val="single" w:sz="8" w:color="939598"/>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5"/>
        </w:trPr>
        <w:tc>
          <w:tcPr>
            <w:tcW w:w="840" w:type="dxa"/>
            <w:vAlign w:val="bottom"/>
          </w:tcPr>
          <w:p>
            <w:pPr>
              <w:ind w:left="20"/>
              <w:spacing w:after="0"/>
              <w:rPr>
                <w:sz w:val="20"/>
                <w:szCs w:val="20"/>
                <w:color w:val="auto"/>
              </w:rPr>
            </w:pPr>
            <w:r>
              <w:rPr>
                <w:rFonts w:ascii="Arial" w:cs="Arial" w:eastAsia="Arial" w:hAnsi="Arial"/>
                <w:sz w:val="14"/>
                <w:szCs w:val="14"/>
                <w:b w:val="1"/>
                <w:bCs w:val="1"/>
                <w:color w:val="D7282F"/>
              </w:rPr>
              <w:t>No. 5</w:t>
            </w:r>
          </w:p>
        </w:tc>
        <w:tc>
          <w:tcPr>
            <w:tcW w:w="5260" w:type="dxa"/>
            <w:vAlign w:val="bottom"/>
          </w:tcPr>
          <w:p>
            <w:pPr>
              <w:ind w:left="100"/>
              <w:spacing w:after="0"/>
              <w:rPr>
                <w:sz w:val="20"/>
                <w:szCs w:val="20"/>
                <w:color w:val="auto"/>
              </w:rPr>
            </w:pPr>
            <w:r>
              <w:rPr>
                <w:rFonts w:ascii="Arial" w:cs="Arial" w:eastAsia="Arial" w:hAnsi="Arial"/>
                <w:sz w:val="14"/>
                <w:szCs w:val="14"/>
                <w:color w:val="auto"/>
              </w:rPr>
              <w:t>Shareowner Proposal — Shareholder Right to Act by Written Consent</w:t>
            </w:r>
          </w:p>
        </w:tc>
        <w:tc>
          <w:tcPr>
            <w:tcW w:w="4120" w:type="dxa"/>
            <w:vAlign w:val="bottom"/>
          </w:tcPr>
          <w:p>
            <w:pPr>
              <w:ind w:left="1740"/>
              <w:spacing w:after="0"/>
              <w:rPr>
                <w:sz w:val="20"/>
                <w:szCs w:val="20"/>
                <w:color w:val="auto"/>
              </w:rPr>
            </w:pPr>
            <w:r>
              <w:rPr>
                <w:rFonts w:ascii="Arial" w:cs="Arial" w:eastAsia="Arial" w:hAnsi="Arial"/>
                <w:sz w:val="14"/>
                <w:szCs w:val="14"/>
                <w:b w:val="1"/>
                <w:bCs w:val="1"/>
                <w:color w:val="auto"/>
              </w:rPr>
              <w:t>AGAINST</w:t>
            </w:r>
          </w:p>
        </w:tc>
        <w:tc>
          <w:tcPr>
            <w:tcW w:w="1000" w:type="dxa"/>
            <w:vAlign w:val="bottom"/>
          </w:tcPr>
          <w:p>
            <w:pPr>
              <w:jc w:val="right"/>
              <w:spacing w:after="0"/>
              <w:rPr>
                <w:sz w:val="20"/>
                <w:szCs w:val="20"/>
                <w:color w:val="auto"/>
              </w:rPr>
            </w:pPr>
            <w:r>
              <w:rPr>
                <w:rFonts w:ascii="Arial" w:cs="Arial" w:eastAsia="Arial" w:hAnsi="Arial"/>
                <w:sz w:val="14"/>
                <w:szCs w:val="14"/>
                <w:color w:val="auto"/>
              </w:rPr>
              <w:t>116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840" w:type="dxa"/>
            <w:vAlign w:val="bottom"/>
            <w:tcBorders>
              <w:bottom w:val="single" w:sz="8" w:color="D7282F"/>
            </w:tcBorders>
          </w:tcPr>
          <w:p>
            <w:pPr>
              <w:spacing w:after="0"/>
              <w:rPr>
                <w:sz w:val="10"/>
                <w:szCs w:val="10"/>
                <w:color w:val="auto"/>
              </w:rPr>
            </w:pPr>
          </w:p>
        </w:tc>
        <w:tc>
          <w:tcPr>
            <w:tcW w:w="5260" w:type="dxa"/>
            <w:vAlign w:val="bottom"/>
            <w:tcBorders>
              <w:bottom w:val="single" w:sz="8" w:color="D7282F"/>
            </w:tcBorders>
          </w:tcPr>
          <w:p>
            <w:pPr>
              <w:spacing w:after="0"/>
              <w:rPr>
                <w:sz w:val="10"/>
                <w:szCs w:val="10"/>
                <w:color w:val="auto"/>
              </w:rPr>
            </w:pPr>
          </w:p>
        </w:tc>
        <w:tc>
          <w:tcPr>
            <w:tcW w:w="4120" w:type="dxa"/>
            <w:vAlign w:val="bottom"/>
            <w:tcBorders>
              <w:bottom w:val="single" w:sz="8" w:color="D7282F"/>
            </w:tcBorders>
          </w:tcPr>
          <w:p>
            <w:pPr>
              <w:spacing w:after="0"/>
              <w:rPr>
                <w:sz w:val="10"/>
                <w:szCs w:val="10"/>
                <w:color w:val="auto"/>
              </w:rPr>
            </w:pPr>
          </w:p>
        </w:tc>
        <w:tc>
          <w:tcPr>
            <w:tcW w:w="1000" w:type="dxa"/>
            <w:vAlign w:val="bottom"/>
            <w:tcBorders>
              <w:bottom w:val="single" w:sz="8" w:color="D7282F"/>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78"/>
        </w:trPr>
        <w:tc>
          <w:tcPr>
            <w:tcW w:w="84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4120" w:type="dxa"/>
            <w:vAlign w:val="bottom"/>
          </w:tcPr>
          <w:p>
            <w:pPr>
              <w:ind w:left="740"/>
              <w:spacing w:after="0"/>
              <w:rPr>
                <w:sz w:val="20"/>
                <w:szCs w:val="20"/>
                <w:color w:val="auto"/>
              </w:rPr>
            </w:pPr>
            <w:r>
              <w:rPr>
                <w:rFonts w:ascii="Arial" w:cs="Arial" w:eastAsia="Arial" w:hAnsi="Arial"/>
                <w:sz w:val="13"/>
                <w:szCs w:val="13"/>
                <w:b w:val="1"/>
                <w:bCs w:val="1"/>
                <w:color w:val="6D6E71"/>
              </w:rPr>
              <w:t>2026 NOTICE AND PROXY STATEMENT   |</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84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c>
          <w:tcPr>
            <w:tcW w:w="4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1293"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3"/>
          <w:szCs w:val="13"/>
          <w:b w:val="1"/>
          <w:bCs w:val="1"/>
          <w:color w:val="6D6E71"/>
        </w:rPr>
        <w:t>PROXY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2240" w:type="dxa"/>
            <w:vAlign w:val="bottom"/>
            <w:tcBorders>
              <w:top w:val="single" w:sz="8" w:color="D7282F"/>
            </w:tcBorders>
            <w:shd w:val="clear" w:color="auto" w:fill="D7282F"/>
          </w:tcPr>
          <w:p>
            <w:pPr>
              <w:jc w:val="center"/>
              <w:spacing w:after="0"/>
              <w:rPr>
                <w:sz w:val="20"/>
                <w:szCs w:val="20"/>
                <w:color w:val="auto"/>
              </w:rPr>
            </w:pPr>
            <w:r>
              <w:rPr>
                <w:rFonts w:ascii="Arial" w:cs="Arial" w:eastAsia="Arial" w:hAnsi="Arial"/>
                <w:sz w:val="17"/>
                <w:szCs w:val="17"/>
                <w:b w:val="1"/>
                <w:bCs w:val="1"/>
                <w:color w:val="FFFFFF"/>
              </w:rPr>
              <w:t>PROPOSAL</w:t>
            </w:r>
          </w:p>
        </w:tc>
        <w:tc>
          <w:tcPr>
            <w:tcW w:w="6800" w:type="dxa"/>
            <w:vAlign w:val="bottom"/>
            <w:tcBorders>
              <w:top w:val="single" w:sz="8" w:color="D7282F"/>
              <w:right w:val="single" w:sz="8" w:color="D7282F"/>
            </w:tcBorders>
          </w:tcPr>
          <w:p>
            <w:pPr>
              <w:ind w:left="140"/>
              <w:spacing w:after="0"/>
              <w:rPr>
                <w:sz w:val="20"/>
                <w:szCs w:val="20"/>
                <w:color w:val="auto"/>
              </w:rPr>
            </w:pPr>
            <w:r>
              <w:rPr>
                <w:rFonts w:ascii="Arial" w:cs="Arial" w:eastAsia="Arial" w:hAnsi="Arial"/>
                <w:sz w:val="25"/>
                <w:szCs w:val="25"/>
                <w:b w:val="1"/>
                <w:bCs w:val="1"/>
                <w:color w:val="auto"/>
              </w:rPr>
              <w:t>ELECTION OF DIRECTORS</w:t>
            </w:r>
          </w:p>
        </w:tc>
        <w:tc>
          <w:tcPr>
            <w:tcW w:w="2180" w:type="dxa"/>
            <w:vAlign w:val="bottom"/>
            <w:tcBorders>
              <w:top w:val="single" w:sz="8" w:color="D7282F"/>
            </w:tcBorders>
          </w:tcPr>
          <w:p>
            <w:pPr>
              <w:ind w:left="140"/>
              <w:spacing w:after="0"/>
              <w:rPr>
                <w:sz w:val="20"/>
                <w:szCs w:val="20"/>
                <w:color w:val="auto"/>
              </w:rPr>
            </w:pPr>
            <w:r>
              <w:rPr>
                <w:rFonts w:ascii="Arial" w:cs="Arial" w:eastAsia="Arial" w:hAnsi="Arial"/>
                <w:sz w:val="25"/>
                <w:szCs w:val="25"/>
                <w:b w:val="1"/>
                <w:bCs w:val="1"/>
                <w:color w:val="D7282F"/>
              </w:rPr>
              <w:t>FOR</w:t>
            </w:r>
          </w:p>
        </w:tc>
        <w:tc>
          <w:tcPr>
            <w:tcW w:w="0" w:type="dxa"/>
            <w:vAlign w:val="bottom"/>
          </w:tcPr>
          <w:p>
            <w:pPr>
              <w:spacing w:after="0"/>
              <w:rPr>
                <w:sz w:val="1"/>
                <w:szCs w:val="1"/>
                <w:color w:val="auto"/>
              </w:rPr>
            </w:pPr>
          </w:p>
        </w:tc>
      </w:tr>
      <w:tr>
        <w:trPr>
          <w:trHeight w:val="354"/>
        </w:trPr>
        <w:tc>
          <w:tcPr>
            <w:tcW w:w="2240" w:type="dxa"/>
            <w:vAlign w:val="bottom"/>
            <w:vMerge w:val="restart"/>
            <w:shd w:val="clear" w:color="auto" w:fill="D7282F"/>
          </w:tcPr>
          <w:p>
            <w:pPr>
              <w:jc w:val="right"/>
              <w:ind w:right="773"/>
              <w:spacing w:after="0"/>
              <w:rPr>
                <w:sz w:val="20"/>
                <w:szCs w:val="20"/>
                <w:color w:val="auto"/>
              </w:rPr>
            </w:pPr>
            <w:r>
              <w:rPr>
                <w:rFonts w:ascii="Arial" w:cs="Arial" w:eastAsia="Arial" w:hAnsi="Arial"/>
                <w:sz w:val="58"/>
                <w:szCs w:val="58"/>
                <w:b w:val="1"/>
                <w:bCs w:val="1"/>
                <w:color w:val="FFFFFF"/>
              </w:rPr>
              <w:t>1</w:t>
            </w:r>
          </w:p>
        </w:tc>
        <w:tc>
          <w:tcPr>
            <w:tcW w:w="6800" w:type="dxa"/>
            <w:vAlign w:val="bottom"/>
            <w:tcBorders>
              <w:right w:val="single" w:sz="8" w:color="D7282F"/>
            </w:tcBorders>
          </w:tcPr>
          <w:p>
            <w:pPr>
              <w:spacing w:after="0"/>
              <w:rPr>
                <w:sz w:val="24"/>
                <w:szCs w:val="24"/>
                <w:color w:val="auto"/>
              </w:rPr>
            </w:pPr>
          </w:p>
        </w:tc>
        <w:tc>
          <w:tcPr>
            <w:tcW w:w="2180" w:type="dxa"/>
            <w:vAlign w:val="bottom"/>
          </w:tcPr>
          <w:p>
            <w:pPr>
              <w:ind w:left="140"/>
              <w:spacing w:after="0"/>
              <w:rPr>
                <w:sz w:val="20"/>
                <w:szCs w:val="20"/>
                <w:color w:val="auto"/>
              </w:rPr>
            </w:pPr>
            <w:r>
              <w:rPr>
                <w:rFonts w:ascii="Arial" w:cs="Arial" w:eastAsia="Arial" w:hAnsi="Arial"/>
                <w:sz w:val="25"/>
                <w:szCs w:val="25"/>
                <w:b w:val="1"/>
                <w:bCs w:val="1"/>
                <w:color w:val="D7282F"/>
              </w:rPr>
              <w:t>each</w:t>
            </w:r>
          </w:p>
        </w:tc>
        <w:tc>
          <w:tcPr>
            <w:tcW w:w="0" w:type="dxa"/>
            <w:vAlign w:val="bottom"/>
          </w:tcPr>
          <w:p>
            <w:pPr>
              <w:spacing w:after="0"/>
              <w:rPr>
                <w:sz w:val="1"/>
                <w:szCs w:val="1"/>
                <w:color w:val="auto"/>
              </w:rPr>
            </w:pPr>
          </w:p>
        </w:tc>
      </w:tr>
      <w:tr>
        <w:trPr>
          <w:trHeight w:val="375"/>
        </w:trPr>
        <w:tc>
          <w:tcPr>
            <w:tcW w:w="2240" w:type="dxa"/>
            <w:vAlign w:val="bottom"/>
            <w:vMerge w:val="continue"/>
            <w:shd w:val="clear" w:color="auto" w:fill="D7282F"/>
          </w:tcPr>
          <w:p>
            <w:pPr>
              <w:spacing w:after="0"/>
              <w:rPr>
                <w:sz w:val="24"/>
                <w:szCs w:val="24"/>
                <w:color w:val="auto"/>
              </w:rPr>
            </w:pPr>
          </w:p>
        </w:tc>
        <w:tc>
          <w:tcPr>
            <w:tcW w:w="6800" w:type="dxa"/>
            <w:vAlign w:val="bottom"/>
            <w:tcBorders>
              <w:right w:val="single" w:sz="8" w:color="D7282F"/>
            </w:tcBorders>
          </w:tcPr>
          <w:p>
            <w:pPr>
              <w:spacing w:after="0"/>
              <w:rPr>
                <w:sz w:val="24"/>
                <w:szCs w:val="24"/>
                <w:color w:val="auto"/>
              </w:rPr>
            </w:pPr>
          </w:p>
        </w:tc>
        <w:tc>
          <w:tcPr>
            <w:tcW w:w="2180" w:type="dxa"/>
            <w:vAlign w:val="bottom"/>
          </w:tcPr>
          <w:p>
            <w:pPr>
              <w:ind w:left="140"/>
              <w:spacing w:after="0"/>
              <w:rPr>
                <w:sz w:val="20"/>
                <w:szCs w:val="20"/>
                <w:color w:val="auto"/>
              </w:rPr>
            </w:pPr>
            <w:r>
              <w:rPr>
                <w:rFonts w:ascii="Arial" w:cs="Arial" w:eastAsia="Arial" w:hAnsi="Arial"/>
                <w:sz w:val="25"/>
                <w:szCs w:val="25"/>
                <w:b w:val="1"/>
                <w:bCs w:val="1"/>
                <w:color w:val="D7282F"/>
              </w:rPr>
              <w:t>nominee</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200" w:hanging="192"/>
        <w:spacing w:after="0"/>
        <w:tabs>
          <w:tab w:leader="none" w:pos="200" w:val="left"/>
        </w:tabs>
        <w:numPr>
          <w:ilvl w:val="0"/>
          <w:numId w:val="21"/>
        </w:numPr>
        <w:rPr>
          <w:rFonts w:ascii="Arial" w:cs="Arial" w:eastAsia="Arial" w:hAnsi="Arial"/>
          <w:sz w:val="16"/>
          <w:szCs w:val="16"/>
          <w:b w:val="1"/>
          <w:bCs w:val="1"/>
          <w:color w:val="D7282F"/>
        </w:rPr>
      </w:pPr>
      <w:r>
        <w:rPr>
          <w:rFonts w:ascii="Arial" w:cs="Arial" w:eastAsia="Arial" w:hAnsi="Arial"/>
          <w:sz w:val="16"/>
          <w:szCs w:val="16"/>
          <w:color w:val="auto"/>
        </w:rPr>
        <w:t>Elect the 12 director nominees identified below, each for a term of one year.</w:t>
      </w:r>
    </w:p>
    <w:p>
      <w:pPr>
        <w:spacing w:after="0" w:line="45" w:lineRule="exact"/>
        <w:rPr>
          <w:rFonts w:ascii="Arial" w:cs="Arial" w:eastAsia="Arial" w:hAnsi="Arial"/>
          <w:sz w:val="16"/>
          <w:szCs w:val="16"/>
          <w:b w:val="1"/>
          <w:bCs w:val="1"/>
          <w:color w:val="D7282F"/>
        </w:rPr>
      </w:pPr>
    </w:p>
    <w:p>
      <w:pPr>
        <w:ind w:left="200" w:right="20" w:hanging="192"/>
        <w:spacing w:after="0" w:line="257" w:lineRule="auto"/>
        <w:tabs>
          <w:tab w:leader="none" w:pos="197" w:val="left"/>
        </w:tabs>
        <w:numPr>
          <w:ilvl w:val="0"/>
          <w:numId w:val="21"/>
        </w:numPr>
        <w:rPr>
          <w:rFonts w:ascii="Arial" w:cs="Arial" w:eastAsia="Arial" w:hAnsi="Arial"/>
          <w:sz w:val="16"/>
          <w:szCs w:val="16"/>
          <w:b w:val="1"/>
          <w:bCs w:val="1"/>
          <w:color w:val="D7282F"/>
        </w:rPr>
      </w:pPr>
      <w:r>
        <w:rPr>
          <w:rFonts w:ascii="Arial" w:cs="Arial" w:eastAsia="Arial" w:hAnsi="Arial"/>
          <w:sz w:val="16"/>
          <w:szCs w:val="16"/>
          <w:color w:val="auto"/>
        </w:rPr>
        <w:t>Nominees were individually and collectively assessed against a Board Skillset Matrix that identifies the key strategic skills and core competencies deemed necessary to oversee the Company's current strategy. The director slate reflects a highly independent Board, with the diverse range of backgrounds, skills, and perspectives needed to enable effective oversight.</w:t>
      </w:r>
    </w:p>
    <w:p>
      <w:pPr>
        <w:spacing w:after="0" w:line="2" w:lineRule="exact"/>
        <w:rPr>
          <w:rFonts w:ascii="Arial" w:cs="Arial" w:eastAsia="Arial" w:hAnsi="Arial"/>
          <w:sz w:val="16"/>
          <w:szCs w:val="16"/>
          <w:b w:val="1"/>
          <w:bCs w:val="1"/>
          <w:color w:val="D7282F"/>
        </w:rPr>
      </w:pPr>
    </w:p>
    <w:p>
      <w:pPr>
        <w:ind w:left="200" w:hanging="192"/>
        <w:spacing w:after="0"/>
        <w:tabs>
          <w:tab w:leader="none" w:pos="200" w:val="left"/>
        </w:tabs>
        <w:numPr>
          <w:ilvl w:val="0"/>
          <w:numId w:val="21"/>
        </w:numPr>
        <w:rPr>
          <w:rFonts w:ascii="Arial" w:cs="Arial" w:eastAsia="Arial" w:hAnsi="Arial"/>
          <w:sz w:val="16"/>
          <w:szCs w:val="16"/>
          <w:b w:val="1"/>
          <w:bCs w:val="1"/>
          <w:color w:val="D7282F"/>
        </w:rPr>
      </w:pPr>
      <w:r>
        <w:rPr>
          <w:rFonts w:ascii="Arial" w:cs="Arial" w:eastAsia="Arial" w:hAnsi="Arial"/>
          <w:sz w:val="16"/>
          <w:szCs w:val="16"/>
          <w:color w:val="auto"/>
        </w:rPr>
        <w:t>The anticipated leadership and membership of each committee of the Board following the Annual Meeting is listed below.</w:t>
      </w:r>
    </w:p>
    <w:p>
      <w:pPr>
        <w:spacing w:after="0" w:line="45" w:lineRule="exact"/>
        <w:rPr>
          <w:rFonts w:ascii="Arial" w:cs="Arial" w:eastAsia="Arial" w:hAnsi="Arial"/>
          <w:sz w:val="16"/>
          <w:szCs w:val="16"/>
          <w:b w:val="1"/>
          <w:bCs w:val="1"/>
          <w:color w:val="D7282F"/>
        </w:rPr>
      </w:pPr>
    </w:p>
    <w:p>
      <w:pPr>
        <w:ind w:left="200" w:right="380" w:hanging="192"/>
        <w:spacing w:after="0" w:line="264" w:lineRule="auto"/>
        <w:tabs>
          <w:tab w:leader="none" w:pos="197" w:val="left"/>
        </w:tabs>
        <w:numPr>
          <w:ilvl w:val="0"/>
          <w:numId w:val="21"/>
        </w:numPr>
        <w:rPr>
          <w:rFonts w:ascii="Arial" w:cs="Arial" w:eastAsia="Arial" w:hAnsi="Arial"/>
          <w:sz w:val="16"/>
          <w:szCs w:val="16"/>
          <w:b w:val="1"/>
          <w:bCs w:val="1"/>
          <w:color w:val="D7282F"/>
        </w:rPr>
      </w:pPr>
      <w:r>
        <w:rPr>
          <w:rFonts w:ascii="Arial" w:cs="Arial" w:eastAsia="Arial" w:hAnsi="Arial"/>
          <w:sz w:val="16"/>
          <w:szCs w:val="16"/>
          <w:color w:val="auto"/>
        </w:rPr>
        <w:t>As indicated in the table below, we anticipate that certain of the current directors will leave the Company’s Board in connection with the spin-off of the Company’s Aerospace business and become directors of Honeywell Aerospace, and that the others will continue as directors of the Company.</w:t>
      </w:r>
    </w:p>
    <w:p>
      <w:pPr>
        <w:ind w:left="200" w:hanging="192"/>
        <w:spacing w:after="0"/>
        <w:tabs>
          <w:tab w:leader="none" w:pos="200" w:val="left"/>
        </w:tabs>
        <w:numPr>
          <w:ilvl w:val="0"/>
          <w:numId w:val="21"/>
        </w:numPr>
        <w:rPr>
          <w:rFonts w:ascii="Arial" w:cs="Arial" w:eastAsia="Arial" w:hAnsi="Arial"/>
          <w:sz w:val="16"/>
          <w:szCs w:val="16"/>
          <w:b w:val="1"/>
          <w:bCs w:val="1"/>
          <w:color w:val="D7282F"/>
        </w:rPr>
      </w:pPr>
      <w:r>
        <w:rPr>
          <w:rFonts w:ascii="Arial" w:cs="Arial" w:eastAsia="Arial" w:hAnsi="Arial"/>
          <w:sz w:val="16"/>
          <w:szCs w:val="16"/>
          <w:color w:val="auto"/>
        </w:rPr>
        <w:t>The realignment of directors between these two boards is a natural evolution of the Board’s strategic approach to refreshment.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0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180" w:type="dxa"/>
            <w:vAlign w:val="bottom"/>
            <w:tcBorders>
              <w:right w:val="single" w:sz="8" w:color="D7282F"/>
            </w:tcBorders>
          </w:tcPr>
          <w:p>
            <w:pPr>
              <w:spacing w:after="0"/>
              <w:rPr>
                <w:sz w:val="15"/>
                <w:szCs w:val="15"/>
                <w:color w:val="auto"/>
              </w:rPr>
            </w:pPr>
          </w:p>
        </w:tc>
        <w:tc>
          <w:tcPr>
            <w:tcW w:w="2580" w:type="dxa"/>
            <w:vAlign w:val="bottom"/>
            <w:tcBorders>
              <w:right w:val="single" w:sz="8" w:color="D7282F"/>
            </w:tcBorders>
            <w:gridSpan w:val="3"/>
          </w:tcPr>
          <w:p>
            <w:pPr>
              <w:jc w:val="center"/>
              <w:spacing w:after="0"/>
              <w:rPr>
                <w:sz w:val="20"/>
                <w:szCs w:val="20"/>
                <w:color w:val="auto"/>
              </w:rPr>
            </w:pPr>
            <w:r>
              <w:rPr>
                <w:rFonts w:ascii="Arial" w:cs="Arial" w:eastAsia="Arial" w:hAnsi="Arial"/>
                <w:sz w:val="14"/>
                <w:szCs w:val="14"/>
                <w:b w:val="1"/>
                <w:bCs w:val="1"/>
                <w:color w:val="auto"/>
              </w:rPr>
              <w:t>Committee Memberships</w:t>
            </w:r>
          </w:p>
        </w:tc>
        <w:tc>
          <w:tcPr>
            <w:tcW w:w="0" w:type="dxa"/>
            <w:vAlign w:val="bottom"/>
          </w:tcPr>
          <w:p>
            <w:pPr>
              <w:spacing w:after="0"/>
              <w:rPr>
                <w:sz w:val="1"/>
                <w:szCs w:val="1"/>
                <w:color w:val="auto"/>
              </w:rPr>
            </w:pPr>
          </w:p>
        </w:tc>
      </w:tr>
      <w:tr>
        <w:trPr>
          <w:trHeight w:val="197"/>
        </w:trPr>
        <w:tc>
          <w:tcPr>
            <w:tcW w:w="90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180" w:type="dxa"/>
            <w:vAlign w:val="bottom"/>
            <w:tcBorders>
              <w:right w:val="single" w:sz="8" w:color="D7282F"/>
            </w:tcBorders>
            <w:vMerge w:val="restart"/>
          </w:tcPr>
          <w:p>
            <w:pPr>
              <w:jc w:val="center"/>
              <w:spacing w:after="0"/>
              <w:rPr>
                <w:sz w:val="20"/>
                <w:szCs w:val="20"/>
                <w:color w:val="auto"/>
              </w:rPr>
            </w:pPr>
            <w:r>
              <w:rPr>
                <w:rFonts w:ascii="Arial" w:cs="Arial" w:eastAsia="Arial" w:hAnsi="Arial"/>
                <w:sz w:val="14"/>
                <w:szCs w:val="14"/>
                <w:b w:val="1"/>
                <w:bCs w:val="1"/>
                <w:color w:val="auto"/>
              </w:rPr>
              <w:t>No. of Current Public</w:t>
            </w:r>
          </w:p>
        </w:tc>
        <w:tc>
          <w:tcPr>
            <w:tcW w:w="2580" w:type="dxa"/>
            <w:vAlign w:val="bottom"/>
            <w:tcBorders>
              <w:bottom w:val="single" w:sz="8" w:color="D7282F"/>
              <w:right w:val="single" w:sz="8" w:color="D7282F"/>
            </w:tcBorders>
            <w:gridSpan w:val="3"/>
          </w:tcPr>
          <w:p>
            <w:pPr>
              <w:jc w:val="center"/>
              <w:spacing w:after="0"/>
              <w:rPr>
                <w:sz w:val="20"/>
                <w:szCs w:val="20"/>
                <w:color w:val="auto"/>
              </w:rPr>
            </w:pPr>
            <w:r>
              <w:rPr>
                <w:rFonts w:ascii="Arial" w:cs="Arial" w:eastAsia="Arial" w:hAnsi="Arial"/>
                <w:sz w:val="14"/>
                <w:szCs w:val="14"/>
                <w:b w:val="1"/>
                <w:bCs w:val="1"/>
                <w:color w:val="auto"/>
              </w:rPr>
              <w:t>(effective May 22, 2026)</w:t>
            </w:r>
          </w:p>
        </w:tc>
        <w:tc>
          <w:tcPr>
            <w:tcW w:w="0" w:type="dxa"/>
            <w:vAlign w:val="bottom"/>
          </w:tcPr>
          <w:p>
            <w:pPr>
              <w:spacing w:after="0"/>
              <w:rPr>
                <w:sz w:val="1"/>
                <w:szCs w:val="1"/>
                <w:color w:val="auto"/>
              </w:rPr>
            </w:pPr>
          </w:p>
        </w:tc>
      </w:tr>
      <w:tr>
        <w:trPr>
          <w:trHeight w:val="80"/>
        </w:trPr>
        <w:tc>
          <w:tcPr>
            <w:tcW w:w="900" w:type="dxa"/>
            <w:vAlign w:val="bottom"/>
          </w:tcPr>
          <w:p>
            <w:pPr>
              <w:spacing w:after="0"/>
              <w:rPr>
                <w:sz w:val="6"/>
                <w:szCs w:val="6"/>
                <w:color w:val="auto"/>
              </w:rPr>
            </w:pPr>
          </w:p>
        </w:tc>
        <w:tc>
          <w:tcPr>
            <w:tcW w:w="33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180" w:type="dxa"/>
            <w:vAlign w:val="bottom"/>
            <w:tcBorders>
              <w:right w:val="single" w:sz="8" w:color="D7282F"/>
            </w:tcBorders>
            <w:vMerge w:val="continue"/>
          </w:tcPr>
          <w:p>
            <w:pPr>
              <w:spacing w:after="0"/>
              <w:rPr>
                <w:sz w:val="6"/>
                <w:szCs w:val="6"/>
                <w:color w:val="auto"/>
              </w:rPr>
            </w:pPr>
          </w:p>
        </w:tc>
        <w:tc>
          <w:tcPr>
            <w:tcW w:w="860" w:type="dxa"/>
            <w:vAlign w:val="bottom"/>
            <w:tcBorders>
              <w:right w:val="single" w:sz="8" w:color="939598"/>
            </w:tcBorders>
          </w:tcPr>
          <w:p>
            <w:pPr>
              <w:spacing w:after="0"/>
              <w:rPr>
                <w:sz w:val="6"/>
                <w:szCs w:val="6"/>
                <w:color w:val="auto"/>
              </w:rPr>
            </w:pPr>
          </w:p>
        </w:tc>
        <w:tc>
          <w:tcPr>
            <w:tcW w:w="860" w:type="dxa"/>
            <w:vAlign w:val="bottom"/>
            <w:tcBorders>
              <w:right w:val="single" w:sz="8" w:color="939598"/>
            </w:tcBorders>
          </w:tcPr>
          <w:p>
            <w:pPr>
              <w:spacing w:after="0"/>
              <w:rPr>
                <w:sz w:val="6"/>
                <w:szCs w:val="6"/>
                <w:color w:val="auto"/>
              </w:rPr>
            </w:pPr>
          </w:p>
        </w:tc>
        <w:tc>
          <w:tcPr>
            <w:tcW w:w="860" w:type="dxa"/>
            <w:vAlign w:val="bottom"/>
            <w:tcBorders>
              <w:right w:val="single" w:sz="8" w:color="D7282F"/>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4220" w:type="dxa"/>
            <w:vAlign w:val="bottom"/>
            <w:gridSpan w:val="2"/>
          </w:tcPr>
          <w:p>
            <w:pPr>
              <w:ind w:left="20"/>
              <w:spacing w:after="0"/>
              <w:rPr>
                <w:sz w:val="20"/>
                <w:szCs w:val="20"/>
                <w:color w:val="auto"/>
              </w:rPr>
            </w:pPr>
            <w:r>
              <w:rPr>
                <w:rFonts w:ascii="Arial" w:cs="Arial" w:eastAsia="Arial" w:hAnsi="Arial"/>
                <w:sz w:val="14"/>
                <w:szCs w:val="14"/>
                <w:b w:val="1"/>
                <w:bCs w:val="1"/>
                <w:color w:val="auto"/>
              </w:rPr>
              <w:t>Director Nominee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Years of</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Independent</w:t>
            </w:r>
          </w:p>
        </w:tc>
        <w:tc>
          <w:tcPr>
            <w:tcW w:w="2180" w:type="dxa"/>
            <w:vAlign w:val="bottom"/>
            <w:tcBorders>
              <w:right w:val="single" w:sz="8" w:color="D7282F"/>
            </w:tcBorders>
          </w:tcPr>
          <w:p>
            <w:pPr>
              <w:jc w:val="center"/>
              <w:spacing w:after="0"/>
              <w:rPr>
                <w:sz w:val="20"/>
                <w:szCs w:val="20"/>
                <w:color w:val="auto"/>
              </w:rPr>
            </w:pPr>
            <w:r>
              <w:rPr>
                <w:rFonts w:ascii="Arial" w:cs="Arial" w:eastAsia="Arial" w:hAnsi="Arial"/>
                <w:sz w:val="14"/>
                <w:szCs w:val="14"/>
                <w:b w:val="1"/>
                <w:bCs w:val="1"/>
                <w:color w:val="auto"/>
              </w:rPr>
              <w:t>Company Boards</w:t>
            </w:r>
          </w:p>
        </w:tc>
        <w:tc>
          <w:tcPr>
            <w:tcW w:w="860" w:type="dxa"/>
            <w:vAlign w:val="bottom"/>
            <w:tcBorders>
              <w:right w:val="single" w:sz="8" w:color="939598"/>
            </w:tcBorders>
          </w:tcPr>
          <w:p>
            <w:pPr>
              <w:jc w:val="center"/>
              <w:spacing w:after="0"/>
              <w:rPr>
                <w:sz w:val="20"/>
                <w:szCs w:val="20"/>
                <w:color w:val="auto"/>
              </w:rPr>
            </w:pPr>
            <w:r>
              <w:rPr>
                <w:rFonts w:ascii="Arial" w:cs="Arial" w:eastAsia="Arial" w:hAnsi="Arial"/>
                <w:sz w:val="14"/>
                <w:szCs w:val="14"/>
                <w:b w:val="1"/>
                <w:bCs w:val="1"/>
                <w:color w:val="auto"/>
              </w:rPr>
              <w:t>Audit</w:t>
            </w:r>
          </w:p>
        </w:tc>
        <w:tc>
          <w:tcPr>
            <w:tcW w:w="860" w:type="dxa"/>
            <w:vAlign w:val="bottom"/>
            <w:tcBorders>
              <w:right w:val="single" w:sz="8" w:color="939598"/>
            </w:tcBorders>
          </w:tcPr>
          <w:p>
            <w:pPr>
              <w:jc w:val="center"/>
              <w:spacing w:after="0"/>
              <w:rPr>
                <w:sz w:val="20"/>
                <w:szCs w:val="20"/>
                <w:color w:val="auto"/>
              </w:rPr>
            </w:pPr>
            <w:r>
              <w:rPr>
                <w:rFonts w:ascii="Arial" w:cs="Arial" w:eastAsia="Arial" w:hAnsi="Arial"/>
                <w:sz w:val="14"/>
                <w:szCs w:val="14"/>
                <w:b w:val="1"/>
                <w:bCs w:val="1"/>
                <w:color w:val="auto"/>
              </w:rPr>
              <w:t>CGRC</w:t>
            </w:r>
          </w:p>
        </w:tc>
        <w:tc>
          <w:tcPr>
            <w:tcW w:w="860" w:type="dxa"/>
            <w:vAlign w:val="bottom"/>
            <w:tcBorders>
              <w:right w:val="single" w:sz="8" w:color="D7282F"/>
            </w:tcBorders>
          </w:tcPr>
          <w:p>
            <w:pPr>
              <w:jc w:val="center"/>
              <w:spacing w:after="0"/>
              <w:rPr>
                <w:sz w:val="20"/>
                <w:szCs w:val="20"/>
                <w:color w:val="auto"/>
              </w:rPr>
            </w:pPr>
            <w:r>
              <w:rPr>
                <w:rFonts w:ascii="Arial" w:cs="Arial" w:eastAsia="Arial" w:hAnsi="Arial"/>
                <w:sz w:val="14"/>
                <w:szCs w:val="14"/>
                <w:b w:val="1"/>
                <w:bCs w:val="1"/>
                <w:color w:val="auto"/>
              </w:rPr>
              <w:t>MDCC</w:t>
            </w:r>
          </w:p>
        </w:tc>
        <w:tc>
          <w:tcPr>
            <w:tcW w:w="0" w:type="dxa"/>
            <w:vAlign w:val="bottom"/>
          </w:tcPr>
          <w:p>
            <w:pPr>
              <w:spacing w:after="0"/>
              <w:rPr>
                <w:sz w:val="1"/>
                <w:szCs w:val="1"/>
                <w:color w:val="auto"/>
              </w:rPr>
            </w:pPr>
          </w:p>
        </w:tc>
      </w:tr>
      <w:tr>
        <w:trPr>
          <w:trHeight w:val="176"/>
        </w:trPr>
        <w:tc>
          <w:tcPr>
            <w:tcW w:w="900" w:type="dxa"/>
            <w:vAlign w:val="bottom"/>
            <w:tcBorders>
              <w:bottom w:val="single" w:sz="8" w:color="D7282F"/>
            </w:tcBorders>
          </w:tcPr>
          <w:p>
            <w:pPr>
              <w:spacing w:after="0"/>
              <w:rPr>
                <w:sz w:val="15"/>
                <w:szCs w:val="15"/>
                <w:color w:val="auto"/>
              </w:rPr>
            </w:pPr>
          </w:p>
        </w:tc>
        <w:tc>
          <w:tcPr>
            <w:tcW w:w="3320" w:type="dxa"/>
            <w:vAlign w:val="bottom"/>
            <w:tcBorders>
              <w:bottom w:val="single" w:sz="8" w:color="D7282F"/>
            </w:tcBorders>
          </w:tcPr>
          <w:p>
            <w:pPr>
              <w:spacing w:after="0"/>
              <w:rPr>
                <w:sz w:val="15"/>
                <w:szCs w:val="15"/>
                <w:color w:val="auto"/>
              </w:rPr>
            </w:pPr>
          </w:p>
        </w:tc>
        <w:tc>
          <w:tcPr>
            <w:tcW w:w="96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auto"/>
              </w:rPr>
              <w:t>Service</w:t>
            </w:r>
          </w:p>
        </w:tc>
        <w:tc>
          <w:tcPr>
            <w:tcW w:w="1300" w:type="dxa"/>
            <w:vAlign w:val="bottom"/>
            <w:tcBorders>
              <w:bottom w:val="single" w:sz="8" w:color="D7282F"/>
            </w:tcBorders>
          </w:tcPr>
          <w:p>
            <w:pPr>
              <w:spacing w:after="0"/>
              <w:rPr>
                <w:sz w:val="15"/>
                <w:szCs w:val="15"/>
                <w:color w:val="auto"/>
              </w:rPr>
            </w:pPr>
          </w:p>
        </w:tc>
        <w:tc>
          <w:tcPr>
            <w:tcW w:w="2180" w:type="dxa"/>
            <w:vAlign w:val="bottom"/>
            <w:tcBorders>
              <w:bottom w:val="single" w:sz="8" w:color="D7282F"/>
              <w:right w:val="single" w:sz="8" w:color="D7282F"/>
            </w:tcBorders>
          </w:tcPr>
          <w:p>
            <w:pPr>
              <w:jc w:val="center"/>
              <w:spacing w:after="0"/>
              <w:rPr>
                <w:sz w:val="20"/>
                <w:szCs w:val="20"/>
                <w:color w:val="auto"/>
              </w:rPr>
            </w:pPr>
            <w:r>
              <w:rPr>
                <w:rFonts w:ascii="Arial" w:cs="Arial" w:eastAsia="Arial" w:hAnsi="Arial"/>
                <w:sz w:val="14"/>
                <w:szCs w:val="14"/>
                <w:b w:val="1"/>
                <w:bCs w:val="1"/>
                <w:color w:val="auto"/>
              </w:rPr>
              <w:t>(Including Honeywell)</w:t>
            </w:r>
          </w:p>
        </w:tc>
        <w:tc>
          <w:tcPr>
            <w:tcW w:w="860" w:type="dxa"/>
            <w:vAlign w:val="bottom"/>
            <w:tcBorders>
              <w:bottom w:val="single" w:sz="8" w:color="D7282F"/>
              <w:right w:val="single" w:sz="8" w:color="939598"/>
            </w:tcBorders>
          </w:tcPr>
          <w:p>
            <w:pPr>
              <w:spacing w:after="0"/>
              <w:rPr>
                <w:sz w:val="15"/>
                <w:szCs w:val="15"/>
                <w:color w:val="auto"/>
              </w:rPr>
            </w:pPr>
          </w:p>
        </w:tc>
        <w:tc>
          <w:tcPr>
            <w:tcW w:w="860" w:type="dxa"/>
            <w:vAlign w:val="bottom"/>
            <w:tcBorders>
              <w:bottom w:val="single" w:sz="8" w:color="D7282F"/>
              <w:right w:val="single" w:sz="8" w:color="939598"/>
            </w:tcBorders>
          </w:tcPr>
          <w:p>
            <w:pPr>
              <w:spacing w:after="0"/>
              <w:rPr>
                <w:sz w:val="15"/>
                <w:szCs w:val="15"/>
                <w:color w:val="auto"/>
              </w:rPr>
            </w:pPr>
          </w:p>
        </w:tc>
        <w:tc>
          <w:tcPr>
            <w:tcW w:w="860" w:type="dxa"/>
            <w:vAlign w:val="bottom"/>
            <w:tcBorders>
              <w:bottom w:val="single" w:sz="8" w:color="D7282F"/>
              <w:right w:val="single" w:sz="8" w:color="D7282F"/>
            </w:tcBorders>
          </w:tcPr>
          <w:p>
            <w:pPr>
              <w:spacing w:after="0"/>
              <w:rPr>
                <w:sz w:val="15"/>
                <w:szCs w:val="15"/>
                <w:color w:val="auto"/>
              </w:rPr>
            </w:pPr>
          </w:p>
        </w:tc>
        <w:tc>
          <w:tcPr>
            <w:tcW w:w="0" w:type="dxa"/>
            <w:vAlign w:val="bottom"/>
          </w:tcPr>
          <w:p>
            <w:pPr>
              <w:spacing w:after="0"/>
              <w:rPr>
                <w:sz w:val="1"/>
                <w:szCs w:val="1"/>
                <w:color w:val="auto"/>
              </w:rPr>
            </w:pPr>
          </w:p>
        </w:tc>
      </w:tr>
      <w:tr>
        <w:trPr>
          <w:trHeight w:val="308"/>
        </w:trPr>
        <w:tc>
          <w:tcPr>
            <w:tcW w:w="900" w:type="dxa"/>
            <w:vAlign w:val="bottom"/>
            <w:tcBorders>
              <w:right w:val="single" w:sz="8" w:color="939598"/>
            </w:tcBorders>
          </w:tcPr>
          <w:p>
            <w:pPr>
              <w:spacing w:after="0"/>
              <w:rPr>
                <w:sz w:val="24"/>
                <w:szCs w:val="24"/>
                <w:color w:val="auto"/>
              </w:rPr>
            </w:pPr>
          </w:p>
        </w:tc>
        <w:tc>
          <w:tcPr>
            <w:tcW w:w="3320" w:type="dxa"/>
            <w:vAlign w:val="bottom"/>
            <w:tcBorders>
              <w:right w:val="single" w:sz="8" w:color="939598"/>
            </w:tcBorders>
          </w:tcPr>
          <w:p>
            <w:pPr>
              <w:ind w:left="60"/>
              <w:spacing w:after="0"/>
              <w:rPr>
                <w:sz w:val="20"/>
                <w:szCs w:val="20"/>
                <w:color w:val="auto"/>
              </w:rPr>
            </w:pPr>
            <w:r>
              <w:rPr>
                <w:rFonts w:ascii="Arial" w:cs="Arial" w:eastAsia="Arial" w:hAnsi="Arial"/>
                <w:sz w:val="14"/>
                <w:szCs w:val="14"/>
                <w:b w:val="1"/>
                <w:bCs w:val="1"/>
                <w:color w:val="auto"/>
              </w:rPr>
              <w:t>Vimal Kapur</w:t>
            </w:r>
          </w:p>
        </w:tc>
        <w:tc>
          <w:tcPr>
            <w:tcW w:w="960" w:type="dxa"/>
            <w:vAlign w:val="bottom"/>
            <w:tcBorders>
              <w:right w:val="single" w:sz="8" w:color="939598"/>
            </w:tcBorders>
          </w:tcPr>
          <w:p>
            <w:pPr>
              <w:spacing w:after="0"/>
              <w:rPr>
                <w:sz w:val="24"/>
                <w:szCs w:val="24"/>
                <w:color w:val="auto"/>
              </w:rPr>
            </w:pPr>
          </w:p>
        </w:tc>
        <w:tc>
          <w:tcPr>
            <w:tcW w:w="1300" w:type="dxa"/>
            <w:vAlign w:val="bottom"/>
            <w:tcBorders>
              <w:right w:val="single" w:sz="8" w:color="939598"/>
            </w:tcBorders>
          </w:tcPr>
          <w:p>
            <w:pPr>
              <w:spacing w:after="0"/>
              <w:rPr>
                <w:sz w:val="24"/>
                <w:szCs w:val="24"/>
                <w:color w:val="auto"/>
              </w:rPr>
            </w:pPr>
          </w:p>
        </w:tc>
        <w:tc>
          <w:tcPr>
            <w:tcW w:w="2180" w:type="dxa"/>
            <w:vAlign w:val="bottom"/>
            <w:tcBorders>
              <w:right w:val="single" w:sz="8" w:color="D7282F"/>
            </w:tcBorders>
          </w:tcPr>
          <w:p>
            <w:pPr>
              <w:spacing w:after="0"/>
              <w:rPr>
                <w:sz w:val="24"/>
                <w:szCs w:val="24"/>
                <w:color w:val="auto"/>
              </w:rPr>
            </w:pPr>
          </w:p>
        </w:tc>
        <w:tc>
          <w:tcPr>
            <w:tcW w:w="860" w:type="dxa"/>
            <w:vAlign w:val="bottom"/>
            <w:tcBorders>
              <w:right w:val="single" w:sz="8" w:color="939598"/>
            </w:tcBorders>
          </w:tcPr>
          <w:p>
            <w:pPr>
              <w:spacing w:after="0"/>
              <w:rPr>
                <w:sz w:val="24"/>
                <w:szCs w:val="24"/>
                <w:color w:val="auto"/>
              </w:rPr>
            </w:pPr>
          </w:p>
        </w:tc>
        <w:tc>
          <w:tcPr>
            <w:tcW w:w="860" w:type="dxa"/>
            <w:vAlign w:val="bottom"/>
            <w:tcBorders>
              <w:right w:val="single" w:sz="8" w:color="939598"/>
            </w:tcBorders>
          </w:tcPr>
          <w:p>
            <w:pPr>
              <w:spacing w:after="0"/>
              <w:rPr>
                <w:sz w:val="24"/>
                <w:szCs w:val="24"/>
                <w:color w:val="auto"/>
              </w:rPr>
            </w:pPr>
          </w:p>
        </w:tc>
        <w:tc>
          <w:tcPr>
            <w:tcW w:w="860" w:type="dxa"/>
            <w:vAlign w:val="bottom"/>
            <w:tcBorders>
              <w:right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00" w:type="dxa"/>
            <w:vAlign w:val="bottom"/>
            <w:tcBorders>
              <w:right w:val="single" w:sz="8" w:color="939598"/>
            </w:tcBorders>
          </w:tcPr>
          <w:p>
            <w:pPr>
              <w:spacing w:after="0"/>
              <w:rPr>
                <w:sz w:val="14"/>
                <w:szCs w:val="14"/>
                <w:color w:val="auto"/>
              </w:rPr>
            </w:pPr>
          </w:p>
        </w:tc>
        <w:tc>
          <w:tcPr>
            <w:tcW w:w="3320" w:type="dxa"/>
            <w:vAlign w:val="bottom"/>
            <w:tcBorders>
              <w:right w:val="single" w:sz="8" w:color="939598"/>
            </w:tcBorders>
          </w:tcPr>
          <w:p>
            <w:pPr>
              <w:ind w:left="60"/>
              <w:spacing w:after="0"/>
              <w:rPr>
                <w:sz w:val="20"/>
                <w:szCs w:val="20"/>
                <w:color w:val="auto"/>
              </w:rPr>
            </w:pPr>
            <w:r>
              <w:rPr>
                <w:rFonts w:ascii="Arial" w:cs="Arial" w:eastAsia="Arial" w:hAnsi="Arial"/>
                <w:sz w:val="14"/>
                <w:szCs w:val="14"/>
                <w:color w:val="auto"/>
              </w:rPr>
              <w:t>Chairman and CEO</w:t>
            </w:r>
          </w:p>
        </w:tc>
        <w:tc>
          <w:tcPr>
            <w:tcW w:w="960" w:type="dxa"/>
            <w:vAlign w:val="bottom"/>
            <w:tcBorders>
              <w:right w:val="single" w:sz="8" w:color="939598"/>
            </w:tcBorders>
          </w:tcPr>
          <w:p>
            <w:pPr>
              <w:jc w:val="center"/>
              <w:spacing w:after="0"/>
              <w:rPr>
                <w:sz w:val="20"/>
                <w:szCs w:val="20"/>
                <w:color w:val="auto"/>
              </w:rPr>
            </w:pPr>
            <w:r>
              <w:rPr>
                <w:rFonts w:ascii="Arial" w:cs="Arial" w:eastAsia="Arial" w:hAnsi="Arial"/>
                <w:sz w:val="14"/>
                <w:szCs w:val="14"/>
                <w:color w:val="auto"/>
              </w:rPr>
              <w:t>3</w:t>
            </w:r>
          </w:p>
        </w:tc>
        <w:tc>
          <w:tcPr>
            <w:tcW w:w="1300" w:type="dxa"/>
            <w:vAlign w:val="bottom"/>
            <w:tcBorders>
              <w:right w:val="single" w:sz="8" w:color="939598"/>
            </w:tcBorders>
          </w:tcPr>
          <w:p>
            <w:pPr>
              <w:jc w:val="center"/>
              <w:spacing w:after="0"/>
              <w:rPr>
                <w:sz w:val="20"/>
                <w:szCs w:val="20"/>
                <w:color w:val="auto"/>
              </w:rPr>
            </w:pPr>
            <w:r>
              <w:rPr>
                <w:rFonts w:ascii="Arial" w:cs="Arial" w:eastAsia="Arial" w:hAnsi="Arial"/>
                <w:sz w:val="14"/>
                <w:szCs w:val="14"/>
                <w:color w:val="auto"/>
              </w:rPr>
              <w:t>No</w:t>
            </w:r>
          </w:p>
        </w:tc>
        <w:tc>
          <w:tcPr>
            <w:tcW w:w="2180" w:type="dxa"/>
            <w:vAlign w:val="bottom"/>
            <w:tcBorders>
              <w:right w:val="single" w:sz="8" w:color="D7282F"/>
            </w:tcBorders>
          </w:tcPr>
          <w:p>
            <w:pPr>
              <w:jc w:val="center"/>
              <w:spacing w:after="0"/>
              <w:rPr>
                <w:sz w:val="20"/>
                <w:szCs w:val="20"/>
                <w:color w:val="auto"/>
              </w:rPr>
            </w:pPr>
            <w:r>
              <w:rPr>
                <w:rFonts w:ascii="Arial" w:cs="Arial" w:eastAsia="Arial" w:hAnsi="Arial"/>
                <w:sz w:val="14"/>
                <w:szCs w:val="14"/>
                <w:color w:val="auto"/>
              </w:rPr>
              <w:t>1</w:t>
            </w:r>
          </w:p>
        </w:tc>
        <w:tc>
          <w:tcPr>
            <w:tcW w:w="860" w:type="dxa"/>
            <w:vAlign w:val="bottom"/>
            <w:tcBorders>
              <w:right w:val="single" w:sz="8" w:color="939598"/>
            </w:tcBorders>
          </w:tcPr>
          <w:p>
            <w:pPr>
              <w:spacing w:after="0"/>
              <w:rPr>
                <w:sz w:val="14"/>
                <w:szCs w:val="14"/>
                <w:color w:val="auto"/>
              </w:rPr>
            </w:pPr>
          </w:p>
        </w:tc>
        <w:tc>
          <w:tcPr>
            <w:tcW w:w="860" w:type="dxa"/>
            <w:vAlign w:val="bottom"/>
            <w:tcBorders>
              <w:right w:val="single" w:sz="8" w:color="939598"/>
            </w:tcBorders>
          </w:tcPr>
          <w:p>
            <w:pPr>
              <w:spacing w:after="0"/>
              <w:rPr>
                <w:sz w:val="14"/>
                <w:szCs w:val="14"/>
                <w:color w:val="auto"/>
              </w:rPr>
            </w:pPr>
          </w:p>
        </w:tc>
        <w:tc>
          <w:tcPr>
            <w:tcW w:w="860" w:type="dxa"/>
            <w:vAlign w:val="bottom"/>
            <w:tcBorders>
              <w:right w:val="single" w:sz="8" w:color="D7282F"/>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900" w:type="dxa"/>
            <w:vAlign w:val="bottom"/>
            <w:tcBorders>
              <w:right w:val="single" w:sz="8" w:color="939598"/>
            </w:tcBorders>
          </w:tcPr>
          <w:p>
            <w:pPr>
              <w:spacing w:after="0"/>
              <w:rPr>
                <w:sz w:val="16"/>
                <w:szCs w:val="16"/>
                <w:color w:val="auto"/>
              </w:rPr>
            </w:pPr>
          </w:p>
        </w:tc>
        <w:tc>
          <w:tcPr>
            <w:tcW w:w="3320" w:type="dxa"/>
            <w:vAlign w:val="bottom"/>
            <w:tcBorders>
              <w:right w:val="single" w:sz="8" w:color="939598"/>
            </w:tcBorders>
          </w:tcPr>
          <w:p>
            <w:pPr>
              <w:ind w:left="60"/>
              <w:spacing w:after="0"/>
              <w:rPr>
                <w:sz w:val="20"/>
                <w:szCs w:val="20"/>
                <w:color w:val="auto"/>
              </w:rPr>
            </w:pPr>
            <w:r>
              <w:rPr>
                <w:rFonts w:ascii="Arial" w:cs="Arial" w:eastAsia="Arial" w:hAnsi="Arial"/>
                <w:sz w:val="14"/>
                <w:szCs w:val="14"/>
                <w:color w:val="auto"/>
              </w:rPr>
              <w:t>Honeywell International Inc.</w:t>
            </w:r>
          </w:p>
        </w:tc>
        <w:tc>
          <w:tcPr>
            <w:tcW w:w="960" w:type="dxa"/>
            <w:vAlign w:val="bottom"/>
            <w:tcBorders>
              <w:right w:val="single" w:sz="8" w:color="939598"/>
            </w:tcBorders>
          </w:tcPr>
          <w:p>
            <w:pPr>
              <w:spacing w:after="0"/>
              <w:rPr>
                <w:sz w:val="16"/>
                <w:szCs w:val="16"/>
                <w:color w:val="auto"/>
              </w:rPr>
            </w:pPr>
          </w:p>
        </w:tc>
        <w:tc>
          <w:tcPr>
            <w:tcW w:w="1300" w:type="dxa"/>
            <w:vAlign w:val="bottom"/>
            <w:tcBorders>
              <w:right w:val="single" w:sz="8" w:color="939598"/>
            </w:tcBorders>
          </w:tcPr>
          <w:p>
            <w:pPr>
              <w:spacing w:after="0"/>
              <w:rPr>
                <w:sz w:val="16"/>
                <w:szCs w:val="16"/>
                <w:color w:val="auto"/>
              </w:rPr>
            </w:pPr>
          </w:p>
        </w:tc>
        <w:tc>
          <w:tcPr>
            <w:tcW w:w="2180" w:type="dxa"/>
            <w:vAlign w:val="bottom"/>
            <w:tcBorders>
              <w:right w:val="single" w:sz="8" w:color="D7282F"/>
            </w:tcBorders>
          </w:tcPr>
          <w:p>
            <w:pPr>
              <w:spacing w:after="0"/>
              <w:rPr>
                <w:sz w:val="16"/>
                <w:szCs w:val="16"/>
                <w:color w:val="auto"/>
              </w:rPr>
            </w:pPr>
          </w:p>
        </w:tc>
        <w:tc>
          <w:tcPr>
            <w:tcW w:w="860" w:type="dxa"/>
            <w:vAlign w:val="bottom"/>
            <w:tcBorders>
              <w:right w:val="single" w:sz="8" w:color="939598"/>
            </w:tcBorders>
          </w:tcPr>
          <w:p>
            <w:pPr>
              <w:spacing w:after="0"/>
              <w:rPr>
                <w:sz w:val="16"/>
                <w:szCs w:val="16"/>
                <w:color w:val="auto"/>
              </w:rPr>
            </w:pPr>
          </w:p>
        </w:tc>
        <w:tc>
          <w:tcPr>
            <w:tcW w:w="860" w:type="dxa"/>
            <w:vAlign w:val="bottom"/>
            <w:tcBorders>
              <w:right w:val="single" w:sz="8" w:color="939598"/>
            </w:tcBorders>
          </w:tcPr>
          <w:p>
            <w:pPr>
              <w:spacing w:after="0"/>
              <w:rPr>
                <w:sz w:val="16"/>
                <w:szCs w:val="16"/>
                <w:color w:val="auto"/>
              </w:rPr>
            </w:pPr>
          </w:p>
        </w:tc>
        <w:tc>
          <w:tcPr>
            <w:tcW w:w="860" w:type="dxa"/>
            <w:vAlign w:val="bottom"/>
            <w:tcBorders>
              <w:right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900" w:type="dxa"/>
            <w:vAlign w:val="bottom"/>
            <w:tcBorders>
              <w:bottom w:val="single" w:sz="8" w:color="939598"/>
              <w:right w:val="single" w:sz="8" w:color="939598"/>
            </w:tcBorders>
          </w:tcPr>
          <w:p>
            <w:pPr>
              <w:spacing w:after="0"/>
              <w:rPr>
                <w:sz w:val="14"/>
                <w:szCs w:val="14"/>
                <w:color w:val="auto"/>
              </w:rPr>
            </w:pPr>
          </w:p>
        </w:tc>
        <w:tc>
          <w:tcPr>
            <w:tcW w:w="3320" w:type="dxa"/>
            <w:vAlign w:val="bottom"/>
            <w:tcBorders>
              <w:bottom w:val="single" w:sz="8" w:color="939598"/>
              <w:right w:val="single" w:sz="8" w:color="939598"/>
            </w:tcBorders>
          </w:tcPr>
          <w:p>
            <w:pPr>
              <w:spacing w:after="0"/>
              <w:rPr>
                <w:sz w:val="14"/>
                <w:szCs w:val="14"/>
                <w:color w:val="auto"/>
              </w:rPr>
            </w:pPr>
          </w:p>
        </w:tc>
        <w:tc>
          <w:tcPr>
            <w:tcW w:w="960" w:type="dxa"/>
            <w:vAlign w:val="bottom"/>
            <w:tcBorders>
              <w:bottom w:val="single" w:sz="8" w:color="939598"/>
              <w:right w:val="single" w:sz="8" w:color="939598"/>
            </w:tcBorders>
          </w:tcPr>
          <w:p>
            <w:pPr>
              <w:spacing w:after="0"/>
              <w:rPr>
                <w:sz w:val="14"/>
                <w:szCs w:val="14"/>
                <w:color w:val="auto"/>
              </w:rPr>
            </w:pPr>
          </w:p>
        </w:tc>
        <w:tc>
          <w:tcPr>
            <w:tcW w:w="1300" w:type="dxa"/>
            <w:vAlign w:val="bottom"/>
            <w:tcBorders>
              <w:bottom w:val="single" w:sz="8" w:color="939598"/>
              <w:right w:val="single" w:sz="8" w:color="939598"/>
            </w:tcBorders>
          </w:tcPr>
          <w:p>
            <w:pPr>
              <w:spacing w:after="0"/>
              <w:rPr>
                <w:sz w:val="14"/>
                <w:szCs w:val="14"/>
                <w:color w:val="auto"/>
              </w:rPr>
            </w:pPr>
          </w:p>
        </w:tc>
        <w:tc>
          <w:tcPr>
            <w:tcW w:w="2180" w:type="dxa"/>
            <w:vAlign w:val="bottom"/>
            <w:tcBorders>
              <w:bottom w:val="single" w:sz="8" w:color="939598"/>
              <w:right w:val="single" w:sz="8" w:color="D7282F"/>
            </w:tcBorders>
          </w:tcPr>
          <w:p>
            <w:pPr>
              <w:spacing w:after="0"/>
              <w:rPr>
                <w:sz w:val="14"/>
                <w:szCs w:val="14"/>
                <w:color w:val="auto"/>
              </w:rPr>
            </w:pPr>
          </w:p>
        </w:tc>
        <w:tc>
          <w:tcPr>
            <w:tcW w:w="860" w:type="dxa"/>
            <w:vAlign w:val="bottom"/>
            <w:tcBorders>
              <w:bottom w:val="single" w:sz="8" w:color="939598"/>
              <w:right w:val="single" w:sz="8" w:color="939598"/>
            </w:tcBorders>
          </w:tcPr>
          <w:p>
            <w:pPr>
              <w:spacing w:after="0"/>
              <w:rPr>
                <w:sz w:val="14"/>
                <w:szCs w:val="14"/>
                <w:color w:val="auto"/>
              </w:rPr>
            </w:pPr>
          </w:p>
        </w:tc>
        <w:tc>
          <w:tcPr>
            <w:tcW w:w="860" w:type="dxa"/>
            <w:vAlign w:val="bottom"/>
            <w:tcBorders>
              <w:bottom w:val="single" w:sz="8" w:color="939598"/>
              <w:right w:val="single" w:sz="8" w:color="939598"/>
            </w:tcBorders>
          </w:tcPr>
          <w:p>
            <w:pPr>
              <w:spacing w:after="0"/>
              <w:rPr>
                <w:sz w:val="14"/>
                <w:szCs w:val="14"/>
                <w:color w:val="auto"/>
              </w:rPr>
            </w:pPr>
          </w:p>
        </w:tc>
        <w:tc>
          <w:tcPr>
            <w:tcW w:w="860" w:type="dxa"/>
            <w:vAlign w:val="bottom"/>
            <w:tcBorders>
              <w:bottom w:val="single" w:sz="8" w:color="939598"/>
              <w:right w:val="single" w:sz="8" w:color="D7282F"/>
            </w:tcBorders>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900" w:type="dxa"/>
            <w:vAlign w:val="bottom"/>
            <w:tcBorders>
              <w:right w:val="single" w:sz="8" w:color="939598"/>
            </w:tcBorders>
          </w:tcPr>
          <w:p>
            <w:pPr>
              <w:spacing w:after="0"/>
              <w:rPr>
                <w:sz w:val="24"/>
                <w:szCs w:val="24"/>
                <w:color w:val="auto"/>
              </w:rPr>
            </w:pPr>
          </w:p>
        </w:tc>
        <w:tc>
          <w:tcPr>
            <w:tcW w:w="3320" w:type="dxa"/>
            <w:vAlign w:val="bottom"/>
            <w:tcBorders>
              <w:right w:val="single" w:sz="8" w:color="939598"/>
            </w:tcBorders>
          </w:tcPr>
          <w:p>
            <w:pPr>
              <w:ind w:left="60"/>
              <w:spacing w:after="0"/>
              <w:rPr>
                <w:sz w:val="20"/>
                <w:szCs w:val="20"/>
                <w:color w:val="auto"/>
              </w:rPr>
            </w:pPr>
            <w:r>
              <w:rPr>
                <w:rFonts w:ascii="Arial" w:cs="Arial" w:eastAsia="Arial" w:hAnsi="Arial"/>
                <w:sz w:val="14"/>
                <w:szCs w:val="14"/>
                <w:b w:val="1"/>
                <w:bCs w:val="1"/>
                <w:color w:val="auto"/>
              </w:rPr>
              <w:t>Duncan B. Angove</w:t>
            </w:r>
          </w:p>
        </w:tc>
        <w:tc>
          <w:tcPr>
            <w:tcW w:w="960" w:type="dxa"/>
            <w:vAlign w:val="bottom"/>
            <w:tcBorders>
              <w:right w:val="single" w:sz="8" w:color="939598"/>
            </w:tcBorders>
          </w:tcPr>
          <w:p>
            <w:pPr>
              <w:spacing w:after="0"/>
              <w:rPr>
                <w:sz w:val="24"/>
                <w:szCs w:val="24"/>
                <w:color w:val="auto"/>
              </w:rPr>
            </w:pPr>
          </w:p>
        </w:tc>
        <w:tc>
          <w:tcPr>
            <w:tcW w:w="1300" w:type="dxa"/>
            <w:vAlign w:val="bottom"/>
            <w:tcBorders>
              <w:right w:val="single" w:sz="8" w:color="939598"/>
            </w:tcBorders>
          </w:tcPr>
          <w:p>
            <w:pPr>
              <w:spacing w:after="0"/>
              <w:rPr>
                <w:sz w:val="24"/>
                <w:szCs w:val="24"/>
                <w:color w:val="auto"/>
              </w:rPr>
            </w:pPr>
          </w:p>
        </w:tc>
        <w:tc>
          <w:tcPr>
            <w:tcW w:w="2180" w:type="dxa"/>
            <w:vAlign w:val="bottom"/>
            <w:tcBorders>
              <w:right w:val="single" w:sz="8" w:color="D7282F"/>
            </w:tcBorders>
          </w:tcPr>
          <w:p>
            <w:pPr>
              <w:spacing w:after="0"/>
              <w:rPr>
                <w:sz w:val="24"/>
                <w:szCs w:val="24"/>
                <w:color w:val="auto"/>
              </w:rPr>
            </w:pPr>
          </w:p>
        </w:tc>
        <w:tc>
          <w:tcPr>
            <w:tcW w:w="860" w:type="dxa"/>
            <w:vAlign w:val="bottom"/>
            <w:tcBorders>
              <w:right w:val="single" w:sz="8" w:color="939598"/>
            </w:tcBorders>
          </w:tcPr>
          <w:p>
            <w:pPr>
              <w:spacing w:after="0"/>
              <w:rPr>
                <w:sz w:val="24"/>
                <w:szCs w:val="24"/>
                <w:color w:val="auto"/>
              </w:rPr>
            </w:pPr>
          </w:p>
        </w:tc>
        <w:tc>
          <w:tcPr>
            <w:tcW w:w="860" w:type="dxa"/>
            <w:vAlign w:val="bottom"/>
            <w:tcBorders>
              <w:right w:val="single" w:sz="8" w:color="939598"/>
            </w:tcBorders>
            <w:vMerge w:val="restart"/>
          </w:tcPr>
          <w:p>
            <w:pPr>
              <w:jc w:val="center"/>
              <w:spacing w:after="0"/>
              <w:rPr>
                <w:sz w:val="20"/>
                <w:szCs w:val="20"/>
                <w:color w:val="auto"/>
              </w:rPr>
            </w:pPr>
            <w:r>
              <w:rPr>
                <w:rFonts w:ascii="Wingdings" w:cs="Wingdings" w:eastAsia="Wingdings" w:hAnsi="Wingdings"/>
                <w:sz w:val="25"/>
                <w:szCs w:val="25"/>
                <w:b w:val="1"/>
                <w:bCs w:val="1"/>
                <w:color w:val="939598"/>
              </w:rPr>
              <w:t>n</w:t>
            </w:r>
          </w:p>
        </w:tc>
        <w:tc>
          <w:tcPr>
            <w:tcW w:w="860" w:type="dxa"/>
            <w:vAlign w:val="bottom"/>
            <w:tcBorders>
              <w:right w:val="single" w:sz="8" w:color="D7282F"/>
            </w:tcBorders>
            <w:vMerge w:val="restart"/>
          </w:tcPr>
          <w:p>
            <w:pPr>
              <w:jc w:val="center"/>
              <w:spacing w:after="0"/>
              <w:rPr>
                <w:sz w:val="20"/>
                <w:szCs w:val="20"/>
                <w:color w:val="auto"/>
              </w:rPr>
            </w:pPr>
            <w:r>
              <w:rPr>
                <w:rFonts w:ascii="Wingdings" w:cs="Wingdings" w:eastAsia="Wingdings" w:hAnsi="Wingdings"/>
                <w:sz w:val="25"/>
                <w:szCs w:val="25"/>
                <w:b w:val="1"/>
                <w:bCs w:val="1"/>
                <w:color w:val="939598"/>
              </w:rPr>
              <w:t>n</w:t>
            </w:r>
          </w:p>
        </w:tc>
        <w:tc>
          <w:tcPr>
            <w:tcW w:w="0" w:type="dxa"/>
            <w:vAlign w:val="bottom"/>
          </w:tcPr>
          <w:p>
            <w:pPr>
              <w:spacing w:after="0"/>
              <w:rPr>
                <w:sz w:val="1"/>
                <w:szCs w:val="1"/>
                <w:color w:val="auto"/>
              </w:rPr>
            </w:pPr>
          </w:p>
        </w:tc>
      </w:tr>
      <w:tr>
        <w:trPr>
          <w:trHeight w:val="176"/>
        </w:trPr>
        <w:tc>
          <w:tcPr>
            <w:tcW w:w="900" w:type="dxa"/>
            <w:vAlign w:val="bottom"/>
            <w:tcBorders>
              <w:right w:val="single" w:sz="8" w:color="939598"/>
            </w:tcBorders>
          </w:tcPr>
          <w:p>
            <w:pPr>
              <w:spacing w:after="0"/>
              <w:rPr>
                <w:sz w:val="15"/>
                <w:szCs w:val="15"/>
                <w:color w:val="auto"/>
              </w:rPr>
            </w:pPr>
          </w:p>
        </w:tc>
        <w:tc>
          <w:tcPr>
            <w:tcW w:w="3320" w:type="dxa"/>
            <w:vAlign w:val="bottom"/>
            <w:tcBorders>
              <w:right w:val="single" w:sz="8" w:color="939598"/>
            </w:tcBorders>
          </w:tcPr>
          <w:p>
            <w:pPr>
              <w:ind w:left="60"/>
              <w:spacing w:after="0"/>
              <w:rPr>
                <w:sz w:val="20"/>
                <w:szCs w:val="20"/>
                <w:color w:val="auto"/>
              </w:rPr>
            </w:pPr>
            <w:r>
              <w:rPr>
                <w:rFonts w:ascii="Arial" w:cs="Arial" w:eastAsia="Arial" w:hAnsi="Arial"/>
                <w:sz w:val="14"/>
                <w:szCs w:val="14"/>
                <w:color w:val="auto"/>
              </w:rPr>
              <w:t>CEO</w:t>
            </w:r>
          </w:p>
        </w:tc>
        <w:tc>
          <w:tcPr>
            <w:tcW w:w="960" w:type="dxa"/>
            <w:vAlign w:val="bottom"/>
            <w:tcBorders>
              <w:right w:val="single" w:sz="8" w:color="939598"/>
            </w:tcBorders>
          </w:tcPr>
          <w:p>
            <w:pPr>
              <w:jc w:val="center"/>
              <w:spacing w:after="0"/>
              <w:rPr>
                <w:sz w:val="20"/>
                <w:szCs w:val="20"/>
                <w:color w:val="auto"/>
              </w:rPr>
            </w:pPr>
            <w:r>
              <w:rPr>
                <w:rFonts w:ascii="Arial" w:cs="Arial" w:eastAsia="Arial" w:hAnsi="Arial"/>
                <w:sz w:val="14"/>
                <w:szCs w:val="14"/>
                <w:color w:val="auto"/>
              </w:rPr>
              <w:t>8</w:t>
            </w:r>
          </w:p>
        </w:tc>
        <w:tc>
          <w:tcPr>
            <w:tcW w:w="1300" w:type="dxa"/>
            <w:vAlign w:val="bottom"/>
            <w:tcBorders>
              <w:right w:val="single" w:sz="8" w:color="939598"/>
            </w:tcBorders>
          </w:tcPr>
          <w:p>
            <w:pPr>
              <w:jc w:val="center"/>
              <w:spacing w:after="0"/>
              <w:rPr>
                <w:sz w:val="20"/>
                <w:szCs w:val="20"/>
                <w:color w:val="auto"/>
              </w:rPr>
            </w:pPr>
            <w:r>
              <w:rPr>
                <w:rFonts w:ascii="Arial" w:cs="Arial" w:eastAsia="Arial" w:hAnsi="Arial"/>
                <w:sz w:val="14"/>
                <w:szCs w:val="14"/>
                <w:color w:val="auto"/>
                <w:w w:val="99"/>
              </w:rPr>
              <w:t>Yes</w:t>
            </w:r>
          </w:p>
        </w:tc>
        <w:tc>
          <w:tcPr>
            <w:tcW w:w="2180" w:type="dxa"/>
            <w:vAlign w:val="bottom"/>
            <w:tcBorders>
              <w:right w:val="single" w:sz="8" w:color="D7282F"/>
            </w:tcBorders>
          </w:tcPr>
          <w:p>
            <w:pPr>
              <w:jc w:val="center"/>
              <w:spacing w:after="0"/>
              <w:rPr>
                <w:sz w:val="20"/>
                <w:szCs w:val="20"/>
                <w:color w:val="auto"/>
              </w:rPr>
            </w:pPr>
            <w:r>
              <w:rPr>
                <w:rFonts w:ascii="Arial" w:cs="Arial" w:eastAsia="Arial" w:hAnsi="Arial"/>
                <w:sz w:val="14"/>
                <w:szCs w:val="14"/>
                <w:color w:val="auto"/>
              </w:rPr>
              <w:t>1</w:t>
            </w:r>
          </w:p>
        </w:tc>
        <w:tc>
          <w:tcPr>
            <w:tcW w:w="860" w:type="dxa"/>
            <w:vAlign w:val="bottom"/>
            <w:tcBorders>
              <w:right w:val="single" w:sz="8" w:color="939598"/>
            </w:tcBorders>
          </w:tcPr>
          <w:p>
            <w:pPr>
              <w:spacing w:after="0"/>
              <w:rPr>
                <w:sz w:val="15"/>
                <w:szCs w:val="15"/>
                <w:color w:val="auto"/>
              </w:rPr>
            </w:pPr>
          </w:p>
        </w:tc>
        <w:tc>
          <w:tcPr>
            <w:tcW w:w="860" w:type="dxa"/>
            <w:vAlign w:val="bottom"/>
            <w:tcBorders>
              <w:right w:val="single" w:sz="8" w:color="939598"/>
            </w:tcBorders>
            <w:vMerge w:val="continue"/>
          </w:tcPr>
          <w:p>
            <w:pPr>
              <w:spacing w:after="0"/>
              <w:rPr>
                <w:sz w:val="15"/>
                <w:szCs w:val="15"/>
                <w:color w:val="auto"/>
              </w:rPr>
            </w:pPr>
          </w:p>
        </w:tc>
        <w:tc>
          <w:tcPr>
            <w:tcW w:w="860" w:type="dxa"/>
            <w:vAlign w:val="bottom"/>
            <w:tcBorders>
              <w:right w:val="single" w:sz="8" w:color="D7282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900" w:type="dxa"/>
            <w:vAlign w:val="bottom"/>
            <w:tcBorders>
              <w:right w:val="single" w:sz="8" w:color="939598"/>
            </w:tcBorders>
          </w:tcPr>
          <w:p>
            <w:pPr>
              <w:spacing w:after="0"/>
              <w:rPr>
                <w:sz w:val="16"/>
                <w:szCs w:val="16"/>
                <w:color w:val="auto"/>
              </w:rPr>
            </w:pPr>
          </w:p>
        </w:tc>
        <w:tc>
          <w:tcPr>
            <w:tcW w:w="3320" w:type="dxa"/>
            <w:vAlign w:val="bottom"/>
            <w:tcBorders>
              <w:right w:val="single" w:sz="8" w:color="939598"/>
            </w:tcBorders>
          </w:tcPr>
          <w:p>
            <w:pPr>
              <w:ind w:left="60"/>
              <w:spacing w:after="0"/>
              <w:rPr>
                <w:sz w:val="20"/>
                <w:szCs w:val="20"/>
                <w:color w:val="auto"/>
              </w:rPr>
            </w:pPr>
            <w:r>
              <w:rPr>
                <w:rFonts w:ascii="Arial" w:cs="Arial" w:eastAsia="Arial" w:hAnsi="Arial"/>
                <w:sz w:val="14"/>
                <w:szCs w:val="14"/>
                <w:color w:val="auto"/>
              </w:rPr>
              <w:t>Blue Yonder Group, Inc.</w:t>
            </w:r>
          </w:p>
        </w:tc>
        <w:tc>
          <w:tcPr>
            <w:tcW w:w="960" w:type="dxa"/>
            <w:vAlign w:val="bottom"/>
            <w:tcBorders>
              <w:right w:val="single" w:sz="8" w:color="939598"/>
            </w:tcBorders>
          </w:tcPr>
          <w:p>
            <w:pPr>
              <w:spacing w:after="0"/>
              <w:rPr>
                <w:sz w:val="16"/>
                <w:szCs w:val="16"/>
                <w:color w:val="auto"/>
              </w:rPr>
            </w:pPr>
          </w:p>
        </w:tc>
        <w:tc>
          <w:tcPr>
            <w:tcW w:w="1300" w:type="dxa"/>
            <w:vAlign w:val="bottom"/>
            <w:tcBorders>
              <w:right w:val="single" w:sz="8" w:color="939598"/>
            </w:tcBorders>
          </w:tcPr>
          <w:p>
            <w:pPr>
              <w:spacing w:after="0"/>
              <w:rPr>
                <w:sz w:val="16"/>
                <w:szCs w:val="16"/>
                <w:color w:val="auto"/>
              </w:rPr>
            </w:pPr>
          </w:p>
        </w:tc>
        <w:tc>
          <w:tcPr>
            <w:tcW w:w="2180" w:type="dxa"/>
            <w:vAlign w:val="bottom"/>
            <w:tcBorders>
              <w:right w:val="single" w:sz="8" w:color="D7282F"/>
            </w:tcBorders>
          </w:tcPr>
          <w:p>
            <w:pPr>
              <w:spacing w:after="0"/>
              <w:rPr>
                <w:sz w:val="16"/>
                <w:szCs w:val="16"/>
                <w:color w:val="auto"/>
              </w:rPr>
            </w:pPr>
          </w:p>
        </w:tc>
        <w:tc>
          <w:tcPr>
            <w:tcW w:w="860" w:type="dxa"/>
            <w:vAlign w:val="bottom"/>
            <w:tcBorders>
              <w:right w:val="single" w:sz="8" w:color="939598"/>
            </w:tcBorders>
          </w:tcPr>
          <w:p>
            <w:pPr>
              <w:spacing w:after="0"/>
              <w:rPr>
                <w:sz w:val="16"/>
                <w:szCs w:val="16"/>
                <w:color w:val="auto"/>
              </w:rPr>
            </w:pPr>
          </w:p>
        </w:tc>
        <w:tc>
          <w:tcPr>
            <w:tcW w:w="860" w:type="dxa"/>
            <w:vAlign w:val="bottom"/>
            <w:tcBorders>
              <w:right w:val="single" w:sz="8" w:color="939598"/>
            </w:tcBorders>
          </w:tcPr>
          <w:p>
            <w:pPr>
              <w:spacing w:after="0"/>
              <w:rPr>
                <w:sz w:val="16"/>
                <w:szCs w:val="16"/>
                <w:color w:val="auto"/>
              </w:rPr>
            </w:pPr>
          </w:p>
        </w:tc>
        <w:tc>
          <w:tcPr>
            <w:tcW w:w="860" w:type="dxa"/>
            <w:vAlign w:val="bottom"/>
            <w:tcBorders>
              <w:right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900" w:type="dxa"/>
            <w:vAlign w:val="bottom"/>
            <w:tcBorders>
              <w:bottom w:val="single" w:sz="8" w:color="939598"/>
              <w:right w:val="single" w:sz="8" w:color="939598"/>
            </w:tcBorders>
          </w:tcPr>
          <w:p>
            <w:pPr>
              <w:spacing w:after="0"/>
              <w:rPr>
                <w:sz w:val="13"/>
                <w:szCs w:val="13"/>
                <w:color w:val="auto"/>
              </w:rPr>
            </w:pPr>
          </w:p>
        </w:tc>
        <w:tc>
          <w:tcPr>
            <w:tcW w:w="3320" w:type="dxa"/>
            <w:vAlign w:val="bottom"/>
            <w:tcBorders>
              <w:bottom w:val="single" w:sz="8" w:color="939598"/>
              <w:right w:val="single" w:sz="8" w:color="939598"/>
            </w:tcBorders>
          </w:tcPr>
          <w:p>
            <w:pPr>
              <w:spacing w:after="0"/>
              <w:rPr>
                <w:sz w:val="13"/>
                <w:szCs w:val="13"/>
                <w:color w:val="auto"/>
              </w:rPr>
            </w:pPr>
          </w:p>
        </w:tc>
        <w:tc>
          <w:tcPr>
            <w:tcW w:w="960" w:type="dxa"/>
            <w:vAlign w:val="bottom"/>
            <w:tcBorders>
              <w:bottom w:val="single" w:sz="8" w:color="939598"/>
              <w:right w:val="single" w:sz="8" w:color="939598"/>
            </w:tcBorders>
          </w:tcPr>
          <w:p>
            <w:pPr>
              <w:spacing w:after="0"/>
              <w:rPr>
                <w:sz w:val="13"/>
                <w:szCs w:val="13"/>
                <w:color w:val="auto"/>
              </w:rPr>
            </w:pPr>
          </w:p>
        </w:tc>
        <w:tc>
          <w:tcPr>
            <w:tcW w:w="1300" w:type="dxa"/>
            <w:vAlign w:val="bottom"/>
            <w:tcBorders>
              <w:bottom w:val="single" w:sz="8" w:color="939598"/>
              <w:right w:val="single" w:sz="8" w:color="939598"/>
            </w:tcBorders>
          </w:tcPr>
          <w:p>
            <w:pPr>
              <w:spacing w:after="0"/>
              <w:rPr>
                <w:sz w:val="13"/>
                <w:szCs w:val="13"/>
                <w:color w:val="auto"/>
              </w:rPr>
            </w:pPr>
          </w:p>
        </w:tc>
        <w:tc>
          <w:tcPr>
            <w:tcW w:w="2180" w:type="dxa"/>
            <w:vAlign w:val="bottom"/>
            <w:tcBorders>
              <w:bottom w:val="single" w:sz="8" w:color="939598"/>
              <w:right w:val="single" w:sz="8" w:color="D7282F"/>
            </w:tcBorders>
          </w:tcPr>
          <w:p>
            <w:pPr>
              <w:spacing w:after="0"/>
              <w:rPr>
                <w:sz w:val="13"/>
                <w:szCs w:val="13"/>
                <w:color w:val="auto"/>
              </w:rPr>
            </w:pPr>
          </w:p>
        </w:tc>
        <w:tc>
          <w:tcPr>
            <w:tcW w:w="860" w:type="dxa"/>
            <w:vAlign w:val="bottom"/>
            <w:tcBorders>
              <w:bottom w:val="single" w:sz="8" w:color="939598"/>
              <w:right w:val="single" w:sz="8" w:color="939598"/>
            </w:tcBorders>
          </w:tcPr>
          <w:p>
            <w:pPr>
              <w:spacing w:after="0"/>
              <w:rPr>
                <w:sz w:val="13"/>
                <w:szCs w:val="13"/>
                <w:color w:val="auto"/>
              </w:rPr>
            </w:pPr>
          </w:p>
        </w:tc>
        <w:tc>
          <w:tcPr>
            <w:tcW w:w="860" w:type="dxa"/>
            <w:vAlign w:val="bottom"/>
            <w:tcBorders>
              <w:bottom w:val="single" w:sz="8" w:color="939598"/>
              <w:right w:val="single" w:sz="8" w:color="939598"/>
            </w:tcBorders>
          </w:tcPr>
          <w:p>
            <w:pPr>
              <w:spacing w:after="0"/>
              <w:rPr>
                <w:sz w:val="13"/>
                <w:szCs w:val="13"/>
                <w:color w:val="auto"/>
              </w:rPr>
            </w:pPr>
          </w:p>
        </w:tc>
        <w:tc>
          <w:tcPr>
            <w:tcW w:w="860" w:type="dxa"/>
            <w:vAlign w:val="bottom"/>
            <w:tcBorders>
              <w:bottom w:val="single" w:sz="8" w:color="939598"/>
              <w:right w:val="single" w:sz="8" w:color="D7282F"/>
            </w:tcBorders>
          </w:tcPr>
          <w:p>
            <w:pPr>
              <w:spacing w:after="0"/>
              <w:rPr>
                <w:sz w:val="13"/>
                <w:szCs w:val="13"/>
                <w:color w:val="auto"/>
              </w:rPr>
            </w:pPr>
          </w:p>
        </w:tc>
        <w:tc>
          <w:tcPr>
            <w:tcW w:w="0" w:type="dxa"/>
            <w:vAlign w:val="bottom"/>
          </w:tcPr>
          <w:p>
            <w:pPr>
              <w:spacing w:after="0"/>
              <w:rPr>
                <w:sz w:val="1"/>
                <w:szCs w:val="1"/>
                <w:color w:val="auto"/>
              </w:rPr>
            </w:pPr>
          </w:p>
        </w:tc>
      </w:tr>
      <w:tr>
        <w:trPr>
          <w:trHeight w:val="335"/>
        </w:trPr>
        <w:tc>
          <w:tcPr>
            <w:tcW w:w="900" w:type="dxa"/>
            <w:vAlign w:val="bottom"/>
            <w:tcBorders>
              <w:right w:val="single" w:sz="8" w:color="939598"/>
            </w:tcBorders>
          </w:tcPr>
          <w:p>
            <w:pPr>
              <w:spacing w:after="0"/>
              <w:rPr>
                <w:sz w:val="24"/>
                <w:szCs w:val="24"/>
                <w:color w:val="auto"/>
              </w:rPr>
            </w:pPr>
          </w:p>
        </w:tc>
        <w:tc>
          <w:tcPr>
            <w:tcW w:w="3320" w:type="dxa"/>
            <w:vAlign w:val="bottom"/>
            <w:tcBorders>
              <w:right w:val="single" w:sz="8" w:color="939598"/>
            </w:tcBorders>
          </w:tcPr>
          <w:p>
            <w:pPr>
              <w:ind w:left="60"/>
              <w:spacing w:after="0"/>
              <w:rPr>
                <w:sz w:val="20"/>
                <w:szCs w:val="20"/>
                <w:color w:val="auto"/>
              </w:rPr>
            </w:pPr>
            <w:r>
              <w:rPr>
                <w:rFonts w:ascii="Arial" w:cs="Arial" w:eastAsia="Arial" w:hAnsi="Arial"/>
                <w:sz w:val="14"/>
                <w:szCs w:val="14"/>
                <w:b w:val="1"/>
                <w:bCs w:val="1"/>
                <w:color w:val="auto"/>
              </w:rPr>
              <w:t>Craig Arnold</w:t>
            </w:r>
          </w:p>
        </w:tc>
        <w:tc>
          <w:tcPr>
            <w:tcW w:w="960" w:type="dxa"/>
            <w:vAlign w:val="bottom"/>
            <w:tcBorders>
              <w:right w:val="single" w:sz="8" w:color="939598"/>
            </w:tcBorders>
            <w:vMerge w:val="restart"/>
          </w:tcPr>
          <w:p>
            <w:pPr>
              <w:jc w:val="center"/>
              <w:spacing w:after="0"/>
              <w:rPr>
                <w:sz w:val="20"/>
                <w:szCs w:val="20"/>
                <w:color w:val="auto"/>
              </w:rPr>
            </w:pPr>
            <w:r>
              <w:rPr>
                <w:rFonts w:ascii="Arial" w:cs="Arial" w:eastAsia="Arial" w:hAnsi="Arial"/>
                <w:sz w:val="14"/>
                <w:szCs w:val="14"/>
                <w:color w:val="auto"/>
              </w:rPr>
              <w:t>0</w:t>
            </w:r>
          </w:p>
        </w:tc>
        <w:tc>
          <w:tcPr>
            <w:tcW w:w="1300" w:type="dxa"/>
            <w:vAlign w:val="bottom"/>
            <w:tcBorders>
              <w:right w:val="single" w:sz="8" w:color="939598"/>
            </w:tcBorders>
            <w:vMerge w:val="restart"/>
          </w:tcPr>
          <w:p>
            <w:pPr>
              <w:jc w:val="center"/>
              <w:spacing w:after="0"/>
              <w:rPr>
                <w:sz w:val="20"/>
                <w:szCs w:val="20"/>
                <w:color w:val="auto"/>
              </w:rPr>
            </w:pPr>
            <w:r>
              <w:rPr>
                <w:rFonts w:ascii="Arial" w:cs="Arial" w:eastAsia="Arial" w:hAnsi="Arial"/>
                <w:sz w:val="14"/>
                <w:szCs w:val="14"/>
                <w:color w:val="auto"/>
                <w:w w:val="99"/>
              </w:rPr>
              <w:t>Yes</w:t>
            </w:r>
          </w:p>
        </w:tc>
        <w:tc>
          <w:tcPr>
            <w:tcW w:w="2180" w:type="dxa"/>
            <w:vAlign w:val="bottom"/>
            <w:tcBorders>
              <w:right w:val="single" w:sz="8" w:color="D7282F"/>
            </w:tcBorders>
            <w:vMerge w:val="restart"/>
          </w:tcPr>
          <w:p>
            <w:pPr>
              <w:jc w:val="center"/>
              <w:spacing w:after="0"/>
              <w:rPr>
                <w:sz w:val="20"/>
                <w:szCs w:val="20"/>
                <w:color w:val="auto"/>
              </w:rPr>
            </w:pPr>
            <w:r>
              <w:rPr>
                <w:rFonts w:ascii="Arial" w:cs="Arial" w:eastAsia="Arial" w:hAnsi="Arial"/>
                <w:sz w:val="14"/>
                <w:szCs w:val="14"/>
                <w:color w:val="auto"/>
              </w:rPr>
              <w:t>4</w:t>
            </w:r>
          </w:p>
        </w:tc>
        <w:tc>
          <w:tcPr>
            <w:tcW w:w="860" w:type="dxa"/>
            <w:vAlign w:val="bottom"/>
            <w:tcBorders>
              <w:right w:val="single" w:sz="8" w:color="939598"/>
            </w:tcBorders>
          </w:tcPr>
          <w:p>
            <w:pPr>
              <w:spacing w:after="0"/>
              <w:rPr>
                <w:sz w:val="24"/>
                <w:szCs w:val="24"/>
                <w:color w:val="auto"/>
              </w:rPr>
            </w:pPr>
          </w:p>
        </w:tc>
        <w:tc>
          <w:tcPr>
            <w:tcW w:w="860" w:type="dxa"/>
            <w:vAlign w:val="bottom"/>
            <w:tcBorders>
              <w:right w:val="single" w:sz="8" w:color="939598"/>
            </w:tcBorders>
            <w:vMerge w:val="restart"/>
          </w:tcPr>
          <w:p>
            <w:pPr>
              <w:jc w:val="center"/>
              <w:spacing w:after="0"/>
              <w:rPr>
                <w:sz w:val="20"/>
                <w:szCs w:val="20"/>
                <w:color w:val="auto"/>
              </w:rPr>
            </w:pPr>
            <w:r>
              <w:rPr>
                <w:rFonts w:ascii="Wingdings" w:cs="Wingdings" w:eastAsia="Wingdings" w:hAnsi="Wingdings"/>
                <w:sz w:val="25"/>
                <w:szCs w:val="25"/>
                <w:b w:val="1"/>
                <w:bCs w:val="1"/>
                <w:color w:val="939598"/>
              </w:rPr>
              <w:t>n</w:t>
            </w:r>
          </w:p>
        </w:tc>
        <w:tc>
          <w:tcPr>
            <w:tcW w:w="860" w:type="dxa"/>
            <w:vAlign w:val="bottom"/>
            <w:tcBorders>
              <w:right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00" w:type="dxa"/>
            <w:vAlign w:val="bottom"/>
            <w:tcBorders>
              <w:right w:val="single" w:sz="8" w:color="939598"/>
            </w:tcBorders>
          </w:tcPr>
          <w:p>
            <w:pPr>
              <w:spacing w:after="0"/>
              <w:rPr>
                <w:sz w:val="14"/>
                <w:szCs w:val="14"/>
                <w:color w:val="auto"/>
              </w:rPr>
            </w:pPr>
          </w:p>
        </w:tc>
        <w:tc>
          <w:tcPr>
            <w:tcW w:w="3320" w:type="dxa"/>
            <w:vAlign w:val="bottom"/>
            <w:tcBorders>
              <w:right w:val="single" w:sz="8" w:color="939598"/>
            </w:tcBorders>
          </w:tcPr>
          <w:p>
            <w:pPr>
              <w:ind w:left="60"/>
              <w:spacing w:after="0"/>
              <w:rPr>
                <w:sz w:val="20"/>
                <w:szCs w:val="20"/>
                <w:color w:val="auto"/>
              </w:rPr>
            </w:pPr>
            <w:r>
              <w:rPr>
                <w:rFonts w:ascii="Arial" w:cs="Arial" w:eastAsia="Arial" w:hAnsi="Arial"/>
                <w:sz w:val="14"/>
                <w:szCs w:val="14"/>
                <w:color w:val="auto"/>
              </w:rPr>
              <w:t>Former Chairman and CEO</w:t>
            </w:r>
          </w:p>
        </w:tc>
        <w:tc>
          <w:tcPr>
            <w:tcW w:w="960" w:type="dxa"/>
            <w:vAlign w:val="bottom"/>
            <w:tcBorders>
              <w:right w:val="single" w:sz="8" w:color="939598"/>
            </w:tcBorders>
            <w:vMerge w:val="continue"/>
          </w:tcPr>
          <w:p>
            <w:pPr>
              <w:spacing w:after="0"/>
              <w:rPr>
                <w:sz w:val="14"/>
                <w:szCs w:val="14"/>
                <w:color w:val="auto"/>
              </w:rPr>
            </w:pPr>
          </w:p>
        </w:tc>
        <w:tc>
          <w:tcPr>
            <w:tcW w:w="1300" w:type="dxa"/>
            <w:vAlign w:val="bottom"/>
            <w:tcBorders>
              <w:right w:val="single" w:sz="8" w:color="939598"/>
            </w:tcBorders>
            <w:vMerge w:val="continue"/>
          </w:tcPr>
          <w:p>
            <w:pPr>
              <w:spacing w:after="0"/>
              <w:rPr>
                <w:sz w:val="14"/>
                <w:szCs w:val="14"/>
                <w:color w:val="auto"/>
              </w:rPr>
            </w:pPr>
          </w:p>
        </w:tc>
        <w:tc>
          <w:tcPr>
            <w:tcW w:w="2180" w:type="dxa"/>
            <w:vAlign w:val="bottom"/>
            <w:tcBorders>
              <w:right w:val="single" w:sz="8" w:color="D7282F"/>
            </w:tcBorders>
            <w:vMerge w:val="continue"/>
          </w:tcPr>
          <w:p>
            <w:pPr>
              <w:spacing w:after="0"/>
              <w:rPr>
                <w:sz w:val="14"/>
                <w:szCs w:val="14"/>
                <w:color w:val="auto"/>
              </w:rPr>
            </w:pPr>
          </w:p>
        </w:tc>
        <w:tc>
          <w:tcPr>
            <w:tcW w:w="860" w:type="dxa"/>
            <w:vAlign w:val="bottom"/>
            <w:tcBorders>
              <w:right w:val="single" w:sz="8" w:color="939598"/>
            </w:tcBorders>
          </w:tcPr>
          <w:p>
            <w:pPr>
              <w:spacing w:after="0"/>
              <w:rPr>
                <w:sz w:val="14"/>
                <w:szCs w:val="14"/>
                <w:color w:val="auto"/>
              </w:rPr>
            </w:pPr>
          </w:p>
        </w:tc>
        <w:tc>
          <w:tcPr>
            <w:tcW w:w="860" w:type="dxa"/>
            <w:vAlign w:val="bottom"/>
            <w:tcBorders>
              <w:right w:val="single" w:sz="8" w:color="939598"/>
            </w:tcBorders>
            <w:vMerge w:val="continue"/>
          </w:tcPr>
          <w:p>
            <w:pPr>
              <w:spacing w:after="0"/>
              <w:rPr>
                <w:sz w:val="14"/>
                <w:szCs w:val="14"/>
                <w:color w:val="auto"/>
              </w:rPr>
            </w:pPr>
          </w:p>
        </w:tc>
        <w:tc>
          <w:tcPr>
            <w:tcW w:w="860" w:type="dxa"/>
            <w:vAlign w:val="bottom"/>
            <w:tcBorders>
              <w:right w:val="single" w:sz="8" w:color="D7282F"/>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900" w:type="dxa"/>
            <w:vAlign w:val="bottom"/>
            <w:tcBorders>
              <w:right w:val="single" w:sz="8" w:color="939598"/>
            </w:tcBorders>
          </w:tcPr>
          <w:p>
            <w:pPr>
              <w:spacing w:after="0"/>
              <w:rPr>
                <w:sz w:val="16"/>
                <w:szCs w:val="16"/>
                <w:color w:val="auto"/>
              </w:rPr>
            </w:pPr>
          </w:p>
        </w:tc>
        <w:tc>
          <w:tcPr>
            <w:tcW w:w="3320" w:type="dxa"/>
            <w:vAlign w:val="bottom"/>
            <w:tcBorders>
              <w:right w:val="single" w:sz="8" w:color="939598"/>
            </w:tcBorders>
          </w:tcPr>
          <w:p>
            <w:pPr>
              <w:ind w:left="60"/>
              <w:spacing w:after="0"/>
              <w:rPr>
                <w:sz w:val="20"/>
                <w:szCs w:val="20"/>
                <w:color w:val="auto"/>
              </w:rPr>
            </w:pPr>
            <w:r>
              <w:rPr>
                <w:rFonts w:ascii="Arial" w:cs="Arial" w:eastAsia="Arial" w:hAnsi="Arial"/>
                <w:sz w:val="14"/>
                <w:szCs w:val="14"/>
                <w:color w:val="auto"/>
              </w:rPr>
              <w:t>Eaton Corporation</w:t>
            </w:r>
          </w:p>
        </w:tc>
        <w:tc>
          <w:tcPr>
            <w:tcW w:w="960" w:type="dxa"/>
            <w:vAlign w:val="bottom"/>
            <w:tcBorders>
              <w:right w:val="single" w:sz="8" w:color="939598"/>
            </w:tcBorders>
          </w:tcPr>
          <w:p>
            <w:pPr>
              <w:spacing w:after="0"/>
              <w:rPr>
                <w:sz w:val="16"/>
                <w:szCs w:val="16"/>
                <w:color w:val="auto"/>
              </w:rPr>
            </w:pPr>
          </w:p>
        </w:tc>
        <w:tc>
          <w:tcPr>
            <w:tcW w:w="1300" w:type="dxa"/>
            <w:vAlign w:val="bottom"/>
            <w:tcBorders>
              <w:right w:val="single" w:sz="8" w:color="939598"/>
            </w:tcBorders>
          </w:tcPr>
          <w:p>
            <w:pPr>
              <w:spacing w:after="0"/>
              <w:rPr>
                <w:sz w:val="16"/>
                <w:szCs w:val="16"/>
                <w:color w:val="auto"/>
              </w:rPr>
            </w:pPr>
          </w:p>
        </w:tc>
        <w:tc>
          <w:tcPr>
            <w:tcW w:w="2180" w:type="dxa"/>
            <w:vAlign w:val="bottom"/>
            <w:tcBorders>
              <w:right w:val="single" w:sz="8" w:color="D7282F"/>
            </w:tcBorders>
          </w:tcPr>
          <w:p>
            <w:pPr>
              <w:spacing w:after="0"/>
              <w:rPr>
                <w:sz w:val="16"/>
                <w:szCs w:val="16"/>
                <w:color w:val="auto"/>
              </w:rPr>
            </w:pPr>
          </w:p>
        </w:tc>
        <w:tc>
          <w:tcPr>
            <w:tcW w:w="860" w:type="dxa"/>
            <w:vAlign w:val="bottom"/>
            <w:tcBorders>
              <w:right w:val="single" w:sz="8" w:color="939598"/>
            </w:tcBorders>
          </w:tcPr>
          <w:p>
            <w:pPr>
              <w:spacing w:after="0"/>
              <w:rPr>
                <w:sz w:val="16"/>
                <w:szCs w:val="16"/>
                <w:color w:val="auto"/>
              </w:rPr>
            </w:pPr>
          </w:p>
        </w:tc>
        <w:tc>
          <w:tcPr>
            <w:tcW w:w="860" w:type="dxa"/>
            <w:vAlign w:val="bottom"/>
            <w:tcBorders>
              <w:right w:val="single" w:sz="8" w:color="939598"/>
            </w:tcBorders>
          </w:tcPr>
          <w:p>
            <w:pPr>
              <w:spacing w:after="0"/>
              <w:rPr>
                <w:sz w:val="16"/>
                <w:szCs w:val="16"/>
                <w:color w:val="auto"/>
              </w:rPr>
            </w:pPr>
          </w:p>
        </w:tc>
        <w:tc>
          <w:tcPr>
            <w:tcW w:w="860" w:type="dxa"/>
            <w:vAlign w:val="bottom"/>
            <w:tcBorders>
              <w:right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900" w:type="dxa"/>
            <w:vAlign w:val="bottom"/>
            <w:tcBorders>
              <w:bottom w:val="single" w:sz="8" w:color="939598"/>
              <w:right w:val="single" w:sz="8" w:color="939598"/>
            </w:tcBorders>
          </w:tcPr>
          <w:p>
            <w:pPr>
              <w:spacing w:after="0"/>
              <w:rPr>
                <w:sz w:val="12"/>
                <w:szCs w:val="12"/>
                <w:color w:val="auto"/>
              </w:rPr>
            </w:pPr>
          </w:p>
        </w:tc>
        <w:tc>
          <w:tcPr>
            <w:tcW w:w="3320" w:type="dxa"/>
            <w:vAlign w:val="bottom"/>
            <w:tcBorders>
              <w:bottom w:val="single" w:sz="8" w:color="939598"/>
              <w:right w:val="single" w:sz="8" w:color="939598"/>
            </w:tcBorders>
          </w:tcPr>
          <w:p>
            <w:pPr>
              <w:spacing w:after="0"/>
              <w:rPr>
                <w:sz w:val="12"/>
                <w:szCs w:val="12"/>
                <w:color w:val="auto"/>
              </w:rPr>
            </w:pPr>
          </w:p>
        </w:tc>
        <w:tc>
          <w:tcPr>
            <w:tcW w:w="960" w:type="dxa"/>
            <w:vAlign w:val="bottom"/>
            <w:tcBorders>
              <w:bottom w:val="single" w:sz="8" w:color="939598"/>
              <w:right w:val="single" w:sz="8" w:color="939598"/>
            </w:tcBorders>
          </w:tcPr>
          <w:p>
            <w:pPr>
              <w:spacing w:after="0"/>
              <w:rPr>
                <w:sz w:val="12"/>
                <w:szCs w:val="12"/>
                <w:color w:val="auto"/>
              </w:rPr>
            </w:pPr>
          </w:p>
        </w:tc>
        <w:tc>
          <w:tcPr>
            <w:tcW w:w="1300" w:type="dxa"/>
            <w:vAlign w:val="bottom"/>
            <w:tcBorders>
              <w:bottom w:val="single" w:sz="8" w:color="939598"/>
              <w:right w:val="single" w:sz="8" w:color="939598"/>
            </w:tcBorders>
          </w:tcPr>
          <w:p>
            <w:pPr>
              <w:spacing w:after="0"/>
              <w:rPr>
                <w:sz w:val="12"/>
                <w:szCs w:val="12"/>
                <w:color w:val="auto"/>
              </w:rPr>
            </w:pPr>
          </w:p>
        </w:tc>
        <w:tc>
          <w:tcPr>
            <w:tcW w:w="2180" w:type="dxa"/>
            <w:vAlign w:val="bottom"/>
            <w:tcBorders>
              <w:bottom w:val="single" w:sz="8" w:color="939598"/>
              <w:right w:val="single" w:sz="8" w:color="D7282F"/>
            </w:tcBorders>
          </w:tcPr>
          <w:p>
            <w:pPr>
              <w:spacing w:after="0"/>
              <w:rPr>
                <w:sz w:val="12"/>
                <w:szCs w:val="12"/>
                <w:color w:val="auto"/>
              </w:rPr>
            </w:pPr>
          </w:p>
        </w:tc>
        <w:tc>
          <w:tcPr>
            <w:tcW w:w="860" w:type="dxa"/>
            <w:vAlign w:val="bottom"/>
            <w:tcBorders>
              <w:bottom w:val="single" w:sz="8" w:color="939598"/>
              <w:right w:val="single" w:sz="8" w:color="939598"/>
            </w:tcBorders>
          </w:tcPr>
          <w:p>
            <w:pPr>
              <w:spacing w:after="0"/>
              <w:rPr>
                <w:sz w:val="12"/>
                <w:szCs w:val="12"/>
                <w:color w:val="auto"/>
              </w:rPr>
            </w:pPr>
          </w:p>
        </w:tc>
        <w:tc>
          <w:tcPr>
            <w:tcW w:w="860" w:type="dxa"/>
            <w:vAlign w:val="bottom"/>
            <w:tcBorders>
              <w:bottom w:val="single" w:sz="8" w:color="939598"/>
              <w:right w:val="single" w:sz="8" w:color="939598"/>
            </w:tcBorders>
          </w:tcPr>
          <w:p>
            <w:pPr>
              <w:spacing w:after="0"/>
              <w:rPr>
                <w:sz w:val="12"/>
                <w:szCs w:val="12"/>
                <w:color w:val="auto"/>
              </w:rPr>
            </w:pPr>
          </w:p>
        </w:tc>
        <w:tc>
          <w:tcPr>
            <w:tcW w:w="860" w:type="dxa"/>
            <w:vAlign w:val="bottom"/>
            <w:tcBorders>
              <w:bottom w:val="single" w:sz="8" w:color="939598"/>
              <w:right w:val="single" w:sz="8" w:color="D7282F"/>
            </w:tcBorders>
          </w:tcPr>
          <w:p>
            <w:pPr>
              <w:spacing w:after="0"/>
              <w:rPr>
                <w:sz w:val="12"/>
                <w:szCs w:val="12"/>
                <w:color w:val="auto"/>
              </w:rPr>
            </w:pPr>
          </w:p>
        </w:tc>
        <w:tc>
          <w:tcPr>
            <w:tcW w:w="0" w:type="dxa"/>
            <w:vAlign w:val="bottom"/>
          </w:tcPr>
          <w:p>
            <w:pPr>
              <w:spacing w:after="0"/>
              <w:rPr>
                <w:sz w:val="1"/>
                <w:szCs w:val="1"/>
                <w:color w:val="auto"/>
              </w:rPr>
            </w:pPr>
          </w:p>
        </w:tc>
      </w:tr>
      <w:tr>
        <w:trPr>
          <w:trHeight w:val="335"/>
        </w:trPr>
        <w:tc>
          <w:tcPr>
            <w:tcW w:w="900" w:type="dxa"/>
            <w:vAlign w:val="bottom"/>
            <w:tcBorders>
              <w:right w:val="single" w:sz="8" w:color="939598"/>
            </w:tcBorders>
          </w:tcPr>
          <w:p>
            <w:pPr>
              <w:spacing w:after="0"/>
              <w:rPr>
                <w:sz w:val="24"/>
                <w:szCs w:val="24"/>
                <w:color w:val="auto"/>
              </w:rPr>
            </w:pPr>
          </w:p>
        </w:tc>
        <w:tc>
          <w:tcPr>
            <w:tcW w:w="3320" w:type="dxa"/>
            <w:vAlign w:val="bottom"/>
            <w:tcBorders>
              <w:right w:val="single" w:sz="8" w:color="939598"/>
            </w:tcBorders>
          </w:tcPr>
          <w:p>
            <w:pPr>
              <w:ind w:left="60"/>
              <w:spacing w:after="0"/>
              <w:rPr>
                <w:sz w:val="20"/>
                <w:szCs w:val="20"/>
                <w:color w:val="auto"/>
              </w:rPr>
            </w:pPr>
            <w:r>
              <w:rPr>
                <w:rFonts w:ascii="Arial" w:cs="Arial" w:eastAsia="Arial" w:hAnsi="Arial"/>
                <w:sz w:val="14"/>
                <w:szCs w:val="14"/>
                <w:b w:val="1"/>
                <w:bCs w:val="1"/>
                <w:color w:val="auto"/>
              </w:rPr>
              <w:t>William S. Ayer</w:t>
            </w:r>
          </w:p>
        </w:tc>
        <w:tc>
          <w:tcPr>
            <w:tcW w:w="960" w:type="dxa"/>
            <w:vAlign w:val="bottom"/>
            <w:tcBorders>
              <w:right w:val="single" w:sz="8" w:color="939598"/>
            </w:tcBorders>
            <w:vMerge w:val="restart"/>
          </w:tcPr>
          <w:p>
            <w:pPr>
              <w:jc w:val="center"/>
              <w:spacing w:after="0"/>
              <w:rPr>
                <w:sz w:val="20"/>
                <w:szCs w:val="20"/>
                <w:color w:val="auto"/>
              </w:rPr>
            </w:pPr>
            <w:r>
              <w:rPr>
                <w:rFonts w:ascii="Arial" w:cs="Arial" w:eastAsia="Arial" w:hAnsi="Arial"/>
                <w:sz w:val="14"/>
                <w:szCs w:val="14"/>
                <w:color w:val="auto"/>
                <w:w w:val="89"/>
              </w:rPr>
              <w:t>11</w:t>
            </w:r>
          </w:p>
        </w:tc>
        <w:tc>
          <w:tcPr>
            <w:tcW w:w="1300" w:type="dxa"/>
            <w:vAlign w:val="bottom"/>
            <w:tcBorders>
              <w:right w:val="single" w:sz="8" w:color="939598"/>
            </w:tcBorders>
            <w:vMerge w:val="restart"/>
          </w:tcPr>
          <w:p>
            <w:pPr>
              <w:jc w:val="center"/>
              <w:spacing w:after="0"/>
              <w:rPr>
                <w:sz w:val="20"/>
                <w:szCs w:val="20"/>
                <w:color w:val="auto"/>
              </w:rPr>
            </w:pPr>
            <w:r>
              <w:rPr>
                <w:rFonts w:ascii="Arial" w:cs="Arial" w:eastAsia="Arial" w:hAnsi="Arial"/>
                <w:sz w:val="14"/>
                <w:szCs w:val="14"/>
                <w:color w:val="auto"/>
                <w:w w:val="99"/>
              </w:rPr>
              <w:t>Yes</w:t>
            </w:r>
          </w:p>
        </w:tc>
        <w:tc>
          <w:tcPr>
            <w:tcW w:w="2180" w:type="dxa"/>
            <w:vAlign w:val="bottom"/>
            <w:tcBorders>
              <w:right w:val="single" w:sz="8" w:color="D7282F"/>
            </w:tcBorders>
            <w:vMerge w:val="restart"/>
          </w:tcPr>
          <w:p>
            <w:pPr>
              <w:jc w:val="center"/>
              <w:spacing w:after="0"/>
              <w:rPr>
                <w:sz w:val="20"/>
                <w:szCs w:val="20"/>
                <w:color w:val="auto"/>
              </w:rPr>
            </w:pPr>
            <w:r>
              <w:rPr>
                <w:rFonts w:ascii="Arial" w:cs="Arial" w:eastAsia="Arial" w:hAnsi="Arial"/>
                <w:sz w:val="14"/>
                <w:szCs w:val="14"/>
                <w:color w:val="auto"/>
              </w:rPr>
              <w:t>1</w:t>
            </w:r>
          </w:p>
        </w:tc>
        <w:tc>
          <w:tcPr>
            <w:tcW w:w="860" w:type="dxa"/>
            <w:vAlign w:val="bottom"/>
            <w:tcBorders>
              <w:right w:val="single" w:sz="8" w:color="939598"/>
            </w:tcBorders>
          </w:tcPr>
          <w:p>
            <w:pPr>
              <w:spacing w:after="0"/>
              <w:rPr>
                <w:sz w:val="24"/>
                <w:szCs w:val="24"/>
                <w:color w:val="auto"/>
              </w:rPr>
            </w:pPr>
          </w:p>
        </w:tc>
        <w:tc>
          <w:tcPr>
            <w:tcW w:w="860" w:type="dxa"/>
            <w:vAlign w:val="bottom"/>
            <w:tcBorders>
              <w:right w:val="single" w:sz="8" w:color="939598"/>
            </w:tcBorders>
          </w:tcPr>
          <w:p>
            <w:pPr>
              <w:spacing w:after="0"/>
              <w:rPr>
                <w:sz w:val="24"/>
                <w:szCs w:val="24"/>
                <w:color w:val="auto"/>
              </w:rPr>
            </w:pPr>
          </w:p>
        </w:tc>
        <w:tc>
          <w:tcPr>
            <w:tcW w:w="860" w:type="dxa"/>
            <w:vAlign w:val="bottom"/>
            <w:tcBorders>
              <w:right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00" w:type="dxa"/>
            <w:vAlign w:val="bottom"/>
            <w:tcBorders>
              <w:right w:val="single" w:sz="8" w:color="939598"/>
            </w:tcBorders>
          </w:tcPr>
          <w:p>
            <w:pPr>
              <w:spacing w:after="0"/>
              <w:rPr>
                <w:sz w:val="14"/>
                <w:szCs w:val="14"/>
                <w:color w:val="auto"/>
              </w:rPr>
            </w:pPr>
          </w:p>
        </w:tc>
        <w:tc>
          <w:tcPr>
            <w:tcW w:w="3320" w:type="dxa"/>
            <w:vAlign w:val="bottom"/>
            <w:tcBorders>
              <w:right w:val="single" w:sz="8" w:color="939598"/>
            </w:tcBorders>
          </w:tcPr>
          <w:p>
            <w:pPr>
              <w:ind w:left="60"/>
              <w:spacing w:after="0"/>
              <w:rPr>
                <w:sz w:val="20"/>
                <w:szCs w:val="20"/>
                <w:color w:val="auto"/>
              </w:rPr>
            </w:pPr>
            <w:r>
              <w:rPr>
                <w:rFonts w:ascii="Arial" w:cs="Arial" w:eastAsia="Arial" w:hAnsi="Arial"/>
                <w:sz w:val="14"/>
                <w:szCs w:val="14"/>
                <w:color w:val="auto"/>
              </w:rPr>
              <w:t>Retired Chairman and CEO</w:t>
            </w:r>
          </w:p>
        </w:tc>
        <w:tc>
          <w:tcPr>
            <w:tcW w:w="960" w:type="dxa"/>
            <w:vAlign w:val="bottom"/>
            <w:tcBorders>
              <w:right w:val="single" w:sz="8" w:color="939598"/>
            </w:tcBorders>
            <w:vMerge w:val="continue"/>
          </w:tcPr>
          <w:p>
            <w:pPr>
              <w:spacing w:after="0"/>
              <w:rPr>
                <w:sz w:val="14"/>
                <w:szCs w:val="14"/>
                <w:color w:val="auto"/>
              </w:rPr>
            </w:pPr>
          </w:p>
        </w:tc>
        <w:tc>
          <w:tcPr>
            <w:tcW w:w="1300" w:type="dxa"/>
            <w:vAlign w:val="bottom"/>
            <w:tcBorders>
              <w:right w:val="single" w:sz="8" w:color="939598"/>
            </w:tcBorders>
            <w:vMerge w:val="continue"/>
          </w:tcPr>
          <w:p>
            <w:pPr>
              <w:spacing w:after="0"/>
              <w:rPr>
                <w:sz w:val="14"/>
                <w:szCs w:val="14"/>
                <w:color w:val="auto"/>
              </w:rPr>
            </w:pPr>
          </w:p>
        </w:tc>
        <w:tc>
          <w:tcPr>
            <w:tcW w:w="2180" w:type="dxa"/>
            <w:vAlign w:val="bottom"/>
            <w:tcBorders>
              <w:right w:val="single" w:sz="8" w:color="D7282F"/>
            </w:tcBorders>
            <w:vMerge w:val="continue"/>
          </w:tcPr>
          <w:p>
            <w:pPr>
              <w:spacing w:after="0"/>
              <w:rPr>
                <w:sz w:val="14"/>
                <w:szCs w:val="14"/>
                <w:color w:val="auto"/>
              </w:rPr>
            </w:pPr>
          </w:p>
        </w:tc>
        <w:tc>
          <w:tcPr>
            <w:tcW w:w="860" w:type="dxa"/>
            <w:vAlign w:val="bottom"/>
            <w:tcBorders>
              <w:right w:val="single" w:sz="8" w:color="939598"/>
            </w:tcBorders>
          </w:tcPr>
          <w:p>
            <w:pPr>
              <w:spacing w:after="0"/>
              <w:rPr>
                <w:sz w:val="14"/>
                <w:szCs w:val="14"/>
                <w:color w:val="auto"/>
              </w:rPr>
            </w:pPr>
          </w:p>
        </w:tc>
        <w:tc>
          <w:tcPr>
            <w:tcW w:w="860" w:type="dxa"/>
            <w:vAlign w:val="bottom"/>
            <w:tcBorders>
              <w:right w:val="single" w:sz="8" w:color="939598"/>
            </w:tcBorders>
          </w:tcPr>
          <w:p>
            <w:pPr>
              <w:spacing w:after="0"/>
              <w:rPr>
                <w:sz w:val="14"/>
                <w:szCs w:val="14"/>
                <w:color w:val="auto"/>
              </w:rPr>
            </w:pPr>
          </w:p>
        </w:tc>
        <w:tc>
          <w:tcPr>
            <w:tcW w:w="860" w:type="dxa"/>
            <w:vAlign w:val="bottom"/>
            <w:tcBorders>
              <w:right w:val="single" w:sz="8" w:color="D7282F"/>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900" w:type="dxa"/>
            <w:vAlign w:val="bottom"/>
            <w:tcBorders>
              <w:right w:val="single" w:sz="8" w:color="939598"/>
            </w:tcBorders>
          </w:tcPr>
          <w:p>
            <w:pPr>
              <w:spacing w:after="0"/>
              <w:rPr>
                <w:sz w:val="16"/>
                <w:szCs w:val="16"/>
                <w:color w:val="auto"/>
              </w:rPr>
            </w:pPr>
          </w:p>
        </w:tc>
        <w:tc>
          <w:tcPr>
            <w:tcW w:w="3320" w:type="dxa"/>
            <w:vAlign w:val="bottom"/>
            <w:tcBorders>
              <w:right w:val="single" w:sz="8" w:color="939598"/>
            </w:tcBorders>
          </w:tcPr>
          <w:p>
            <w:pPr>
              <w:ind w:left="60"/>
              <w:spacing w:after="0"/>
              <w:rPr>
                <w:sz w:val="20"/>
                <w:szCs w:val="20"/>
                <w:color w:val="auto"/>
              </w:rPr>
            </w:pPr>
            <w:r>
              <w:rPr>
                <w:rFonts w:ascii="Arial" w:cs="Arial" w:eastAsia="Arial" w:hAnsi="Arial"/>
                <w:sz w:val="14"/>
                <w:szCs w:val="14"/>
                <w:color w:val="auto"/>
              </w:rPr>
              <w:t>Alaska Air Group, Inc.</w:t>
            </w:r>
          </w:p>
        </w:tc>
        <w:tc>
          <w:tcPr>
            <w:tcW w:w="960" w:type="dxa"/>
            <w:vAlign w:val="bottom"/>
            <w:tcBorders>
              <w:right w:val="single" w:sz="8" w:color="939598"/>
            </w:tcBorders>
          </w:tcPr>
          <w:p>
            <w:pPr>
              <w:spacing w:after="0"/>
              <w:rPr>
                <w:sz w:val="16"/>
                <w:szCs w:val="16"/>
                <w:color w:val="auto"/>
              </w:rPr>
            </w:pPr>
          </w:p>
        </w:tc>
        <w:tc>
          <w:tcPr>
            <w:tcW w:w="1300" w:type="dxa"/>
            <w:vAlign w:val="bottom"/>
            <w:tcBorders>
              <w:right w:val="single" w:sz="8" w:color="939598"/>
            </w:tcBorders>
          </w:tcPr>
          <w:p>
            <w:pPr>
              <w:spacing w:after="0"/>
              <w:rPr>
                <w:sz w:val="16"/>
                <w:szCs w:val="16"/>
                <w:color w:val="auto"/>
              </w:rPr>
            </w:pPr>
          </w:p>
        </w:tc>
        <w:tc>
          <w:tcPr>
            <w:tcW w:w="2180" w:type="dxa"/>
            <w:vAlign w:val="bottom"/>
            <w:tcBorders>
              <w:right w:val="single" w:sz="8" w:color="D7282F"/>
            </w:tcBorders>
          </w:tcPr>
          <w:p>
            <w:pPr>
              <w:spacing w:after="0"/>
              <w:rPr>
                <w:sz w:val="16"/>
                <w:szCs w:val="16"/>
                <w:color w:val="auto"/>
              </w:rPr>
            </w:pPr>
          </w:p>
        </w:tc>
        <w:tc>
          <w:tcPr>
            <w:tcW w:w="860" w:type="dxa"/>
            <w:vAlign w:val="bottom"/>
            <w:tcBorders>
              <w:right w:val="single" w:sz="8" w:color="939598"/>
            </w:tcBorders>
          </w:tcPr>
          <w:p>
            <w:pPr>
              <w:spacing w:after="0"/>
              <w:rPr>
                <w:sz w:val="16"/>
                <w:szCs w:val="16"/>
                <w:color w:val="auto"/>
              </w:rPr>
            </w:pPr>
          </w:p>
        </w:tc>
        <w:tc>
          <w:tcPr>
            <w:tcW w:w="860" w:type="dxa"/>
            <w:vAlign w:val="bottom"/>
            <w:tcBorders>
              <w:right w:val="single" w:sz="8" w:color="939598"/>
            </w:tcBorders>
          </w:tcPr>
          <w:p>
            <w:pPr>
              <w:spacing w:after="0"/>
              <w:rPr>
                <w:sz w:val="16"/>
                <w:szCs w:val="16"/>
                <w:color w:val="auto"/>
              </w:rPr>
            </w:pPr>
          </w:p>
        </w:tc>
        <w:tc>
          <w:tcPr>
            <w:tcW w:w="860" w:type="dxa"/>
            <w:vAlign w:val="bottom"/>
            <w:tcBorders>
              <w:right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900" w:type="dxa"/>
            <w:vAlign w:val="bottom"/>
            <w:tcBorders>
              <w:bottom w:val="single" w:sz="8" w:color="939598"/>
              <w:right w:val="single" w:sz="8" w:color="939598"/>
            </w:tcBorders>
          </w:tcPr>
          <w:p>
            <w:pPr>
              <w:spacing w:after="0"/>
              <w:rPr>
                <w:sz w:val="12"/>
                <w:szCs w:val="12"/>
                <w:color w:val="auto"/>
              </w:rPr>
            </w:pPr>
          </w:p>
        </w:tc>
        <w:tc>
          <w:tcPr>
            <w:tcW w:w="3320" w:type="dxa"/>
            <w:vAlign w:val="bottom"/>
            <w:tcBorders>
              <w:bottom w:val="single" w:sz="8" w:color="939598"/>
              <w:right w:val="single" w:sz="8" w:color="939598"/>
            </w:tcBorders>
          </w:tcPr>
          <w:p>
            <w:pPr>
              <w:spacing w:after="0"/>
              <w:rPr>
                <w:sz w:val="12"/>
                <w:szCs w:val="12"/>
                <w:color w:val="auto"/>
              </w:rPr>
            </w:pPr>
          </w:p>
        </w:tc>
        <w:tc>
          <w:tcPr>
            <w:tcW w:w="960" w:type="dxa"/>
            <w:vAlign w:val="bottom"/>
            <w:tcBorders>
              <w:bottom w:val="single" w:sz="8" w:color="939598"/>
              <w:right w:val="single" w:sz="8" w:color="939598"/>
            </w:tcBorders>
          </w:tcPr>
          <w:p>
            <w:pPr>
              <w:spacing w:after="0"/>
              <w:rPr>
                <w:sz w:val="12"/>
                <w:szCs w:val="12"/>
                <w:color w:val="auto"/>
              </w:rPr>
            </w:pPr>
          </w:p>
        </w:tc>
        <w:tc>
          <w:tcPr>
            <w:tcW w:w="1300" w:type="dxa"/>
            <w:vAlign w:val="bottom"/>
            <w:tcBorders>
              <w:bottom w:val="single" w:sz="8" w:color="939598"/>
              <w:right w:val="single" w:sz="8" w:color="939598"/>
            </w:tcBorders>
          </w:tcPr>
          <w:p>
            <w:pPr>
              <w:spacing w:after="0"/>
              <w:rPr>
                <w:sz w:val="12"/>
                <w:szCs w:val="12"/>
                <w:color w:val="auto"/>
              </w:rPr>
            </w:pPr>
          </w:p>
        </w:tc>
        <w:tc>
          <w:tcPr>
            <w:tcW w:w="2180" w:type="dxa"/>
            <w:vAlign w:val="bottom"/>
            <w:tcBorders>
              <w:bottom w:val="single" w:sz="8" w:color="939598"/>
              <w:right w:val="single" w:sz="8" w:color="D7282F"/>
            </w:tcBorders>
          </w:tcPr>
          <w:p>
            <w:pPr>
              <w:spacing w:after="0"/>
              <w:rPr>
                <w:sz w:val="12"/>
                <w:szCs w:val="12"/>
                <w:color w:val="auto"/>
              </w:rPr>
            </w:pPr>
          </w:p>
        </w:tc>
        <w:tc>
          <w:tcPr>
            <w:tcW w:w="860" w:type="dxa"/>
            <w:vAlign w:val="bottom"/>
            <w:tcBorders>
              <w:bottom w:val="single" w:sz="8" w:color="939598"/>
              <w:right w:val="single" w:sz="8" w:color="939598"/>
            </w:tcBorders>
          </w:tcPr>
          <w:p>
            <w:pPr>
              <w:spacing w:after="0"/>
              <w:rPr>
                <w:sz w:val="12"/>
                <w:szCs w:val="12"/>
                <w:color w:val="auto"/>
              </w:rPr>
            </w:pPr>
          </w:p>
        </w:tc>
        <w:tc>
          <w:tcPr>
            <w:tcW w:w="860" w:type="dxa"/>
            <w:vAlign w:val="bottom"/>
            <w:tcBorders>
              <w:bottom w:val="single" w:sz="8" w:color="939598"/>
              <w:right w:val="single" w:sz="8" w:color="939598"/>
            </w:tcBorders>
          </w:tcPr>
          <w:p>
            <w:pPr>
              <w:spacing w:after="0"/>
              <w:rPr>
                <w:sz w:val="12"/>
                <w:szCs w:val="12"/>
                <w:color w:val="auto"/>
              </w:rPr>
            </w:pPr>
          </w:p>
        </w:tc>
        <w:tc>
          <w:tcPr>
            <w:tcW w:w="860" w:type="dxa"/>
            <w:vAlign w:val="bottom"/>
            <w:tcBorders>
              <w:bottom w:val="single" w:sz="8" w:color="939598"/>
              <w:right w:val="single" w:sz="8" w:color="D7282F"/>
            </w:tcBorders>
          </w:tcPr>
          <w:p>
            <w:pPr>
              <w:spacing w:after="0"/>
              <w:rPr>
                <w:sz w:val="12"/>
                <w:szCs w:val="12"/>
                <w:color w:val="auto"/>
              </w:rPr>
            </w:pPr>
          </w:p>
        </w:tc>
        <w:tc>
          <w:tcPr>
            <w:tcW w:w="0" w:type="dxa"/>
            <w:vAlign w:val="bottom"/>
          </w:tcPr>
          <w:p>
            <w:pPr>
              <w:spacing w:after="0"/>
              <w:rPr>
                <w:sz w:val="1"/>
                <w:szCs w:val="1"/>
                <w:color w:val="auto"/>
              </w:rPr>
            </w:pPr>
          </w:p>
        </w:tc>
      </w:tr>
      <w:tr>
        <w:trPr>
          <w:trHeight w:val="335"/>
        </w:trPr>
        <w:tc>
          <w:tcPr>
            <w:tcW w:w="900" w:type="dxa"/>
            <w:vAlign w:val="bottom"/>
            <w:tcBorders>
              <w:right w:val="single" w:sz="8" w:color="939598"/>
            </w:tcBorders>
          </w:tcPr>
          <w:p>
            <w:pPr>
              <w:spacing w:after="0"/>
              <w:rPr>
                <w:sz w:val="24"/>
                <w:szCs w:val="24"/>
                <w:color w:val="auto"/>
              </w:rPr>
            </w:pPr>
          </w:p>
        </w:tc>
        <w:tc>
          <w:tcPr>
            <w:tcW w:w="3320" w:type="dxa"/>
            <w:vAlign w:val="bottom"/>
            <w:tcBorders>
              <w:right w:val="single" w:sz="8" w:color="939598"/>
            </w:tcBorders>
          </w:tcPr>
          <w:p>
            <w:pPr>
              <w:ind w:left="60"/>
              <w:spacing w:after="0"/>
              <w:rPr>
                <w:sz w:val="20"/>
                <w:szCs w:val="20"/>
                <w:color w:val="auto"/>
              </w:rPr>
            </w:pPr>
            <w:r>
              <w:rPr>
                <w:rFonts w:ascii="Arial" w:cs="Arial" w:eastAsia="Arial" w:hAnsi="Arial"/>
                <w:sz w:val="14"/>
                <w:szCs w:val="14"/>
                <w:b w:val="1"/>
                <w:bCs w:val="1"/>
                <w:color w:val="auto"/>
              </w:rPr>
              <w:t>D. Scott Davis</w:t>
            </w:r>
          </w:p>
        </w:tc>
        <w:tc>
          <w:tcPr>
            <w:tcW w:w="960" w:type="dxa"/>
            <w:vAlign w:val="bottom"/>
            <w:tcBorders>
              <w:right w:val="single" w:sz="8" w:color="939598"/>
            </w:tcBorders>
            <w:vMerge w:val="restart"/>
          </w:tcPr>
          <w:p>
            <w:pPr>
              <w:jc w:val="center"/>
              <w:spacing w:after="0"/>
              <w:rPr>
                <w:sz w:val="20"/>
                <w:szCs w:val="20"/>
                <w:color w:val="auto"/>
              </w:rPr>
            </w:pPr>
            <w:r>
              <w:rPr>
                <w:rFonts w:ascii="Arial" w:cs="Arial" w:eastAsia="Arial" w:hAnsi="Arial"/>
                <w:sz w:val="14"/>
                <w:szCs w:val="14"/>
                <w:color w:val="auto"/>
              </w:rPr>
              <w:t>20</w:t>
            </w:r>
          </w:p>
        </w:tc>
        <w:tc>
          <w:tcPr>
            <w:tcW w:w="1300" w:type="dxa"/>
            <w:vAlign w:val="bottom"/>
            <w:tcBorders>
              <w:right w:val="single" w:sz="8" w:color="939598"/>
            </w:tcBorders>
            <w:vMerge w:val="restart"/>
          </w:tcPr>
          <w:p>
            <w:pPr>
              <w:jc w:val="center"/>
              <w:spacing w:after="0"/>
              <w:rPr>
                <w:sz w:val="20"/>
                <w:szCs w:val="20"/>
                <w:color w:val="auto"/>
              </w:rPr>
            </w:pPr>
            <w:r>
              <w:rPr>
                <w:rFonts w:ascii="Arial" w:cs="Arial" w:eastAsia="Arial" w:hAnsi="Arial"/>
                <w:sz w:val="14"/>
                <w:szCs w:val="14"/>
                <w:color w:val="auto"/>
                <w:w w:val="99"/>
              </w:rPr>
              <w:t>Yes</w:t>
            </w:r>
          </w:p>
        </w:tc>
        <w:tc>
          <w:tcPr>
            <w:tcW w:w="2180" w:type="dxa"/>
            <w:vAlign w:val="bottom"/>
            <w:tcBorders>
              <w:right w:val="single" w:sz="8" w:color="D7282F"/>
            </w:tcBorders>
            <w:vMerge w:val="restart"/>
          </w:tcPr>
          <w:p>
            <w:pPr>
              <w:jc w:val="center"/>
              <w:spacing w:after="0"/>
              <w:rPr>
                <w:sz w:val="20"/>
                <w:szCs w:val="20"/>
                <w:color w:val="auto"/>
              </w:rPr>
            </w:pPr>
            <w:r>
              <w:rPr>
                <w:rFonts w:ascii="Arial" w:cs="Arial" w:eastAsia="Arial" w:hAnsi="Arial"/>
                <w:sz w:val="14"/>
                <w:szCs w:val="14"/>
                <w:color w:val="auto"/>
              </w:rPr>
              <w:t>1</w:t>
            </w:r>
          </w:p>
        </w:tc>
        <w:tc>
          <w:tcPr>
            <w:tcW w:w="860" w:type="dxa"/>
            <w:vAlign w:val="bottom"/>
            <w:tcBorders>
              <w:right w:val="single" w:sz="8" w:color="939598"/>
            </w:tcBorders>
            <w:vMerge w:val="restart"/>
          </w:tcPr>
          <w:p>
            <w:pPr>
              <w:jc w:val="center"/>
              <w:spacing w:after="0"/>
              <w:rPr>
                <w:sz w:val="20"/>
                <w:szCs w:val="20"/>
                <w:color w:val="auto"/>
              </w:rPr>
            </w:pPr>
            <w:r>
              <w:rPr>
                <w:rFonts w:ascii="Wingdings" w:cs="Wingdings" w:eastAsia="Wingdings" w:hAnsi="Wingdings"/>
                <w:sz w:val="25"/>
                <w:szCs w:val="25"/>
                <w:b w:val="1"/>
                <w:bCs w:val="1"/>
                <w:color w:val="939598"/>
                <w:w w:val="96"/>
              </w:rPr>
              <w:t>n</w:t>
            </w:r>
          </w:p>
        </w:tc>
        <w:tc>
          <w:tcPr>
            <w:tcW w:w="860" w:type="dxa"/>
            <w:vAlign w:val="bottom"/>
            <w:tcBorders>
              <w:right w:val="single" w:sz="8" w:color="939598"/>
            </w:tcBorders>
            <w:vMerge w:val="restart"/>
          </w:tcPr>
          <w:p>
            <w:pPr>
              <w:jc w:val="center"/>
              <w:spacing w:after="0"/>
              <w:rPr>
                <w:sz w:val="20"/>
                <w:szCs w:val="20"/>
                <w:color w:val="auto"/>
              </w:rPr>
            </w:pPr>
            <w:r>
              <w:rPr>
                <w:rFonts w:ascii="Wingdings" w:cs="Wingdings" w:eastAsia="Wingdings" w:hAnsi="Wingdings"/>
                <w:sz w:val="25"/>
                <w:szCs w:val="25"/>
                <w:b w:val="1"/>
                <w:bCs w:val="1"/>
                <w:color w:val="D7282F"/>
              </w:rPr>
              <w:t>n</w:t>
            </w:r>
          </w:p>
        </w:tc>
        <w:tc>
          <w:tcPr>
            <w:tcW w:w="860" w:type="dxa"/>
            <w:vAlign w:val="bottom"/>
            <w:tcBorders>
              <w:right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00" w:type="dxa"/>
            <w:vAlign w:val="bottom"/>
            <w:tcBorders>
              <w:right w:val="single" w:sz="8" w:color="939598"/>
            </w:tcBorders>
          </w:tcPr>
          <w:p>
            <w:pPr>
              <w:spacing w:after="0"/>
              <w:rPr>
                <w:sz w:val="14"/>
                <w:szCs w:val="14"/>
                <w:color w:val="auto"/>
              </w:rPr>
            </w:pPr>
          </w:p>
        </w:tc>
        <w:tc>
          <w:tcPr>
            <w:tcW w:w="3320" w:type="dxa"/>
            <w:vAlign w:val="bottom"/>
            <w:tcBorders>
              <w:right w:val="single" w:sz="8" w:color="939598"/>
            </w:tcBorders>
          </w:tcPr>
          <w:p>
            <w:pPr>
              <w:ind w:left="60"/>
              <w:spacing w:after="0"/>
              <w:rPr>
                <w:sz w:val="20"/>
                <w:szCs w:val="20"/>
                <w:color w:val="auto"/>
              </w:rPr>
            </w:pPr>
            <w:r>
              <w:rPr>
                <w:rFonts w:ascii="Arial" w:cs="Arial" w:eastAsia="Arial" w:hAnsi="Arial"/>
                <w:sz w:val="14"/>
                <w:szCs w:val="14"/>
                <w:color w:val="auto"/>
              </w:rPr>
              <w:t>Retired Chairman and CEO</w:t>
            </w:r>
          </w:p>
        </w:tc>
        <w:tc>
          <w:tcPr>
            <w:tcW w:w="960" w:type="dxa"/>
            <w:vAlign w:val="bottom"/>
            <w:tcBorders>
              <w:right w:val="single" w:sz="8" w:color="939598"/>
            </w:tcBorders>
            <w:vMerge w:val="continue"/>
          </w:tcPr>
          <w:p>
            <w:pPr>
              <w:spacing w:after="0"/>
              <w:rPr>
                <w:sz w:val="14"/>
                <w:szCs w:val="14"/>
                <w:color w:val="auto"/>
              </w:rPr>
            </w:pPr>
          </w:p>
        </w:tc>
        <w:tc>
          <w:tcPr>
            <w:tcW w:w="1300" w:type="dxa"/>
            <w:vAlign w:val="bottom"/>
            <w:tcBorders>
              <w:right w:val="single" w:sz="8" w:color="939598"/>
            </w:tcBorders>
            <w:vMerge w:val="continue"/>
          </w:tcPr>
          <w:p>
            <w:pPr>
              <w:spacing w:after="0"/>
              <w:rPr>
                <w:sz w:val="14"/>
                <w:szCs w:val="14"/>
                <w:color w:val="auto"/>
              </w:rPr>
            </w:pPr>
          </w:p>
        </w:tc>
        <w:tc>
          <w:tcPr>
            <w:tcW w:w="2180" w:type="dxa"/>
            <w:vAlign w:val="bottom"/>
            <w:tcBorders>
              <w:right w:val="single" w:sz="8" w:color="D7282F"/>
            </w:tcBorders>
            <w:vMerge w:val="continue"/>
          </w:tcPr>
          <w:p>
            <w:pPr>
              <w:spacing w:after="0"/>
              <w:rPr>
                <w:sz w:val="14"/>
                <w:szCs w:val="14"/>
                <w:color w:val="auto"/>
              </w:rPr>
            </w:pPr>
          </w:p>
        </w:tc>
        <w:tc>
          <w:tcPr>
            <w:tcW w:w="860" w:type="dxa"/>
            <w:vAlign w:val="bottom"/>
            <w:tcBorders>
              <w:right w:val="single" w:sz="8" w:color="939598"/>
            </w:tcBorders>
            <w:vMerge w:val="continue"/>
          </w:tcPr>
          <w:p>
            <w:pPr>
              <w:spacing w:after="0"/>
              <w:rPr>
                <w:sz w:val="14"/>
                <w:szCs w:val="14"/>
                <w:color w:val="auto"/>
              </w:rPr>
            </w:pPr>
          </w:p>
        </w:tc>
        <w:tc>
          <w:tcPr>
            <w:tcW w:w="860" w:type="dxa"/>
            <w:vAlign w:val="bottom"/>
            <w:tcBorders>
              <w:right w:val="single" w:sz="8" w:color="939598"/>
            </w:tcBorders>
            <w:vMerge w:val="continue"/>
          </w:tcPr>
          <w:p>
            <w:pPr>
              <w:spacing w:after="0"/>
              <w:rPr>
                <w:sz w:val="14"/>
                <w:szCs w:val="14"/>
                <w:color w:val="auto"/>
              </w:rPr>
            </w:pPr>
          </w:p>
        </w:tc>
        <w:tc>
          <w:tcPr>
            <w:tcW w:w="860" w:type="dxa"/>
            <w:vAlign w:val="bottom"/>
            <w:tcBorders>
              <w:right w:val="single" w:sz="8" w:color="D7282F"/>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900" w:type="dxa"/>
            <w:vAlign w:val="bottom"/>
            <w:tcBorders>
              <w:right w:val="single" w:sz="8" w:color="939598"/>
            </w:tcBorders>
          </w:tcPr>
          <w:p>
            <w:pPr>
              <w:spacing w:after="0"/>
              <w:rPr>
                <w:sz w:val="16"/>
                <w:szCs w:val="16"/>
                <w:color w:val="auto"/>
              </w:rPr>
            </w:pPr>
          </w:p>
        </w:tc>
        <w:tc>
          <w:tcPr>
            <w:tcW w:w="3320" w:type="dxa"/>
            <w:vAlign w:val="bottom"/>
            <w:tcBorders>
              <w:right w:val="single" w:sz="8" w:color="939598"/>
            </w:tcBorders>
          </w:tcPr>
          <w:p>
            <w:pPr>
              <w:ind w:left="60"/>
              <w:spacing w:after="0"/>
              <w:rPr>
                <w:sz w:val="20"/>
                <w:szCs w:val="20"/>
                <w:color w:val="auto"/>
              </w:rPr>
            </w:pPr>
            <w:r>
              <w:rPr>
                <w:rFonts w:ascii="Arial" w:cs="Arial" w:eastAsia="Arial" w:hAnsi="Arial"/>
                <w:sz w:val="14"/>
                <w:szCs w:val="14"/>
                <w:color w:val="auto"/>
              </w:rPr>
              <w:t>United Parcel Service, Inc.</w:t>
            </w:r>
          </w:p>
        </w:tc>
        <w:tc>
          <w:tcPr>
            <w:tcW w:w="960" w:type="dxa"/>
            <w:vAlign w:val="bottom"/>
            <w:tcBorders>
              <w:right w:val="single" w:sz="8" w:color="939598"/>
            </w:tcBorders>
          </w:tcPr>
          <w:p>
            <w:pPr>
              <w:spacing w:after="0"/>
              <w:rPr>
                <w:sz w:val="16"/>
                <w:szCs w:val="16"/>
                <w:color w:val="auto"/>
              </w:rPr>
            </w:pPr>
          </w:p>
        </w:tc>
        <w:tc>
          <w:tcPr>
            <w:tcW w:w="1300" w:type="dxa"/>
            <w:vAlign w:val="bottom"/>
            <w:tcBorders>
              <w:right w:val="single" w:sz="8" w:color="939598"/>
            </w:tcBorders>
          </w:tcPr>
          <w:p>
            <w:pPr>
              <w:spacing w:after="0"/>
              <w:rPr>
                <w:sz w:val="16"/>
                <w:szCs w:val="16"/>
                <w:color w:val="auto"/>
              </w:rPr>
            </w:pPr>
          </w:p>
        </w:tc>
        <w:tc>
          <w:tcPr>
            <w:tcW w:w="2180" w:type="dxa"/>
            <w:vAlign w:val="bottom"/>
            <w:tcBorders>
              <w:right w:val="single" w:sz="8" w:color="D7282F"/>
            </w:tcBorders>
          </w:tcPr>
          <w:p>
            <w:pPr>
              <w:spacing w:after="0"/>
              <w:rPr>
                <w:sz w:val="16"/>
                <w:szCs w:val="16"/>
                <w:color w:val="auto"/>
              </w:rPr>
            </w:pPr>
          </w:p>
        </w:tc>
        <w:tc>
          <w:tcPr>
            <w:tcW w:w="860" w:type="dxa"/>
            <w:vAlign w:val="bottom"/>
            <w:tcBorders>
              <w:right w:val="single" w:sz="8" w:color="939598"/>
            </w:tcBorders>
          </w:tcPr>
          <w:p>
            <w:pPr>
              <w:spacing w:after="0"/>
              <w:rPr>
                <w:sz w:val="16"/>
                <w:szCs w:val="16"/>
                <w:color w:val="auto"/>
              </w:rPr>
            </w:pPr>
          </w:p>
        </w:tc>
        <w:tc>
          <w:tcPr>
            <w:tcW w:w="860" w:type="dxa"/>
            <w:vAlign w:val="bottom"/>
            <w:tcBorders>
              <w:right w:val="single" w:sz="8" w:color="939598"/>
            </w:tcBorders>
          </w:tcPr>
          <w:p>
            <w:pPr>
              <w:spacing w:after="0"/>
              <w:rPr>
                <w:sz w:val="16"/>
                <w:szCs w:val="16"/>
                <w:color w:val="auto"/>
              </w:rPr>
            </w:pPr>
          </w:p>
        </w:tc>
        <w:tc>
          <w:tcPr>
            <w:tcW w:w="860" w:type="dxa"/>
            <w:vAlign w:val="bottom"/>
            <w:tcBorders>
              <w:right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900" w:type="dxa"/>
            <w:vAlign w:val="bottom"/>
            <w:tcBorders>
              <w:bottom w:val="single" w:sz="8" w:color="939598"/>
              <w:right w:val="single" w:sz="8" w:color="939598"/>
            </w:tcBorders>
          </w:tcPr>
          <w:p>
            <w:pPr>
              <w:spacing w:after="0"/>
              <w:rPr>
                <w:sz w:val="12"/>
                <w:szCs w:val="12"/>
                <w:color w:val="auto"/>
              </w:rPr>
            </w:pPr>
          </w:p>
        </w:tc>
        <w:tc>
          <w:tcPr>
            <w:tcW w:w="3320" w:type="dxa"/>
            <w:vAlign w:val="bottom"/>
            <w:tcBorders>
              <w:bottom w:val="single" w:sz="8" w:color="939598"/>
              <w:right w:val="single" w:sz="8" w:color="939598"/>
            </w:tcBorders>
          </w:tcPr>
          <w:p>
            <w:pPr>
              <w:spacing w:after="0"/>
              <w:rPr>
                <w:sz w:val="12"/>
                <w:szCs w:val="12"/>
                <w:color w:val="auto"/>
              </w:rPr>
            </w:pPr>
          </w:p>
        </w:tc>
        <w:tc>
          <w:tcPr>
            <w:tcW w:w="960" w:type="dxa"/>
            <w:vAlign w:val="bottom"/>
            <w:tcBorders>
              <w:bottom w:val="single" w:sz="8" w:color="939598"/>
              <w:right w:val="single" w:sz="8" w:color="939598"/>
            </w:tcBorders>
          </w:tcPr>
          <w:p>
            <w:pPr>
              <w:spacing w:after="0"/>
              <w:rPr>
                <w:sz w:val="12"/>
                <w:szCs w:val="12"/>
                <w:color w:val="auto"/>
              </w:rPr>
            </w:pPr>
          </w:p>
        </w:tc>
        <w:tc>
          <w:tcPr>
            <w:tcW w:w="1300" w:type="dxa"/>
            <w:vAlign w:val="bottom"/>
            <w:tcBorders>
              <w:bottom w:val="single" w:sz="8" w:color="939598"/>
              <w:right w:val="single" w:sz="8" w:color="939598"/>
            </w:tcBorders>
          </w:tcPr>
          <w:p>
            <w:pPr>
              <w:spacing w:after="0"/>
              <w:rPr>
                <w:sz w:val="12"/>
                <w:szCs w:val="12"/>
                <w:color w:val="auto"/>
              </w:rPr>
            </w:pPr>
          </w:p>
        </w:tc>
        <w:tc>
          <w:tcPr>
            <w:tcW w:w="2180" w:type="dxa"/>
            <w:vAlign w:val="bottom"/>
            <w:tcBorders>
              <w:bottom w:val="single" w:sz="8" w:color="939598"/>
              <w:right w:val="single" w:sz="8" w:color="D7282F"/>
            </w:tcBorders>
          </w:tcPr>
          <w:p>
            <w:pPr>
              <w:spacing w:after="0"/>
              <w:rPr>
                <w:sz w:val="12"/>
                <w:szCs w:val="12"/>
                <w:color w:val="auto"/>
              </w:rPr>
            </w:pPr>
          </w:p>
        </w:tc>
        <w:tc>
          <w:tcPr>
            <w:tcW w:w="860" w:type="dxa"/>
            <w:vAlign w:val="bottom"/>
            <w:tcBorders>
              <w:bottom w:val="single" w:sz="8" w:color="939598"/>
              <w:right w:val="single" w:sz="8" w:color="939598"/>
            </w:tcBorders>
          </w:tcPr>
          <w:p>
            <w:pPr>
              <w:spacing w:after="0"/>
              <w:rPr>
                <w:sz w:val="12"/>
                <w:szCs w:val="12"/>
                <w:color w:val="auto"/>
              </w:rPr>
            </w:pPr>
          </w:p>
        </w:tc>
        <w:tc>
          <w:tcPr>
            <w:tcW w:w="860" w:type="dxa"/>
            <w:vAlign w:val="bottom"/>
            <w:tcBorders>
              <w:bottom w:val="single" w:sz="8" w:color="939598"/>
              <w:right w:val="single" w:sz="8" w:color="939598"/>
            </w:tcBorders>
          </w:tcPr>
          <w:p>
            <w:pPr>
              <w:spacing w:after="0"/>
              <w:rPr>
                <w:sz w:val="12"/>
                <w:szCs w:val="12"/>
                <w:color w:val="auto"/>
              </w:rPr>
            </w:pPr>
          </w:p>
        </w:tc>
        <w:tc>
          <w:tcPr>
            <w:tcW w:w="860" w:type="dxa"/>
            <w:vAlign w:val="bottom"/>
            <w:tcBorders>
              <w:bottom w:val="single" w:sz="8" w:color="939598"/>
              <w:right w:val="single" w:sz="8" w:color="D7282F"/>
            </w:tcBorders>
          </w:tcPr>
          <w:p>
            <w:pPr>
              <w:spacing w:after="0"/>
              <w:rPr>
                <w:sz w:val="12"/>
                <w:szCs w:val="12"/>
                <w:color w:val="auto"/>
              </w:rPr>
            </w:pPr>
          </w:p>
        </w:tc>
        <w:tc>
          <w:tcPr>
            <w:tcW w:w="0" w:type="dxa"/>
            <w:vAlign w:val="bottom"/>
          </w:tcPr>
          <w:p>
            <w:pPr>
              <w:spacing w:after="0"/>
              <w:rPr>
                <w:sz w:val="1"/>
                <w:szCs w:val="1"/>
                <w:color w:val="auto"/>
              </w:rPr>
            </w:pPr>
          </w:p>
        </w:tc>
      </w:tr>
      <w:tr>
        <w:trPr>
          <w:trHeight w:val="335"/>
        </w:trPr>
        <w:tc>
          <w:tcPr>
            <w:tcW w:w="900" w:type="dxa"/>
            <w:vAlign w:val="bottom"/>
            <w:tcBorders>
              <w:right w:val="single" w:sz="8" w:color="939598"/>
            </w:tcBorders>
          </w:tcPr>
          <w:p>
            <w:pPr>
              <w:spacing w:after="0"/>
              <w:rPr>
                <w:sz w:val="24"/>
                <w:szCs w:val="24"/>
                <w:color w:val="auto"/>
              </w:rPr>
            </w:pPr>
          </w:p>
        </w:tc>
        <w:tc>
          <w:tcPr>
            <w:tcW w:w="3320" w:type="dxa"/>
            <w:vAlign w:val="bottom"/>
            <w:tcBorders>
              <w:right w:val="single" w:sz="8" w:color="939598"/>
            </w:tcBorders>
          </w:tcPr>
          <w:p>
            <w:pPr>
              <w:ind w:left="60"/>
              <w:spacing w:after="0"/>
              <w:rPr>
                <w:sz w:val="20"/>
                <w:szCs w:val="20"/>
                <w:color w:val="auto"/>
              </w:rPr>
            </w:pPr>
            <w:r>
              <w:rPr>
                <w:rFonts w:ascii="Arial" w:cs="Arial" w:eastAsia="Arial" w:hAnsi="Arial"/>
                <w:sz w:val="14"/>
                <w:szCs w:val="14"/>
                <w:b w:val="1"/>
                <w:bCs w:val="1"/>
                <w:color w:val="auto"/>
              </w:rPr>
              <w:t>Deborah Flint</w:t>
            </w:r>
          </w:p>
        </w:tc>
        <w:tc>
          <w:tcPr>
            <w:tcW w:w="960" w:type="dxa"/>
            <w:vAlign w:val="bottom"/>
            <w:tcBorders>
              <w:right w:val="single" w:sz="8" w:color="939598"/>
            </w:tcBorders>
            <w:vMerge w:val="restart"/>
          </w:tcPr>
          <w:p>
            <w:pPr>
              <w:jc w:val="center"/>
              <w:spacing w:after="0"/>
              <w:rPr>
                <w:sz w:val="20"/>
                <w:szCs w:val="20"/>
                <w:color w:val="auto"/>
              </w:rPr>
            </w:pPr>
            <w:r>
              <w:rPr>
                <w:rFonts w:ascii="Arial" w:cs="Arial" w:eastAsia="Arial" w:hAnsi="Arial"/>
                <w:sz w:val="14"/>
                <w:szCs w:val="14"/>
                <w:color w:val="auto"/>
              </w:rPr>
              <w:t>6</w:t>
            </w:r>
          </w:p>
        </w:tc>
        <w:tc>
          <w:tcPr>
            <w:tcW w:w="1300" w:type="dxa"/>
            <w:vAlign w:val="bottom"/>
            <w:tcBorders>
              <w:right w:val="single" w:sz="8" w:color="939598"/>
            </w:tcBorders>
            <w:vMerge w:val="restart"/>
          </w:tcPr>
          <w:p>
            <w:pPr>
              <w:jc w:val="center"/>
              <w:spacing w:after="0"/>
              <w:rPr>
                <w:sz w:val="20"/>
                <w:szCs w:val="20"/>
                <w:color w:val="auto"/>
              </w:rPr>
            </w:pPr>
            <w:r>
              <w:rPr>
                <w:rFonts w:ascii="Arial" w:cs="Arial" w:eastAsia="Arial" w:hAnsi="Arial"/>
                <w:sz w:val="14"/>
                <w:szCs w:val="14"/>
                <w:color w:val="auto"/>
                <w:w w:val="99"/>
              </w:rPr>
              <w:t>Yes</w:t>
            </w:r>
          </w:p>
        </w:tc>
        <w:tc>
          <w:tcPr>
            <w:tcW w:w="2180" w:type="dxa"/>
            <w:vAlign w:val="bottom"/>
            <w:tcBorders>
              <w:right w:val="single" w:sz="8" w:color="D7282F"/>
            </w:tcBorders>
            <w:vMerge w:val="restart"/>
          </w:tcPr>
          <w:p>
            <w:pPr>
              <w:jc w:val="center"/>
              <w:spacing w:after="0"/>
              <w:rPr>
                <w:sz w:val="20"/>
                <w:szCs w:val="20"/>
                <w:color w:val="auto"/>
              </w:rPr>
            </w:pPr>
            <w:r>
              <w:rPr>
                <w:rFonts w:ascii="Arial" w:cs="Arial" w:eastAsia="Arial" w:hAnsi="Arial"/>
                <w:sz w:val="14"/>
                <w:szCs w:val="14"/>
                <w:color w:val="auto"/>
              </w:rPr>
              <w:t>1</w:t>
            </w:r>
          </w:p>
        </w:tc>
        <w:tc>
          <w:tcPr>
            <w:tcW w:w="860" w:type="dxa"/>
            <w:vAlign w:val="bottom"/>
            <w:tcBorders>
              <w:right w:val="single" w:sz="8" w:color="939598"/>
            </w:tcBorders>
          </w:tcPr>
          <w:p>
            <w:pPr>
              <w:spacing w:after="0"/>
              <w:rPr>
                <w:sz w:val="24"/>
                <w:szCs w:val="24"/>
                <w:color w:val="auto"/>
              </w:rPr>
            </w:pPr>
          </w:p>
        </w:tc>
        <w:tc>
          <w:tcPr>
            <w:tcW w:w="860" w:type="dxa"/>
            <w:vAlign w:val="bottom"/>
            <w:tcBorders>
              <w:right w:val="single" w:sz="8" w:color="939598"/>
            </w:tcBorders>
            <w:vMerge w:val="restart"/>
          </w:tcPr>
          <w:p>
            <w:pPr>
              <w:jc w:val="center"/>
              <w:spacing w:after="0"/>
              <w:rPr>
                <w:sz w:val="20"/>
                <w:szCs w:val="20"/>
                <w:color w:val="auto"/>
              </w:rPr>
            </w:pPr>
            <w:r>
              <w:rPr>
                <w:rFonts w:ascii="Wingdings" w:cs="Wingdings" w:eastAsia="Wingdings" w:hAnsi="Wingdings"/>
                <w:sz w:val="25"/>
                <w:szCs w:val="25"/>
                <w:b w:val="1"/>
                <w:bCs w:val="1"/>
                <w:color w:val="939598"/>
              </w:rPr>
              <w:t>n</w:t>
            </w:r>
          </w:p>
        </w:tc>
        <w:tc>
          <w:tcPr>
            <w:tcW w:w="860" w:type="dxa"/>
            <w:vAlign w:val="bottom"/>
            <w:tcBorders>
              <w:right w:val="single" w:sz="8" w:color="D7282F"/>
            </w:tcBorders>
            <w:vMerge w:val="restart"/>
          </w:tcPr>
          <w:p>
            <w:pPr>
              <w:jc w:val="center"/>
              <w:spacing w:after="0"/>
              <w:rPr>
                <w:sz w:val="20"/>
                <w:szCs w:val="20"/>
                <w:color w:val="auto"/>
              </w:rPr>
            </w:pPr>
            <w:r>
              <w:rPr>
                <w:rFonts w:ascii="Wingdings" w:cs="Wingdings" w:eastAsia="Wingdings" w:hAnsi="Wingdings"/>
                <w:sz w:val="25"/>
                <w:szCs w:val="25"/>
                <w:b w:val="1"/>
                <w:bCs w:val="1"/>
                <w:color w:val="939598"/>
              </w:rPr>
              <w:t>n</w:t>
            </w:r>
          </w:p>
        </w:tc>
        <w:tc>
          <w:tcPr>
            <w:tcW w:w="0" w:type="dxa"/>
            <w:vAlign w:val="bottom"/>
          </w:tcPr>
          <w:p>
            <w:pPr>
              <w:spacing w:after="0"/>
              <w:rPr>
                <w:sz w:val="1"/>
                <w:szCs w:val="1"/>
                <w:color w:val="auto"/>
              </w:rPr>
            </w:pPr>
          </w:p>
        </w:tc>
      </w:tr>
      <w:tr>
        <w:trPr>
          <w:trHeight w:val="162"/>
        </w:trPr>
        <w:tc>
          <w:tcPr>
            <w:tcW w:w="900" w:type="dxa"/>
            <w:vAlign w:val="bottom"/>
            <w:tcBorders>
              <w:right w:val="single" w:sz="8" w:color="939598"/>
            </w:tcBorders>
          </w:tcPr>
          <w:p>
            <w:pPr>
              <w:spacing w:after="0"/>
              <w:rPr>
                <w:sz w:val="14"/>
                <w:szCs w:val="14"/>
                <w:color w:val="auto"/>
              </w:rPr>
            </w:pPr>
          </w:p>
        </w:tc>
        <w:tc>
          <w:tcPr>
            <w:tcW w:w="3320" w:type="dxa"/>
            <w:vAlign w:val="bottom"/>
            <w:tcBorders>
              <w:right w:val="single" w:sz="8" w:color="939598"/>
            </w:tcBorders>
          </w:tcPr>
          <w:p>
            <w:pPr>
              <w:ind w:left="60"/>
              <w:spacing w:after="0"/>
              <w:rPr>
                <w:sz w:val="20"/>
                <w:szCs w:val="20"/>
                <w:color w:val="auto"/>
              </w:rPr>
            </w:pPr>
            <w:r>
              <w:rPr>
                <w:rFonts w:ascii="Arial" w:cs="Arial" w:eastAsia="Arial" w:hAnsi="Arial"/>
                <w:sz w:val="14"/>
                <w:szCs w:val="14"/>
                <w:color w:val="auto"/>
              </w:rPr>
              <w:t>President and CEO</w:t>
            </w:r>
          </w:p>
        </w:tc>
        <w:tc>
          <w:tcPr>
            <w:tcW w:w="960" w:type="dxa"/>
            <w:vAlign w:val="bottom"/>
            <w:tcBorders>
              <w:right w:val="single" w:sz="8" w:color="939598"/>
            </w:tcBorders>
            <w:vMerge w:val="continue"/>
          </w:tcPr>
          <w:p>
            <w:pPr>
              <w:spacing w:after="0"/>
              <w:rPr>
                <w:sz w:val="14"/>
                <w:szCs w:val="14"/>
                <w:color w:val="auto"/>
              </w:rPr>
            </w:pPr>
          </w:p>
        </w:tc>
        <w:tc>
          <w:tcPr>
            <w:tcW w:w="1300" w:type="dxa"/>
            <w:vAlign w:val="bottom"/>
            <w:tcBorders>
              <w:right w:val="single" w:sz="8" w:color="939598"/>
            </w:tcBorders>
            <w:vMerge w:val="continue"/>
          </w:tcPr>
          <w:p>
            <w:pPr>
              <w:spacing w:after="0"/>
              <w:rPr>
                <w:sz w:val="14"/>
                <w:szCs w:val="14"/>
                <w:color w:val="auto"/>
              </w:rPr>
            </w:pPr>
          </w:p>
        </w:tc>
        <w:tc>
          <w:tcPr>
            <w:tcW w:w="2180" w:type="dxa"/>
            <w:vAlign w:val="bottom"/>
            <w:tcBorders>
              <w:right w:val="single" w:sz="8" w:color="D7282F"/>
            </w:tcBorders>
            <w:vMerge w:val="continue"/>
          </w:tcPr>
          <w:p>
            <w:pPr>
              <w:spacing w:after="0"/>
              <w:rPr>
                <w:sz w:val="14"/>
                <w:szCs w:val="14"/>
                <w:color w:val="auto"/>
              </w:rPr>
            </w:pPr>
          </w:p>
        </w:tc>
        <w:tc>
          <w:tcPr>
            <w:tcW w:w="860" w:type="dxa"/>
            <w:vAlign w:val="bottom"/>
            <w:tcBorders>
              <w:right w:val="single" w:sz="8" w:color="939598"/>
            </w:tcBorders>
          </w:tcPr>
          <w:p>
            <w:pPr>
              <w:spacing w:after="0"/>
              <w:rPr>
                <w:sz w:val="14"/>
                <w:szCs w:val="14"/>
                <w:color w:val="auto"/>
              </w:rPr>
            </w:pPr>
          </w:p>
        </w:tc>
        <w:tc>
          <w:tcPr>
            <w:tcW w:w="860" w:type="dxa"/>
            <w:vAlign w:val="bottom"/>
            <w:tcBorders>
              <w:right w:val="single" w:sz="8" w:color="939598"/>
            </w:tcBorders>
            <w:vMerge w:val="continue"/>
          </w:tcPr>
          <w:p>
            <w:pPr>
              <w:spacing w:after="0"/>
              <w:rPr>
                <w:sz w:val="14"/>
                <w:szCs w:val="14"/>
                <w:color w:val="auto"/>
              </w:rPr>
            </w:pPr>
          </w:p>
        </w:tc>
        <w:tc>
          <w:tcPr>
            <w:tcW w:w="860" w:type="dxa"/>
            <w:vAlign w:val="bottom"/>
            <w:tcBorders>
              <w:right w:val="single" w:sz="8" w:color="D7282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900" w:type="dxa"/>
            <w:vAlign w:val="bottom"/>
            <w:tcBorders>
              <w:right w:val="single" w:sz="8" w:color="939598"/>
            </w:tcBorders>
          </w:tcPr>
          <w:p>
            <w:pPr>
              <w:spacing w:after="0"/>
              <w:rPr>
                <w:sz w:val="16"/>
                <w:szCs w:val="16"/>
                <w:color w:val="auto"/>
              </w:rPr>
            </w:pPr>
          </w:p>
        </w:tc>
        <w:tc>
          <w:tcPr>
            <w:tcW w:w="3320" w:type="dxa"/>
            <w:vAlign w:val="bottom"/>
            <w:tcBorders>
              <w:right w:val="single" w:sz="8" w:color="939598"/>
            </w:tcBorders>
          </w:tcPr>
          <w:p>
            <w:pPr>
              <w:ind w:left="60"/>
              <w:spacing w:after="0"/>
              <w:rPr>
                <w:sz w:val="20"/>
                <w:szCs w:val="20"/>
                <w:color w:val="auto"/>
              </w:rPr>
            </w:pPr>
            <w:r>
              <w:rPr>
                <w:rFonts w:ascii="Arial" w:cs="Arial" w:eastAsia="Arial" w:hAnsi="Arial"/>
                <w:sz w:val="14"/>
                <w:szCs w:val="14"/>
                <w:color w:val="auto"/>
              </w:rPr>
              <w:t>Greater Toronto Airports Authority</w:t>
            </w:r>
          </w:p>
        </w:tc>
        <w:tc>
          <w:tcPr>
            <w:tcW w:w="960" w:type="dxa"/>
            <w:vAlign w:val="bottom"/>
            <w:tcBorders>
              <w:right w:val="single" w:sz="8" w:color="939598"/>
            </w:tcBorders>
          </w:tcPr>
          <w:p>
            <w:pPr>
              <w:spacing w:after="0"/>
              <w:rPr>
                <w:sz w:val="16"/>
                <w:szCs w:val="16"/>
                <w:color w:val="auto"/>
              </w:rPr>
            </w:pPr>
          </w:p>
        </w:tc>
        <w:tc>
          <w:tcPr>
            <w:tcW w:w="1300" w:type="dxa"/>
            <w:vAlign w:val="bottom"/>
            <w:tcBorders>
              <w:right w:val="single" w:sz="8" w:color="939598"/>
            </w:tcBorders>
          </w:tcPr>
          <w:p>
            <w:pPr>
              <w:spacing w:after="0"/>
              <w:rPr>
                <w:sz w:val="16"/>
                <w:szCs w:val="16"/>
                <w:color w:val="auto"/>
              </w:rPr>
            </w:pPr>
          </w:p>
        </w:tc>
        <w:tc>
          <w:tcPr>
            <w:tcW w:w="2180" w:type="dxa"/>
            <w:vAlign w:val="bottom"/>
            <w:tcBorders>
              <w:right w:val="single" w:sz="8" w:color="D7282F"/>
            </w:tcBorders>
          </w:tcPr>
          <w:p>
            <w:pPr>
              <w:spacing w:after="0"/>
              <w:rPr>
                <w:sz w:val="16"/>
                <w:szCs w:val="16"/>
                <w:color w:val="auto"/>
              </w:rPr>
            </w:pPr>
          </w:p>
        </w:tc>
        <w:tc>
          <w:tcPr>
            <w:tcW w:w="860" w:type="dxa"/>
            <w:vAlign w:val="bottom"/>
            <w:tcBorders>
              <w:right w:val="single" w:sz="8" w:color="939598"/>
            </w:tcBorders>
          </w:tcPr>
          <w:p>
            <w:pPr>
              <w:spacing w:after="0"/>
              <w:rPr>
                <w:sz w:val="16"/>
                <w:szCs w:val="16"/>
                <w:color w:val="auto"/>
              </w:rPr>
            </w:pPr>
          </w:p>
        </w:tc>
        <w:tc>
          <w:tcPr>
            <w:tcW w:w="860" w:type="dxa"/>
            <w:vAlign w:val="bottom"/>
            <w:tcBorders>
              <w:right w:val="single" w:sz="8" w:color="939598"/>
            </w:tcBorders>
          </w:tcPr>
          <w:p>
            <w:pPr>
              <w:spacing w:after="0"/>
              <w:rPr>
                <w:sz w:val="16"/>
                <w:szCs w:val="16"/>
                <w:color w:val="auto"/>
              </w:rPr>
            </w:pPr>
          </w:p>
        </w:tc>
        <w:tc>
          <w:tcPr>
            <w:tcW w:w="860" w:type="dxa"/>
            <w:vAlign w:val="bottom"/>
            <w:tcBorders>
              <w:right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900" w:type="dxa"/>
            <w:vAlign w:val="bottom"/>
            <w:tcBorders>
              <w:bottom w:val="single" w:sz="8" w:color="939598"/>
              <w:right w:val="single" w:sz="8" w:color="939598"/>
            </w:tcBorders>
          </w:tcPr>
          <w:p>
            <w:pPr>
              <w:spacing w:after="0"/>
              <w:rPr>
                <w:sz w:val="12"/>
                <w:szCs w:val="12"/>
                <w:color w:val="auto"/>
              </w:rPr>
            </w:pPr>
          </w:p>
        </w:tc>
        <w:tc>
          <w:tcPr>
            <w:tcW w:w="3320" w:type="dxa"/>
            <w:vAlign w:val="bottom"/>
            <w:tcBorders>
              <w:bottom w:val="single" w:sz="8" w:color="939598"/>
              <w:right w:val="single" w:sz="8" w:color="939598"/>
            </w:tcBorders>
          </w:tcPr>
          <w:p>
            <w:pPr>
              <w:spacing w:after="0"/>
              <w:rPr>
                <w:sz w:val="12"/>
                <w:szCs w:val="12"/>
                <w:color w:val="auto"/>
              </w:rPr>
            </w:pPr>
          </w:p>
        </w:tc>
        <w:tc>
          <w:tcPr>
            <w:tcW w:w="960" w:type="dxa"/>
            <w:vAlign w:val="bottom"/>
            <w:tcBorders>
              <w:bottom w:val="single" w:sz="8" w:color="939598"/>
              <w:right w:val="single" w:sz="8" w:color="939598"/>
            </w:tcBorders>
          </w:tcPr>
          <w:p>
            <w:pPr>
              <w:spacing w:after="0"/>
              <w:rPr>
                <w:sz w:val="12"/>
                <w:szCs w:val="12"/>
                <w:color w:val="auto"/>
              </w:rPr>
            </w:pPr>
          </w:p>
        </w:tc>
        <w:tc>
          <w:tcPr>
            <w:tcW w:w="1300" w:type="dxa"/>
            <w:vAlign w:val="bottom"/>
            <w:tcBorders>
              <w:bottom w:val="single" w:sz="8" w:color="939598"/>
              <w:right w:val="single" w:sz="8" w:color="939598"/>
            </w:tcBorders>
          </w:tcPr>
          <w:p>
            <w:pPr>
              <w:spacing w:after="0"/>
              <w:rPr>
                <w:sz w:val="12"/>
                <w:szCs w:val="12"/>
                <w:color w:val="auto"/>
              </w:rPr>
            </w:pPr>
          </w:p>
        </w:tc>
        <w:tc>
          <w:tcPr>
            <w:tcW w:w="2180" w:type="dxa"/>
            <w:vAlign w:val="bottom"/>
            <w:tcBorders>
              <w:bottom w:val="single" w:sz="8" w:color="939598"/>
              <w:right w:val="single" w:sz="8" w:color="D7282F"/>
            </w:tcBorders>
          </w:tcPr>
          <w:p>
            <w:pPr>
              <w:spacing w:after="0"/>
              <w:rPr>
                <w:sz w:val="12"/>
                <w:szCs w:val="12"/>
                <w:color w:val="auto"/>
              </w:rPr>
            </w:pPr>
          </w:p>
        </w:tc>
        <w:tc>
          <w:tcPr>
            <w:tcW w:w="860" w:type="dxa"/>
            <w:vAlign w:val="bottom"/>
            <w:tcBorders>
              <w:bottom w:val="single" w:sz="8" w:color="939598"/>
              <w:right w:val="single" w:sz="8" w:color="939598"/>
            </w:tcBorders>
          </w:tcPr>
          <w:p>
            <w:pPr>
              <w:spacing w:after="0"/>
              <w:rPr>
                <w:sz w:val="12"/>
                <w:szCs w:val="12"/>
                <w:color w:val="auto"/>
              </w:rPr>
            </w:pPr>
          </w:p>
        </w:tc>
        <w:tc>
          <w:tcPr>
            <w:tcW w:w="860" w:type="dxa"/>
            <w:vAlign w:val="bottom"/>
            <w:tcBorders>
              <w:bottom w:val="single" w:sz="8" w:color="939598"/>
              <w:right w:val="single" w:sz="8" w:color="939598"/>
            </w:tcBorders>
          </w:tcPr>
          <w:p>
            <w:pPr>
              <w:spacing w:after="0"/>
              <w:rPr>
                <w:sz w:val="12"/>
                <w:szCs w:val="12"/>
                <w:color w:val="auto"/>
              </w:rPr>
            </w:pPr>
          </w:p>
        </w:tc>
        <w:tc>
          <w:tcPr>
            <w:tcW w:w="860" w:type="dxa"/>
            <w:vAlign w:val="bottom"/>
            <w:tcBorders>
              <w:bottom w:val="single" w:sz="8" w:color="939598"/>
              <w:right w:val="single" w:sz="8" w:color="D7282F"/>
            </w:tcBorders>
          </w:tcPr>
          <w:p>
            <w:pPr>
              <w:spacing w:after="0"/>
              <w:rPr>
                <w:sz w:val="12"/>
                <w:szCs w:val="12"/>
                <w:color w:val="auto"/>
              </w:rPr>
            </w:pPr>
          </w:p>
        </w:tc>
        <w:tc>
          <w:tcPr>
            <w:tcW w:w="0" w:type="dxa"/>
            <w:vAlign w:val="bottom"/>
          </w:tcPr>
          <w:p>
            <w:pPr>
              <w:spacing w:after="0"/>
              <w:rPr>
                <w:sz w:val="1"/>
                <w:szCs w:val="1"/>
                <w:color w:val="auto"/>
              </w:rPr>
            </w:pPr>
          </w:p>
        </w:tc>
      </w:tr>
      <w:tr>
        <w:trPr>
          <w:trHeight w:val="241"/>
        </w:trPr>
        <w:tc>
          <w:tcPr>
            <w:tcW w:w="900" w:type="dxa"/>
            <w:vAlign w:val="bottom"/>
            <w:tcBorders>
              <w:right w:val="single" w:sz="8" w:color="939598"/>
            </w:tcBorders>
          </w:tcPr>
          <w:p>
            <w:pPr>
              <w:spacing w:after="0"/>
              <w:rPr>
                <w:sz w:val="20"/>
                <w:szCs w:val="20"/>
                <w:color w:val="auto"/>
              </w:rPr>
            </w:pPr>
          </w:p>
        </w:tc>
        <w:tc>
          <w:tcPr>
            <w:tcW w:w="3320" w:type="dxa"/>
            <w:vAlign w:val="bottom"/>
            <w:tcBorders>
              <w:right w:val="single" w:sz="8" w:color="939598"/>
            </w:tcBorders>
          </w:tcPr>
          <w:p>
            <w:pPr>
              <w:ind w:left="60"/>
              <w:spacing w:after="0"/>
              <w:rPr>
                <w:sz w:val="20"/>
                <w:szCs w:val="20"/>
                <w:color w:val="auto"/>
              </w:rPr>
            </w:pPr>
            <w:r>
              <w:rPr>
                <w:rFonts w:ascii="Arial" w:cs="Arial" w:eastAsia="Arial" w:hAnsi="Arial"/>
                <w:sz w:val="14"/>
                <w:szCs w:val="14"/>
                <w:b w:val="1"/>
                <w:bCs w:val="1"/>
                <w:color w:val="auto"/>
              </w:rPr>
              <w:t>Michael W. Lamach</w:t>
            </w:r>
          </w:p>
        </w:tc>
        <w:tc>
          <w:tcPr>
            <w:tcW w:w="960" w:type="dxa"/>
            <w:vAlign w:val="bottom"/>
            <w:tcBorders>
              <w:right w:val="single" w:sz="8" w:color="939598"/>
            </w:tcBorders>
          </w:tcPr>
          <w:p>
            <w:pPr>
              <w:spacing w:after="0"/>
              <w:rPr>
                <w:sz w:val="20"/>
                <w:szCs w:val="20"/>
                <w:color w:val="auto"/>
              </w:rPr>
            </w:pPr>
          </w:p>
        </w:tc>
        <w:tc>
          <w:tcPr>
            <w:tcW w:w="1300" w:type="dxa"/>
            <w:vAlign w:val="bottom"/>
            <w:tcBorders>
              <w:right w:val="single" w:sz="8" w:color="939598"/>
            </w:tcBorders>
          </w:tcPr>
          <w:p>
            <w:pPr>
              <w:spacing w:after="0"/>
              <w:rPr>
                <w:sz w:val="20"/>
                <w:szCs w:val="20"/>
                <w:color w:val="auto"/>
              </w:rPr>
            </w:pPr>
          </w:p>
        </w:tc>
        <w:tc>
          <w:tcPr>
            <w:tcW w:w="2180" w:type="dxa"/>
            <w:vAlign w:val="bottom"/>
            <w:tcBorders>
              <w:right w:val="single" w:sz="8" w:color="D7282F"/>
            </w:tcBorders>
          </w:tcPr>
          <w:p>
            <w:pPr>
              <w:spacing w:after="0"/>
              <w:rPr>
                <w:sz w:val="20"/>
                <w:szCs w:val="20"/>
                <w:color w:val="auto"/>
              </w:rPr>
            </w:pPr>
          </w:p>
        </w:tc>
        <w:tc>
          <w:tcPr>
            <w:tcW w:w="860" w:type="dxa"/>
            <w:vAlign w:val="bottom"/>
            <w:tcBorders>
              <w:right w:val="single" w:sz="8" w:color="939598"/>
            </w:tcBorders>
            <w:vMerge w:val="restart"/>
          </w:tcPr>
          <w:p>
            <w:pPr>
              <w:jc w:val="center"/>
              <w:spacing w:after="0"/>
              <w:rPr>
                <w:sz w:val="20"/>
                <w:szCs w:val="20"/>
                <w:color w:val="auto"/>
              </w:rPr>
            </w:pPr>
            <w:r>
              <w:rPr>
                <w:rFonts w:ascii="Arial" w:cs="Arial" w:eastAsia="Arial" w:hAnsi="Arial"/>
                <w:sz w:val="14"/>
                <w:szCs w:val="14"/>
                <w:i w:val="1"/>
                <w:iCs w:val="1"/>
                <w:color w:val="auto"/>
                <w:w w:val="94"/>
              </w:rPr>
              <w:t>ex</w:t>
            </w:r>
          </w:p>
        </w:tc>
        <w:tc>
          <w:tcPr>
            <w:tcW w:w="860" w:type="dxa"/>
            <w:vAlign w:val="bottom"/>
            <w:tcBorders>
              <w:right w:val="single" w:sz="8" w:color="939598"/>
            </w:tcBorders>
            <w:vMerge w:val="restart"/>
          </w:tcPr>
          <w:p>
            <w:pPr>
              <w:jc w:val="center"/>
              <w:spacing w:after="0"/>
              <w:rPr>
                <w:sz w:val="20"/>
                <w:szCs w:val="20"/>
                <w:color w:val="auto"/>
              </w:rPr>
            </w:pPr>
            <w:r>
              <w:rPr>
                <w:rFonts w:ascii="Arial" w:cs="Arial" w:eastAsia="Arial" w:hAnsi="Arial"/>
                <w:sz w:val="14"/>
                <w:szCs w:val="14"/>
                <w:i w:val="1"/>
                <w:iCs w:val="1"/>
                <w:color w:val="auto"/>
              </w:rPr>
              <w:t>ex</w:t>
            </w:r>
          </w:p>
        </w:tc>
        <w:tc>
          <w:tcPr>
            <w:tcW w:w="860" w:type="dxa"/>
            <w:vAlign w:val="bottom"/>
            <w:tcBorders>
              <w:right w:val="single" w:sz="8" w:color="D7282F"/>
            </w:tcBorders>
            <w:vMerge w:val="restart"/>
          </w:tcPr>
          <w:p>
            <w:pPr>
              <w:jc w:val="center"/>
              <w:spacing w:after="0"/>
              <w:rPr>
                <w:sz w:val="20"/>
                <w:szCs w:val="20"/>
                <w:color w:val="auto"/>
              </w:rPr>
            </w:pPr>
            <w:r>
              <w:rPr>
                <w:rFonts w:ascii="Arial" w:cs="Arial" w:eastAsia="Arial" w:hAnsi="Arial"/>
                <w:sz w:val="14"/>
                <w:szCs w:val="14"/>
                <w:i w:val="1"/>
                <w:iCs w:val="1"/>
                <w:color w:val="auto"/>
              </w:rPr>
              <w:t>ex</w:t>
            </w:r>
          </w:p>
        </w:tc>
        <w:tc>
          <w:tcPr>
            <w:tcW w:w="0" w:type="dxa"/>
            <w:vAlign w:val="bottom"/>
          </w:tcPr>
          <w:p>
            <w:pPr>
              <w:spacing w:after="0"/>
              <w:rPr>
                <w:sz w:val="1"/>
                <w:szCs w:val="1"/>
                <w:color w:val="auto"/>
              </w:rPr>
            </w:pPr>
          </w:p>
        </w:tc>
      </w:tr>
      <w:tr>
        <w:trPr>
          <w:trHeight w:val="144"/>
        </w:trPr>
        <w:tc>
          <w:tcPr>
            <w:tcW w:w="900" w:type="dxa"/>
            <w:vAlign w:val="bottom"/>
            <w:tcBorders>
              <w:right w:val="single" w:sz="8" w:color="939598"/>
            </w:tcBorders>
          </w:tcPr>
          <w:p>
            <w:pPr>
              <w:spacing w:after="0"/>
              <w:rPr>
                <w:sz w:val="12"/>
                <w:szCs w:val="12"/>
                <w:color w:val="auto"/>
              </w:rPr>
            </w:pPr>
          </w:p>
        </w:tc>
        <w:tc>
          <w:tcPr>
            <w:tcW w:w="3320" w:type="dxa"/>
            <w:vAlign w:val="bottom"/>
            <w:tcBorders>
              <w:right w:val="single" w:sz="8" w:color="939598"/>
            </w:tcBorders>
          </w:tcPr>
          <w:p>
            <w:pPr>
              <w:ind w:left="60"/>
              <w:spacing w:after="0" w:line="145" w:lineRule="exact"/>
              <w:rPr>
                <w:sz w:val="20"/>
                <w:szCs w:val="20"/>
                <w:color w:val="auto"/>
              </w:rPr>
            </w:pPr>
            <w:r>
              <w:rPr>
                <w:rFonts w:ascii="Arial" w:cs="Arial" w:eastAsia="Arial" w:hAnsi="Arial"/>
                <w:sz w:val="14"/>
                <w:szCs w:val="14"/>
                <w:b w:val="1"/>
                <w:bCs w:val="1"/>
                <w:color w:val="auto"/>
              </w:rPr>
              <w:t>(Incoming Lead Director)</w:t>
            </w:r>
          </w:p>
        </w:tc>
        <w:tc>
          <w:tcPr>
            <w:tcW w:w="960" w:type="dxa"/>
            <w:vAlign w:val="bottom"/>
            <w:tcBorders>
              <w:right w:val="single" w:sz="8" w:color="939598"/>
            </w:tcBorders>
            <w:vMerge w:val="restart"/>
          </w:tcPr>
          <w:p>
            <w:pPr>
              <w:jc w:val="center"/>
              <w:spacing w:after="0"/>
              <w:rPr>
                <w:sz w:val="20"/>
                <w:szCs w:val="20"/>
                <w:color w:val="auto"/>
              </w:rPr>
            </w:pPr>
            <w:r>
              <w:rPr>
                <w:rFonts w:ascii="Arial" w:cs="Arial" w:eastAsia="Arial" w:hAnsi="Arial"/>
                <w:sz w:val="14"/>
                <w:szCs w:val="14"/>
                <w:color w:val="auto"/>
              </w:rPr>
              <w:t>2</w:t>
            </w:r>
          </w:p>
        </w:tc>
        <w:tc>
          <w:tcPr>
            <w:tcW w:w="1300" w:type="dxa"/>
            <w:vAlign w:val="bottom"/>
            <w:tcBorders>
              <w:right w:val="single" w:sz="8" w:color="939598"/>
            </w:tcBorders>
            <w:vMerge w:val="restart"/>
          </w:tcPr>
          <w:p>
            <w:pPr>
              <w:jc w:val="center"/>
              <w:spacing w:after="0"/>
              <w:rPr>
                <w:sz w:val="20"/>
                <w:szCs w:val="20"/>
                <w:color w:val="auto"/>
              </w:rPr>
            </w:pPr>
            <w:r>
              <w:rPr>
                <w:rFonts w:ascii="Arial" w:cs="Arial" w:eastAsia="Arial" w:hAnsi="Arial"/>
                <w:sz w:val="14"/>
                <w:szCs w:val="14"/>
                <w:color w:val="auto"/>
                <w:w w:val="99"/>
              </w:rPr>
              <w:t>Yes</w:t>
            </w:r>
          </w:p>
        </w:tc>
        <w:tc>
          <w:tcPr>
            <w:tcW w:w="2180" w:type="dxa"/>
            <w:vAlign w:val="bottom"/>
            <w:tcBorders>
              <w:right w:val="single" w:sz="8" w:color="D7282F"/>
            </w:tcBorders>
            <w:vMerge w:val="restart"/>
          </w:tcPr>
          <w:p>
            <w:pPr>
              <w:jc w:val="center"/>
              <w:spacing w:after="0"/>
              <w:rPr>
                <w:sz w:val="20"/>
                <w:szCs w:val="20"/>
                <w:color w:val="auto"/>
              </w:rPr>
            </w:pPr>
            <w:r>
              <w:rPr>
                <w:rFonts w:ascii="Arial" w:cs="Arial" w:eastAsia="Arial" w:hAnsi="Arial"/>
                <w:sz w:val="14"/>
                <w:szCs w:val="14"/>
                <w:color w:val="auto"/>
              </w:rPr>
              <w:t>4</w:t>
            </w:r>
          </w:p>
        </w:tc>
        <w:tc>
          <w:tcPr>
            <w:tcW w:w="860" w:type="dxa"/>
            <w:vAlign w:val="bottom"/>
            <w:tcBorders>
              <w:right w:val="single" w:sz="8" w:color="939598"/>
            </w:tcBorders>
            <w:vMerge w:val="continue"/>
          </w:tcPr>
          <w:p>
            <w:pPr>
              <w:spacing w:after="0"/>
              <w:rPr>
                <w:sz w:val="12"/>
                <w:szCs w:val="12"/>
                <w:color w:val="auto"/>
              </w:rPr>
            </w:pPr>
          </w:p>
        </w:tc>
        <w:tc>
          <w:tcPr>
            <w:tcW w:w="860" w:type="dxa"/>
            <w:vAlign w:val="bottom"/>
            <w:tcBorders>
              <w:right w:val="single" w:sz="8" w:color="939598"/>
            </w:tcBorders>
            <w:vMerge w:val="continue"/>
          </w:tcPr>
          <w:p>
            <w:pPr>
              <w:spacing w:after="0"/>
              <w:rPr>
                <w:sz w:val="12"/>
                <w:szCs w:val="12"/>
                <w:color w:val="auto"/>
              </w:rPr>
            </w:pPr>
          </w:p>
        </w:tc>
        <w:tc>
          <w:tcPr>
            <w:tcW w:w="860" w:type="dxa"/>
            <w:vAlign w:val="bottom"/>
            <w:tcBorders>
              <w:right w:val="single" w:sz="8" w:color="D7282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900" w:type="dxa"/>
            <w:vAlign w:val="bottom"/>
            <w:tcBorders>
              <w:right w:val="single" w:sz="8" w:color="939598"/>
            </w:tcBorders>
          </w:tcPr>
          <w:p>
            <w:pPr>
              <w:spacing w:after="0"/>
              <w:rPr>
                <w:sz w:val="9"/>
                <w:szCs w:val="9"/>
                <w:color w:val="auto"/>
              </w:rPr>
            </w:pPr>
          </w:p>
        </w:tc>
        <w:tc>
          <w:tcPr>
            <w:tcW w:w="3320" w:type="dxa"/>
            <w:vAlign w:val="bottom"/>
            <w:tcBorders>
              <w:right w:val="single" w:sz="8" w:color="939598"/>
            </w:tcBorders>
            <w:vMerge w:val="restart"/>
          </w:tcPr>
          <w:p>
            <w:pPr>
              <w:ind w:left="60"/>
              <w:spacing w:after="0"/>
              <w:rPr>
                <w:sz w:val="20"/>
                <w:szCs w:val="20"/>
                <w:color w:val="auto"/>
              </w:rPr>
            </w:pPr>
            <w:r>
              <w:rPr>
                <w:rFonts w:ascii="Arial" w:cs="Arial" w:eastAsia="Arial" w:hAnsi="Arial"/>
                <w:sz w:val="14"/>
                <w:szCs w:val="14"/>
                <w:color w:val="auto"/>
              </w:rPr>
              <w:t>Retired Chairman and CEO</w:t>
            </w:r>
          </w:p>
        </w:tc>
        <w:tc>
          <w:tcPr>
            <w:tcW w:w="960" w:type="dxa"/>
            <w:vAlign w:val="bottom"/>
            <w:tcBorders>
              <w:right w:val="single" w:sz="8" w:color="939598"/>
            </w:tcBorders>
            <w:vMerge w:val="continue"/>
          </w:tcPr>
          <w:p>
            <w:pPr>
              <w:spacing w:after="0"/>
              <w:rPr>
                <w:sz w:val="9"/>
                <w:szCs w:val="9"/>
                <w:color w:val="auto"/>
              </w:rPr>
            </w:pPr>
          </w:p>
        </w:tc>
        <w:tc>
          <w:tcPr>
            <w:tcW w:w="1300" w:type="dxa"/>
            <w:vAlign w:val="bottom"/>
            <w:tcBorders>
              <w:right w:val="single" w:sz="8" w:color="939598"/>
            </w:tcBorders>
            <w:vMerge w:val="continue"/>
          </w:tcPr>
          <w:p>
            <w:pPr>
              <w:spacing w:after="0"/>
              <w:rPr>
                <w:sz w:val="9"/>
                <w:szCs w:val="9"/>
                <w:color w:val="auto"/>
              </w:rPr>
            </w:pPr>
          </w:p>
        </w:tc>
        <w:tc>
          <w:tcPr>
            <w:tcW w:w="2180" w:type="dxa"/>
            <w:vAlign w:val="bottom"/>
            <w:tcBorders>
              <w:right w:val="single" w:sz="8" w:color="D7282F"/>
            </w:tcBorders>
            <w:vMerge w:val="continue"/>
          </w:tcPr>
          <w:p>
            <w:pPr>
              <w:spacing w:after="0"/>
              <w:rPr>
                <w:sz w:val="9"/>
                <w:szCs w:val="9"/>
                <w:color w:val="auto"/>
              </w:rPr>
            </w:pPr>
          </w:p>
        </w:tc>
        <w:tc>
          <w:tcPr>
            <w:tcW w:w="860" w:type="dxa"/>
            <w:vAlign w:val="bottom"/>
            <w:tcBorders>
              <w:right w:val="single" w:sz="8" w:color="939598"/>
            </w:tcBorders>
            <w:vMerge w:val="restart"/>
          </w:tcPr>
          <w:p>
            <w:pPr>
              <w:jc w:val="center"/>
              <w:spacing w:after="0"/>
              <w:rPr>
                <w:sz w:val="20"/>
                <w:szCs w:val="20"/>
                <w:color w:val="auto"/>
              </w:rPr>
            </w:pPr>
            <w:r>
              <w:rPr>
                <w:rFonts w:ascii="Arial" w:cs="Arial" w:eastAsia="Arial" w:hAnsi="Arial"/>
                <w:sz w:val="14"/>
                <w:szCs w:val="14"/>
                <w:i w:val="1"/>
                <w:iCs w:val="1"/>
                <w:color w:val="auto"/>
              </w:rPr>
              <w:t>officio</w:t>
            </w:r>
          </w:p>
        </w:tc>
        <w:tc>
          <w:tcPr>
            <w:tcW w:w="860" w:type="dxa"/>
            <w:vAlign w:val="bottom"/>
            <w:tcBorders>
              <w:right w:val="single" w:sz="8" w:color="939598"/>
            </w:tcBorders>
            <w:vMerge w:val="restart"/>
          </w:tcPr>
          <w:p>
            <w:pPr>
              <w:jc w:val="center"/>
              <w:spacing w:after="0"/>
              <w:rPr>
                <w:sz w:val="20"/>
                <w:szCs w:val="20"/>
                <w:color w:val="auto"/>
              </w:rPr>
            </w:pPr>
            <w:r>
              <w:rPr>
                <w:rFonts w:ascii="Arial" w:cs="Arial" w:eastAsia="Arial" w:hAnsi="Arial"/>
                <w:sz w:val="14"/>
                <w:szCs w:val="14"/>
                <w:i w:val="1"/>
                <w:iCs w:val="1"/>
                <w:color w:val="auto"/>
              </w:rPr>
              <w:t>officio</w:t>
            </w:r>
          </w:p>
        </w:tc>
        <w:tc>
          <w:tcPr>
            <w:tcW w:w="860" w:type="dxa"/>
            <w:vAlign w:val="bottom"/>
            <w:tcBorders>
              <w:right w:val="single" w:sz="8" w:color="D7282F"/>
            </w:tcBorders>
            <w:vMerge w:val="restart"/>
          </w:tcPr>
          <w:p>
            <w:pPr>
              <w:jc w:val="center"/>
              <w:spacing w:after="0"/>
              <w:rPr>
                <w:sz w:val="20"/>
                <w:szCs w:val="20"/>
                <w:color w:val="auto"/>
              </w:rPr>
            </w:pPr>
            <w:r>
              <w:rPr>
                <w:rFonts w:ascii="Arial" w:cs="Arial" w:eastAsia="Arial" w:hAnsi="Arial"/>
                <w:sz w:val="14"/>
                <w:szCs w:val="14"/>
                <w:i w:val="1"/>
                <w:iCs w:val="1"/>
                <w:color w:val="auto"/>
                <w:w w:val="98"/>
              </w:rPr>
              <w:t>officio</w:t>
            </w:r>
          </w:p>
        </w:tc>
        <w:tc>
          <w:tcPr>
            <w:tcW w:w="0" w:type="dxa"/>
            <w:vAlign w:val="bottom"/>
          </w:tcPr>
          <w:p>
            <w:pPr>
              <w:spacing w:after="0"/>
              <w:rPr>
                <w:sz w:val="1"/>
                <w:szCs w:val="1"/>
                <w:color w:val="auto"/>
              </w:rPr>
            </w:pPr>
          </w:p>
        </w:tc>
      </w:tr>
      <w:tr>
        <w:trPr>
          <w:trHeight w:val="49"/>
        </w:trPr>
        <w:tc>
          <w:tcPr>
            <w:tcW w:w="900" w:type="dxa"/>
            <w:vAlign w:val="bottom"/>
            <w:tcBorders>
              <w:right w:val="single" w:sz="8" w:color="939598"/>
            </w:tcBorders>
          </w:tcPr>
          <w:p>
            <w:pPr>
              <w:spacing w:after="0"/>
              <w:rPr>
                <w:sz w:val="4"/>
                <w:szCs w:val="4"/>
                <w:color w:val="auto"/>
              </w:rPr>
            </w:pPr>
          </w:p>
        </w:tc>
        <w:tc>
          <w:tcPr>
            <w:tcW w:w="3320" w:type="dxa"/>
            <w:vAlign w:val="bottom"/>
            <w:tcBorders>
              <w:right w:val="single" w:sz="8" w:color="939598"/>
            </w:tcBorders>
            <w:vMerge w:val="continue"/>
          </w:tcPr>
          <w:p>
            <w:pPr>
              <w:spacing w:after="0"/>
              <w:rPr>
                <w:sz w:val="4"/>
                <w:szCs w:val="4"/>
                <w:color w:val="auto"/>
              </w:rPr>
            </w:pPr>
          </w:p>
        </w:tc>
        <w:tc>
          <w:tcPr>
            <w:tcW w:w="960" w:type="dxa"/>
            <w:vAlign w:val="bottom"/>
            <w:tcBorders>
              <w:right w:val="single" w:sz="8" w:color="939598"/>
            </w:tcBorders>
          </w:tcPr>
          <w:p>
            <w:pPr>
              <w:spacing w:after="0"/>
              <w:rPr>
                <w:sz w:val="4"/>
                <w:szCs w:val="4"/>
                <w:color w:val="auto"/>
              </w:rPr>
            </w:pPr>
          </w:p>
        </w:tc>
        <w:tc>
          <w:tcPr>
            <w:tcW w:w="1300" w:type="dxa"/>
            <w:vAlign w:val="bottom"/>
            <w:tcBorders>
              <w:right w:val="single" w:sz="8" w:color="939598"/>
            </w:tcBorders>
          </w:tcPr>
          <w:p>
            <w:pPr>
              <w:spacing w:after="0"/>
              <w:rPr>
                <w:sz w:val="4"/>
                <w:szCs w:val="4"/>
                <w:color w:val="auto"/>
              </w:rPr>
            </w:pPr>
          </w:p>
        </w:tc>
        <w:tc>
          <w:tcPr>
            <w:tcW w:w="2180" w:type="dxa"/>
            <w:vAlign w:val="bottom"/>
            <w:tcBorders>
              <w:right w:val="single" w:sz="8" w:color="D7282F"/>
            </w:tcBorders>
          </w:tcPr>
          <w:p>
            <w:pPr>
              <w:spacing w:after="0"/>
              <w:rPr>
                <w:sz w:val="4"/>
                <w:szCs w:val="4"/>
                <w:color w:val="auto"/>
              </w:rPr>
            </w:pPr>
          </w:p>
        </w:tc>
        <w:tc>
          <w:tcPr>
            <w:tcW w:w="860" w:type="dxa"/>
            <w:vAlign w:val="bottom"/>
            <w:tcBorders>
              <w:right w:val="single" w:sz="8" w:color="939598"/>
            </w:tcBorders>
            <w:vMerge w:val="continue"/>
          </w:tcPr>
          <w:p>
            <w:pPr>
              <w:spacing w:after="0"/>
              <w:rPr>
                <w:sz w:val="4"/>
                <w:szCs w:val="4"/>
                <w:color w:val="auto"/>
              </w:rPr>
            </w:pPr>
          </w:p>
        </w:tc>
        <w:tc>
          <w:tcPr>
            <w:tcW w:w="860" w:type="dxa"/>
            <w:vAlign w:val="bottom"/>
            <w:tcBorders>
              <w:right w:val="single" w:sz="8" w:color="939598"/>
            </w:tcBorders>
            <w:vMerge w:val="continue"/>
          </w:tcPr>
          <w:p>
            <w:pPr>
              <w:spacing w:after="0"/>
              <w:rPr>
                <w:sz w:val="4"/>
                <w:szCs w:val="4"/>
                <w:color w:val="auto"/>
              </w:rPr>
            </w:pPr>
          </w:p>
        </w:tc>
        <w:tc>
          <w:tcPr>
            <w:tcW w:w="860" w:type="dxa"/>
            <w:vAlign w:val="bottom"/>
            <w:tcBorders>
              <w:right w:val="single" w:sz="8" w:color="D7282F"/>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900" w:type="dxa"/>
            <w:vAlign w:val="bottom"/>
            <w:tcBorders>
              <w:right w:val="single" w:sz="8" w:color="939598"/>
            </w:tcBorders>
          </w:tcPr>
          <w:p>
            <w:pPr>
              <w:spacing w:after="0"/>
              <w:rPr>
                <w:sz w:val="16"/>
                <w:szCs w:val="16"/>
                <w:color w:val="auto"/>
              </w:rPr>
            </w:pPr>
          </w:p>
        </w:tc>
        <w:tc>
          <w:tcPr>
            <w:tcW w:w="3320" w:type="dxa"/>
            <w:vAlign w:val="bottom"/>
            <w:tcBorders>
              <w:right w:val="single" w:sz="8" w:color="939598"/>
            </w:tcBorders>
          </w:tcPr>
          <w:p>
            <w:pPr>
              <w:ind w:left="60"/>
              <w:spacing w:after="0"/>
              <w:rPr>
                <w:sz w:val="20"/>
                <w:szCs w:val="20"/>
                <w:color w:val="auto"/>
              </w:rPr>
            </w:pPr>
            <w:r>
              <w:rPr>
                <w:rFonts w:ascii="Arial" w:cs="Arial" w:eastAsia="Arial" w:hAnsi="Arial"/>
                <w:sz w:val="14"/>
                <w:szCs w:val="14"/>
                <w:color w:val="auto"/>
              </w:rPr>
              <w:t>Trane Technologies plc</w:t>
            </w:r>
          </w:p>
        </w:tc>
        <w:tc>
          <w:tcPr>
            <w:tcW w:w="960" w:type="dxa"/>
            <w:vAlign w:val="bottom"/>
            <w:tcBorders>
              <w:right w:val="single" w:sz="8" w:color="939598"/>
            </w:tcBorders>
          </w:tcPr>
          <w:p>
            <w:pPr>
              <w:spacing w:after="0"/>
              <w:rPr>
                <w:sz w:val="16"/>
                <w:szCs w:val="16"/>
                <w:color w:val="auto"/>
              </w:rPr>
            </w:pPr>
          </w:p>
        </w:tc>
        <w:tc>
          <w:tcPr>
            <w:tcW w:w="1300" w:type="dxa"/>
            <w:vAlign w:val="bottom"/>
            <w:tcBorders>
              <w:right w:val="single" w:sz="8" w:color="939598"/>
            </w:tcBorders>
          </w:tcPr>
          <w:p>
            <w:pPr>
              <w:spacing w:after="0"/>
              <w:rPr>
                <w:sz w:val="16"/>
                <w:szCs w:val="16"/>
                <w:color w:val="auto"/>
              </w:rPr>
            </w:pPr>
          </w:p>
        </w:tc>
        <w:tc>
          <w:tcPr>
            <w:tcW w:w="2180" w:type="dxa"/>
            <w:vAlign w:val="bottom"/>
            <w:tcBorders>
              <w:right w:val="single" w:sz="8" w:color="D7282F"/>
            </w:tcBorders>
          </w:tcPr>
          <w:p>
            <w:pPr>
              <w:spacing w:after="0"/>
              <w:rPr>
                <w:sz w:val="16"/>
                <w:szCs w:val="16"/>
                <w:color w:val="auto"/>
              </w:rPr>
            </w:pPr>
          </w:p>
        </w:tc>
        <w:tc>
          <w:tcPr>
            <w:tcW w:w="860" w:type="dxa"/>
            <w:vAlign w:val="bottom"/>
            <w:tcBorders>
              <w:right w:val="single" w:sz="8" w:color="939598"/>
            </w:tcBorders>
          </w:tcPr>
          <w:p>
            <w:pPr>
              <w:spacing w:after="0"/>
              <w:rPr>
                <w:sz w:val="16"/>
                <w:szCs w:val="16"/>
                <w:color w:val="auto"/>
              </w:rPr>
            </w:pPr>
          </w:p>
        </w:tc>
        <w:tc>
          <w:tcPr>
            <w:tcW w:w="860" w:type="dxa"/>
            <w:vAlign w:val="bottom"/>
            <w:tcBorders>
              <w:right w:val="single" w:sz="8" w:color="939598"/>
            </w:tcBorders>
          </w:tcPr>
          <w:p>
            <w:pPr>
              <w:spacing w:after="0"/>
              <w:rPr>
                <w:sz w:val="16"/>
                <w:szCs w:val="16"/>
                <w:color w:val="auto"/>
              </w:rPr>
            </w:pPr>
          </w:p>
        </w:tc>
        <w:tc>
          <w:tcPr>
            <w:tcW w:w="860" w:type="dxa"/>
            <w:vAlign w:val="bottom"/>
            <w:tcBorders>
              <w:right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900" w:type="dxa"/>
            <w:vAlign w:val="bottom"/>
            <w:tcBorders>
              <w:bottom w:val="single" w:sz="8" w:color="939598"/>
              <w:right w:val="single" w:sz="8" w:color="939598"/>
            </w:tcBorders>
          </w:tcPr>
          <w:p>
            <w:pPr>
              <w:spacing w:after="0"/>
              <w:rPr>
                <w:sz w:val="8"/>
                <w:szCs w:val="8"/>
                <w:color w:val="auto"/>
              </w:rPr>
            </w:pPr>
          </w:p>
        </w:tc>
        <w:tc>
          <w:tcPr>
            <w:tcW w:w="3320" w:type="dxa"/>
            <w:vAlign w:val="bottom"/>
            <w:tcBorders>
              <w:bottom w:val="single" w:sz="8" w:color="939598"/>
              <w:right w:val="single" w:sz="8" w:color="939598"/>
            </w:tcBorders>
          </w:tcPr>
          <w:p>
            <w:pPr>
              <w:spacing w:after="0"/>
              <w:rPr>
                <w:sz w:val="8"/>
                <w:szCs w:val="8"/>
                <w:color w:val="auto"/>
              </w:rPr>
            </w:pPr>
          </w:p>
        </w:tc>
        <w:tc>
          <w:tcPr>
            <w:tcW w:w="960" w:type="dxa"/>
            <w:vAlign w:val="bottom"/>
            <w:tcBorders>
              <w:bottom w:val="single" w:sz="8" w:color="939598"/>
              <w:right w:val="single" w:sz="8" w:color="939598"/>
            </w:tcBorders>
          </w:tcPr>
          <w:p>
            <w:pPr>
              <w:spacing w:after="0"/>
              <w:rPr>
                <w:sz w:val="8"/>
                <w:szCs w:val="8"/>
                <w:color w:val="auto"/>
              </w:rPr>
            </w:pPr>
          </w:p>
        </w:tc>
        <w:tc>
          <w:tcPr>
            <w:tcW w:w="1300" w:type="dxa"/>
            <w:vAlign w:val="bottom"/>
            <w:tcBorders>
              <w:bottom w:val="single" w:sz="8" w:color="939598"/>
              <w:right w:val="single" w:sz="8" w:color="939598"/>
            </w:tcBorders>
          </w:tcPr>
          <w:p>
            <w:pPr>
              <w:spacing w:after="0"/>
              <w:rPr>
                <w:sz w:val="8"/>
                <w:szCs w:val="8"/>
                <w:color w:val="auto"/>
              </w:rPr>
            </w:pPr>
          </w:p>
        </w:tc>
        <w:tc>
          <w:tcPr>
            <w:tcW w:w="2180" w:type="dxa"/>
            <w:vAlign w:val="bottom"/>
            <w:tcBorders>
              <w:bottom w:val="single" w:sz="8" w:color="939598"/>
              <w:right w:val="single" w:sz="8" w:color="D7282F"/>
            </w:tcBorders>
          </w:tcPr>
          <w:p>
            <w:pPr>
              <w:spacing w:after="0"/>
              <w:rPr>
                <w:sz w:val="8"/>
                <w:szCs w:val="8"/>
                <w:color w:val="auto"/>
              </w:rPr>
            </w:pPr>
          </w:p>
        </w:tc>
        <w:tc>
          <w:tcPr>
            <w:tcW w:w="860" w:type="dxa"/>
            <w:vAlign w:val="bottom"/>
            <w:tcBorders>
              <w:bottom w:val="single" w:sz="8" w:color="939598"/>
              <w:right w:val="single" w:sz="8" w:color="939598"/>
            </w:tcBorders>
          </w:tcPr>
          <w:p>
            <w:pPr>
              <w:spacing w:after="0"/>
              <w:rPr>
                <w:sz w:val="8"/>
                <w:szCs w:val="8"/>
                <w:color w:val="auto"/>
              </w:rPr>
            </w:pPr>
          </w:p>
        </w:tc>
        <w:tc>
          <w:tcPr>
            <w:tcW w:w="860" w:type="dxa"/>
            <w:vAlign w:val="bottom"/>
            <w:tcBorders>
              <w:bottom w:val="single" w:sz="8" w:color="939598"/>
              <w:right w:val="single" w:sz="8" w:color="939598"/>
            </w:tcBorders>
          </w:tcPr>
          <w:p>
            <w:pPr>
              <w:spacing w:after="0"/>
              <w:rPr>
                <w:sz w:val="8"/>
                <w:szCs w:val="8"/>
                <w:color w:val="auto"/>
              </w:rPr>
            </w:pPr>
          </w:p>
        </w:tc>
        <w:tc>
          <w:tcPr>
            <w:tcW w:w="860" w:type="dxa"/>
            <w:vAlign w:val="bottom"/>
            <w:tcBorders>
              <w:bottom w:val="single" w:sz="8" w:color="939598"/>
              <w:right w:val="single" w:sz="8" w:color="D7282F"/>
            </w:tcBorders>
          </w:tcPr>
          <w:p>
            <w:pPr>
              <w:spacing w:after="0"/>
              <w:rPr>
                <w:sz w:val="8"/>
                <w:szCs w:val="8"/>
                <w:color w:val="auto"/>
              </w:rPr>
            </w:pPr>
          </w:p>
        </w:tc>
        <w:tc>
          <w:tcPr>
            <w:tcW w:w="0" w:type="dxa"/>
            <w:vAlign w:val="bottom"/>
          </w:tcPr>
          <w:p>
            <w:pPr>
              <w:spacing w:after="0"/>
              <w:rPr>
                <w:sz w:val="1"/>
                <w:szCs w:val="1"/>
                <w:color w:val="auto"/>
              </w:rPr>
            </w:pPr>
          </w:p>
        </w:tc>
      </w:tr>
      <w:tr>
        <w:trPr>
          <w:trHeight w:val="308"/>
        </w:trPr>
        <w:tc>
          <w:tcPr>
            <w:tcW w:w="900" w:type="dxa"/>
            <w:vAlign w:val="bottom"/>
            <w:tcBorders>
              <w:right w:val="single" w:sz="8" w:color="939598"/>
            </w:tcBorders>
          </w:tcPr>
          <w:p>
            <w:pPr>
              <w:spacing w:after="0"/>
              <w:rPr>
                <w:sz w:val="24"/>
                <w:szCs w:val="24"/>
                <w:color w:val="auto"/>
              </w:rPr>
            </w:pPr>
          </w:p>
        </w:tc>
        <w:tc>
          <w:tcPr>
            <w:tcW w:w="3320" w:type="dxa"/>
            <w:vAlign w:val="bottom"/>
            <w:tcBorders>
              <w:right w:val="single" w:sz="8" w:color="939598"/>
            </w:tcBorders>
          </w:tcPr>
          <w:p>
            <w:pPr>
              <w:ind w:left="60"/>
              <w:spacing w:after="0"/>
              <w:rPr>
                <w:sz w:val="20"/>
                <w:szCs w:val="20"/>
                <w:color w:val="auto"/>
              </w:rPr>
            </w:pPr>
            <w:r>
              <w:rPr>
                <w:rFonts w:ascii="Arial" w:cs="Arial" w:eastAsia="Arial" w:hAnsi="Arial"/>
                <w:sz w:val="14"/>
                <w:szCs w:val="14"/>
                <w:b w:val="1"/>
                <w:bCs w:val="1"/>
                <w:color w:val="auto"/>
              </w:rPr>
              <w:t>Grace Lieblein</w:t>
            </w:r>
          </w:p>
        </w:tc>
        <w:tc>
          <w:tcPr>
            <w:tcW w:w="960" w:type="dxa"/>
            <w:vAlign w:val="bottom"/>
            <w:tcBorders>
              <w:right w:val="single" w:sz="8" w:color="939598"/>
            </w:tcBorders>
          </w:tcPr>
          <w:p>
            <w:pPr>
              <w:spacing w:after="0"/>
              <w:rPr>
                <w:sz w:val="24"/>
                <w:szCs w:val="24"/>
                <w:color w:val="auto"/>
              </w:rPr>
            </w:pPr>
          </w:p>
        </w:tc>
        <w:tc>
          <w:tcPr>
            <w:tcW w:w="1300" w:type="dxa"/>
            <w:vAlign w:val="bottom"/>
            <w:tcBorders>
              <w:right w:val="single" w:sz="8" w:color="939598"/>
            </w:tcBorders>
          </w:tcPr>
          <w:p>
            <w:pPr>
              <w:spacing w:after="0"/>
              <w:rPr>
                <w:sz w:val="24"/>
                <w:szCs w:val="24"/>
                <w:color w:val="auto"/>
              </w:rPr>
            </w:pPr>
          </w:p>
        </w:tc>
        <w:tc>
          <w:tcPr>
            <w:tcW w:w="2180" w:type="dxa"/>
            <w:vAlign w:val="bottom"/>
            <w:tcBorders>
              <w:right w:val="single" w:sz="8" w:color="D7282F"/>
            </w:tcBorders>
          </w:tcPr>
          <w:p>
            <w:pPr>
              <w:spacing w:after="0"/>
              <w:rPr>
                <w:sz w:val="24"/>
                <w:szCs w:val="24"/>
                <w:color w:val="auto"/>
              </w:rPr>
            </w:pPr>
          </w:p>
        </w:tc>
        <w:tc>
          <w:tcPr>
            <w:tcW w:w="860" w:type="dxa"/>
            <w:vAlign w:val="bottom"/>
            <w:tcBorders>
              <w:right w:val="single" w:sz="8" w:color="939598"/>
            </w:tcBorders>
          </w:tcPr>
          <w:p>
            <w:pPr>
              <w:spacing w:after="0"/>
              <w:rPr>
                <w:sz w:val="24"/>
                <w:szCs w:val="24"/>
                <w:color w:val="auto"/>
              </w:rPr>
            </w:pPr>
          </w:p>
        </w:tc>
        <w:tc>
          <w:tcPr>
            <w:tcW w:w="860" w:type="dxa"/>
            <w:vAlign w:val="bottom"/>
            <w:tcBorders>
              <w:right w:val="single" w:sz="8" w:color="939598"/>
            </w:tcBorders>
            <w:vMerge w:val="restart"/>
          </w:tcPr>
          <w:p>
            <w:pPr>
              <w:jc w:val="center"/>
              <w:spacing w:after="0"/>
              <w:rPr>
                <w:sz w:val="20"/>
                <w:szCs w:val="20"/>
                <w:color w:val="auto"/>
              </w:rPr>
            </w:pPr>
            <w:r>
              <w:rPr>
                <w:rFonts w:ascii="Wingdings" w:cs="Wingdings" w:eastAsia="Wingdings" w:hAnsi="Wingdings"/>
                <w:sz w:val="25"/>
                <w:szCs w:val="25"/>
                <w:b w:val="1"/>
                <w:bCs w:val="1"/>
                <w:color w:val="939598"/>
              </w:rPr>
              <w:t>n</w:t>
            </w:r>
          </w:p>
        </w:tc>
        <w:tc>
          <w:tcPr>
            <w:tcW w:w="860" w:type="dxa"/>
            <w:vAlign w:val="bottom"/>
            <w:tcBorders>
              <w:right w:val="single" w:sz="8" w:color="D7282F"/>
            </w:tcBorders>
            <w:vMerge w:val="restart"/>
          </w:tcPr>
          <w:p>
            <w:pPr>
              <w:jc w:val="center"/>
              <w:spacing w:after="0"/>
              <w:rPr>
                <w:sz w:val="20"/>
                <w:szCs w:val="20"/>
                <w:color w:val="auto"/>
              </w:rPr>
            </w:pPr>
            <w:r>
              <w:rPr>
                <w:rFonts w:ascii="Wingdings" w:cs="Wingdings" w:eastAsia="Wingdings" w:hAnsi="Wingdings"/>
                <w:sz w:val="25"/>
                <w:szCs w:val="25"/>
                <w:b w:val="1"/>
                <w:bCs w:val="1"/>
                <w:color w:val="D7282F"/>
              </w:rPr>
              <w:t>n</w:t>
            </w:r>
          </w:p>
        </w:tc>
        <w:tc>
          <w:tcPr>
            <w:tcW w:w="0" w:type="dxa"/>
            <w:vAlign w:val="bottom"/>
          </w:tcPr>
          <w:p>
            <w:pPr>
              <w:spacing w:after="0"/>
              <w:rPr>
                <w:sz w:val="1"/>
                <w:szCs w:val="1"/>
                <w:color w:val="auto"/>
              </w:rPr>
            </w:pPr>
          </w:p>
        </w:tc>
      </w:tr>
      <w:tr>
        <w:trPr>
          <w:trHeight w:val="176"/>
        </w:trPr>
        <w:tc>
          <w:tcPr>
            <w:tcW w:w="900" w:type="dxa"/>
            <w:vAlign w:val="bottom"/>
            <w:tcBorders>
              <w:right w:val="single" w:sz="8" w:color="939598"/>
            </w:tcBorders>
          </w:tcPr>
          <w:p>
            <w:pPr>
              <w:spacing w:after="0"/>
              <w:rPr>
                <w:sz w:val="15"/>
                <w:szCs w:val="15"/>
                <w:color w:val="auto"/>
              </w:rPr>
            </w:pPr>
          </w:p>
        </w:tc>
        <w:tc>
          <w:tcPr>
            <w:tcW w:w="3320" w:type="dxa"/>
            <w:vAlign w:val="bottom"/>
            <w:tcBorders>
              <w:right w:val="single" w:sz="8" w:color="939598"/>
            </w:tcBorders>
          </w:tcPr>
          <w:p>
            <w:pPr>
              <w:ind w:left="60"/>
              <w:spacing w:after="0"/>
              <w:rPr>
                <w:sz w:val="20"/>
                <w:szCs w:val="20"/>
                <w:color w:val="auto"/>
              </w:rPr>
            </w:pPr>
            <w:r>
              <w:rPr>
                <w:rFonts w:ascii="Arial" w:cs="Arial" w:eastAsia="Arial" w:hAnsi="Arial"/>
                <w:sz w:val="14"/>
                <w:szCs w:val="14"/>
                <w:color w:val="auto"/>
              </w:rPr>
              <w:t>Former Vice President-Global Quality</w:t>
            </w:r>
          </w:p>
        </w:tc>
        <w:tc>
          <w:tcPr>
            <w:tcW w:w="960" w:type="dxa"/>
            <w:vAlign w:val="bottom"/>
            <w:tcBorders>
              <w:right w:val="single" w:sz="8" w:color="939598"/>
            </w:tcBorders>
          </w:tcPr>
          <w:p>
            <w:pPr>
              <w:jc w:val="center"/>
              <w:spacing w:after="0"/>
              <w:rPr>
                <w:sz w:val="20"/>
                <w:szCs w:val="20"/>
                <w:color w:val="auto"/>
              </w:rPr>
            </w:pPr>
            <w:r>
              <w:rPr>
                <w:rFonts w:ascii="Arial" w:cs="Arial" w:eastAsia="Arial" w:hAnsi="Arial"/>
                <w:sz w:val="14"/>
                <w:szCs w:val="14"/>
                <w:color w:val="auto"/>
              </w:rPr>
              <w:t>13</w:t>
            </w:r>
          </w:p>
        </w:tc>
        <w:tc>
          <w:tcPr>
            <w:tcW w:w="1300" w:type="dxa"/>
            <w:vAlign w:val="bottom"/>
            <w:tcBorders>
              <w:right w:val="single" w:sz="8" w:color="939598"/>
            </w:tcBorders>
          </w:tcPr>
          <w:p>
            <w:pPr>
              <w:jc w:val="center"/>
              <w:spacing w:after="0"/>
              <w:rPr>
                <w:sz w:val="20"/>
                <w:szCs w:val="20"/>
                <w:color w:val="auto"/>
              </w:rPr>
            </w:pPr>
            <w:r>
              <w:rPr>
                <w:rFonts w:ascii="Arial" w:cs="Arial" w:eastAsia="Arial" w:hAnsi="Arial"/>
                <w:sz w:val="14"/>
                <w:szCs w:val="14"/>
                <w:color w:val="auto"/>
                <w:w w:val="99"/>
              </w:rPr>
              <w:t>Yes</w:t>
            </w:r>
          </w:p>
        </w:tc>
        <w:tc>
          <w:tcPr>
            <w:tcW w:w="2180" w:type="dxa"/>
            <w:vAlign w:val="bottom"/>
            <w:tcBorders>
              <w:right w:val="single" w:sz="8" w:color="D7282F"/>
            </w:tcBorders>
          </w:tcPr>
          <w:p>
            <w:pPr>
              <w:jc w:val="center"/>
              <w:spacing w:after="0"/>
              <w:rPr>
                <w:sz w:val="20"/>
                <w:szCs w:val="20"/>
                <w:color w:val="auto"/>
              </w:rPr>
            </w:pPr>
            <w:r>
              <w:rPr>
                <w:rFonts w:ascii="Arial" w:cs="Arial" w:eastAsia="Arial" w:hAnsi="Arial"/>
                <w:sz w:val="14"/>
                <w:szCs w:val="14"/>
                <w:color w:val="auto"/>
              </w:rPr>
              <w:t>2</w:t>
            </w:r>
          </w:p>
        </w:tc>
        <w:tc>
          <w:tcPr>
            <w:tcW w:w="860" w:type="dxa"/>
            <w:vAlign w:val="bottom"/>
            <w:tcBorders>
              <w:right w:val="single" w:sz="8" w:color="939598"/>
            </w:tcBorders>
          </w:tcPr>
          <w:p>
            <w:pPr>
              <w:spacing w:after="0"/>
              <w:rPr>
                <w:sz w:val="15"/>
                <w:szCs w:val="15"/>
                <w:color w:val="auto"/>
              </w:rPr>
            </w:pPr>
          </w:p>
        </w:tc>
        <w:tc>
          <w:tcPr>
            <w:tcW w:w="860" w:type="dxa"/>
            <w:vAlign w:val="bottom"/>
            <w:tcBorders>
              <w:right w:val="single" w:sz="8" w:color="939598"/>
            </w:tcBorders>
            <w:vMerge w:val="continue"/>
          </w:tcPr>
          <w:p>
            <w:pPr>
              <w:spacing w:after="0"/>
              <w:rPr>
                <w:sz w:val="15"/>
                <w:szCs w:val="15"/>
                <w:color w:val="auto"/>
              </w:rPr>
            </w:pPr>
          </w:p>
        </w:tc>
        <w:tc>
          <w:tcPr>
            <w:tcW w:w="860" w:type="dxa"/>
            <w:vAlign w:val="bottom"/>
            <w:tcBorders>
              <w:right w:val="single" w:sz="8" w:color="D7282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900" w:type="dxa"/>
            <w:vAlign w:val="bottom"/>
            <w:tcBorders>
              <w:right w:val="single" w:sz="8" w:color="939598"/>
            </w:tcBorders>
          </w:tcPr>
          <w:p>
            <w:pPr>
              <w:spacing w:after="0"/>
              <w:rPr>
                <w:sz w:val="16"/>
                <w:szCs w:val="16"/>
                <w:color w:val="auto"/>
              </w:rPr>
            </w:pPr>
          </w:p>
        </w:tc>
        <w:tc>
          <w:tcPr>
            <w:tcW w:w="3320" w:type="dxa"/>
            <w:vAlign w:val="bottom"/>
            <w:tcBorders>
              <w:right w:val="single" w:sz="8" w:color="939598"/>
            </w:tcBorders>
          </w:tcPr>
          <w:p>
            <w:pPr>
              <w:ind w:left="60"/>
              <w:spacing w:after="0"/>
              <w:rPr>
                <w:sz w:val="20"/>
                <w:szCs w:val="20"/>
                <w:color w:val="auto"/>
              </w:rPr>
            </w:pPr>
            <w:r>
              <w:rPr>
                <w:rFonts w:ascii="Arial" w:cs="Arial" w:eastAsia="Arial" w:hAnsi="Arial"/>
                <w:sz w:val="14"/>
                <w:szCs w:val="14"/>
                <w:color w:val="auto"/>
              </w:rPr>
              <w:t>General Motors Corporation</w:t>
            </w:r>
          </w:p>
        </w:tc>
        <w:tc>
          <w:tcPr>
            <w:tcW w:w="960" w:type="dxa"/>
            <w:vAlign w:val="bottom"/>
            <w:tcBorders>
              <w:right w:val="single" w:sz="8" w:color="939598"/>
            </w:tcBorders>
          </w:tcPr>
          <w:p>
            <w:pPr>
              <w:spacing w:after="0"/>
              <w:rPr>
                <w:sz w:val="16"/>
                <w:szCs w:val="16"/>
                <w:color w:val="auto"/>
              </w:rPr>
            </w:pPr>
          </w:p>
        </w:tc>
        <w:tc>
          <w:tcPr>
            <w:tcW w:w="1300" w:type="dxa"/>
            <w:vAlign w:val="bottom"/>
            <w:tcBorders>
              <w:right w:val="single" w:sz="8" w:color="939598"/>
            </w:tcBorders>
          </w:tcPr>
          <w:p>
            <w:pPr>
              <w:spacing w:after="0"/>
              <w:rPr>
                <w:sz w:val="16"/>
                <w:szCs w:val="16"/>
                <w:color w:val="auto"/>
              </w:rPr>
            </w:pPr>
          </w:p>
        </w:tc>
        <w:tc>
          <w:tcPr>
            <w:tcW w:w="2180" w:type="dxa"/>
            <w:vAlign w:val="bottom"/>
            <w:tcBorders>
              <w:right w:val="single" w:sz="8" w:color="D7282F"/>
            </w:tcBorders>
          </w:tcPr>
          <w:p>
            <w:pPr>
              <w:spacing w:after="0"/>
              <w:rPr>
                <w:sz w:val="16"/>
                <w:szCs w:val="16"/>
                <w:color w:val="auto"/>
              </w:rPr>
            </w:pPr>
          </w:p>
        </w:tc>
        <w:tc>
          <w:tcPr>
            <w:tcW w:w="860" w:type="dxa"/>
            <w:vAlign w:val="bottom"/>
            <w:tcBorders>
              <w:right w:val="single" w:sz="8" w:color="939598"/>
            </w:tcBorders>
          </w:tcPr>
          <w:p>
            <w:pPr>
              <w:spacing w:after="0"/>
              <w:rPr>
                <w:sz w:val="16"/>
                <w:szCs w:val="16"/>
                <w:color w:val="auto"/>
              </w:rPr>
            </w:pPr>
          </w:p>
        </w:tc>
        <w:tc>
          <w:tcPr>
            <w:tcW w:w="860" w:type="dxa"/>
            <w:vAlign w:val="bottom"/>
            <w:tcBorders>
              <w:right w:val="single" w:sz="8" w:color="939598"/>
            </w:tcBorders>
          </w:tcPr>
          <w:p>
            <w:pPr>
              <w:spacing w:after="0"/>
              <w:rPr>
                <w:sz w:val="16"/>
                <w:szCs w:val="16"/>
                <w:color w:val="auto"/>
              </w:rPr>
            </w:pPr>
          </w:p>
        </w:tc>
        <w:tc>
          <w:tcPr>
            <w:tcW w:w="860" w:type="dxa"/>
            <w:vAlign w:val="bottom"/>
            <w:tcBorders>
              <w:right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900" w:type="dxa"/>
            <w:vAlign w:val="bottom"/>
            <w:tcBorders>
              <w:bottom w:val="single" w:sz="8" w:color="939598"/>
              <w:right w:val="single" w:sz="8" w:color="939598"/>
            </w:tcBorders>
          </w:tcPr>
          <w:p>
            <w:pPr>
              <w:spacing w:after="0"/>
              <w:rPr>
                <w:sz w:val="13"/>
                <w:szCs w:val="13"/>
                <w:color w:val="auto"/>
              </w:rPr>
            </w:pPr>
          </w:p>
        </w:tc>
        <w:tc>
          <w:tcPr>
            <w:tcW w:w="3320" w:type="dxa"/>
            <w:vAlign w:val="bottom"/>
            <w:tcBorders>
              <w:bottom w:val="single" w:sz="8" w:color="939598"/>
              <w:right w:val="single" w:sz="8" w:color="939598"/>
            </w:tcBorders>
          </w:tcPr>
          <w:p>
            <w:pPr>
              <w:spacing w:after="0"/>
              <w:rPr>
                <w:sz w:val="13"/>
                <w:szCs w:val="13"/>
                <w:color w:val="auto"/>
              </w:rPr>
            </w:pPr>
          </w:p>
        </w:tc>
        <w:tc>
          <w:tcPr>
            <w:tcW w:w="960" w:type="dxa"/>
            <w:vAlign w:val="bottom"/>
            <w:tcBorders>
              <w:bottom w:val="single" w:sz="8" w:color="939598"/>
              <w:right w:val="single" w:sz="8" w:color="939598"/>
            </w:tcBorders>
          </w:tcPr>
          <w:p>
            <w:pPr>
              <w:spacing w:after="0"/>
              <w:rPr>
                <w:sz w:val="13"/>
                <w:szCs w:val="13"/>
                <w:color w:val="auto"/>
              </w:rPr>
            </w:pPr>
          </w:p>
        </w:tc>
        <w:tc>
          <w:tcPr>
            <w:tcW w:w="1300" w:type="dxa"/>
            <w:vAlign w:val="bottom"/>
            <w:tcBorders>
              <w:bottom w:val="single" w:sz="8" w:color="939598"/>
              <w:right w:val="single" w:sz="8" w:color="939598"/>
            </w:tcBorders>
          </w:tcPr>
          <w:p>
            <w:pPr>
              <w:spacing w:after="0"/>
              <w:rPr>
                <w:sz w:val="13"/>
                <w:szCs w:val="13"/>
                <w:color w:val="auto"/>
              </w:rPr>
            </w:pPr>
          </w:p>
        </w:tc>
        <w:tc>
          <w:tcPr>
            <w:tcW w:w="2180" w:type="dxa"/>
            <w:vAlign w:val="bottom"/>
            <w:tcBorders>
              <w:bottom w:val="single" w:sz="8" w:color="939598"/>
              <w:right w:val="single" w:sz="8" w:color="D7282F"/>
            </w:tcBorders>
          </w:tcPr>
          <w:p>
            <w:pPr>
              <w:spacing w:after="0"/>
              <w:rPr>
                <w:sz w:val="13"/>
                <w:szCs w:val="13"/>
                <w:color w:val="auto"/>
              </w:rPr>
            </w:pPr>
          </w:p>
        </w:tc>
        <w:tc>
          <w:tcPr>
            <w:tcW w:w="860" w:type="dxa"/>
            <w:vAlign w:val="bottom"/>
            <w:tcBorders>
              <w:bottom w:val="single" w:sz="8" w:color="939598"/>
              <w:right w:val="single" w:sz="8" w:color="939598"/>
            </w:tcBorders>
          </w:tcPr>
          <w:p>
            <w:pPr>
              <w:spacing w:after="0"/>
              <w:rPr>
                <w:sz w:val="13"/>
                <w:szCs w:val="13"/>
                <w:color w:val="auto"/>
              </w:rPr>
            </w:pPr>
          </w:p>
        </w:tc>
        <w:tc>
          <w:tcPr>
            <w:tcW w:w="860" w:type="dxa"/>
            <w:vAlign w:val="bottom"/>
            <w:tcBorders>
              <w:bottom w:val="single" w:sz="8" w:color="939598"/>
              <w:right w:val="single" w:sz="8" w:color="939598"/>
            </w:tcBorders>
          </w:tcPr>
          <w:p>
            <w:pPr>
              <w:spacing w:after="0"/>
              <w:rPr>
                <w:sz w:val="13"/>
                <w:szCs w:val="13"/>
                <w:color w:val="auto"/>
              </w:rPr>
            </w:pPr>
          </w:p>
        </w:tc>
        <w:tc>
          <w:tcPr>
            <w:tcW w:w="860" w:type="dxa"/>
            <w:vAlign w:val="bottom"/>
            <w:tcBorders>
              <w:bottom w:val="single" w:sz="8" w:color="939598"/>
              <w:right w:val="single" w:sz="8" w:color="D7282F"/>
            </w:tcBorders>
          </w:tcPr>
          <w:p>
            <w:pPr>
              <w:spacing w:after="0"/>
              <w:rPr>
                <w:sz w:val="13"/>
                <w:szCs w:val="13"/>
                <w:color w:val="auto"/>
              </w:rPr>
            </w:pPr>
          </w:p>
        </w:tc>
        <w:tc>
          <w:tcPr>
            <w:tcW w:w="0" w:type="dxa"/>
            <w:vAlign w:val="bottom"/>
          </w:tcPr>
          <w:p>
            <w:pPr>
              <w:spacing w:after="0"/>
              <w:rPr>
                <w:sz w:val="1"/>
                <w:szCs w:val="1"/>
                <w:color w:val="auto"/>
              </w:rPr>
            </w:pPr>
          </w:p>
        </w:tc>
      </w:tr>
      <w:tr>
        <w:trPr>
          <w:trHeight w:val="308"/>
        </w:trPr>
        <w:tc>
          <w:tcPr>
            <w:tcW w:w="900" w:type="dxa"/>
            <w:vAlign w:val="bottom"/>
            <w:tcBorders>
              <w:right w:val="single" w:sz="8" w:color="939598"/>
            </w:tcBorders>
          </w:tcPr>
          <w:p>
            <w:pPr>
              <w:spacing w:after="0"/>
              <w:rPr>
                <w:sz w:val="24"/>
                <w:szCs w:val="24"/>
                <w:color w:val="auto"/>
              </w:rPr>
            </w:pPr>
          </w:p>
        </w:tc>
        <w:tc>
          <w:tcPr>
            <w:tcW w:w="3320" w:type="dxa"/>
            <w:vAlign w:val="bottom"/>
            <w:tcBorders>
              <w:right w:val="single" w:sz="8" w:color="939598"/>
            </w:tcBorders>
          </w:tcPr>
          <w:p>
            <w:pPr>
              <w:ind w:left="60"/>
              <w:spacing w:after="0"/>
              <w:rPr>
                <w:sz w:val="20"/>
                <w:szCs w:val="20"/>
                <w:color w:val="auto"/>
              </w:rPr>
            </w:pPr>
            <w:r>
              <w:rPr>
                <w:rFonts w:ascii="Arial" w:cs="Arial" w:eastAsia="Arial" w:hAnsi="Arial"/>
                <w:sz w:val="14"/>
                <w:szCs w:val="14"/>
                <w:b w:val="1"/>
                <w:bCs w:val="1"/>
                <w:color w:val="auto"/>
              </w:rPr>
              <w:t>Indra K. Nooyi</w:t>
            </w:r>
          </w:p>
        </w:tc>
        <w:tc>
          <w:tcPr>
            <w:tcW w:w="960" w:type="dxa"/>
            <w:vAlign w:val="bottom"/>
            <w:tcBorders>
              <w:right w:val="single" w:sz="8" w:color="939598"/>
            </w:tcBorders>
          </w:tcPr>
          <w:p>
            <w:pPr>
              <w:spacing w:after="0"/>
              <w:rPr>
                <w:sz w:val="24"/>
                <w:szCs w:val="24"/>
                <w:color w:val="auto"/>
              </w:rPr>
            </w:pPr>
          </w:p>
        </w:tc>
        <w:tc>
          <w:tcPr>
            <w:tcW w:w="1300" w:type="dxa"/>
            <w:vAlign w:val="bottom"/>
            <w:tcBorders>
              <w:right w:val="single" w:sz="8" w:color="939598"/>
            </w:tcBorders>
          </w:tcPr>
          <w:p>
            <w:pPr>
              <w:spacing w:after="0"/>
              <w:rPr>
                <w:sz w:val="24"/>
                <w:szCs w:val="24"/>
                <w:color w:val="auto"/>
              </w:rPr>
            </w:pPr>
          </w:p>
        </w:tc>
        <w:tc>
          <w:tcPr>
            <w:tcW w:w="2180" w:type="dxa"/>
            <w:vAlign w:val="bottom"/>
            <w:tcBorders>
              <w:right w:val="single" w:sz="8" w:color="D7282F"/>
            </w:tcBorders>
          </w:tcPr>
          <w:p>
            <w:pPr>
              <w:spacing w:after="0"/>
              <w:rPr>
                <w:sz w:val="24"/>
                <w:szCs w:val="24"/>
                <w:color w:val="auto"/>
              </w:rPr>
            </w:pPr>
          </w:p>
        </w:tc>
        <w:tc>
          <w:tcPr>
            <w:tcW w:w="860" w:type="dxa"/>
            <w:vAlign w:val="bottom"/>
            <w:tcBorders>
              <w:right w:val="single" w:sz="8" w:color="939598"/>
            </w:tcBorders>
          </w:tcPr>
          <w:p>
            <w:pPr>
              <w:spacing w:after="0"/>
              <w:rPr>
                <w:sz w:val="24"/>
                <w:szCs w:val="24"/>
                <w:color w:val="auto"/>
              </w:rPr>
            </w:pPr>
          </w:p>
        </w:tc>
        <w:tc>
          <w:tcPr>
            <w:tcW w:w="860" w:type="dxa"/>
            <w:vAlign w:val="bottom"/>
            <w:tcBorders>
              <w:right w:val="single" w:sz="8" w:color="939598"/>
            </w:tcBorders>
          </w:tcPr>
          <w:p>
            <w:pPr>
              <w:spacing w:after="0"/>
              <w:rPr>
                <w:sz w:val="24"/>
                <w:szCs w:val="24"/>
                <w:color w:val="auto"/>
              </w:rPr>
            </w:pPr>
          </w:p>
        </w:tc>
        <w:tc>
          <w:tcPr>
            <w:tcW w:w="860" w:type="dxa"/>
            <w:vAlign w:val="bottom"/>
            <w:tcBorders>
              <w:right w:val="single" w:sz="8" w:color="D7282F"/>
            </w:tcBorders>
            <w:vMerge w:val="restart"/>
          </w:tcPr>
          <w:p>
            <w:pPr>
              <w:jc w:val="center"/>
              <w:spacing w:after="0"/>
              <w:rPr>
                <w:sz w:val="20"/>
                <w:szCs w:val="20"/>
                <w:color w:val="auto"/>
              </w:rPr>
            </w:pPr>
            <w:r>
              <w:rPr>
                <w:rFonts w:ascii="Wingdings" w:cs="Wingdings" w:eastAsia="Wingdings" w:hAnsi="Wingdings"/>
                <w:sz w:val="25"/>
                <w:szCs w:val="25"/>
                <w:b w:val="1"/>
                <w:bCs w:val="1"/>
                <w:color w:val="939598"/>
              </w:rPr>
              <w:t>n</w:t>
            </w:r>
          </w:p>
        </w:tc>
        <w:tc>
          <w:tcPr>
            <w:tcW w:w="0" w:type="dxa"/>
            <w:vAlign w:val="bottom"/>
          </w:tcPr>
          <w:p>
            <w:pPr>
              <w:spacing w:after="0"/>
              <w:rPr>
                <w:sz w:val="1"/>
                <w:szCs w:val="1"/>
                <w:color w:val="auto"/>
              </w:rPr>
            </w:pPr>
          </w:p>
        </w:tc>
      </w:tr>
      <w:tr>
        <w:trPr>
          <w:trHeight w:val="176"/>
        </w:trPr>
        <w:tc>
          <w:tcPr>
            <w:tcW w:w="900" w:type="dxa"/>
            <w:vAlign w:val="bottom"/>
            <w:tcBorders>
              <w:right w:val="single" w:sz="8" w:color="939598"/>
            </w:tcBorders>
          </w:tcPr>
          <w:p>
            <w:pPr>
              <w:spacing w:after="0"/>
              <w:rPr>
                <w:sz w:val="15"/>
                <w:szCs w:val="15"/>
                <w:color w:val="auto"/>
              </w:rPr>
            </w:pPr>
          </w:p>
        </w:tc>
        <w:tc>
          <w:tcPr>
            <w:tcW w:w="3320" w:type="dxa"/>
            <w:vAlign w:val="bottom"/>
            <w:tcBorders>
              <w:right w:val="single" w:sz="8" w:color="939598"/>
            </w:tcBorders>
          </w:tcPr>
          <w:p>
            <w:pPr>
              <w:ind w:left="60"/>
              <w:spacing w:after="0"/>
              <w:rPr>
                <w:sz w:val="20"/>
                <w:szCs w:val="20"/>
                <w:color w:val="auto"/>
              </w:rPr>
            </w:pPr>
            <w:r>
              <w:rPr>
                <w:rFonts w:ascii="Arial" w:cs="Arial" w:eastAsia="Arial" w:hAnsi="Arial"/>
                <w:sz w:val="14"/>
                <w:szCs w:val="14"/>
                <w:color w:val="auto"/>
              </w:rPr>
              <w:t>Former Chairman and CEO</w:t>
            </w:r>
          </w:p>
        </w:tc>
        <w:tc>
          <w:tcPr>
            <w:tcW w:w="960" w:type="dxa"/>
            <w:vAlign w:val="bottom"/>
            <w:tcBorders>
              <w:right w:val="single" w:sz="8" w:color="939598"/>
            </w:tcBorders>
          </w:tcPr>
          <w:p>
            <w:pPr>
              <w:jc w:val="center"/>
              <w:spacing w:after="0"/>
              <w:rPr>
                <w:sz w:val="20"/>
                <w:szCs w:val="20"/>
                <w:color w:val="auto"/>
              </w:rPr>
            </w:pPr>
            <w:r>
              <w:rPr>
                <w:rFonts w:ascii="Arial" w:cs="Arial" w:eastAsia="Arial" w:hAnsi="Arial"/>
                <w:sz w:val="14"/>
                <w:szCs w:val="14"/>
                <w:color w:val="auto"/>
              </w:rPr>
              <w:t>0</w:t>
            </w:r>
          </w:p>
        </w:tc>
        <w:tc>
          <w:tcPr>
            <w:tcW w:w="1300" w:type="dxa"/>
            <w:vAlign w:val="bottom"/>
            <w:tcBorders>
              <w:right w:val="single" w:sz="8" w:color="939598"/>
            </w:tcBorders>
          </w:tcPr>
          <w:p>
            <w:pPr>
              <w:jc w:val="center"/>
              <w:spacing w:after="0"/>
              <w:rPr>
                <w:sz w:val="20"/>
                <w:szCs w:val="20"/>
                <w:color w:val="auto"/>
              </w:rPr>
            </w:pPr>
            <w:r>
              <w:rPr>
                <w:rFonts w:ascii="Arial" w:cs="Arial" w:eastAsia="Arial" w:hAnsi="Arial"/>
                <w:sz w:val="14"/>
                <w:szCs w:val="14"/>
                <w:color w:val="auto"/>
                <w:w w:val="99"/>
              </w:rPr>
              <w:t>Yes</w:t>
            </w:r>
          </w:p>
        </w:tc>
        <w:tc>
          <w:tcPr>
            <w:tcW w:w="2180" w:type="dxa"/>
            <w:vAlign w:val="bottom"/>
            <w:tcBorders>
              <w:right w:val="single" w:sz="8" w:color="D7282F"/>
            </w:tcBorders>
          </w:tcPr>
          <w:p>
            <w:pPr>
              <w:jc w:val="center"/>
              <w:spacing w:after="0"/>
              <w:rPr>
                <w:sz w:val="20"/>
                <w:szCs w:val="20"/>
                <w:color w:val="auto"/>
              </w:rPr>
            </w:pPr>
            <w:r>
              <w:rPr>
                <w:rFonts w:ascii="Arial" w:cs="Arial" w:eastAsia="Arial" w:hAnsi="Arial"/>
                <w:sz w:val="14"/>
                <w:szCs w:val="14"/>
                <w:color w:val="auto"/>
              </w:rPr>
              <w:t>3</w:t>
            </w:r>
          </w:p>
        </w:tc>
        <w:tc>
          <w:tcPr>
            <w:tcW w:w="860" w:type="dxa"/>
            <w:vAlign w:val="bottom"/>
            <w:tcBorders>
              <w:right w:val="single" w:sz="8" w:color="939598"/>
            </w:tcBorders>
          </w:tcPr>
          <w:p>
            <w:pPr>
              <w:spacing w:after="0"/>
              <w:rPr>
                <w:sz w:val="15"/>
                <w:szCs w:val="15"/>
                <w:color w:val="auto"/>
              </w:rPr>
            </w:pPr>
          </w:p>
        </w:tc>
        <w:tc>
          <w:tcPr>
            <w:tcW w:w="860" w:type="dxa"/>
            <w:vAlign w:val="bottom"/>
            <w:tcBorders>
              <w:right w:val="single" w:sz="8" w:color="939598"/>
            </w:tcBorders>
          </w:tcPr>
          <w:p>
            <w:pPr>
              <w:spacing w:after="0"/>
              <w:rPr>
                <w:sz w:val="15"/>
                <w:szCs w:val="15"/>
                <w:color w:val="auto"/>
              </w:rPr>
            </w:pPr>
          </w:p>
        </w:tc>
        <w:tc>
          <w:tcPr>
            <w:tcW w:w="860" w:type="dxa"/>
            <w:vAlign w:val="bottom"/>
            <w:tcBorders>
              <w:right w:val="single" w:sz="8" w:color="D7282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900" w:type="dxa"/>
            <w:vAlign w:val="bottom"/>
            <w:tcBorders>
              <w:right w:val="single" w:sz="8" w:color="939598"/>
            </w:tcBorders>
          </w:tcPr>
          <w:p>
            <w:pPr>
              <w:spacing w:after="0"/>
              <w:rPr>
                <w:sz w:val="16"/>
                <w:szCs w:val="16"/>
                <w:color w:val="auto"/>
              </w:rPr>
            </w:pPr>
          </w:p>
        </w:tc>
        <w:tc>
          <w:tcPr>
            <w:tcW w:w="3320" w:type="dxa"/>
            <w:vAlign w:val="bottom"/>
            <w:tcBorders>
              <w:right w:val="single" w:sz="8" w:color="939598"/>
            </w:tcBorders>
          </w:tcPr>
          <w:p>
            <w:pPr>
              <w:ind w:left="60"/>
              <w:spacing w:after="0"/>
              <w:rPr>
                <w:sz w:val="20"/>
                <w:szCs w:val="20"/>
                <w:color w:val="auto"/>
              </w:rPr>
            </w:pPr>
            <w:r>
              <w:rPr>
                <w:rFonts w:ascii="Arial" w:cs="Arial" w:eastAsia="Arial" w:hAnsi="Arial"/>
                <w:sz w:val="14"/>
                <w:szCs w:val="14"/>
                <w:color w:val="auto"/>
              </w:rPr>
              <w:t>PepsiCo</w:t>
            </w:r>
          </w:p>
        </w:tc>
        <w:tc>
          <w:tcPr>
            <w:tcW w:w="960" w:type="dxa"/>
            <w:vAlign w:val="bottom"/>
            <w:tcBorders>
              <w:right w:val="single" w:sz="8" w:color="939598"/>
            </w:tcBorders>
          </w:tcPr>
          <w:p>
            <w:pPr>
              <w:spacing w:after="0"/>
              <w:rPr>
                <w:sz w:val="16"/>
                <w:szCs w:val="16"/>
                <w:color w:val="auto"/>
              </w:rPr>
            </w:pPr>
          </w:p>
        </w:tc>
        <w:tc>
          <w:tcPr>
            <w:tcW w:w="1300" w:type="dxa"/>
            <w:vAlign w:val="bottom"/>
            <w:tcBorders>
              <w:right w:val="single" w:sz="8" w:color="939598"/>
            </w:tcBorders>
          </w:tcPr>
          <w:p>
            <w:pPr>
              <w:spacing w:after="0"/>
              <w:rPr>
                <w:sz w:val="16"/>
                <w:szCs w:val="16"/>
                <w:color w:val="auto"/>
              </w:rPr>
            </w:pPr>
          </w:p>
        </w:tc>
        <w:tc>
          <w:tcPr>
            <w:tcW w:w="2180" w:type="dxa"/>
            <w:vAlign w:val="bottom"/>
            <w:tcBorders>
              <w:right w:val="single" w:sz="8" w:color="D7282F"/>
            </w:tcBorders>
          </w:tcPr>
          <w:p>
            <w:pPr>
              <w:spacing w:after="0"/>
              <w:rPr>
                <w:sz w:val="16"/>
                <w:szCs w:val="16"/>
                <w:color w:val="auto"/>
              </w:rPr>
            </w:pPr>
          </w:p>
        </w:tc>
        <w:tc>
          <w:tcPr>
            <w:tcW w:w="860" w:type="dxa"/>
            <w:vAlign w:val="bottom"/>
            <w:tcBorders>
              <w:right w:val="single" w:sz="8" w:color="939598"/>
            </w:tcBorders>
          </w:tcPr>
          <w:p>
            <w:pPr>
              <w:spacing w:after="0"/>
              <w:rPr>
                <w:sz w:val="16"/>
                <w:szCs w:val="16"/>
                <w:color w:val="auto"/>
              </w:rPr>
            </w:pPr>
          </w:p>
        </w:tc>
        <w:tc>
          <w:tcPr>
            <w:tcW w:w="860" w:type="dxa"/>
            <w:vAlign w:val="bottom"/>
            <w:tcBorders>
              <w:right w:val="single" w:sz="8" w:color="939598"/>
            </w:tcBorders>
          </w:tcPr>
          <w:p>
            <w:pPr>
              <w:spacing w:after="0"/>
              <w:rPr>
                <w:sz w:val="16"/>
                <w:szCs w:val="16"/>
                <w:color w:val="auto"/>
              </w:rPr>
            </w:pPr>
          </w:p>
        </w:tc>
        <w:tc>
          <w:tcPr>
            <w:tcW w:w="860" w:type="dxa"/>
            <w:vAlign w:val="bottom"/>
            <w:tcBorders>
              <w:right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900" w:type="dxa"/>
            <w:vAlign w:val="bottom"/>
            <w:tcBorders>
              <w:bottom w:val="single" w:sz="8" w:color="939598"/>
              <w:right w:val="single" w:sz="8" w:color="939598"/>
            </w:tcBorders>
          </w:tcPr>
          <w:p>
            <w:pPr>
              <w:spacing w:after="0"/>
              <w:rPr>
                <w:sz w:val="13"/>
                <w:szCs w:val="13"/>
                <w:color w:val="auto"/>
              </w:rPr>
            </w:pPr>
          </w:p>
        </w:tc>
        <w:tc>
          <w:tcPr>
            <w:tcW w:w="3320" w:type="dxa"/>
            <w:vAlign w:val="bottom"/>
            <w:tcBorders>
              <w:bottom w:val="single" w:sz="8" w:color="939598"/>
              <w:right w:val="single" w:sz="8" w:color="939598"/>
            </w:tcBorders>
          </w:tcPr>
          <w:p>
            <w:pPr>
              <w:spacing w:after="0"/>
              <w:rPr>
                <w:sz w:val="13"/>
                <w:szCs w:val="13"/>
                <w:color w:val="auto"/>
              </w:rPr>
            </w:pPr>
          </w:p>
        </w:tc>
        <w:tc>
          <w:tcPr>
            <w:tcW w:w="960" w:type="dxa"/>
            <w:vAlign w:val="bottom"/>
            <w:tcBorders>
              <w:bottom w:val="single" w:sz="8" w:color="939598"/>
              <w:right w:val="single" w:sz="8" w:color="939598"/>
            </w:tcBorders>
          </w:tcPr>
          <w:p>
            <w:pPr>
              <w:spacing w:after="0"/>
              <w:rPr>
                <w:sz w:val="13"/>
                <w:szCs w:val="13"/>
                <w:color w:val="auto"/>
              </w:rPr>
            </w:pPr>
          </w:p>
        </w:tc>
        <w:tc>
          <w:tcPr>
            <w:tcW w:w="1300" w:type="dxa"/>
            <w:vAlign w:val="bottom"/>
            <w:tcBorders>
              <w:bottom w:val="single" w:sz="8" w:color="939598"/>
              <w:right w:val="single" w:sz="8" w:color="939598"/>
            </w:tcBorders>
          </w:tcPr>
          <w:p>
            <w:pPr>
              <w:spacing w:after="0"/>
              <w:rPr>
                <w:sz w:val="13"/>
                <w:szCs w:val="13"/>
                <w:color w:val="auto"/>
              </w:rPr>
            </w:pPr>
          </w:p>
        </w:tc>
        <w:tc>
          <w:tcPr>
            <w:tcW w:w="2180" w:type="dxa"/>
            <w:vAlign w:val="bottom"/>
            <w:tcBorders>
              <w:bottom w:val="single" w:sz="8" w:color="939598"/>
              <w:right w:val="single" w:sz="8" w:color="D7282F"/>
            </w:tcBorders>
          </w:tcPr>
          <w:p>
            <w:pPr>
              <w:spacing w:after="0"/>
              <w:rPr>
                <w:sz w:val="13"/>
                <w:szCs w:val="13"/>
                <w:color w:val="auto"/>
              </w:rPr>
            </w:pPr>
          </w:p>
        </w:tc>
        <w:tc>
          <w:tcPr>
            <w:tcW w:w="860" w:type="dxa"/>
            <w:vAlign w:val="bottom"/>
            <w:tcBorders>
              <w:bottom w:val="single" w:sz="8" w:color="939598"/>
              <w:right w:val="single" w:sz="8" w:color="939598"/>
            </w:tcBorders>
          </w:tcPr>
          <w:p>
            <w:pPr>
              <w:spacing w:after="0"/>
              <w:rPr>
                <w:sz w:val="13"/>
                <w:szCs w:val="13"/>
                <w:color w:val="auto"/>
              </w:rPr>
            </w:pPr>
          </w:p>
        </w:tc>
        <w:tc>
          <w:tcPr>
            <w:tcW w:w="860" w:type="dxa"/>
            <w:vAlign w:val="bottom"/>
            <w:tcBorders>
              <w:bottom w:val="single" w:sz="8" w:color="939598"/>
              <w:right w:val="single" w:sz="8" w:color="939598"/>
            </w:tcBorders>
          </w:tcPr>
          <w:p>
            <w:pPr>
              <w:spacing w:after="0"/>
              <w:rPr>
                <w:sz w:val="13"/>
                <w:szCs w:val="13"/>
                <w:color w:val="auto"/>
              </w:rPr>
            </w:pPr>
          </w:p>
        </w:tc>
        <w:tc>
          <w:tcPr>
            <w:tcW w:w="860" w:type="dxa"/>
            <w:vAlign w:val="bottom"/>
            <w:tcBorders>
              <w:bottom w:val="single" w:sz="8" w:color="939598"/>
              <w:right w:val="single" w:sz="8" w:color="D7282F"/>
            </w:tcBorders>
          </w:tcPr>
          <w:p>
            <w:pPr>
              <w:spacing w:after="0"/>
              <w:rPr>
                <w:sz w:val="13"/>
                <w:szCs w:val="13"/>
                <w:color w:val="auto"/>
              </w:rPr>
            </w:pPr>
          </w:p>
        </w:tc>
        <w:tc>
          <w:tcPr>
            <w:tcW w:w="0" w:type="dxa"/>
            <w:vAlign w:val="bottom"/>
          </w:tcPr>
          <w:p>
            <w:pPr>
              <w:spacing w:after="0"/>
              <w:rPr>
                <w:sz w:val="1"/>
                <w:szCs w:val="1"/>
                <w:color w:val="auto"/>
              </w:rPr>
            </w:pPr>
          </w:p>
        </w:tc>
      </w:tr>
      <w:tr>
        <w:trPr>
          <w:trHeight w:val="308"/>
        </w:trPr>
        <w:tc>
          <w:tcPr>
            <w:tcW w:w="900" w:type="dxa"/>
            <w:vAlign w:val="bottom"/>
            <w:tcBorders>
              <w:right w:val="single" w:sz="8" w:color="939598"/>
            </w:tcBorders>
          </w:tcPr>
          <w:p>
            <w:pPr>
              <w:spacing w:after="0"/>
              <w:rPr>
                <w:sz w:val="24"/>
                <w:szCs w:val="24"/>
                <w:color w:val="auto"/>
              </w:rPr>
            </w:pPr>
          </w:p>
        </w:tc>
        <w:tc>
          <w:tcPr>
            <w:tcW w:w="3320" w:type="dxa"/>
            <w:vAlign w:val="bottom"/>
            <w:tcBorders>
              <w:right w:val="single" w:sz="8" w:color="939598"/>
            </w:tcBorders>
          </w:tcPr>
          <w:p>
            <w:pPr>
              <w:ind w:left="60"/>
              <w:spacing w:after="0"/>
              <w:rPr>
                <w:sz w:val="20"/>
                <w:szCs w:val="20"/>
                <w:color w:val="auto"/>
              </w:rPr>
            </w:pPr>
            <w:r>
              <w:rPr>
                <w:rFonts w:ascii="Arial" w:cs="Arial" w:eastAsia="Arial" w:hAnsi="Arial"/>
                <w:sz w:val="14"/>
                <w:szCs w:val="14"/>
                <w:b w:val="1"/>
                <w:bCs w:val="1"/>
                <w:color w:val="auto"/>
              </w:rPr>
              <w:t>Marc Steinberg</w:t>
            </w:r>
          </w:p>
        </w:tc>
        <w:tc>
          <w:tcPr>
            <w:tcW w:w="960" w:type="dxa"/>
            <w:vAlign w:val="bottom"/>
            <w:tcBorders>
              <w:right w:val="single" w:sz="8" w:color="939598"/>
            </w:tcBorders>
          </w:tcPr>
          <w:p>
            <w:pPr>
              <w:spacing w:after="0"/>
              <w:rPr>
                <w:sz w:val="24"/>
                <w:szCs w:val="24"/>
                <w:color w:val="auto"/>
              </w:rPr>
            </w:pPr>
          </w:p>
        </w:tc>
        <w:tc>
          <w:tcPr>
            <w:tcW w:w="1300" w:type="dxa"/>
            <w:vAlign w:val="bottom"/>
            <w:tcBorders>
              <w:right w:val="single" w:sz="8" w:color="939598"/>
            </w:tcBorders>
          </w:tcPr>
          <w:p>
            <w:pPr>
              <w:spacing w:after="0"/>
              <w:rPr>
                <w:sz w:val="24"/>
                <w:szCs w:val="24"/>
                <w:color w:val="auto"/>
              </w:rPr>
            </w:pPr>
          </w:p>
        </w:tc>
        <w:tc>
          <w:tcPr>
            <w:tcW w:w="2180" w:type="dxa"/>
            <w:vAlign w:val="bottom"/>
            <w:tcBorders>
              <w:right w:val="single" w:sz="8" w:color="D7282F"/>
            </w:tcBorders>
          </w:tcPr>
          <w:p>
            <w:pPr>
              <w:spacing w:after="0"/>
              <w:rPr>
                <w:sz w:val="24"/>
                <w:szCs w:val="24"/>
                <w:color w:val="auto"/>
              </w:rPr>
            </w:pPr>
          </w:p>
        </w:tc>
        <w:tc>
          <w:tcPr>
            <w:tcW w:w="860" w:type="dxa"/>
            <w:vAlign w:val="bottom"/>
            <w:tcBorders>
              <w:right w:val="single" w:sz="8" w:color="939598"/>
            </w:tcBorders>
            <w:vMerge w:val="restart"/>
          </w:tcPr>
          <w:p>
            <w:pPr>
              <w:jc w:val="center"/>
              <w:spacing w:after="0"/>
              <w:rPr>
                <w:sz w:val="20"/>
                <w:szCs w:val="20"/>
                <w:color w:val="auto"/>
              </w:rPr>
            </w:pPr>
            <w:r>
              <w:rPr>
                <w:rFonts w:ascii="Wingdings" w:cs="Wingdings" w:eastAsia="Wingdings" w:hAnsi="Wingdings"/>
                <w:sz w:val="25"/>
                <w:szCs w:val="25"/>
                <w:b w:val="1"/>
                <w:bCs w:val="1"/>
                <w:color w:val="939598"/>
                <w:w w:val="96"/>
              </w:rPr>
              <w:t>n</w:t>
            </w:r>
          </w:p>
        </w:tc>
        <w:tc>
          <w:tcPr>
            <w:tcW w:w="860" w:type="dxa"/>
            <w:vAlign w:val="bottom"/>
            <w:tcBorders>
              <w:right w:val="single" w:sz="8" w:color="939598"/>
            </w:tcBorders>
          </w:tcPr>
          <w:p>
            <w:pPr>
              <w:spacing w:after="0"/>
              <w:rPr>
                <w:sz w:val="24"/>
                <w:szCs w:val="24"/>
                <w:color w:val="auto"/>
              </w:rPr>
            </w:pPr>
          </w:p>
        </w:tc>
        <w:tc>
          <w:tcPr>
            <w:tcW w:w="860" w:type="dxa"/>
            <w:vAlign w:val="bottom"/>
            <w:tcBorders>
              <w:right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900" w:type="dxa"/>
            <w:vAlign w:val="bottom"/>
            <w:tcBorders>
              <w:right w:val="single" w:sz="8" w:color="939598"/>
            </w:tcBorders>
          </w:tcPr>
          <w:p>
            <w:pPr>
              <w:spacing w:after="0"/>
              <w:rPr>
                <w:sz w:val="15"/>
                <w:szCs w:val="15"/>
                <w:color w:val="auto"/>
              </w:rPr>
            </w:pPr>
          </w:p>
        </w:tc>
        <w:tc>
          <w:tcPr>
            <w:tcW w:w="3320" w:type="dxa"/>
            <w:vAlign w:val="bottom"/>
            <w:tcBorders>
              <w:right w:val="single" w:sz="8" w:color="939598"/>
            </w:tcBorders>
          </w:tcPr>
          <w:p>
            <w:pPr>
              <w:ind w:left="60"/>
              <w:spacing w:after="0"/>
              <w:rPr>
                <w:sz w:val="20"/>
                <w:szCs w:val="20"/>
                <w:color w:val="auto"/>
              </w:rPr>
            </w:pPr>
            <w:r>
              <w:rPr>
                <w:rFonts w:ascii="Arial" w:cs="Arial" w:eastAsia="Arial" w:hAnsi="Arial"/>
                <w:sz w:val="14"/>
                <w:szCs w:val="14"/>
                <w:color w:val="auto"/>
              </w:rPr>
              <w:t>Partner</w:t>
            </w:r>
          </w:p>
        </w:tc>
        <w:tc>
          <w:tcPr>
            <w:tcW w:w="960" w:type="dxa"/>
            <w:vAlign w:val="bottom"/>
            <w:tcBorders>
              <w:right w:val="single" w:sz="8" w:color="939598"/>
            </w:tcBorders>
          </w:tcPr>
          <w:p>
            <w:pPr>
              <w:jc w:val="center"/>
              <w:spacing w:after="0"/>
              <w:rPr>
                <w:sz w:val="20"/>
                <w:szCs w:val="20"/>
                <w:color w:val="auto"/>
              </w:rPr>
            </w:pPr>
            <w:r>
              <w:rPr>
                <w:rFonts w:ascii="Arial" w:cs="Arial" w:eastAsia="Arial" w:hAnsi="Arial"/>
                <w:sz w:val="14"/>
                <w:szCs w:val="14"/>
                <w:color w:val="auto"/>
              </w:rPr>
              <w:t>0</w:t>
            </w:r>
          </w:p>
        </w:tc>
        <w:tc>
          <w:tcPr>
            <w:tcW w:w="1300" w:type="dxa"/>
            <w:vAlign w:val="bottom"/>
            <w:tcBorders>
              <w:right w:val="single" w:sz="8" w:color="939598"/>
            </w:tcBorders>
          </w:tcPr>
          <w:p>
            <w:pPr>
              <w:jc w:val="center"/>
              <w:spacing w:after="0"/>
              <w:rPr>
                <w:sz w:val="20"/>
                <w:szCs w:val="20"/>
                <w:color w:val="auto"/>
              </w:rPr>
            </w:pPr>
            <w:r>
              <w:rPr>
                <w:rFonts w:ascii="Arial" w:cs="Arial" w:eastAsia="Arial" w:hAnsi="Arial"/>
                <w:sz w:val="14"/>
                <w:szCs w:val="14"/>
                <w:color w:val="auto"/>
                <w:w w:val="99"/>
              </w:rPr>
              <w:t>Yes</w:t>
            </w:r>
          </w:p>
        </w:tc>
        <w:tc>
          <w:tcPr>
            <w:tcW w:w="2180" w:type="dxa"/>
            <w:vAlign w:val="bottom"/>
            <w:tcBorders>
              <w:right w:val="single" w:sz="8" w:color="D7282F"/>
            </w:tcBorders>
          </w:tcPr>
          <w:p>
            <w:pPr>
              <w:jc w:val="center"/>
              <w:spacing w:after="0"/>
              <w:rPr>
                <w:sz w:val="20"/>
                <w:szCs w:val="20"/>
                <w:color w:val="auto"/>
              </w:rPr>
            </w:pPr>
            <w:r>
              <w:rPr>
                <w:rFonts w:ascii="Arial" w:cs="Arial" w:eastAsia="Arial" w:hAnsi="Arial"/>
                <w:sz w:val="14"/>
                <w:szCs w:val="14"/>
                <w:color w:val="auto"/>
              </w:rPr>
              <w:t>3</w:t>
            </w:r>
          </w:p>
        </w:tc>
        <w:tc>
          <w:tcPr>
            <w:tcW w:w="860" w:type="dxa"/>
            <w:vAlign w:val="bottom"/>
            <w:tcBorders>
              <w:right w:val="single" w:sz="8" w:color="939598"/>
            </w:tcBorders>
            <w:vMerge w:val="continue"/>
          </w:tcPr>
          <w:p>
            <w:pPr>
              <w:spacing w:after="0"/>
              <w:rPr>
                <w:sz w:val="15"/>
                <w:szCs w:val="15"/>
                <w:color w:val="auto"/>
              </w:rPr>
            </w:pPr>
          </w:p>
        </w:tc>
        <w:tc>
          <w:tcPr>
            <w:tcW w:w="860" w:type="dxa"/>
            <w:vAlign w:val="bottom"/>
            <w:tcBorders>
              <w:right w:val="single" w:sz="8" w:color="939598"/>
            </w:tcBorders>
          </w:tcPr>
          <w:p>
            <w:pPr>
              <w:spacing w:after="0"/>
              <w:rPr>
                <w:sz w:val="15"/>
                <w:szCs w:val="15"/>
                <w:color w:val="auto"/>
              </w:rPr>
            </w:pPr>
          </w:p>
        </w:tc>
        <w:tc>
          <w:tcPr>
            <w:tcW w:w="860" w:type="dxa"/>
            <w:vAlign w:val="bottom"/>
            <w:tcBorders>
              <w:right w:val="single" w:sz="8" w:color="D7282F"/>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900" w:type="dxa"/>
            <w:vAlign w:val="bottom"/>
            <w:tcBorders>
              <w:right w:val="single" w:sz="8" w:color="939598"/>
            </w:tcBorders>
          </w:tcPr>
          <w:p>
            <w:pPr>
              <w:spacing w:after="0"/>
              <w:rPr>
                <w:sz w:val="16"/>
                <w:szCs w:val="16"/>
                <w:color w:val="auto"/>
              </w:rPr>
            </w:pPr>
          </w:p>
        </w:tc>
        <w:tc>
          <w:tcPr>
            <w:tcW w:w="3320" w:type="dxa"/>
            <w:vAlign w:val="bottom"/>
            <w:tcBorders>
              <w:right w:val="single" w:sz="8" w:color="939598"/>
            </w:tcBorders>
          </w:tcPr>
          <w:p>
            <w:pPr>
              <w:ind w:left="60"/>
              <w:spacing w:after="0"/>
              <w:rPr>
                <w:sz w:val="20"/>
                <w:szCs w:val="20"/>
                <w:color w:val="auto"/>
              </w:rPr>
            </w:pPr>
            <w:r>
              <w:rPr>
                <w:rFonts w:ascii="Arial" w:cs="Arial" w:eastAsia="Arial" w:hAnsi="Arial"/>
                <w:sz w:val="14"/>
                <w:szCs w:val="14"/>
                <w:color w:val="auto"/>
              </w:rPr>
              <w:t>Elliott Investment Management</w:t>
            </w:r>
          </w:p>
        </w:tc>
        <w:tc>
          <w:tcPr>
            <w:tcW w:w="960" w:type="dxa"/>
            <w:vAlign w:val="bottom"/>
            <w:tcBorders>
              <w:right w:val="single" w:sz="8" w:color="939598"/>
            </w:tcBorders>
          </w:tcPr>
          <w:p>
            <w:pPr>
              <w:spacing w:after="0"/>
              <w:rPr>
                <w:sz w:val="16"/>
                <w:szCs w:val="16"/>
                <w:color w:val="auto"/>
              </w:rPr>
            </w:pPr>
          </w:p>
        </w:tc>
        <w:tc>
          <w:tcPr>
            <w:tcW w:w="1300" w:type="dxa"/>
            <w:vAlign w:val="bottom"/>
            <w:tcBorders>
              <w:right w:val="single" w:sz="8" w:color="939598"/>
            </w:tcBorders>
          </w:tcPr>
          <w:p>
            <w:pPr>
              <w:spacing w:after="0"/>
              <w:rPr>
                <w:sz w:val="16"/>
                <w:szCs w:val="16"/>
                <w:color w:val="auto"/>
              </w:rPr>
            </w:pPr>
          </w:p>
        </w:tc>
        <w:tc>
          <w:tcPr>
            <w:tcW w:w="2180" w:type="dxa"/>
            <w:vAlign w:val="bottom"/>
            <w:tcBorders>
              <w:right w:val="single" w:sz="8" w:color="D7282F"/>
            </w:tcBorders>
          </w:tcPr>
          <w:p>
            <w:pPr>
              <w:spacing w:after="0"/>
              <w:rPr>
                <w:sz w:val="16"/>
                <w:szCs w:val="16"/>
                <w:color w:val="auto"/>
              </w:rPr>
            </w:pPr>
          </w:p>
        </w:tc>
        <w:tc>
          <w:tcPr>
            <w:tcW w:w="860" w:type="dxa"/>
            <w:vAlign w:val="bottom"/>
            <w:tcBorders>
              <w:right w:val="single" w:sz="8" w:color="939598"/>
            </w:tcBorders>
          </w:tcPr>
          <w:p>
            <w:pPr>
              <w:spacing w:after="0"/>
              <w:rPr>
                <w:sz w:val="16"/>
                <w:szCs w:val="16"/>
                <w:color w:val="auto"/>
              </w:rPr>
            </w:pPr>
          </w:p>
        </w:tc>
        <w:tc>
          <w:tcPr>
            <w:tcW w:w="860" w:type="dxa"/>
            <w:vAlign w:val="bottom"/>
            <w:tcBorders>
              <w:right w:val="single" w:sz="8" w:color="939598"/>
            </w:tcBorders>
          </w:tcPr>
          <w:p>
            <w:pPr>
              <w:spacing w:after="0"/>
              <w:rPr>
                <w:sz w:val="16"/>
                <w:szCs w:val="16"/>
                <w:color w:val="auto"/>
              </w:rPr>
            </w:pPr>
          </w:p>
        </w:tc>
        <w:tc>
          <w:tcPr>
            <w:tcW w:w="860" w:type="dxa"/>
            <w:vAlign w:val="bottom"/>
            <w:tcBorders>
              <w:right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900" w:type="dxa"/>
            <w:vAlign w:val="bottom"/>
            <w:tcBorders>
              <w:bottom w:val="single" w:sz="8" w:color="939598"/>
              <w:right w:val="single" w:sz="8" w:color="939598"/>
            </w:tcBorders>
          </w:tcPr>
          <w:p>
            <w:pPr>
              <w:spacing w:after="0"/>
              <w:rPr>
                <w:sz w:val="13"/>
                <w:szCs w:val="13"/>
                <w:color w:val="auto"/>
              </w:rPr>
            </w:pPr>
          </w:p>
        </w:tc>
        <w:tc>
          <w:tcPr>
            <w:tcW w:w="3320" w:type="dxa"/>
            <w:vAlign w:val="bottom"/>
            <w:tcBorders>
              <w:bottom w:val="single" w:sz="8" w:color="939598"/>
              <w:right w:val="single" w:sz="8" w:color="939598"/>
            </w:tcBorders>
          </w:tcPr>
          <w:p>
            <w:pPr>
              <w:spacing w:after="0"/>
              <w:rPr>
                <w:sz w:val="13"/>
                <w:szCs w:val="13"/>
                <w:color w:val="auto"/>
              </w:rPr>
            </w:pPr>
          </w:p>
        </w:tc>
        <w:tc>
          <w:tcPr>
            <w:tcW w:w="960" w:type="dxa"/>
            <w:vAlign w:val="bottom"/>
            <w:tcBorders>
              <w:bottom w:val="single" w:sz="8" w:color="939598"/>
              <w:right w:val="single" w:sz="8" w:color="939598"/>
            </w:tcBorders>
          </w:tcPr>
          <w:p>
            <w:pPr>
              <w:spacing w:after="0"/>
              <w:rPr>
                <w:sz w:val="13"/>
                <w:szCs w:val="13"/>
                <w:color w:val="auto"/>
              </w:rPr>
            </w:pPr>
          </w:p>
        </w:tc>
        <w:tc>
          <w:tcPr>
            <w:tcW w:w="1300" w:type="dxa"/>
            <w:vAlign w:val="bottom"/>
            <w:tcBorders>
              <w:bottom w:val="single" w:sz="8" w:color="939598"/>
              <w:right w:val="single" w:sz="8" w:color="939598"/>
            </w:tcBorders>
          </w:tcPr>
          <w:p>
            <w:pPr>
              <w:spacing w:after="0"/>
              <w:rPr>
                <w:sz w:val="13"/>
                <w:szCs w:val="13"/>
                <w:color w:val="auto"/>
              </w:rPr>
            </w:pPr>
          </w:p>
        </w:tc>
        <w:tc>
          <w:tcPr>
            <w:tcW w:w="2180" w:type="dxa"/>
            <w:vAlign w:val="bottom"/>
            <w:tcBorders>
              <w:bottom w:val="single" w:sz="8" w:color="939598"/>
              <w:right w:val="single" w:sz="8" w:color="D7282F"/>
            </w:tcBorders>
          </w:tcPr>
          <w:p>
            <w:pPr>
              <w:spacing w:after="0"/>
              <w:rPr>
                <w:sz w:val="13"/>
                <w:szCs w:val="13"/>
                <w:color w:val="auto"/>
              </w:rPr>
            </w:pPr>
          </w:p>
        </w:tc>
        <w:tc>
          <w:tcPr>
            <w:tcW w:w="860" w:type="dxa"/>
            <w:vAlign w:val="bottom"/>
            <w:tcBorders>
              <w:bottom w:val="single" w:sz="8" w:color="939598"/>
              <w:right w:val="single" w:sz="8" w:color="939598"/>
            </w:tcBorders>
          </w:tcPr>
          <w:p>
            <w:pPr>
              <w:spacing w:after="0"/>
              <w:rPr>
                <w:sz w:val="13"/>
                <w:szCs w:val="13"/>
                <w:color w:val="auto"/>
              </w:rPr>
            </w:pPr>
          </w:p>
        </w:tc>
        <w:tc>
          <w:tcPr>
            <w:tcW w:w="860" w:type="dxa"/>
            <w:vAlign w:val="bottom"/>
            <w:tcBorders>
              <w:bottom w:val="single" w:sz="8" w:color="939598"/>
              <w:right w:val="single" w:sz="8" w:color="939598"/>
            </w:tcBorders>
          </w:tcPr>
          <w:p>
            <w:pPr>
              <w:spacing w:after="0"/>
              <w:rPr>
                <w:sz w:val="13"/>
                <w:szCs w:val="13"/>
                <w:color w:val="auto"/>
              </w:rPr>
            </w:pPr>
          </w:p>
        </w:tc>
        <w:tc>
          <w:tcPr>
            <w:tcW w:w="860" w:type="dxa"/>
            <w:vAlign w:val="bottom"/>
            <w:tcBorders>
              <w:bottom w:val="single" w:sz="8" w:color="939598"/>
              <w:right w:val="single" w:sz="8" w:color="D7282F"/>
            </w:tcBorders>
          </w:tcPr>
          <w:p>
            <w:pPr>
              <w:spacing w:after="0"/>
              <w:rPr>
                <w:sz w:val="13"/>
                <w:szCs w:val="13"/>
                <w:color w:val="auto"/>
              </w:rPr>
            </w:pPr>
          </w:p>
        </w:tc>
        <w:tc>
          <w:tcPr>
            <w:tcW w:w="0" w:type="dxa"/>
            <w:vAlign w:val="bottom"/>
          </w:tcPr>
          <w:p>
            <w:pPr>
              <w:spacing w:after="0"/>
              <w:rPr>
                <w:sz w:val="1"/>
                <w:szCs w:val="1"/>
                <w:color w:val="auto"/>
              </w:rPr>
            </w:pPr>
          </w:p>
        </w:tc>
      </w:tr>
      <w:tr>
        <w:trPr>
          <w:trHeight w:val="308"/>
        </w:trPr>
        <w:tc>
          <w:tcPr>
            <w:tcW w:w="900" w:type="dxa"/>
            <w:vAlign w:val="bottom"/>
            <w:tcBorders>
              <w:right w:val="single" w:sz="8" w:color="939598"/>
            </w:tcBorders>
          </w:tcPr>
          <w:p>
            <w:pPr>
              <w:spacing w:after="0"/>
              <w:rPr>
                <w:sz w:val="24"/>
                <w:szCs w:val="24"/>
                <w:color w:val="auto"/>
              </w:rPr>
            </w:pPr>
          </w:p>
        </w:tc>
        <w:tc>
          <w:tcPr>
            <w:tcW w:w="3320" w:type="dxa"/>
            <w:vAlign w:val="bottom"/>
            <w:tcBorders>
              <w:right w:val="single" w:sz="8" w:color="939598"/>
            </w:tcBorders>
          </w:tcPr>
          <w:p>
            <w:pPr>
              <w:ind w:left="60"/>
              <w:spacing w:after="0"/>
              <w:rPr>
                <w:sz w:val="20"/>
                <w:szCs w:val="20"/>
                <w:color w:val="auto"/>
              </w:rPr>
            </w:pPr>
            <w:r>
              <w:rPr>
                <w:rFonts w:ascii="Arial" w:cs="Arial" w:eastAsia="Arial" w:hAnsi="Arial"/>
                <w:sz w:val="14"/>
                <w:szCs w:val="14"/>
                <w:b w:val="1"/>
                <w:bCs w:val="1"/>
                <w:color w:val="auto"/>
              </w:rPr>
              <w:t>Robin Watson</w:t>
            </w:r>
          </w:p>
        </w:tc>
        <w:tc>
          <w:tcPr>
            <w:tcW w:w="960" w:type="dxa"/>
            <w:vAlign w:val="bottom"/>
            <w:tcBorders>
              <w:right w:val="single" w:sz="8" w:color="939598"/>
            </w:tcBorders>
          </w:tcPr>
          <w:p>
            <w:pPr>
              <w:spacing w:after="0"/>
              <w:rPr>
                <w:sz w:val="24"/>
                <w:szCs w:val="24"/>
                <w:color w:val="auto"/>
              </w:rPr>
            </w:pPr>
          </w:p>
        </w:tc>
        <w:tc>
          <w:tcPr>
            <w:tcW w:w="1300" w:type="dxa"/>
            <w:vAlign w:val="bottom"/>
            <w:tcBorders>
              <w:right w:val="single" w:sz="8" w:color="939598"/>
            </w:tcBorders>
          </w:tcPr>
          <w:p>
            <w:pPr>
              <w:spacing w:after="0"/>
              <w:rPr>
                <w:sz w:val="24"/>
                <w:szCs w:val="24"/>
                <w:color w:val="auto"/>
              </w:rPr>
            </w:pPr>
          </w:p>
        </w:tc>
        <w:tc>
          <w:tcPr>
            <w:tcW w:w="2180" w:type="dxa"/>
            <w:vAlign w:val="bottom"/>
            <w:tcBorders>
              <w:right w:val="single" w:sz="8" w:color="D7282F"/>
            </w:tcBorders>
          </w:tcPr>
          <w:p>
            <w:pPr>
              <w:spacing w:after="0"/>
              <w:rPr>
                <w:sz w:val="24"/>
                <w:szCs w:val="24"/>
                <w:color w:val="auto"/>
              </w:rPr>
            </w:pPr>
          </w:p>
        </w:tc>
        <w:tc>
          <w:tcPr>
            <w:tcW w:w="860" w:type="dxa"/>
            <w:vAlign w:val="bottom"/>
            <w:tcBorders>
              <w:right w:val="single" w:sz="8" w:color="939598"/>
            </w:tcBorders>
            <w:vMerge w:val="restart"/>
          </w:tcPr>
          <w:p>
            <w:pPr>
              <w:jc w:val="center"/>
              <w:spacing w:after="0"/>
              <w:rPr>
                <w:sz w:val="20"/>
                <w:szCs w:val="20"/>
                <w:color w:val="auto"/>
              </w:rPr>
            </w:pPr>
            <w:r>
              <w:rPr>
                <w:rFonts w:ascii="Wingdings" w:cs="Wingdings" w:eastAsia="Wingdings" w:hAnsi="Wingdings"/>
                <w:sz w:val="25"/>
                <w:szCs w:val="25"/>
                <w:b w:val="1"/>
                <w:bCs w:val="1"/>
                <w:color w:val="939598"/>
                <w:w w:val="96"/>
              </w:rPr>
              <w:t>n</w:t>
            </w:r>
          </w:p>
        </w:tc>
        <w:tc>
          <w:tcPr>
            <w:tcW w:w="860" w:type="dxa"/>
            <w:vAlign w:val="bottom"/>
            <w:tcBorders>
              <w:right w:val="single" w:sz="8" w:color="939598"/>
            </w:tcBorders>
          </w:tcPr>
          <w:p>
            <w:pPr>
              <w:spacing w:after="0"/>
              <w:rPr>
                <w:sz w:val="24"/>
                <w:szCs w:val="24"/>
                <w:color w:val="auto"/>
              </w:rPr>
            </w:pPr>
          </w:p>
        </w:tc>
        <w:tc>
          <w:tcPr>
            <w:tcW w:w="860" w:type="dxa"/>
            <w:vAlign w:val="bottom"/>
            <w:tcBorders>
              <w:right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900" w:type="dxa"/>
            <w:vAlign w:val="bottom"/>
            <w:tcBorders>
              <w:right w:val="single" w:sz="8" w:color="939598"/>
            </w:tcBorders>
          </w:tcPr>
          <w:p>
            <w:pPr>
              <w:spacing w:after="0"/>
              <w:rPr>
                <w:sz w:val="15"/>
                <w:szCs w:val="15"/>
                <w:color w:val="auto"/>
              </w:rPr>
            </w:pPr>
          </w:p>
        </w:tc>
        <w:tc>
          <w:tcPr>
            <w:tcW w:w="3320" w:type="dxa"/>
            <w:vAlign w:val="bottom"/>
            <w:tcBorders>
              <w:right w:val="single" w:sz="8" w:color="939598"/>
            </w:tcBorders>
          </w:tcPr>
          <w:p>
            <w:pPr>
              <w:ind w:left="60"/>
              <w:spacing w:after="0"/>
              <w:rPr>
                <w:sz w:val="20"/>
                <w:szCs w:val="20"/>
                <w:color w:val="auto"/>
              </w:rPr>
            </w:pPr>
            <w:r>
              <w:rPr>
                <w:rFonts w:ascii="Arial" w:cs="Arial" w:eastAsia="Arial" w:hAnsi="Arial"/>
                <w:sz w:val="14"/>
                <w:szCs w:val="14"/>
                <w:color w:val="auto"/>
              </w:rPr>
              <w:t>Former CEO</w:t>
            </w:r>
          </w:p>
        </w:tc>
        <w:tc>
          <w:tcPr>
            <w:tcW w:w="960" w:type="dxa"/>
            <w:vAlign w:val="bottom"/>
            <w:tcBorders>
              <w:right w:val="single" w:sz="8" w:color="939598"/>
            </w:tcBorders>
          </w:tcPr>
          <w:p>
            <w:pPr>
              <w:jc w:val="center"/>
              <w:spacing w:after="0"/>
              <w:rPr>
                <w:sz w:val="20"/>
                <w:szCs w:val="20"/>
                <w:color w:val="auto"/>
              </w:rPr>
            </w:pPr>
            <w:r>
              <w:rPr>
                <w:rFonts w:ascii="Arial" w:cs="Arial" w:eastAsia="Arial" w:hAnsi="Arial"/>
                <w:sz w:val="14"/>
                <w:szCs w:val="14"/>
                <w:color w:val="auto"/>
              </w:rPr>
              <w:t>3</w:t>
            </w:r>
          </w:p>
        </w:tc>
        <w:tc>
          <w:tcPr>
            <w:tcW w:w="1300" w:type="dxa"/>
            <w:vAlign w:val="bottom"/>
            <w:tcBorders>
              <w:right w:val="single" w:sz="8" w:color="939598"/>
            </w:tcBorders>
          </w:tcPr>
          <w:p>
            <w:pPr>
              <w:jc w:val="center"/>
              <w:spacing w:after="0"/>
              <w:rPr>
                <w:sz w:val="20"/>
                <w:szCs w:val="20"/>
                <w:color w:val="auto"/>
              </w:rPr>
            </w:pPr>
            <w:r>
              <w:rPr>
                <w:rFonts w:ascii="Arial" w:cs="Arial" w:eastAsia="Arial" w:hAnsi="Arial"/>
                <w:sz w:val="14"/>
                <w:szCs w:val="14"/>
                <w:color w:val="auto"/>
                <w:w w:val="99"/>
              </w:rPr>
              <w:t>Yes</w:t>
            </w:r>
          </w:p>
        </w:tc>
        <w:tc>
          <w:tcPr>
            <w:tcW w:w="2180" w:type="dxa"/>
            <w:vAlign w:val="bottom"/>
            <w:tcBorders>
              <w:right w:val="single" w:sz="8" w:color="D7282F"/>
            </w:tcBorders>
          </w:tcPr>
          <w:p>
            <w:pPr>
              <w:jc w:val="center"/>
              <w:spacing w:after="0"/>
              <w:rPr>
                <w:sz w:val="20"/>
                <w:szCs w:val="20"/>
                <w:color w:val="auto"/>
              </w:rPr>
            </w:pPr>
            <w:r>
              <w:rPr>
                <w:rFonts w:ascii="Arial" w:cs="Arial" w:eastAsia="Arial" w:hAnsi="Arial"/>
                <w:sz w:val="14"/>
                <w:szCs w:val="14"/>
                <w:color w:val="auto"/>
              </w:rPr>
              <w:t>1</w:t>
            </w:r>
          </w:p>
        </w:tc>
        <w:tc>
          <w:tcPr>
            <w:tcW w:w="860" w:type="dxa"/>
            <w:vAlign w:val="bottom"/>
            <w:tcBorders>
              <w:right w:val="single" w:sz="8" w:color="939598"/>
            </w:tcBorders>
            <w:vMerge w:val="continue"/>
          </w:tcPr>
          <w:p>
            <w:pPr>
              <w:spacing w:after="0"/>
              <w:rPr>
                <w:sz w:val="15"/>
                <w:szCs w:val="15"/>
                <w:color w:val="auto"/>
              </w:rPr>
            </w:pPr>
          </w:p>
        </w:tc>
        <w:tc>
          <w:tcPr>
            <w:tcW w:w="860" w:type="dxa"/>
            <w:vAlign w:val="bottom"/>
            <w:tcBorders>
              <w:right w:val="single" w:sz="8" w:color="939598"/>
            </w:tcBorders>
          </w:tcPr>
          <w:p>
            <w:pPr>
              <w:spacing w:after="0"/>
              <w:rPr>
                <w:sz w:val="15"/>
                <w:szCs w:val="15"/>
                <w:color w:val="auto"/>
              </w:rPr>
            </w:pPr>
          </w:p>
        </w:tc>
        <w:tc>
          <w:tcPr>
            <w:tcW w:w="860" w:type="dxa"/>
            <w:vAlign w:val="bottom"/>
            <w:tcBorders>
              <w:right w:val="single" w:sz="8" w:color="D7282F"/>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900" w:type="dxa"/>
            <w:vAlign w:val="bottom"/>
            <w:tcBorders>
              <w:right w:val="single" w:sz="8" w:color="939598"/>
            </w:tcBorders>
          </w:tcPr>
          <w:p>
            <w:pPr>
              <w:spacing w:after="0"/>
              <w:rPr>
                <w:sz w:val="16"/>
                <w:szCs w:val="16"/>
                <w:color w:val="auto"/>
              </w:rPr>
            </w:pPr>
          </w:p>
        </w:tc>
        <w:tc>
          <w:tcPr>
            <w:tcW w:w="3320" w:type="dxa"/>
            <w:vAlign w:val="bottom"/>
            <w:tcBorders>
              <w:right w:val="single" w:sz="8" w:color="939598"/>
            </w:tcBorders>
          </w:tcPr>
          <w:p>
            <w:pPr>
              <w:ind w:left="60"/>
              <w:spacing w:after="0"/>
              <w:rPr>
                <w:sz w:val="20"/>
                <w:szCs w:val="20"/>
                <w:color w:val="auto"/>
              </w:rPr>
            </w:pPr>
            <w:r>
              <w:rPr>
                <w:rFonts w:ascii="Arial" w:cs="Arial" w:eastAsia="Arial" w:hAnsi="Arial"/>
                <w:sz w:val="14"/>
                <w:szCs w:val="14"/>
                <w:color w:val="auto"/>
              </w:rPr>
              <w:t>John Wood Group PLC</w:t>
            </w:r>
          </w:p>
        </w:tc>
        <w:tc>
          <w:tcPr>
            <w:tcW w:w="960" w:type="dxa"/>
            <w:vAlign w:val="bottom"/>
            <w:tcBorders>
              <w:right w:val="single" w:sz="8" w:color="939598"/>
            </w:tcBorders>
          </w:tcPr>
          <w:p>
            <w:pPr>
              <w:spacing w:after="0"/>
              <w:rPr>
                <w:sz w:val="16"/>
                <w:szCs w:val="16"/>
                <w:color w:val="auto"/>
              </w:rPr>
            </w:pPr>
          </w:p>
        </w:tc>
        <w:tc>
          <w:tcPr>
            <w:tcW w:w="1300" w:type="dxa"/>
            <w:vAlign w:val="bottom"/>
            <w:tcBorders>
              <w:right w:val="single" w:sz="8" w:color="939598"/>
            </w:tcBorders>
          </w:tcPr>
          <w:p>
            <w:pPr>
              <w:spacing w:after="0"/>
              <w:rPr>
                <w:sz w:val="16"/>
                <w:szCs w:val="16"/>
                <w:color w:val="auto"/>
              </w:rPr>
            </w:pPr>
          </w:p>
        </w:tc>
        <w:tc>
          <w:tcPr>
            <w:tcW w:w="2180" w:type="dxa"/>
            <w:vAlign w:val="bottom"/>
            <w:tcBorders>
              <w:right w:val="single" w:sz="8" w:color="D7282F"/>
            </w:tcBorders>
          </w:tcPr>
          <w:p>
            <w:pPr>
              <w:spacing w:after="0"/>
              <w:rPr>
                <w:sz w:val="16"/>
                <w:szCs w:val="16"/>
                <w:color w:val="auto"/>
              </w:rPr>
            </w:pPr>
          </w:p>
        </w:tc>
        <w:tc>
          <w:tcPr>
            <w:tcW w:w="860" w:type="dxa"/>
            <w:vAlign w:val="bottom"/>
            <w:tcBorders>
              <w:right w:val="single" w:sz="8" w:color="939598"/>
            </w:tcBorders>
          </w:tcPr>
          <w:p>
            <w:pPr>
              <w:spacing w:after="0"/>
              <w:rPr>
                <w:sz w:val="16"/>
                <w:szCs w:val="16"/>
                <w:color w:val="auto"/>
              </w:rPr>
            </w:pPr>
          </w:p>
        </w:tc>
        <w:tc>
          <w:tcPr>
            <w:tcW w:w="860" w:type="dxa"/>
            <w:vAlign w:val="bottom"/>
            <w:tcBorders>
              <w:right w:val="single" w:sz="8" w:color="939598"/>
            </w:tcBorders>
          </w:tcPr>
          <w:p>
            <w:pPr>
              <w:spacing w:after="0"/>
              <w:rPr>
                <w:sz w:val="16"/>
                <w:szCs w:val="16"/>
                <w:color w:val="auto"/>
              </w:rPr>
            </w:pPr>
          </w:p>
        </w:tc>
        <w:tc>
          <w:tcPr>
            <w:tcW w:w="860" w:type="dxa"/>
            <w:vAlign w:val="bottom"/>
            <w:tcBorders>
              <w:right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900" w:type="dxa"/>
            <w:vAlign w:val="bottom"/>
            <w:tcBorders>
              <w:bottom w:val="single" w:sz="8" w:color="939598"/>
              <w:right w:val="single" w:sz="8" w:color="939598"/>
            </w:tcBorders>
          </w:tcPr>
          <w:p>
            <w:pPr>
              <w:spacing w:after="0"/>
              <w:rPr>
                <w:sz w:val="13"/>
                <w:szCs w:val="13"/>
                <w:color w:val="auto"/>
              </w:rPr>
            </w:pPr>
          </w:p>
        </w:tc>
        <w:tc>
          <w:tcPr>
            <w:tcW w:w="3320" w:type="dxa"/>
            <w:vAlign w:val="bottom"/>
            <w:tcBorders>
              <w:bottom w:val="single" w:sz="8" w:color="939598"/>
              <w:right w:val="single" w:sz="8" w:color="939598"/>
            </w:tcBorders>
          </w:tcPr>
          <w:p>
            <w:pPr>
              <w:spacing w:after="0"/>
              <w:rPr>
                <w:sz w:val="13"/>
                <w:szCs w:val="13"/>
                <w:color w:val="auto"/>
              </w:rPr>
            </w:pPr>
          </w:p>
        </w:tc>
        <w:tc>
          <w:tcPr>
            <w:tcW w:w="960" w:type="dxa"/>
            <w:vAlign w:val="bottom"/>
            <w:tcBorders>
              <w:bottom w:val="single" w:sz="8" w:color="939598"/>
              <w:right w:val="single" w:sz="8" w:color="939598"/>
            </w:tcBorders>
          </w:tcPr>
          <w:p>
            <w:pPr>
              <w:spacing w:after="0"/>
              <w:rPr>
                <w:sz w:val="13"/>
                <w:szCs w:val="13"/>
                <w:color w:val="auto"/>
              </w:rPr>
            </w:pPr>
          </w:p>
        </w:tc>
        <w:tc>
          <w:tcPr>
            <w:tcW w:w="1300" w:type="dxa"/>
            <w:vAlign w:val="bottom"/>
            <w:tcBorders>
              <w:bottom w:val="single" w:sz="8" w:color="939598"/>
              <w:right w:val="single" w:sz="8" w:color="939598"/>
            </w:tcBorders>
          </w:tcPr>
          <w:p>
            <w:pPr>
              <w:spacing w:after="0"/>
              <w:rPr>
                <w:sz w:val="13"/>
                <w:szCs w:val="13"/>
                <w:color w:val="auto"/>
              </w:rPr>
            </w:pPr>
          </w:p>
        </w:tc>
        <w:tc>
          <w:tcPr>
            <w:tcW w:w="2180" w:type="dxa"/>
            <w:vAlign w:val="bottom"/>
            <w:tcBorders>
              <w:bottom w:val="single" w:sz="8" w:color="939598"/>
              <w:right w:val="single" w:sz="8" w:color="D7282F"/>
            </w:tcBorders>
          </w:tcPr>
          <w:p>
            <w:pPr>
              <w:spacing w:after="0"/>
              <w:rPr>
                <w:sz w:val="13"/>
                <w:szCs w:val="13"/>
                <w:color w:val="auto"/>
              </w:rPr>
            </w:pPr>
          </w:p>
        </w:tc>
        <w:tc>
          <w:tcPr>
            <w:tcW w:w="860" w:type="dxa"/>
            <w:vAlign w:val="bottom"/>
            <w:tcBorders>
              <w:bottom w:val="single" w:sz="8" w:color="939598"/>
              <w:right w:val="single" w:sz="8" w:color="939598"/>
            </w:tcBorders>
          </w:tcPr>
          <w:p>
            <w:pPr>
              <w:spacing w:after="0"/>
              <w:rPr>
                <w:sz w:val="13"/>
                <w:szCs w:val="13"/>
                <w:color w:val="auto"/>
              </w:rPr>
            </w:pPr>
          </w:p>
        </w:tc>
        <w:tc>
          <w:tcPr>
            <w:tcW w:w="860" w:type="dxa"/>
            <w:vAlign w:val="bottom"/>
            <w:tcBorders>
              <w:bottom w:val="single" w:sz="8" w:color="939598"/>
              <w:right w:val="single" w:sz="8" w:color="939598"/>
            </w:tcBorders>
          </w:tcPr>
          <w:p>
            <w:pPr>
              <w:spacing w:after="0"/>
              <w:rPr>
                <w:sz w:val="13"/>
                <w:szCs w:val="13"/>
                <w:color w:val="auto"/>
              </w:rPr>
            </w:pPr>
          </w:p>
        </w:tc>
        <w:tc>
          <w:tcPr>
            <w:tcW w:w="860" w:type="dxa"/>
            <w:vAlign w:val="bottom"/>
            <w:tcBorders>
              <w:bottom w:val="single" w:sz="8" w:color="939598"/>
              <w:right w:val="single" w:sz="8" w:color="D7282F"/>
            </w:tcBorders>
          </w:tcPr>
          <w:p>
            <w:pPr>
              <w:spacing w:after="0"/>
              <w:rPr>
                <w:sz w:val="13"/>
                <w:szCs w:val="13"/>
                <w:color w:val="auto"/>
              </w:rPr>
            </w:pPr>
          </w:p>
        </w:tc>
        <w:tc>
          <w:tcPr>
            <w:tcW w:w="0" w:type="dxa"/>
            <w:vAlign w:val="bottom"/>
          </w:tcPr>
          <w:p>
            <w:pPr>
              <w:spacing w:after="0"/>
              <w:rPr>
                <w:sz w:val="1"/>
                <w:szCs w:val="1"/>
                <w:color w:val="auto"/>
              </w:rPr>
            </w:pPr>
          </w:p>
        </w:tc>
      </w:tr>
      <w:tr>
        <w:trPr>
          <w:trHeight w:val="308"/>
        </w:trPr>
        <w:tc>
          <w:tcPr>
            <w:tcW w:w="900" w:type="dxa"/>
            <w:vAlign w:val="bottom"/>
            <w:tcBorders>
              <w:right w:val="single" w:sz="8" w:color="939598"/>
            </w:tcBorders>
          </w:tcPr>
          <w:p>
            <w:pPr>
              <w:spacing w:after="0"/>
              <w:rPr>
                <w:sz w:val="24"/>
                <w:szCs w:val="24"/>
                <w:color w:val="auto"/>
              </w:rPr>
            </w:pPr>
          </w:p>
        </w:tc>
        <w:tc>
          <w:tcPr>
            <w:tcW w:w="3320" w:type="dxa"/>
            <w:vAlign w:val="bottom"/>
            <w:tcBorders>
              <w:right w:val="single" w:sz="8" w:color="939598"/>
            </w:tcBorders>
          </w:tcPr>
          <w:p>
            <w:pPr>
              <w:ind w:left="60"/>
              <w:spacing w:after="0"/>
              <w:rPr>
                <w:sz w:val="20"/>
                <w:szCs w:val="20"/>
                <w:color w:val="auto"/>
              </w:rPr>
            </w:pPr>
            <w:r>
              <w:rPr>
                <w:rFonts w:ascii="Arial" w:cs="Arial" w:eastAsia="Arial" w:hAnsi="Arial"/>
                <w:sz w:val="14"/>
                <w:szCs w:val="14"/>
                <w:b w:val="1"/>
                <w:bCs w:val="1"/>
                <w:color w:val="auto"/>
              </w:rPr>
              <w:t>Stephen Williamson</w:t>
            </w:r>
          </w:p>
        </w:tc>
        <w:tc>
          <w:tcPr>
            <w:tcW w:w="960" w:type="dxa"/>
            <w:vAlign w:val="bottom"/>
            <w:tcBorders>
              <w:right w:val="single" w:sz="8" w:color="939598"/>
            </w:tcBorders>
          </w:tcPr>
          <w:p>
            <w:pPr>
              <w:spacing w:after="0"/>
              <w:rPr>
                <w:sz w:val="24"/>
                <w:szCs w:val="24"/>
                <w:color w:val="auto"/>
              </w:rPr>
            </w:pPr>
          </w:p>
        </w:tc>
        <w:tc>
          <w:tcPr>
            <w:tcW w:w="1300" w:type="dxa"/>
            <w:vAlign w:val="bottom"/>
            <w:tcBorders>
              <w:right w:val="single" w:sz="8" w:color="939598"/>
            </w:tcBorders>
          </w:tcPr>
          <w:p>
            <w:pPr>
              <w:spacing w:after="0"/>
              <w:rPr>
                <w:sz w:val="24"/>
                <w:szCs w:val="24"/>
                <w:color w:val="auto"/>
              </w:rPr>
            </w:pPr>
          </w:p>
        </w:tc>
        <w:tc>
          <w:tcPr>
            <w:tcW w:w="2180" w:type="dxa"/>
            <w:vAlign w:val="bottom"/>
            <w:tcBorders>
              <w:right w:val="single" w:sz="8" w:color="D7282F"/>
            </w:tcBorders>
          </w:tcPr>
          <w:p>
            <w:pPr>
              <w:spacing w:after="0"/>
              <w:rPr>
                <w:sz w:val="24"/>
                <w:szCs w:val="24"/>
                <w:color w:val="auto"/>
              </w:rPr>
            </w:pPr>
          </w:p>
        </w:tc>
        <w:tc>
          <w:tcPr>
            <w:tcW w:w="860" w:type="dxa"/>
            <w:vAlign w:val="bottom"/>
            <w:tcBorders>
              <w:right w:val="single" w:sz="8" w:color="939598"/>
            </w:tcBorders>
            <w:vMerge w:val="restart"/>
          </w:tcPr>
          <w:p>
            <w:pPr>
              <w:jc w:val="center"/>
              <w:spacing w:after="0"/>
              <w:rPr>
                <w:sz w:val="20"/>
                <w:szCs w:val="20"/>
                <w:color w:val="auto"/>
              </w:rPr>
            </w:pPr>
            <w:r>
              <w:rPr>
                <w:rFonts w:ascii="Wingdings" w:cs="Wingdings" w:eastAsia="Wingdings" w:hAnsi="Wingdings"/>
                <w:sz w:val="25"/>
                <w:szCs w:val="25"/>
                <w:b w:val="1"/>
                <w:bCs w:val="1"/>
                <w:color w:val="D7282F"/>
                <w:w w:val="96"/>
              </w:rPr>
              <w:t>n</w:t>
            </w:r>
          </w:p>
        </w:tc>
        <w:tc>
          <w:tcPr>
            <w:tcW w:w="860" w:type="dxa"/>
            <w:vAlign w:val="bottom"/>
            <w:tcBorders>
              <w:right w:val="single" w:sz="8" w:color="939598"/>
            </w:tcBorders>
          </w:tcPr>
          <w:p>
            <w:pPr>
              <w:spacing w:after="0"/>
              <w:rPr>
                <w:sz w:val="24"/>
                <w:szCs w:val="24"/>
                <w:color w:val="auto"/>
              </w:rPr>
            </w:pPr>
          </w:p>
        </w:tc>
        <w:tc>
          <w:tcPr>
            <w:tcW w:w="860" w:type="dxa"/>
            <w:vAlign w:val="bottom"/>
            <w:tcBorders>
              <w:right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900" w:type="dxa"/>
            <w:vAlign w:val="bottom"/>
            <w:tcBorders>
              <w:right w:val="single" w:sz="8" w:color="939598"/>
            </w:tcBorders>
          </w:tcPr>
          <w:p>
            <w:pPr>
              <w:spacing w:after="0"/>
              <w:rPr>
                <w:sz w:val="15"/>
                <w:szCs w:val="15"/>
                <w:color w:val="auto"/>
              </w:rPr>
            </w:pPr>
          </w:p>
        </w:tc>
        <w:tc>
          <w:tcPr>
            <w:tcW w:w="3320" w:type="dxa"/>
            <w:vAlign w:val="bottom"/>
            <w:tcBorders>
              <w:right w:val="single" w:sz="8" w:color="939598"/>
            </w:tcBorders>
          </w:tcPr>
          <w:p>
            <w:pPr>
              <w:ind w:left="60"/>
              <w:spacing w:after="0"/>
              <w:rPr>
                <w:sz w:val="20"/>
                <w:szCs w:val="20"/>
                <w:color w:val="auto"/>
              </w:rPr>
            </w:pPr>
            <w:r>
              <w:rPr>
                <w:rFonts w:ascii="Arial" w:cs="Arial" w:eastAsia="Arial" w:hAnsi="Arial"/>
                <w:sz w:val="14"/>
                <w:szCs w:val="14"/>
                <w:color w:val="auto"/>
              </w:rPr>
              <w:t>Former Senior Vice President and CFO</w:t>
            </w:r>
          </w:p>
        </w:tc>
        <w:tc>
          <w:tcPr>
            <w:tcW w:w="960" w:type="dxa"/>
            <w:vAlign w:val="bottom"/>
            <w:tcBorders>
              <w:right w:val="single" w:sz="8" w:color="939598"/>
            </w:tcBorders>
          </w:tcPr>
          <w:p>
            <w:pPr>
              <w:jc w:val="center"/>
              <w:spacing w:after="0"/>
              <w:rPr>
                <w:sz w:val="20"/>
                <w:szCs w:val="20"/>
                <w:color w:val="auto"/>
              </w:rPr>
            </w:pPr>
            <w:r>
              <w:rPr>
                <w:rFonts w:ascii="Arial" w:cs="Arial" w:eastAsia="Arial" w:hAnsi="Arial"/>
                <w:sz w:val="14"/>
                <w:szCs w:val="14"/>
                <w:color w:val="auto"/>
              </w:rPr>
              <w:t>1</w:t>
            </w:r>
          </w:p>
        </w:tc>
        <w:tc>
          <w:tcPr>
            <w:tcW w:w="1300" w:type="dxa"/>
            <w:vAlign w:val="bottom"/>
            <w:tcBorders>
              <w:right w:val="single" w:sz="8" w:color="939598"/>
            </w:tcBorders>
          </w:tcPr>
          <w:p>
            <w:pPr>
              <w:jc w:val="center"/>
              <w:spacing w:after="0"/>
              <w:rPr>
                <w:sz w:val="20"/>
                <w:szCs w:val="20"/>
                <w:color w:val="auto"/>
              </w:rPr>
            </w:pPr>
            <w:r>
              <w:rPr>
                <w:rFonts w:ascii="Arial" w:cs="Arial" w:eastAsia="Arial" w:hAnsi="Arial"/>
                <w:sz w:val="14"/>
                <w:szCs w:val="14"/>
                <w:color w:val="auto"/>
                <w:w w:val="99"/>
              </w:rPr>
              <w:t>Yes</w:t>
            </w:r>
          </w:p>
        </w:tc>
        <w:tc>
          <w:tcPr>
            <w:tcW w:w="2180" w:type="dxa"/>
            <w:vAlign w:val="bottom"/>
            <w:tcBorders>
              <w:right w:val="single" w:sz="8" w:color="D7282F"/>
            </w:tcBorders>
          </w:tcPr>
          <w:p>
            <w:pPr>
              <w:jc w:val="center"/>
              <w:spacing w:after="0"/>
              <w:rPr>
                <w:sz w:val="20"/>
                <w:szCs w:val="20"/>
                <w:color w:val="auto"/>
              </w:rPr>
            </w:pPr>
            <w:r>
              <w:rPr>
                <w:rFonts w:ascii="Arial" w:cs="Arial" w:eastAsia="Arial" w:hAnsi="Arial"/>
                <w:sz w:val="14"/>
                <w:szCs w:val="14"/>
                <w:color w:val="auto"/>
              </w:rPr>
              <w:t>1</w:t>
            </w:r>
          </w:p>
        </w:tc>
        <w:tc>
          <w:tcPr>
            <w:tcW w:w="860" w:type="dxa"/>
            <w:vAlign w:val="bottom"/>
            <w:tcBorders>
              <w:right w:val="single" w:sz="8" w:color="939598"/>
            </w:tcBorders>
            <w:vMerge w:val="continue"/>
          </w:tcPr>
          <w:p>
            <w:pPr>
              <w:spacing w:after="0"/>
              <w:rPr>
                <w:sz w:val="15"/>
                <w:szCs w:val="15"/>
                <w:color w:val="auto"/>
              </w:rPr>
            </w:pPr>
          </w:p>
        </w:tc>
        <w:tc>
          <w:tcPr>
            <w:tcW w:w="860" w:type="dxa"/>
            <w:vAlign w:val="bottom"/>
            <w:tcBorders>
              <w:right w:val="single" w:sz="8" w:color="939598"/>
            </w:tcBorders>
          </w:tcPr>
          <w:p>
            <w:pPr>
              <w:spacing w:after="0"/>
              <w:rPr>
                <w:sz w:val="15"/>
                <w:szCs w:val="15"/>
                <w:color w:val="auto"/>
              </w:rPr>
            </w:pPr>
          </w:p>
        </w:tc>
        <w:tc>
          <w:tcPr>
            <w:tcW w:w="860" w:type="dxa"/>
            <w:vAlign w:val="bottom"/>
            <w:tcBorders>
              <w:right w:val="single" w:sz="8" w:color="D7282F"/>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900" w:type="dxa"/>
            <w:vAlign w:val="bottom"/>
            <w:tcBorders>
              <w:right w:val="single" w:sz="8" w:color="939598"/>
            </w:tcBorders>
          </w:tcPr>
          <w:p>
            <w:pPr>
              <w:spacing w:after="0"/>
              <w:rPr>
                <w:sz w:val="16"/>
                <w:szCs w:val="16"/>
                <w:color w:val="auto"/>
              </w:rPr>
            </w:pPr>
          </w:p>
        </w:tc>
        <w:tc>
          <w:tcPr>
            <w:tcW w:w="3320" w:type="dxa"/>
            <w:vAlign w:val="bottom"/>
            <w:tcBorders>
              <w:right w:val="single" w:sz="8" w:color="939598"/>
            </w:tcBorders>
          </w:tcPr>
          <w:p>
            <w:pPr>
              <w:ind w:left="60"/>
              <w:spacing w:after="0"/>
              <w:rPr>
                <w:sz w:val="20"/>
                <w:szCs w:val="20"/>
                <w:color w:val="auto"/>
              </w:rPr>
            </w:pPr>
            <w:r>
              <w:rPr>
                <w:rFonts w:ascii="Arial" w:cs="Arial" w:eastAsia="Arial" w:hAnsi="Arial"/>
                <w:sz w:val="14"/>
                <w:szCs w:val="14"/>
                <w:color w:val="auto"/>
              </w:rPr>
              <w:t>Thermo Fisher Scientific Inc.</w:t>
            </w:r>
          </w:p>
        </w:tc>
        <w:tc>
          <w:tcPr>
            <w:tcW w:w="960" w:type="dxa"/>
            <w:vAlign w:val="bottom"/>
            <w:tcBorders>
              <w:right w:val="single" w:sz="8" w:color="939598"/>
            </w:tcBorders>
          </w:tcPr>
          <w:p>
            <w:pPr>
              <w:spacing w:after="0"/>
              <w:rPr>
                <w:sz w:val="16"/>
                <w:szCs w:val="16"/>
                <w:color w:val="auto"/>
              </w:rPr>
            </w:pPr>
          </w:p>
        </w:tc>
        <w:tc>
          <w:tcPr>
            <w:tcW w:w="1300" w:type="dxa"/>
            <w:vAlign w:val="bottom"/>
            <w:tcBorders>
              <w:right w:val="single" w:sz="8" w:color="939598"/>
            </w:tcBorders>
          </w:tcPr>
          <w:p>
            <w:pPr>
              <w:spacing w:after="0"/>
              <w:rPr>
                <w:sz w:val="16"/>
                <w:szCs w:val="16"/>
                <w:color w:val="auto"/>
              </w:rPr>
            </w:pPr>
          </w:p>
        </w:tc>
        <w:tc>
          <w:tcPr>
            <w:tcW w:w="2180" w:type="dxa"/>
            <w:vAlign w:val="bottom"/>
            <w:tcBorders>
              <w:right w:val="single" w:sz="8" w:color="D7282F"/>
            </w:tcBorders>
          </w:tcPr>
          <w:p>
            <w:pPr>
              <w:spacing w:after="0"/>
              <w:rPr>
                <w:sz w:val="16"/>
                <w:szCs w:val="16"/>
                <w:color w:val="auto"/>
              </w:rPr>
            </w:pPr>
          </w:p>
        </w:tc>
        <w:tc>
          <w:tcPr>
            <w:tcW w:w="860" w:type="dxa"/>
            <w:vAlign w:val="bottom"/>
            <w:tcBorders>
              <w:right w:val="single" w:sz="8" w:color="939598"/>
            </w:tcBorders>
          </w:tcPr>
          <w:p>
            <w:pPr>
              <w:spacing w:after="0"/>
              <w:rPr>
                <w:sz w:val="16"/>
                <w:szCs w:val="16"/>
                <w:color w:val="auto"/>
              </w:rPr>
            </w:pPr>
          </w:p>
        </w:tc>
        <w:tc>
          <w:tcPr>
            <w:tcW w:w="860" w:type="dxa"/>
            <w:vAlign w:val="bottom"/>
            <w:tcBorders>
              <w:right w:val="single" w:sz="8" w:color="939598"/>
            </w:tcBorders>
          </w:tcPr>
          <w:p>
            <w:pPr>
              <w:spacing w:after="0"/>
              <w:rPr>
                <w:sz w:val="16"/>
                <w:szCs w:val="16"/>
                <w:color w:val="auto"/>
              </w:rPr>
            </w:pPr>
          </w:p>
        </w:tc>
        <w:tc>
          <w:tcPr>
            <w:tcW w:w="860" w:type="dxa"/>
            <w:vAlign w:val="bottom"/>
            <w:tcBorders>
              <w:right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900" w:type="dxa"/>
            <w:vAlign w:val="bottom"/>
            <w:tcBorders>
              <w:bottom w:val="single" w:sz="8" w:color="D7282F"/>
              <w:right w:val="single" w:sz="8" w:color="939598"/>
            </w:tcBorders>
          </w:tcPr>
          <w:p>
            <w:pPr>
              <w:spacing w:after="0"/>
              <w:rPr>
                <w:sz w:val="13"/>
                <w:szCs w:val="13"/>
                <w:color w:val="auto"/>
              </w:rPr>
            </w:pPr>
          </w:p>
        </w:tc>
        <w:tc>
          <w:tcPr>
            <w:tcW w:w="3320" w:type="dxa"/>
            <w:vAlign w:val="bottom"/>
            <w:tcBorders>
              <w:bottom w:val="single" w:sz="8" w:color="D7282F"/>
              <w:right w:val="single" w:sz="8" w:color="939598"/>
            </w:tcBorders>
          </w:tcPr>
          <w:p>
            <w:pPr>
              <w:spacing w:after="0"/>
              <w:rPr>
                <w:sz w:val="13"/>
                <w:szCs w:val="13"/>
                <w:color w:val="auto"/>
              </w:rPr>
            </w:pPr>
          </w:p>
        </w:tc>
        <w:tc>
          <w:tcPr>
            <w:tcW w:w="960" w:type="dxa"/>
            <w:vAlign w:val="bottom"/>
            <w:tcBorders>
              <w:bottom w:val="single" w:sz="8" w:color="D7282F"/>
              <w:right w:val="single" w:sz="8" w:color="939598"/>
            </w:tcBorders>
          </w:tcPr>
          <w:p>
            <w:pPr>
              <w:spacing w:after="0"/>
              <w:rPr>
                <w:sz w:val="13"/>
                <w:szCs w:val="13"/>
                <w:color w:val="auto"/>
              </w:rPr>
            </w:pPr>
          </w:p>
        </w:tc>
        <w:tc>
          <w:tcPr>
            <w:tcW w:w="1300" w:type="dxa"/>
            <w:vAlign w:val="bottom"/>
            <w:tcBorders>
              <w:bottom w:val="single" w:sz="8" w:color="D7282F"/>
              <w:right w:val="single" w:sz="8" w:color="939598"/>
            </w:tcBorders>
          </w:tcPr>
          <w:p>
            <w:pPr>
              <w:spacing w:after="0"/>
              <w:rPr>
                <w:sz w:val="13"/>
                <w:szCs w:val="13"/>
                <w:color w:val="auto"/>
              </w:rPr>
            </w:pPr>
          </w:p>
        </w:tc>
        <w:tc>
          <w:tcPr>
            <w:tcW w:w="2180" w:type="dxa"/>
            <w:vAlign w:val="bottom"/>
            <w:tcBorders>
              <w:bottom w:val="single" w:sz="8" w:color="D7282F"/>
              <w:right w:val="single" w:sz="8" w:color="D7282F"/>
            </w:tcBorders>
          </w:tcPr>
          <w:p>
            <w:pPr>
              <w:spacing w:after="0"/>
              <w:rPr>
                <w:sz w:val="13"/>
                <w:szCs w:val="13"/>
                <w:color w:val="auto"/>
              </w:rPr>
            </w:pPr>
          </w:p>
        </w:tc>
        <w:tc>
          <w:tcPr>
            <w:tcW w:w="860" w:type="dxa"/>
            <w:vAlign w:val="bottom"/>
            <w:tcBorders>
              <w:bottom w:val="single" w:sz="8" w:color="D7282F"/>
              <w:right w:val="single" w:sz="8" w:color="939598"/>
            </w:tcBorders>
          </w:tcPr>
          <w:p>
            <w:pPr>
              <w:spacing w:after="0"/>
              <w:rPr>
                <w:sz w:val="13"/>
                <w:szCs w:val="13"/>
                <w:color w:val="auto"/>
              </w:rPr>
            </w:pPr>
          </w:p>
        </w:tc>
        <w:tc>
          <w:tcPr>
            <w:tcW w:w="860" w:type="dxa"/>
            <w:vAlign w:val="bottom"/>
            <w:tcBorders>
              <w:bottom w:val="single" w:sz="8" w:color="D7282F"/>
              <w:right w:val="single" w:sz="8" w:color="939598"/>
            </w:tcBorders>
          </w:tcPr>
          <w:p>
            <w:pPr>
              <w:spacing w:after="0"/>
              <w:rPr>
                <w:sz w:val="13"/>
                <w:szCs w:val="13"/>
                <w:color w:val="auto"/>
              </w:rPr>
            </w:pPr>
          </w:p>
        </w:tc>
        <w:tc>
          <w:tcPr>
            <w:tcW w:w="860" w:type="dxa"/>
            <w:vAlign w:val="bottom"/>
            <w:tcBorders>
              <w:bottom w:val="single" w:sz="8" w:color="D7282F"/>
              <w:right w:val="single" w:sz="8" w:color="D7282F"/>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-6394450</wp:posOffset>
            </wp:positionV>
            <wp:extent cx="342900" cy="3003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0" cy="30035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-5854700</wp:posOffset>
            </wp:positionV>
            <wp:extent cx="342900" cy="3003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0" cy="30035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-5314315</wp:posOffset>
            </wp:positionV>
            <wp:extent cx="342900" cy="3003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0" cy="300355"/>
                    </a:xfrm>
                    <a:prstGeom prst="rect">
                      <a:avLst/>
                    </a:prstGeom>
                    <a:noFill/>
                  </pic:spPr>
                </pic:pic>
              </a:graphicData>
            </a:graphic>
          </wp:anchor>
        </w:drawing>
        <w:drawing>
          <wp:anchor simplePos="0" relativeHeight="251657728" behindDoc="1" locked="0" layoutInCell="0" allowOverlap="1">
            <wp:simplePos x="0" y="0"/>
            <wp:positionH relativeFrom="column">
              <wp:posOffset>1196340</wp:posOffset>
            </wp:positionH>
            <wp:positionV relativeFrom="paragraph">
              <wp:posOffset>-5306060</wp:posOffset>
            </wp:positionV>
            <wp:extent cx="76835" cy="774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-4774565</wp:posOffset>
            </wp:positionV>
            <wp:extent cx="342900" cy="3003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0" cy="3003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-4765675</wp:posOffset>
            </wp:positionV>
            <wp:extent cx="76835" cy="768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7683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-4234180</wp:posOffset>
            </wp:positionV>
            <wp:extent cx="342900" cy="3003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0" cy="3003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-4225925</wp:posOffset>
            </wp:positionV>
            <wp:extent cx="76835" cy="768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7683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-3694430</wp:posOffset>
            </wp:positionV>
            <wp:extent cx="342900" cy="2997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0" cy="299720"/>
                    </a:xfrm>
                    <a:prstGeom prst="rect">
                      <a:avLst/>
                    </a:prstGeom>
                    <a:noFill/>
                  </pic:spPr>
                </pic:pic>
              </a:graphicData>
            </a:graphic>
          </wp:anchor>
        </w:drawing>
        <w:drawing>
          <wp:anchor simplePos="0" relativeHeight="251657728" behindDoc="1" locked="0" layoutInCell="0" allowOverlap="1">
            <wp:simplePos x="0" y="0"/>
            <wp:positionH relativeFrom="column">
              <wp:posOffset>1230630</wp:posOffset>
            </wp:positionH>
            <wp:positionV relativeFrom="paragraph">
              <wp:posOffset>-3685540</wp:posOffset>
            </wp:positionV>
            <wp:extent cx="77470" cy="774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7747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-3154045</wp:posOffset>
            </wp:positionV>
            <wp:extent cx="342900" cy="3003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0" cy="30035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-2614295</wp:posOffset>
            </wp:positionV>
            <wp:extent cx="342900" cy="3003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0" cy="30035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-2073910</wp:posOffset>
            </wp:positionV>
            <wp:extent cx="342900" cy="3003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0" cy="30035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-1534160</wp:posOffset>
            </wp:positionV>
            <wp:extent cx="342900" cy="3003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0" cy="30035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-993775</wp:posOffset>
            </wp:positionV>
            <wp:extent cx="342900" cy="2997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0" cy="29972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-454025</wp:posOffset>
            </wp:positionV>
            <wp:extent cx="342900" cy="2997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0" cy="299720"/>
                    </a:xfrm>
                    <a:prstGeom prst="rect">
                      <a:avLst/>
                    </a:prstGeom>
                    <a:noFill/>
                  </pic:spPr>
                </pic:pic>
              </a:graphicData>
            </a:graphic>
          </wp:anchor>
        </w:drawing>
      </w:r>
    </w:p>
    <w:p>
      <w:pPr>
        <w:sectPr>
          <w:pgSz w:w="11900" w:h="16838" w:orient="portrait"/>
          <w:cols w:equalWidth="0" w:num="1">
            <w:col w:w="11240"/>
          </w:cols>
          <w:pgMar w:left="320" w:top="230" w:right="339" w:bottom="0" w:gutter="0" w:footer="0" w:header="0"/>
        </w:sectPr>
      </w:pPr>
    </w:p>
    <w:p>
      <w:pPr>
        <w:spacing w:after="0" w:line="180"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4"/>
          <w:szCs w:val="14"/>
          <w:b w:val="1"/>
          <w:bCs w:val="1"/>
          <w:color w:val="auto"/>
        </w:rPr>
        <w:t>Audit</w:t>
      </w:r>
      <w:r>
        <w:rPr>
          <w:sz w:val="20"/>
          <w:szCs w:val="20"/>
          <w:color w:val="auto"/>
        </w:rPr>
        <w:tab/>
      </w:r>
      <w:r>
        <w:rPr>
          <w:rFonts w:ascii="Arial" w:cs="Arial" w:eastAsia="Arial" w:hAnsi="Arial"/>
          <w:sz w:val="14"/>
          <w:szCs w:val="14"/>
          <w:color w:val="auto"/>
        </w:rPr>
        <w:t>Audit Committee</w:t>
      </w:r>
    </w:p>
    <w:p>
      <w:pPr>
        <w:spacing w:after="0" w:line="150"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4"/>
          <w:szCs w:val="14"/>
          <w:b w:val="1"/>
          <w:bCs w:val="1"/>
          <w:color w:val="auto"/>
        </w:rPr>
        <w:t>CGRC</w:t>
      </w:r>
      <w:r>
        <w:rPr>
          <w:sz w:val="20"/>
          <w:szCs w:val="20"/>
          <w:color w:val="auto"/>
        </w:rPr>
        <w:tab/>
      </w:r>
      <w:r>
        <w:rPr>
          <w:rFonts w:ascii="Arial" w:cs="Arial" w:eastAsia="Arial" w:hAnsi="Arial"/>
          <w:sz w:val="14"/>
          <w:szCs w:val="14"/>
          <w:color w:val="auto"/>
        </w:rPr>
        <w:t>Corporate Governance and Responsibility Committee</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Wingdings" w:cs="Wingdings" w:eastAsia="Wingdings" w:hAnsi="Wingdings"/>
          <w:sz w:val="21"/>
          <w:szCs w:val="21"/>
          <w:b w:val="1"/>
          <w:bCs w:val="1"/>
          <w:color w:val="D7282F"/>
        </w:rPr>
        <w:t>n</w:t>
      </w:r>
    </w:p>
    <w:p>
      <w:pPr>
        <w:spacing w:after="0" w:line="77" w:lineRule="exact"/>
        <w:rPr>
          <w:sz w:val="20"/>
          <w:szCs w:val="20"/>
          <w:color w:val="auto"/>
        </w:rPr>
      </w:pPr>
    </w:p>
    <w:p>
      <w:pPr>
        <w:spacing w:after="0"/>
        <w:rPr>
          <w:sz w:val="20"/>
          <w:szCs w:val="20"/>
          <w:color w:val="auto"/>
        </w:rPr>
      </w:pPr>
      <w:r>
        <w:rPr>
          <w:rFonts w:ascii="Wingdings" w:cs="Wingdings" w:eastAsia="Wingdings" w:hAnsi="Wingdings"/>
          <w:sz w:val="21"/>
          <w:szCs w:val="21"/>
          <w:b w:val="1"/>
          <w:bCs w:val="1"/>
          <w:color w:val="939598"/>
        </w:rPr>
        <w:t>n</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Chair</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Member</w:t>
      </w:r>
    </w:p>
    <w:p>
      <w:pPr>
        <w:spacing w:after="0" w:line="109" w:lineRule="exact"/>
        <w:rPr>
          <w:sz w:val="20"/>
          <w:szCs w:val="20"/>
          <w:color w:val="auto"/>
        </w:rPr>
      </w:pPr>
    </w:p>
    <w:p>
      <w:pPr>
        <w:sectPr>
          <w:pgSz w:w="11900" w:h="16838" w:orient="portrait"/>
          <w:cols w:equalWidth="0" w:num="3">
            <w:col w:w="6120" w:space="720"/>
            <w:col w:w="160" w:space="220"/>
            <w:col w:w="4020"/>
          </w:cols>
          <w:pgMar w:left="320" w:top="230" w:right="339" w:bottom="0" w:gutter="0" w:footer="0" w:header="0"/>
          <w:type w:val="continuous"/>
        </w:sectPr>
      </w:pPr>
    </w:p>
    <w:p>
      <w:pPr>
        <w:ind w:left="20"/>
        <w:spacing w:after="0"/>
        <w:tabs>
          <w:tab w:leader="none" w:pos="700" w:val="left"/>
        </w:tabs>
        <w:rPr>
          <w:sz w:val="20"/>
          <w:szCs w:val="20"/>
          <w:color w:val="auto"/>
        </w:rPr>
      </w:pPr>
      <w:r>
        <w:rPr>
          <w:rFonts w:ascii="Arial" w:cs="Arial" w:eastAsia="Arial" w:hAnsi="Arial"/>
          <w:sz w:val="14"/>
          <w:szCs w:val="14"/>
          <w:b w:val="1"/>
          <w:bCs w:val="1"/>
          <w:color w:val="auto"/>
        </w:rPr>
        <w:t>MDCC</w:t>
      </w:r>
      <w:r>
        <w:rPr>
          <w:sz w:val="20"/>
          <w:szCs w:val="20"/>
          <w:color w:val="auto"/>
        </w:rPr>
        <w:tab/>
      </w:r>
      <w:r>
        <w:rPr>
          <w:rFonts w:ascii="Arial" w:cs="Arial" w:eastAsia="Arial" w:hAnsi="Arial"/>
          <w:sz w:val="14"/>
          <w:szCs w:val="14"/>
          <w:color w:val="auto"/>
        </w:rPr>
        <w:t>Management Development and Compensation Committee</w:t>
      </w:r>
    </w:p>
    <w:p>
      <w:pPr>
        <w:sectPr>
          <w:pgSz w:w="11900" w:h="16838" w:orient="portrait"/>
          <w:cols w:equalWidth="0" w:num="1">
            <w:col w:w="11240"/>
          </w:cols>
          <w:pgMar w:left="320" w:top="230" w:right="339" w:bottom="0" w:gutter="0" w:footer="0" w:header="0"/>
          <w:type w:val="continuous"/>
        </w:sectPr>
      </w:pPr>
    </w:p>
    <w:bookmarkStart w:id="15" w:name="page16"/>
    <w:bookmarkEnd w:id="15"/>
    <w:p>
      <w:pPr>
        <w:ind w:left="28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6835" cy="774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76835" cy="77470"/>
                    </a:xfrm>
                    <a:prstGeom prst="rect">
                      <a:avLst/>
                    </a:prstGeom>
                    <a:noFill/>
                  </pic:spPr>
                </pic:pic>
              </a:graphicData>
            </a:graphic>
          </wp:anchor>
        </w:drawing>
        <w:t>Indicates directors anticipated to join the Honeywell Aerospace Board after the spin-off of the Company's Aerospace business.</w:t>
      </w:r>
    </w:p>
    <w:p>
      <w:pPr>
        <w:sectPr>
          <w:pgSz w:w="11900" w:h="16838" w:orient="portrait"/>
          <w:cols w:equalWidth="0" w:num="1">
            <w:col w:w="10119"/>
          </w:cols>
          <w:pgMar w:left="340" w:top="189" w:right="1440" w:bottom="1440" w:gutter="0" w:footer="0" w:header="0"/>
        </w:sectPr>
      </w:pPr>
    </w:p>
    <w:p>
      <w:pPr>
        <w:spacing w:after="0" w:line="182" w:lineRule="exact"/>
        <w:rPr>
          <w:sz w:val="20"/>
          <w:szCs w:val="20"/>
          <w:color w:val="auto"/>
        </w:rPr>
      </w:pPr>
    </w:p>
    <w:p>
      <w:pPr>
        <w:spacing w:after="0"/>
        <w:tabs>
          <w:tab w:leader="none" w:pos="453" w:val="left"/>
          <w:tab w:leader="none" w:pos="18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sz w:val="1"/>
          <w:szCs w:val="1"/>
          <w:color w:val="auto"/>
        </w:rPr>
        <w:drawing>
          <wp:inline distT="0" distB="0" distL="0" distR="0">
            <wp:extent cx="548640" cy="10287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2026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247015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9" w:right="1440" w:bottom="1440" w:gutter="0" w:footer="0" w:header="0"/>
          <w:type w:val="continuous"/>
        </w:sectPr>
      </w:pPr>
    </w:p>
    <w:bookmarkStart w:id="16" w:name="page17"/>
    <w:bookmarkEnd w:id="16"/>
    <w:p>
      <w:pPr>
        <w:jc w:val="right"/>
        <w:spacing w:after="0"/>
        <w:rPr>
          <w:sz w:val="20"/>
          <w:szCs w:val="20"/>
          <w:color w:val="auto"/>
        </w:rPr>
      </w:pPr>
      <w:r>
        <w:rPr>
          <w:rFonts w:ascii="Arial" w:cs="Arial" w:eastAsia="Arial" w:hAnsi="Arial"/>
          <w:sz w:val="13"/>
          <w:szCs w:val="13"/>
          <w:b w:val="1"/>
          <w:bCs w:val="1"/>
          <w:color w:val="6D6E71"/>
        </w:rPr>
        <w:t>PROXY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CORPORATE GOVERNANCE HIGHLIGHTS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860" w:type="dxa"/>
            <w:vAlign w:val="bottom"/>
            <w:vMerge w:val="restart"/>
            <w:shd w:val="clear" w:color="auto" w:fill="EDEDEE"/>
          </w:tcPr>
          <w:p>
            <w:pPr>
              <w:ind w:left="60"/>
              <w:spacing w:after="0"/>
              <w:rPr>
                <w:sz w:val="20"/>
                <w:szCs w:val="20"/>
                <w:color w:val="auto"/>
              </w:rPr>
            </w:pPr>
            <w:r>
              <w:rPr>
                <w:rFonts w:ascii="Arial" w:cs="Arial" w:eastAsia="Arial" w:hAnsi="Arial"/>
                <w:sz w:val="25"/>
                <w:szCs w:val="25"/>
                <w:b w:val="1"/>
                <w:bCs w:val="1"/>
                <w:color w:val="auto"/>
              </w:rPr>
              <w:t>11 of 12</w:t>
            </w:r>
          </w:p>
        </w:tc>
        <w:tc>
          <w:tcPr>
            <w:tcW w:w="20" w:type="dxa"/>
            <w:vAlign w:val="bottom"/>
            <w:shd w:val="clear" w:color="auto" w:fill="EDEDEE"/>
          </w:tcPr>
          <w:p>
            <w:pPr>
              <w:spacing w:after="0"/>
              <w:rPr>
                <w:sz w:val="9"/>
                <w:szCs w:val="9"/>
                <w:color w:val="auto"/>
              </w:rPr>
            </w:pPr>
          </w:p>
        </w:tc>
        <w:tc>
          <w:tcPr>
            <w:tcW w:w="1840" w:type="dxa"/>
            <w:vAlign w:val="bottom"/>
            <w:vMerge w:val="restart"/>
            <w:shd w:val="clear" w:color="auto" w:fill="EDEDEE"/>
          </w:tcPr>
          <w:p>
            <w:pPr>
              <w:ind w:left="40"/>
              <w:spacing w:after="0"/>
              <w:rPr>
                <w:sz w:val="20"/>
                <w:szCs w:val="20"/>
                <w:color w:val="auto"/>
              </w:rPr>
            </w:pPr>
            <w:r>
              <w:rPr>
                <w:rFonts w:ascii="Arial" w:cs="Arial" w:eastAsia="Arial" w:hAnsi="Arial"/>
                <w:sz w:val="25"/>
                <w:szCs w:val="25"/>
                <w:b w:val="1"/>
                <w:bCs w:val="1"/>
                <w:color w:val="auto"/>
              </w:rPr>
              <w:t>3 of 12</w:t>
            </w:r>
          </w:p>
        </w:tc>
        <w:tc>
          <w:tcPr>
            <w:tcW w:w="20" w:type="dxa"/>
            <w:vAlign w:val="bottom"/>
            <w:shd w:val="clear" w:color="auto" w:fill="EDEDEE"/>
          </w:tcPr>
          <w:p>
            <w:pPr>
              <w:spacing w:after="0"/>
              <w:rPr>
                <w:sz w:val="9"/>
                <w:szCs w:val="9"/>
                <w:color w:val="auto"/>
              </w:rPr>
            </w:pPr>
          </w:p>
        </w:tc>
        <w:tc>
          <w:tcPr>
            <w:tcW w:w="1840" w:type="dxa"/>
            <w:vAlign w:val="bottom"/>
            <w:vMerge w:val="restart"/>
            <w:shd w:val="clear" w:color="auto" w:fill="EDEDEE"/>
          </w:tcPr>
          <w:p>
            <w:pPr>
              <w:ind w:left="60"/>
              <w:spacing w:after="0"/>
              <w:rPr>
                <w:sz w:val="20"/>
                <w:szCs w:val="20"/>
                <w:color w:val="auto"/>
              </w:rPr>
            </w:pPr>
            <w:r>
              <w:rPr>
                <w:rFonts w:ascii="Arial" w:cs="Arial" w:eastAsia="Arial" w:hAnsi="Arial"/>
                <w:sz w:val="25"/>
                <w:szCs w:val="25"/>
                <w:b w:val="1"/>
                <w:bCs w:val="1"/>
                <w:color w:val="auto"/>
              </w:rPr>
              <w:t>5 of 12</w:t>
            </w:r>
          </w:p>
        </w:tc>
        <w:tc>
          <w:tcPr>
            <w:tcW w:w="20" w:type="dxa"/>
            <w:vAlign w:val="bottom"/>
            <w:shd w:val="clear" w:color="auto" w:fill="EDEDEE"/>
          </w:tcPr>
          <w:p>
            <w:pPr>
              <w:spacing w:after="0"/>
              <w:rPr>
                <w:sz w:val="9"/>
                <w:szCs w:val="9"/>
                <w:color w:val="auto"/>
              </w:rPr>
            </w:pPr>
          </w:p>
        </w:tc>
        <w:tc>
          <w:tcPr>
            <w:tcW w:w="1860" w:type="dxa"/>
            <w:vAlign w:val="bottom"/>
            <w:vMerge w:val="restart"/>
            <w:shd w:val="clear" w:color="auto" w:fill="EDEDEE"/>
          </w:tcPr>
          <w:p>
            <w:pPr>
              <w:ind w:left="60"/>
              <w:spacing w:after="0"/>
              <w:rPr>
                <w:sz w:val="20"/>
                <w:szCs w:val="20"/>
                <w:color w:val="auto"/>
              </w:rPr>
            </w:pPr>
            <w:r>
              <w:rPr>
                <w:rFonts w:ascii="Arial" w:cs="Arial" w:eastAsia="Arial" w:hAnsi="Arial"/>
                <w:sz w:val="25"/>
                <w:szCs w:val="25"/>
                <w:b w:val="1"/>
                <w:bCs w:val="1"/>
                <w:color w:val="auto"/>
              </w:rPr>
              <w:t>1 of 3</w:t>
            </w:r>
          </w:p>
        </w:tc>
        <w:tc>
          <w:tcPr>
            <w:tcW w:w="20" w:type="dxa"/>
            <w:vAlign w:val="bottom"/>
            <w:shd w:val="clear" w:color="auto" w:fill="EDEDEE"/>
          </w:tcPr>
          <w:p>
            <w:pPr>
              <w:spacing w:after="0"/>
              <w:rPr>
                <w:sz w:val="9"/>
                <w:szCs w:val="9"/>
                <w:color w:val="auto"/>
              </w:rPr>
            </w:pPr>
          </w:p>
        </w:tc>
        <w:tc>
          <w:tcPr>
            <w:tcW w:w="1860" w:type="dxa"/>
            <w:vAlign w:val="bottom"/>
            <w:vMerge w:val="restart"/>
            <w:shd w:val="clear" w:color="auto" w:fill="EDEDEE"/>
          </w:tcPr>
          <w:p>
            <w:pPr>
              <w:ind w:left="60"/>
              <w:spacing w:after="0"/>
              <w:rPr>
                <w:sz w:val="20"/>
                <w:szCs w:val="20"/>
                <w:color w:val="auto"/>
              </w:rPr>
            </w:pPr>
            <w:r>
              <w:rPr>
                <w:rFonts w:ascii="Arial" w:cs="Arial" w:eastAsia="Arial" w:hAnsi="Arial"/>
                <w:sz w:val="25"/>
                <w:szCs w:val="25"/>
                <w:b w:val="1"/>
                <w:bCs w:val="1"/>
                <w:color w:val="auto"/>
              </w:rPr>
              <w:t>9 of 12</w:t>
            </w:r>
          </w:p>
        </w:tc>
        <w:tc>
          <w:tcPr>
            <w:tcW w:w="20" w:type="dxa"/>
            <w:vAlign w:val="bottom"/>
            <w:shd w:val="clear" w:color="auto" w:fill="EDEDEE"/>
          </w:tcPr>
          <w:p>
            <w:pPr>
              <w:spacing w:after="0"/>
              <w:rPr>
                <w:sz w:val="9"/>
                <w:szCs w:val="9"/>
                <w:color w:val="auto"/>
              </w:rPr>
            </w:pPr>
          </w:p>
        </w:tc>
        <w:tc>
          <w:tcPr>
            <w:tcW w:w="1860" w:type="dxa"/>
            <w:vAlign w:val="bottom"/>
            <w:vMerge w:val="restart"/>
            <w:shd w:val="clear" w:color="auto" w:fill="EDEDEE"/>
          </w:tcPr>
          <w:p>
            <w:pPr>
              <w:ind w:left="40"/>
              <w:spacing w:after="0"/>
              <w:rPr>
                <w:sz w:val="20"/>
                <w:szCs w:val="20"/>
                <w:color w:val="auto"/>
              </w:rPr>
            </w:pPr>
            <w:r>
              <w:rPr>
                <w:rFonts w:ascii="Arial" w:cs="Arial" w:eastAsia="Arial" w:hAnsi="Arial"/>
                <w:sz w:val="25"/>
                <w:szCs w:val="25"/>
                <w:b w:val="1"/>
                <w:bCs w:val="1"/>
                <w:color w:val="auto"/>
              </w:rPr>
              <w:t>5.5</w:t>
            </w:r>
          </w:p>
        </w:tc>
        <w:tc>
          <w:tcPr>
            <w:tcW w:w="0" w:type="dxa"/>
            <w:vAlign w:val="bottom"/>
          </w:tcPr>
          <w:p>
            <w:pPr>
              <w:spacing w:after="0"/>
              <w:rPr>
                <w:sz w:val="1"/>
                <w:szCs w:val="1"/>
                <w:color w:val="auto"/>
              </w:rPr>
            </w:pPr>
          </w:p>
        </w:tc>
      </w:tr>
      <w:tr>
        <w:trPr>
          <w:trHeight w:val="351"/>
        </w:trPr>
        <w:tc>
          <w:tcPr>
            <w:tcW w:w="1860" w:type="dxa"/>
            <w:vAlign w:val="bottom"/>
            <w:vMerge w:val="continue"/>
            <w:shd w:val="clear" w:color="auto" w:fill="EDEDEE"/>
          </w:tcPr>
          <w:p>
            <w:pPr>
              <w:spacing w:after="0"/>
              <w:rPr>
                <w:sz w:val="24"/>
                <w:szCs w:val="24"/>
                <w:color w:val="auto"/>
              </w:rPr>
            </w:pPr>
          </w:p>
        </w:tc>
        <w:tc>
          <w:tcPr>
            <w:tcW w:w="20" w:type="dxa"/>
            <w:vAlign w:val="bottom"/>
            <w:shd w:val="clear" w:color="auto" w:fill="939598"/>
          </w:tcPr>
          <w:p>
            <w:pPr>
              <w:spacing w:after="0"/>
              <w:rPr>
                <w:sz w:val="24"/>
                <w:szCs w:val="24"/>
                <w:color w:val="auto"/>
              </w:rPr>
            </w:pPr>
          </w:p>
        </w:tc>
        <w:tc>
          <w:tcPr>
            <w:tcW w:w="1840" w:type="dxa"/>
            <w:vAlign w:val="bottom"/>
            <w:vMerge w:val="continue"/>
            <w:shd w:val="clear" w:color="auto" w:fill="EDEDEE"/>
          </w:tcPr>
          <w:p>
            <w:pPr>
              <w:spacing w:after="0"/>
              <w:rPr>
                <w:sz w:val="24"/>
                <w:szCs w:val="24"/>
                <w:color w:val="auto"/>
              </w:rPr>
            </w:pPr>
          </w:p>
        </w:tc>
        <w:tc>
          <w:tcPr>
            <w:tcW w:w="20" w:type="dxa"/>
            <w:vAlign w:val="bottom"/>
            <w:shd w:val="clear" w:color="auto" w:fill="939598"/>
          </w:tcPr>
          <w:p>
            <w:pPr>
              <w:spacing w:after="0"/>
              <w:rPr>
                <w:sz w:val="24"/>
                <w:szCs w:val="24"/>
                <w:color w:val="auto"/>
              </w:rPr>
            </w:pPr>
          </w:p>
        </w:tc>
        <w:tc>
          <w:tcPr>
            <w:tcW w:w="1840" w:type="dxa"/>
            <w:vAlign w:val="bottom"/>
            <w:vMerge w:val="continue"/>
            <w:shd w:val="clear" w:color="auto" w:fill="EDEDEE"/>
          </w:tcPr>
          <w:p>
            <w:pPr>
              <w:spacing w:after="0"/>
              <w:rPr>
                <w:sz w:val="24"/>
                <w:szCs w:val="24"/>
                <w:color w:val="auto"/>
              </w:rPr>
            </w:pPr>
          </w:p>
        </w:tc>
        <w:tc>
          <w:tcPr>
            <w:tcW w:w="20" w:type="dxa"/>
            <w:vAlign w:val="bottom"/>
            <w:shd w:val="clear" w:color="auto" w:fill="939598"/>
          </w:tcPr>
          <w:p>
            <w:pPr>
              <w:spacing w:after="0"/>
              <w:rPr>
                <w:sz w:val="24"/>
                <w:szCs w:val="24"/>
                <w:color w:val="auto"/>
              </w:rPr>
            </w:pPr>
          </w:p>
        </w:tc>
        <w:tc>
          <w:tcPr>
            <w:tcW w:w="1860" w:type="dxa"/>
            <w:vAlign w:val="bottom"/>
            <w:vMerge w:val="continue"/>
            <w:shd w:val="clear" w:color="auto" w:fill="EDEDEE"/>
          </w:tcPr>
          <w:p>
            <w:pPr>
              <w:spacing w:after="0"/>
              <w:rPr>
                <w:sz w:val="24"/>
                <w:szCs w:val="24"/>
                <w:color w:val="auto"/>
              </w:rPr>
            </w:pPr>
          </w:p>
        </w:tc>
        <w:tc>
          <w:tcPr>
            <w:tcW w:w="20" w:type="dxa"/>
            <w:vAlign w:val="bottom"/>
            <w:shd w:val="clear" w:color="auto" w:fill="939598"/>
          </w:tcPr>
          <w:p>
            <w:pPr>
              <w:spacing w:after="0"/>
              <w:rPr>
                <w:sz w:val="24"/>
                <w:szCs w:val="24"/>
                <w:color w:val="auto"/>
              </w:rPr>
            </w:pPr>
          </w:p>
        </w:tc>
        <w:tc>
          <w:tcPr>
            <w:tcW w:w="1860" w:type="dxa"/>
            <w:vAlign w:val="bottom"/>
            <w:vMerge w:val="continue"/>
            <w:shd w:val="clear" w:color="auto" w:fill="EDEDEE"/>
          </w:tcPr>
          <w:p>
            <w:pPr>
              <w:spacing w:after="0"/>
              <w:rPr>
                <w:sz w:val="24"/>
                <w:szCs w:val="24"/>
                <w:color w:val="auto"/>
              </w:rPr>
            </w:pPr>
          </w:p>
        </w:tc>
        <w:tc>
          <w:tcPr>
            <w:tcW w:w="20" w:type="dxa"/>
            <w:vAlign w:val="bottom"/>
            <w:shd w:val="clear" w:color="auto" w:fill="939598"/>
          </w:tcPr>
          <w:p>
            <w:pPr>
              <w:spacing w:after="0"/>
              <w:rPr>
                <w:sz w:val="24"/>
                <w:szCs w:val="24"/>
                <w:color w:val="auto"/>
              </w:rPr>
            </w:pPr>
          </w:p>
        </w:tc>
        <w:tc>
          <w:tcPr>
            <w:tcW w:w="1860" w:type="dxa"/>
            <w:vAlign w:val="bottom"/>
            <w:vMerge w:val="continue"/>
            <w:shd w:val="clear" w:color="auto" w:fill="EDEDEE"/>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860" w:type="dxa"/>
            <w:vAlign w:val="bottom"/>
            <w:shd w:val="clear" w:color="auto" w:fill="EDEDEE"/>
          </w:tcPr>
          <w:p>
            <w:pPr>
              <w:ind w:left="60"/>
              <w:spacing w:after="0"/>
              <w:rPr>
                <w:sz w:val="20"/>
                <w:szCs w:val="20"/>
                <w:color w:val="auto"/>
              </w:rPr>
            </w:pPr>
            <w:r>
              <w:rPr>
                <w:rFonts w:ascii="Arial" w:cs="Arial" w:eastAsia="Arial" w:hAnsi="Arial"/>
                <w:sz w:val="16"/>
                <w:szCs w:val="16"/>
                <w:color w:val="auto"/>
              </w:rPr>
              <w:t>nominees are</w:t>
            </w:r>
          </w:p>
        </w:tc>
        <w:tc>
          <w:tcPr>
            <w:tcW w:w="20" w:type="dxa"/>
            <w:vAlign w:val="bottom"/>
            <w:shd w:val="clear" w:color="auto" w:fill="939598"/>
          </w:tcPr>
          <w:p>
            <w:pPr>
              <w:spacing w:after="0"/>
              <w:rPr>
                <w:sz w:val="17"/>
                <w:szCs w:val="17"/>
                <w:color w:val="auto"/>
              </w:rPr>
            </w:pPr>
          </w:p>
        </w:tc>
        <w:tc>
          <w:tcPr>
            <w:tcW w:w="1840" w:type="dxa"/>
            <w:vAlign w:val="bottom"/>
            <w:shd w:val="clear" w:color="auto" w:fill="EDEDEE"/>
          </w:tcPr>
          <w:p>
            <w:pPr>
              <w:ind w:left="40"/>
              <w:spacing w:after="0"/>
              <w:rPr>
                <w:sz w:val="20"/>
                <w:szCs w:val="20"/>
                <w:color w:val="auto"/>
              </w:rPr>
            </w:pPr>
            <w:r>
              <w:rPr>
                <w:rFonts w:ascii="Arial" w:cs="Arial" w:eastAsia="Arial" w:hAnsi="Arial"/>
                <w:sz w:val="16"/>
                <w:szCs w:val="16"/>
                <w:color w:val="auto"/>
              </w:rPr>
              <w:t xml:space="preserve">nominees are </w:t>
            </w:r>
            <w:r>
              <w:rPr>
                <w:rFonts w:ascii="Arial" w:cs="Arial" w:eastAsia="Arial" w:hAnsi="Arial"/>
                <w:sz w:val="16"/>
                <w:szCs w:val="16"/>
                <w:color w:val="D7282F"/>
              </w:rPr>
              <w:t>women</w:t>
            </w:r>
          </w:p>
        </w:tc>
        <w:tc>
          <w:tcPr>
            <w:tcW w:w="20" w:type="dxa"/>
            <w:vAlign w:val="bottom"/>
            <w:shd w:val="clear" w:color="auto" w:fill="939598"/>
          </w:tcPr>
          <w:p>
            <w:pPr>
              <w:spacing w:after="0"/>
              <w:rPr>
                <w:sz w:val="17"/>
                <w:szCs w:val="17"/>
                <w:color w:val="auto"/>
              </w:rPr>
            </w:pPr>
          </w:p>
        </w:tc>
        <w:tc>
          <w:tcPr>
            <w:tcW w:w="1840" w:type="dxa"/>
            <w:vAlign w:val="bottom"/>
            <w:shd w:val="clear" w:color="auto" w:fill="EDEDEE"/>
          </w:tcPr>
          <w:p>
            <w:pPr>
              <w:ind w:left="60"/>
              <w:spacing w:after="0"/>
              <w:rPr>
                <w:sz w:val="20"/>
                <w:szCs w:val="20"/>
                <w:color w:val="auto"/>
              </w:rPr>
            </w:pPr>
            <w:r>
              <w:rPr>
                <w:rFonts w:ascii="Arial" w:cs="Arial" w:eastAsia="Arial" w:hAnsi="Arial"/>
                <w:sz w:val="16"/>
                <w:szCs w:val="16"/>
                <w:color w:val="auto"/>
              </w:rPr>
              <w:t xml:space="preserve">nominees are </w:t>
            </w:r>
            <w:r>
              <w:rPr>
                <w:rFonts w:ascii="Arial" w:cs="Arial" w:eastAsia="Arial" w:hAnsi="Arial"/>
                <w:sz w:val="16"/>
                <w:szCs w:val="16"/>
                <w:color w:val="D7282F"/>
              </w:rPr>
              <w:t>ethnically</w:t>
            </w:r>
          </w:p>
        </w:tc>
        <w:tc>
          <w:tcPr>
            <w:tcW w:w="20" w:type="dxa"/>
            <w:vAlign w:val="bottom"/>
            <w:shd w:val="clear" w:color="auto" w:fill="939598"/>
          </w:tcPr>
          <w:p>
            <w:pPr>
              <w:spacing w:after="0"/>
              <w:rPr>
                <w:sz w:val="17"/>
                <w:szCs w:val="17"/>
                <w:color w:val="auto"/>
              </w:rPr>
            </w:pPr>
          </w:p>
        </w:tc>
        <w:tc>
          <w:tcPr>
            <w:tcW w:w="1860" w:type="dxa"/>
            <w:vAlign w:val="bottom"/>
            <w:shd w:val="clear" w:color="auto" w:fill="EDEDEE"/>
          </w:tcPr>
          <w:p>
            <w:pPr>
              <w:ind w:left="60"/>
              <w:spacing w:after="0"/>
              <w:rPr>
                <w:sz w:val="20"/>
                <w:szCs w:val="20"/>
                <w:color w:val="auto"/>
              </w:rPr>
            </w:pPr>
            <w:r>
              <w:rPr>
                <w:rFonts w:ascii="Arial" w:cs="Arial" w:eastAsia="Arial" w:hAnsi="Arial"/>
                <w:sz w:val="16"/>
                <w:szCs w:val="16"/>
                <w:color w:val="auto"/>
              </w:rPr>
              <w:t xml:space="preserve">committees is </w:t>
            </w:r>
            <w:r>
              <w:rPr>
                <w:rFonts w:ascii="Arial" w:cs="Arial" w:eastAsia="Arial" w:hAnsi="Arial"/>
                <w:sz w:val="16"/>
                <w:szCs w:val="16"/>
                <w:color w:val="D7282F"/>
              </w:rPr>
              <w:t>chaired</w:t>
            </w:r>
          </w:p>
        </w:tc>
        <w:tc>
          <w:tcPr>
            <w:tcW w:w="20" w:type="dxa"/>
            <w:vAlign w:val="bottom"/>
            <w:shd w:val="clear" w:color="auto" w:fill="939598"/>
          </w:tcPr>
          <w:p>
            <w:pPr>
              <w:spacing w:after="0"/>
              <w:rPr>
                <w:sz w:val="17"/>
                <w:szCs w:val="17"/>
                <w:color w:val="auto"/>
              </w:rPr>
            </w:pPr>
          </w:p>
        </w:tc>
        <w:tc>
          <w:tcPr>
            <w:tcW w:w="1860" w:type="dxa"/>
            <w:vAlign w:val="bottom"/>
            <w:shd w:val="clear" w:color="auto" w:fill="EDEDEE"/>
          </w:tcPr>
          <w:p>
            <w:pPr>
              <w:ind w:left="60"/>
              <w:spacing w:after="0"/>
              <w:rPr>
                <w:sz w:val="20"/>
                <w:szCs w:val="20"/>
                <w:color w:val="auto"/>
              </w:rPr>
            </w:pPr>
            <w:r>
              <w:rPr>
                <w:rFonts w:ascii="Arial" w:cs="Arial" w:eastAsia="Arial" w:hAnsi="Arial"/>
                <w:sz w:val="16"/>
                <w:szCs w:val="16"/>
                <w:color w:val="auto"/>
              </w:rPr>
              <w:t xml:space="preserve">nominees have </w:t>
            </w:r>
            <w:r>
              <w:rPr>
                <w:rFonts w:ascii="Arial" w:cs="Arial" w:eastAsia="Arial" w:hAnsi="Arial"/>
                <w:sz w:val="16"/>
                <w:szCs w:val="16"/>
                <w:color w:val="D7282F"/>
              </w:rPr>
              <w:t>CEO</w:t>
            </w:r>
          </w:p>
        </w:tc>
        <w:tc>
          <w:tcPr>
            <w:tcW w:w="20" w:type="dxa"/>
            <w:vAlign w:val="bottom"/>
            <w:shd w:val="clear" w:color="auto" w:fill="939598"/>
          </w:tcPr>
          <w:p>
            <w:pPr>
              <w:spacing w:after="0"/>
              <w:rPr>
                <w:sz w:val="17"/>
                <w:szCs w:val="17"/>
                <w:color w:val="auto"/>
              </w:rPr>
            </w:pPr>
          </w:p>
        </w:tc>
        <w:tc>
          <w:tcPr>
            <w:tcW w:w="1860" w:type="dxa"/>
            <w:vAlign w:val="bottom"/>
            <w:shd w:val="clear" w:color="auto" w:fill="EDEDEE"/>
          </w:tcPr>
          <w:p>
            <w:pPr>
              <w:ind w:left="40"/>
              <w:spacing w:after="0"/>
              <w:rPr>
                <w:sz w:val="20"/>
                <w:szCs w:val="20"/>
                <w:color w:val="auto"/>
              </w:rPr>
            </w:pPr>
            <w:r>
              <w:rPr>
                <w:rFonts w:ascii="Arial" w:cs="Arial" w:eastAsia="Arial" w:hAnsi="Arial"/>
                <w:sz w:val="16"/>
                <w:szCs w:val="16"/>
                <w:color w:val="auto"/>
              </w:rPr>
              <w:t xml:space="preserve">years </w:t>
            </w:r>
            <w:r>
              <w:rPr>
                <w:rFonts w:ascii="Arial" w:cs="Arial" w:eastAsia="Arial" w:hAnsi="Arial"/>
                <w:sz w:val="16"/>
                <w:szCs w:val="16"/>
                <w:color w:val="D7282F"/>
              </w:rPr>
              <w:t>average tenure</w:t>
            </w:r>
          </w:p>
        </w:tc>
        <w:tc>
          <w:tcPr>
            <w:tcW w:w="0" w:type="dxa"/>
            <w:vAlign w:val="bottom"/>
          </w:tcPr>
          <w:p>
            <w:pPr>
              <w:spacing w:after="0"/>
              <w:rPr>
                <w:sz w:val="1"/>
                <w:szCs w:val="1"/>
                <w:color w:val="auto"/>
              </w:rPr>
            </w:pPr>
          </w:p>
        </w:tc>
      </w:tr>
      <w:tr>
        <w:trPr>
          <w:trHeight w:val="224"/>
        </w:trPr>
        <w:tc>
          <w:tcPr>
            <w:tcW w:w="1860" w:type="dxa"/>
            <w:vAlign w:val="bottom"/>
            <w:tcBorders>
              <w:bottom w:val="single" w:sz="8" w:color="EDEDEE"/>
            </w:tcBorders>
            <w:shd w:val="clear" w:color="auto" w:fill="EDEDEE"/>
          </w:tcPr>
          <w:p>
            <w:pPr>
              <w:ind w:left="60"/>
              <w:spacing w:after="0"/>
              <w:rPr>
                <w:sz w:val="20"/>
                <w:szCs w:val="20"/>
                <w:color w:val="auto"/>
              </w:rPr>
            </w:pPr>
            <w:r>
              <w:rPr>
                <w:rFonts w:ascii="Arial" w:cs="Arial" w:eastAsia="Arial" w:hAnsi="Arial"/>
                <w:sz w:val="16"/>
                <w:szCs w:val="16"/>
                <w:color w:val="D7282F"/>
              </w:rPr>
              <w:t>independent</w:t>
            </w:r>
          </w:p>
        </w:tc>
        <w:tc>
          <w:tcPr>
            <w:tcW w:w="20" w:type="dxa"/>
            <w:vAlign w:val="bottom"/>
            <w:tcBorders>
              <w:bottom w:val="single" w:sz="8" w:color="939598"/>
            </w:tcBorders>
            <w:shd w:val="clear" w:color="auto" w:fill="939598"/>
          </w:tcPr>
          <w:p>
            <w:pPr>
              <w:spacing w:after="0"/>
              <w:rPr>
                <w:sz w:val="19"/>
                <w:szCs w:val="19"/>
                <w:color w:val="auto"/>
              </w:rPr>
            </w:pPr>
          </w:p>
        </w:tc>
        <w:tc>
          <w:tcPr>
            <w:tcW w:w="1840" w:type="dxa"/>
            <w:vAlign w:val="bottom"/>
            <w:tcBorders>
              <w:bottom w:val="single" w:sz="8" w:color="EDEDEE"/>
            </w:tcBorders>
            <w:shd w:val="clear" w:color="auto" w:fill="EDEDEE"/>
          </w:tcPr>
          <w:p>
            <w:pPr>
              <w:spacing w:after="0"/>
              <w:rPr>
                <w:sz w:val="19"/>
                <w:szCs w:val="19"/>
                <w:color w:val="auto"/>
              </w:rPr>
            </w:pPr>
          </w:p>
        </w:tc>
        <w:tc>
          <w:tcPr>
            <w:tcW w:w="20" w:type="dxa"/>
            <w:vAlign w:val="bottom"/>
            <w:tcBorders>
              <w:bottom w:val="single" w:sz="8" w:color="939598"/>
            </w:tcBorders>
            <w:shd w:val="clear" w:color="auto" w:fill="939598"/>
          </w:tcPr>
          <w:p>
            <w:pPr>
              <w:spacing w:after="0"/>
              <w:rPr>
                <w:sz w:val="19"/>
                <w:szCs w:val="19"/>
                <w:color w:val="auto"/>
              </w:rPr>
            </w:pPr>
          </w:p>
        </w:tc>
        <w:tc>
          <w:tcPr>
            <w:tcW w:w="1840" w:type="dxa"/>
            <w:vAlign w:val="bottom"/>
            <w:tcBorders>
              <w:bottom w:val="single" w:sz="8" w:color="EDEDEE"/>
            </w:tcBorders>
            <w:shd w:val="clear" w:color="auto" w:fill="EDEDEE"/>
          </w:tcPr>
          <w:p>
            <w:pPr>
              <w:ind w:left="60"/>
              <w:spacing w:after="0"/>
              <w:rPr>
                <w:sz w:val="20"/>
                <w:szCs w:val="20"/>
                <w:color w:val="auto"/>
              </w:rPr>
            </w:pPr>
            <w:r>
              <w:rPr>
                <w:rFonts w:ascii="Arial" w:cs="Arial" w:eastAsia="Arial" w:hAnsi="Arial"/>
                <w:sz w:val="16"/>
                <w:szCs w:val="16"/>
                <w:color w:val="D7282F"/>
              </w:rPr>
              <w:t>or racially diverse</w:t>
            </w:r>
          </w:p>
        </w:tc>
        <w:tc>
          <w:tcPr>
            <w:tcW w:w="20" w:type="dxa"/>
            <w:vAlign w:val="bottom"/>
            <w:tcBorders>
              <w:bottom w:val="single" w:sz="8" w:color="939598"/>
            </w:tcBorders>
            <w:shd w:val="clear" w:color="auto" w:fill="939598"/>
          </w:tcPr>
          <w:p>
            <w:pPr>
              <w:spacing w:after="0"/>
              <w:rPr>
                <w:sz w:val="19"/>
                <w:szCs w:val="19"/>
                <w:color w:val="auto"/>
              </w:rPr>
            </w:pPr>
          </w:p>
        </w:tc>
        <w:tc>
          <w:tcPr>
            <w:tcW w:w="1860" w:type="dxa"/>
            <w:vAlign w:val="bottom"/>
            <w:tcBorders>
              <w:bottom w:val="single" w:sz="8" w:color="EDEDEE"/>
            </w:tcBorders>
            <w:shd w:val="clear" w:color="auto" w:fill="EDEDEE"/>
          </w:tcPr>
          <w:p>
            <w:pPr>
              <w:ind w:left="60"/>
              <w:spacing w:after="0"/>
              <w:rPr>
                <w:sz w:val="20"/>
                <w:szCs w:val="20"/>
                <w:color w:val="auto"/>
              </w:rPr>
            </w:pPr>
            <w:r>
              <w:rPr>
                <w:rFonts w:ascii="Arial" w:cs="Arial" w:eastAsia="Arial" w:hAnsi="Arial"/>
                <w:sz w:val="16"/>
                <w:szCs w:val="16"/>
                <w:color w:val="D7282F"/>
              </w:rPr>
              <w:t>by a woman</w:t>
            </w:r>
          </w:p>
        </w:tc>
        <w:tc>
          <w:tcPr>
            <w:tcW w:w="20" w:type="dxa"/>
            <w:vAlign w:val="bottom"/>
            <w:tcBorders>
              <w:bottom w:val="single" w:sz="8" w:color="939598"/>
            </w:tcBorders>
            <w:shd w:val="clear" w:color="auto" w:fill="939598"/>
          </w:tcPr>
          <w:p>
            <w:pPr>
              <w:spacing w:after="0"/>
              <w:rPr>
                <w:sz w:val="19"/>
                <w:szCs w:val="19"/>
                <w:color w:val="auto"/>
              </w:rPr>
            </w:pPr>
          </w:p>
        </w:tc>
        <w:tc>
          <w:tcPr>
            <w:tcW w:w="1860" w:type="dxa"/>
            <w:vAlign w:val="bottom"/>
            <w:tcBorders>
              <w:bottom w:val="single" w:sz="8" w:color="EDEDEE"/>
            </w:tcBorders>
            <w:shd w:val="clear" w:color="auto" w:fill="EDEDEE"/>
          </w:tcPr>
          <w:p>
            <w:pPr>
              <w:ind w:left="60"/>
              <w:spacing w:after="0"/>
              <w:rPr>
                <w:sz w:val="20"/>
                <w:szCs w:val="20"/>
                <w:color w:val="auto"/>
              </w:rPr>
            </w:pPr>
            <w:r>
              <w:rPr>
                <w:rFonts w:ascii="Arial" w:cs="Arial" w:eastAsia="Arial" w:hAnsi="Arial"/>
                <w:sz w:val="16"/>
                <w:szCs w:val="16"/>
                <w:color w:val="auto"/>
              </w:rPr>
              <w:t>experience</w:t>
            </w:r>
          </w:p>
        </w:tc>
        <w:tc>
          <w:tcPr>
            <w:tcW w:w="20" w:type="dxa"/>
            <w:vAlign w:val="bottom"/>
            <w:tcBorders>
              <w:bottom w:val="single" w:sz="8" w:color="939598"/>
            </w:tcBorders>
            <w:shd w:val="clear" w:color="auto" w:fill="939598"/>
          </w:tcPr>
          <w:p>
            <w:pPr>
              <w:spacing w:after="0"/>
              <w:rPr>
                <w:sz w:val="19"/>
                <w:szCs w:val="19"/>
                <w:color w:val="auto"/>
              </w:rPr>
            </w:pPr>
          </w:p>
        </w:tc>
        <w:tc>
          <w:tcPr>
            <w:tcW w:w="1860" w:type="dxa"/>
            <w:vAlign w:val="bottom"/>
            <w:tcBorders>
              <w:bottom w:val="single" w:sz="8" w:color="EDEDEE"/>
            </w:tcBorders>
            <w:shd w:val="clear" w:color="auto" w:fill="EDEDEE"/>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1860" w:type="dxa"/>
            <w:vAlign w:val="bottom"/>
            <w:shd w:val="clear" w:color="auto" w:fill="EDEDEE"/>
          </w:tcPr>
          <w:p>
            <w:pPr>
              <w:spacing w:after="0"/>
              <w:rPr>
                <w:sz w:val="9"/>
                <w:szCs w:val="9"/>
                <w:color w:val="auto"/>
              </w:rPr>
            </w:pPr>
          </w:p>
        </w:tc>
        <w:tc>
          <w:tcPr>
            <w:tcW w:w="20" w:type="dxa"/>
            <w:vAlign w:val="bottom"/>
            <w:shd w:val="clear" w:color="auto" w:fill="EDEDEE"/>
          </w:tcPr>
          <w:p>
            <w:pPr>
              <w:spacing w:after="0"/>
              <w:rPr>
                <w:sz w:val="9"/>
                <w:szCs w:val="9"/>
                <w:color w:val="auto"/>
              </w:rPr>
            </w:pPr>
          </w:p>
        </w:tc>
        <w:tc>
          <w:tcPr>
            <w:tcW w:w="1840" w:type="dxa"/>
            <w:vAlign w:val="bottom"/>
            <w:shd w:val="clear" w:color="auto" w:fill="EDEDEE"/>
          </w:tcPr>
          <w:p>
            <w:pPr>
              <w:spacing w:after="0"/>
              <w:rPr>
                <w:sz w:val="9"/>
                <w:szCs w:val="9"/>
                <w:color w:val="auto"/>
              </w:rPr>
            </w:pPr>
          </w:p>
        </w:tc>
        <w:tc>
          <w:tcPr>
            <w:tcW w:w="20" w:type="dxa"/>
            <w:vAlign w:val="bottom"/>
            <w:shd w:val="clear" w:color="auto" w:fill="EDEDEE"/>
          </w:tcPr>
          <w:p>
            <w:pPr>
              <w:spacing w:after="0"/>
              <w:rPr>
                <w:sz w:val="9"/>
                <w:szCs w:val="9"/>
                <w:color w:val="auto"/>
              </w:rPr>
            </w:pPr>
          </w:p>
        </w:tc>
        <w:tc>
          <w:tcPr>
            <w:tcW w:w="1840" w:type="dxa"/>
            <w:vAlign w:val="bottom"/>
            <w:shd w:val="clear" w:color="auto" w:fill="EDEDEE"/>
          </w:tcPr>
          <w:p>
            <w:pPr>
              <w:spacing w:after="0"/>
              <w:rPr>
                <w:sz w:val="9"/>
                <w:szCs w:val="9"/>
                <w:color w:val="auto"/>
              </w:rPr>
            </w:pPr>
          </w:p>
        </w:tc>
        <w:tc>
          <w:tcPr>
            <w:tcW w:w="20" w:type="dxa"/>
            <w:vAlign w:val="bottom"/>
            <w:shd w:val="clear" w:color="auto" w:fill="EDEDEE"/>
          </w:tcPr>
          <w:p>
            <w:pPr>
              <w:spacing w:after="0"/>
              <w:rPr>
                <w:sz w:val="9"/>
                <w:szCs w:val="9"/>
                <w:color w:val="auto"/>
              </w:rPr>
            </w:pPr>
          </w:p>
        </w:tc>
        <w:tc>
          <w:tcPr>
            <w:tcW w:w="1860" w:type="dxa"/>
            <w:vAlign w:val="bottom"/>
            <w:shd w:val="clear" w:color="auto" w:fill="EDEDEE"/>
          </w:tcPr>
          <w:p>
            <w:pPr>
              <w:spacing w:after="0"/>
              <w:rPr>
                <w:sz w:val="9"/>
                <w:szCs w:val="9"/>
                <w:color w:val="auto"/>
              </w:rPr>
            </w:pPr>
          </w:p>
        </w:tc>
        <w:tc>
          <w:tcPr>
            <w:tcW w:w="20" w:type="dxa"/>
            <w:vAlign w:val="bottom"/>
            <w:shd w:val="clear" w:color="auto" w:fill="EDEDEE"/>
          </w:tcPr>
          <w:p>
            <w:pPr>
              <w:spacing w:after="0"/>
              <w:rPr>
                <w:sz w:val="9"/>
                <w:szCs w:val="9"/>
                <w:color w:val="auto"/>
              </w:rPr>
            </w:pPr>
          </w:p>
        </w:tc>
        <w:tc>
          <w:tcPr>
            <w:tcW w:w="1860" w:type="dxa"/>
            <w:vAlign w:val="bottom"/>
            <w:shd w:val="clear" w:color="auto" w:fill="EDEDEE"/>
          </w:tcPr>
          <w:p>
            <w:pPr>
              <w:spacing w:after="0"/>
              <w:rPr>
                <w:sz w:val="9"/>
                <w:szCs w:val="9"/>
                <w:color w:val="auto"/>
              </w:rPr>
            </w:pPr>
          </w:p>
        </w:tc>
        <w:tc>
          <w:tcPr>
            <w:tcW w:w="20" w:type="dxa"/>
            <w:vAlign w:val="bottom"/>
            <w:shd w:val="clear" w:color="auto" w:fill="EDEDEE"/>
          </w:tcPr>
          <w:p>
            <w:pPr>
              <w:spacing w:after="0"/>
              <w:rPr>
                <w:sz w:val="9"/>
                <w:szCs w:val="9"/>
                <w:color w:val="auto"/>
              </w:rPr>
            </w:pPr>
          </w:p>
        </w:tc>
        <w:tc>
          <w:tcPr>
            <w:tcW w:w="1860" w:type="dxa"/>
            <w:vAlign w:val="bottom"/>
            <w:shd w:val="clear" w:color="auto" w:fill="EDEDE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860" w:type="dxa"/>
            <w:vAlign w:val="bottom"/>
            <w:tcBorders>
              <w:bottom w:val="single" w:sz="8" w:color="D7282F"/>
            </w:tcBorders>
          </w:tcPr>
          <w:p>
            <w:pPr>
              <w:spacing w:after="0"/>
              <w:rPr>
                <w:sz w:val="19"/>
                <w:szCs w:val="19"/>
                <w:color w:val="auto"/>
              </w:rPr>
            </w:pPr>
          </w:p>
        </w:tc>
        <w:tc>
          <w:tcPr>
            <w:tcW w:w="20" w:type="dxa"/>
            <w:vAlign w:val="bottom"/>
            <w:tcBorders>
              <w:bottom w:val="single" w:sz="8" w:color="D7282F"/>
            </w:tcBorders>
          </w:tcPr>
          <w:p>
            <w:pPr>
              <w:spacing w:after="0"/>
              <w:rPr>
                <w:sz w:val="19"/>
                <w:szCs w:val="19"/>
                <w:color w:val="auto"/>
              </w:rPr>
            </w:pPr>
          </w:p>
        </w:tc>
        <w:tc>
          <w:tcPr>
            <w:tcW w:w="1840" w:type="dxa"/>
            <w:vAlign w:val="bottom"/>
            <w:tcBorders>
              <w:bottom w:val="single" w:sz="8" w:color="D7282F"/>
            </w:tcBorders>
          </w:tcPr>
          <w:p>
            <w:pPr>
              <w:spacing w:after="0"/>
              <w:rPr>
                <w:sz w:val="19"/>
                <w:szCs w:val="19"/>
                <w:color w:val="auto"/>
              </w:rPr>
            </w:pPr>
          </w:p>
        </w:tc>
        <w:tc>
          <w:tcPr>
            <w:tcW w:w="20" w:type="dxa"/>
            <w:vAlign w:val="bottom"/>
            <w:tcBorders>
              <w:bottom w:val="single" w:sz="8" w:color="D7282F"/>
            </w:tcBorders>
          </w:tcPr>
          <w:p>
            <w:pPr>
              <w:spacing w:after="0"/>
              <w:rPr>
                <w:sz w:val="19"/>
                <w:szCs w:val="19"/>
                <w:color w:val="auto"/>
              </w:rPr>
            </w:pPr>
          </w:p>
        </w:tc>
        <w:tc>
          <w:tcPr>
            <w:tcW w:w="1840" w:type="dxa"/>
            <w:vAlign w:val="bottom"/>
            <w:tcBorders>
              <w:bottom w:val="single" w:sz="8" w:color="D7282F"/>
            </w:tcBorders>
          </w:tcPr>
          <w:p>
            <w:pPr>
              <w:spacing w:after="0"/>
              <w:rPr>
                <w:sz w:val="19"/>
                <w:szCs w:val="19"/>
                <w:color w:val="auto"/>
              </w:rPr>
            </w:pPr>
          </w:p>
        </w:tc>
        <w:tc>
          <w:tcPr>
            <w:tcW w:w="20" w:type="dxa"/>
            <w:vAlign w:val="bottom"/>
            <w:tcBorders>
              <w:bottom w:val="single" w:sz="8" w:color="D7282F"/>
            </w:tcBorders>
          </w:tcPr>
          <w:p>
            <w:pPr>
              <w:spacing w:after="0"/>
              <w:rPr>
                <w:sz w:val="19"/>
                <w:szCs w:val="19"/>
                <w:color w:val="auto"/>
              </w:rPr>
            </w:pPr>
          </w:p>
        </w:tc>
        <w:tc>
          <w:tcPr>
            <w:tcW w:w="1860" w:type="dxa"/>
            <w:vAlign w:val="bottom"/>
            <w:tcBorders>
              <w:bottom w:val="single" w:sz="8" w:color="D7282F"/>
            </w:tcBorders>
          </w:tcPr>
          <w:p>
            <w:pPr>
              <w:spacing w:after="0"/>
              <w:rPr>
                <w:sz w:val="19"/>
                <w:szCs w:val="19"/>
                <w:color w:val="auto"/>
              </w:rPr>
            </w:pPr>
          </w:p>
        </w:tc>
        <w:tc>
          <w:tcPr>
            <w:tcW w:w="20" w:type="dxa"/>
            <w:vAlign w:val="bottom"/>
            <w:tcBorders>
              <w:bottom w:val="single" w:sz="8" w:color="D7282F"/>
            </w:tcBorders>
          </w:tcPr>
          <w:p>
            <w:pPr>
              <w:spacing w:after="0"/>
              <w:rPr>
                <w:sz w:val="19"/>
                <w:szCs w:val="19"/>
                <w:color w:val="auto"/>
              </w:rPr>
            </w:pPr>
          </w:p>
        </w:tc>
        <w:tc>
          <w:tcPr>
            <w:tcW w:w="1860" w:type="dxa"/>
            <w:vAlign w:val="bottom"/>
            <w:tcBorders>
              <w:bottom w:val="single" w:sz="8" w:color="D7282F"/>
            </w:tcBorders>
          </w:tcPr>
          <w:p>
            <w:pPr>
              <w:spacing w:after="0"/>
              <w:rPr>
                <w:sz w:val="19"/>
                <w:szCs w:val="19"/>
                <w:color w:val="auto"/>
              </w:rPr>
            </w:pPr>
          </w:p>
        </w:tc>
        <w:tc>
          <w:tcPr>
            <w:tcW w:w="20" w:type="dxa"/>
            <w:vAlign w:val="bottom"/>
            <w:tcBorders>
              <w:bottom w:val="single" w:sz="8" w:color="D7282F"/>
            </w:tcBorders>
          </w:tcPr>
          <w:p>
            <w:pPr>
              <w:spacing w:after="0"/>
              <w:rPr>
                <w:sz w:val="19"/>
                <w:szCs w:val="19"/>
                <w:color w:val="auto"/>
              </w:rPr>
            </w:pPr>
          </w:p>
        </w:tc>
        <w:tc>
          <w:tcPr>
            <w:tcW w:w="1860" w:type="dxa"/>
            <w:vAlign w:val="bottom"/>
            <w:tcBorders>
              <w:bottom w:val="single" w:sz="8" w:color="D7282F"/>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23430" cy="29317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23430" cy="293179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p>
      <w:pPr>
        <w:spacing w:after="0" w:line="256" w:lineRule="exact"/>
        <w:rPr>
          <w:sz w:val="20"/>
          <w:szCs w:val="20"/>
          <w:color w:val="auto"/>
        </w:rPr>
      </w:pPr>
    </w:p>
    <w:p>
      <w:pPr>
        <w:ind w:left="20" w:right="640"/>
        <w:spacing w:after="0" w:line="296" w:lineRule="auto"/>
        <w:rPr>
          <w:sz w:val="20"/>
          <w:szCs w:val="20"/>
          <w:color w:val="auto"/>
        </w:rPr>
      </w:pPr>
      <w:r>
        <w:rPr>
          <w:rFonts w:ascii="Arial" w:cs="Arial" w:eastAsia="Arial" w:hAnsi="Arial"/>
          <w:sz w:val="16"/>
          <w:szCs w:val="16"/>
          <w:b w:val="1"/>
          <w:bCs w:val="1"/>
          <w:color w:val="D7282F"/>
        </w:rPr>
        <w:t>SHAREOWNER EMPOWERMENT AND ENGAGEMENT</w:t>
      </w:r>
    </w:p>
    <w:p>
      <w:pPr>
        <w:spacing w:after="0" w:line="86" w:lineRule="exact"/>
        <w:rPr>
          <w:sz w:val="20"/>
          <w:szCs w:val="20"/>
          <w:color w:val="auto"/>
        </w:rPr>
      </w:pPr>
    </w:p>
    <w:p>
      <w:pPr>
        <w:ind w:left="240" w:right="500" w:firstLine="5"/>
        <w:spacing w:after="0" w:line="304" w:lineRule="auto"/>
        <w:rPr>
          <w:sz w:val="20"/>
          <w:szCs w:val="20"/>
          <w:color w:val="auto"/>
        </w:rPr>
      </w:pPr>
      <w:r>
        <w:rPr>
          <w:rFonts w:ascii="Arial" w:cs="Arial" w:eastAsia="Arial" w:hAnsi="Arial"/>
          <w:sz w:val="16"/>
          <w:szCs w:val="16"/>
          <w:color w:val="auto"/>
        </w:rPr>
        <w:t>15% threshold for shareowners to call a special meeting.</w:t>
      </w:r>
    </w:p>
    <w:p>
      <w:pPr>
        <w:spacing w:after="0" w:line="6" w:lineRule="exact"/>
        <w:rPr>
          <w:sz w:val="20"/>
          <w:szCs w:val="20"/>
          <w:color w:val="auto"/>
        </w:rPr>
      </w:pPr>
    </w:p>
    <w:p>
      <w:pPr>
        <w:ind w:left="240" w:right="40" w:firstLine="5"/>
        <w:spacing w:after="0" w:line="286" w:lineRule="auto"/>
        <w:rPr>
          <w:sz w:val="20"/>
          <w:szCs w:val="20"/>
          <w:color w:val="auto"/>
        </w:rPr>
      </w:pPr>
      <w:r>
        <w:rPr>
          <w:rFonts w:ascii="Arial" w:cs="Arial" w:eastAsia="Arial" w:hAnsi="Arial"/>
          <w:sz w:val="16"/>
          <w:szCs w:val="16"/>
          <w:color w:val="auto"/>
        </w:rPr>
        <w:t>Majority shareowner vote to amend Certificate of Incorporation and By-laws.</w:t>
      </w:r>
    </w:p>
    <w:p>
      <w:pPr>
        <w:spacing w:after="0" w:line="34" w:lineRule="exact"/>
        <w:rPr>
          <w:sz w:val="20"/>
          <w:szCs w:val="20"/>
          <w:color w:val="auto"/>
        </w:rPr>
      </w:pPr>
    </w:p>
    <w:p>
      <w:pPr>
        <w:ind w:left="240" w:right="200" w:hanging="224"/>
        <w:spacing w:after="0"/>
        <w:rPr>
          <w:sz w:val="20"/>
          <w:szCs w:val="20"/>
          <w:color w:val="auto"/>
        </w:rPr>
      </w:pPr>
      <w:r>
        <w:rPr>
          <w:sz w:val="1"/>
          <w:szCs w:val="1"/>
          <w:color w:val="auto"/>
        </w:rPr>
        <w:drawing>
          <wp:inline distT="0" distB="0" distL="0" distR="0">
            <wp:extent cx="85725" cy="6858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6"/>
          <w:szCs w:val="16"/>
          <w:color w:val="auto"/>
        </w:rPr>
        <w:t xml:space="preserve"> Annual election of all directors, with majority shareowner vote requirement in uncontested elections.</w:t>
      </w:r>
    </w:p>
    <w:p>
      <w:pPr>
        <w:spacing w:after="0" w:line="69" w:lineRule="exact"/>
        <w:rPr>
          <w:sz w:val="20"/>
          <w:szCs w:val="20"/>
          <w:color w:val="auto"/>
        </w:rPr>
      </w:pPr>
    </w:p>
    <w:p>
      <w:pPr>
        <w:ind w:left="240" w:right="540" w:firstLine="5"/>
        <w:spacing w:after="0" w:line="275" w:lineRule="auto"/>
        <w:rPr>
          <w:sz w:val="20"/>
          <w:szCs w:val="20"/>
          <w:color w:val="auto"/>
        </w:rPr>
      </w:pPr>
      <w:r>
        <w:rPr>
          <w:rFonts w:ascii="Arial" w:cs="Arial" w:eastAsia="Arial" w:hAnsi="Arial"/>
          <w:sz w:val="16"/>
          <w:szCs w:val="16"/>
          <w:color w:val="auto"/>
        </w:rPr>
        <w:t>No poison pill; we will seek shareowner approval if a shareowner rights plan is adopted.</w:t>
      </w:r>
    </w:p>
    <w:p>
      <w:pPr>
        <w:spacing w:after="0" w:line="29" w:lineRule="exact"/>
        <w:rPr>
          <w:sz w:val="20"/>
          <w:szCs w:val="20"/>
          <w:color w:val="auto"/>
        </w:rPr>
      </w:pPr>
    </w:p>
    <w:p>
      <w:pPr>
        <w:ind w:left="240" w:right="120" w:firstLine="5"/>
        <w:spacing w:after="0" w:line="286" w:lineRule="auto"/>
        <w:rPr>
          <w:sz w:val="20"/>
          <w:szCs w:val="20"/>
          <w:color w:val="auto"/>
        </w:rPr>
      </w:pPr>
      <w:r>
        <w:rPr>
          <w:rFonts w:ascii="Arial" w:cs="Arial" w:eastAsia="Arial" w:hAnsi="Arial"/>
          <w:sz w:val="16"/>
          <w:szCs w:val="16"/>
          <w:color w:val="auto"/>
        </w:rPr>
        <w:t>Robust year-round shareowner engagement, with independent director participation.</w:t>
      </w:r>
    </w:p>
    <w:p>
      <w:pPr>
        <w:spacing w:after="0" w:line="34" w:lineRule="exact"/>
        <w:rPr>
          <w:sz w:val="20"/>
          <w:szCs w:val="20"/>
          <w:color w:val="auto"/>
        </w:rPr>
      </w:pPr>
    </w:p>
    <w:p>
      <w:pPr>
        <w:ind w:left="240" w:firstLine="5"/>
        <w:spacing w:after="0" w:line="265" w:lineRule="auto"/>
        <w:rPr>
          <w:sz w:val="20"/>
          <w:szCs w:val="20"/>
          <w:color w:val="auto"/>
        </w:rPr>
      </w:pPr>
      <w:r>
        <w:rPr>
          <w:rFonts w:ascii="Arial" w:cs="Arial" w:eastAsia="Arial" w:hAnsi="Arial"/>
          <w:sz w:val="16"/>
          <w:szCs w:val="16"/>
          <w:color w:val="auto"/>
        </w:rPr>
        <w:t>Proxy access enabling shareowner(s) holding 3% of our stock for three years to include up to two director nominees (or nominees representing 20% of the Board) in our proxy.</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D7282F"/>
        </w:rPr>
        <w:t>WORLD-CLASS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D7282F"/>
        </w:rPr>
        <w:t>BOARD OF DIRECTORS</w:t>
      </w:r>
    </w:p>
    <w:p>
      <w:pPr>
        <w:spacing w:after="0" w:line="151" w:lineRule="exact"/>
        <w:rPr>
          <w:sz w:val="20"/>
          <w:szCs w:val="20"/>
          <w:color w:val="auto"/>
        </w:rPr>
      </w:pPr>
    </w:p>
    <w:p>
      <w:pPr>
        <w:ind w:left="240" w:hanging="219"/>
        <w:spacing w:after="0"/>
        <w:rPr>
          <w:sz w:val="20"/>
          <w:szCs w:val="20"/>
          <w:color w:val="auto"/>
        </w:rPr>
      </w:pPr>
      <w:r>
        <w:rPr>
          <w:sz w:val="1"/>
          <w:szCs w:val="1"/>
          <w:color w:val="auto"/>
        </w:rPr>
        <w:drawing>
          <wp:inline distT="0" distB="0" distL="0" distR="0">
            <wp:extent cx="85725" cy="6858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6"/>
          <w:szCs w:val="16"/>
          <w:color w:val="auto"/>
        </w:rPr>
        <w:t xml:space="preserve"> All director nominees are independent, except our Chairman and Chief Executive Officer.</w:t>
      </w:r>
    </w:p>
    <w:p>
      <w:pPr>
        <w:spacing w:after="0" w:line="55" w:lineRule="exact"/>
        <w:rPr>
          <w:sz w:val="20"/>
          <w:szCs w:val="20"/>
          <w:color w:val="auto"/>
        </w:rPr>
      </w:pPr>
    </w:p>
    <w:p>
      <w:pPr>
        <w:ind w:left="240" w:right="360" w:hanging="219"/>
        <w:spacing w:after="0"/>
        <w:rPr>
          <w:sz w:val="20"/>
          <w:szCs w:val="20"/>
          <w:color w:val="auto"/>
        </w:rPr>
      </w:pPr>
      <w:r>
        <w:rPr>
          <w:sz w:val="1"/>
          <w:szCs w:val="1"/>
          <w:color w:val="auto"/>
        </w:rPr>
        <w:drawing>
          <wp:inline distT="0" distB="0" distL="0" distR="0">
            <wp:extent cx="85725" cy="6858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6"/>
          <w:szCs w:val="16"/>
          <w:color w:val="auto"/>
        </w:rPr>
        <w:t xml:space="preserve"> Wide breadth of experiences and backgrounds (industry, profession, public service, geography, and personal characteristics).</w:t>
      </w:r>
    </w:p>
    <w:p>
      <w:pPr>
        <w:spacing w:after="0" w:line="55" w:lineRule="exact"/>
        <w:rPr>
          <w:sz w:val="20"/>
          <w:szCs w:val="20"/>
          <w:color w:val="auto"/>
        </w:rPr>
      </w:pPr>
    </w:p>
    <w:p>
      <w:pPr>
        <w:ind w:left="240" w:right="100" w:hanging="219"/>
        <w:spacing w:after="0"/>
        <w:rPr>
          <w:sz w:val="20"/>
          <w:szCs w:val="20"/>
          <w:color w:val="auto"/>
        </w:rPr>
      </w:pPr>
      <w:r>
        <w:rPr>
          <w:sz w:val="1"/>
          <w:szCs w:val="1"/>
          <w:color w:val="auto"/>
        </w:rPr>
        <w:drawing>
          <wp:inline distT="0" distB="0" distL="0" distR="0">
            <wp:extent cx="85725" cy="6858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6"/>
          <w:szCs w:val="16"/>
          <w:color w:val="auto"/>
        </w:rPr>
        <w:t xml:space="preserve"> Range of tenures enables balance between historical experience and fresh perspectives.</w:t>
      </w:r>
    </w:p>
    <w:p>
      <w:pPr>
        <w:spacing w:after="0" w:line="55" w:lineRule="exact"/>
        <w:rPr>
          <w:sz w:val="20"/>
          <w:szCs w:val="20"/>
          <w:color w:val="auto"/>
        </w:rPr>
      </w:pPr>
    </w:p>
    <w:p>
      <w:pPr>
        <w:ind w:left="240" w:hanging="219"/>
        <w:spacing w:after="0"/>
        <w:rPr>
          <w:sz w:val="20"/>
          <w:szCs w:val="20"/>
          <w:color w:val="auto"/>
        </w:rPr>
      </w:pPr>
      <w:r>
        <w:rPr>
          <w:sz w:val="1"/>
          <w:szCs w:val="1"/>
          <w:color w:val="auto"/>
        </w:rPr>
        <w:drawing>
          <wp:inline distT="0" distB="0" distL="0" distR="0">
            <wp:extent cx="85725" cy="6858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6"/>
          <w:szCs w:val="16"/>
          <w:color w:val="auto"/>
        </w:rPr>
        <w:t xml:space="preserve"> Backgrounds aligned to our strategic direction and megatrends.</w:t>
      </w:r>
    </w:p>
    <w:p>
      <w:pPr>
        <w:spacing w:after="0" w:line="55" w:lineRule="exact"/>
        <w:rPr>
          <w:sz w:val="20"/>
          <w:szCs w:val="20"/>
          <w:color w:val="auto"/>
        </w:rPr>
      </w:pPr>
    </w:p>
    <w:p>
      <w:pPr>
        <w:ind w:left="240" w:right="40" w:hanging="219"/>
        <w:spacing w:after="0"/>
        <w:rPr>
          <w:sz w:val="20"/>
          <w:szCs w:val="20"/>
          <w:color w:val="auto"/>
        </w:rPr>
      </w:pPr>
      <w:r>
        <w:rPr>
          <w:sz w:val="1"/>
          <w:szCs w:val="1"/>
          <w:color w:val="auto"/>
        </w:rPr>
        <w:drawing>
          <wp:inline distT="0" distB="0" distL="0" distR="0">
            <wp:extent cx="85725" cy="6858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6"/>
          <w:szCs w:val="16"/>
          <w:color w:val="auto"/>
        </w:rPr>
        <w:t xml:space="preserve"> No director may serve on more than four public company boards (including the Honeywell Board). If a director also serves as a public company CEO, service limited to two public company boards (excluding their own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523875</wp:posOffset>
            </wp:positionV>
            <wp:extent cx="7123430" cy="22288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23430" cy="2228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D7282F"/>
        </w:rPr>
        <w:t>ROBUST BOARD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D7282F"/>
        </w:rPr>
        <w:t>STRUCTURE AND PROCESSES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Independent Lead Director with expanded</w:t>
      </w:r>
    </w:p>
    <w:p>
      <w:pPr>
        <w:spacing w:after="0" w:line="31" w:lineRule="exact"/>
        <w:rPr>
          <w:sz w:val="20"/>
          <w:szCs w:val="20"/>
          <w:color w:val="auto"/>
        </w:rPr>
      </w:pPr>
    </w:p>
    <w:p>
      <w:pPr>
        <w:ind w:left="240" w:right="620"/>
        <w:spacing w:after="0" w:line="270" w:lineRule="auto"/>
        <w:rPr>
          <w:sz w:val="20"/>
          <w:szCs w:val="20"/>
          <w:color w:val="auto"/>
        </w:rPr>
      </w:pPr>
      <w:r>
        <w:rPr>
          <w:rFonts w:ascii="Arial" w:cs="Arial" w:eastAsia="Arial" w:hAnsi="Arial"/>
          <w:sz w:val="16"/>
          <w:szCs w:val="16"/>
          <w:color w:val="auto"/>
        </w:rPr>
        <w:t>responsibilities elected by independent directors.</w:t>
      </w:r>
    </w:p>
    <w:p>
      <w:pPr>
        <w:spacing w:after="0" w:line="33" w:lineRule="exact"/>
        <w:rPr>
          <w:sz w:val="20"/>
          <w:szCs w:val="20"/>
          <w:color w:val="auto"/>
        </w:rPr>
      </w:pPr>
    </w:p>
    <w:p>
      <w:pPr>
        <w:jc w:val="both"/>
        <w:ind w:left="240" w:right="180" w:hanging="219"/>
        <w:spacing w:after="0"/>
        <w:rPr>
          <w:sz w:val="20"/>
          <w:szCs w:val="20"/>
          <w:color w:val="auto"/>
        </w:rPr>
      </w:pPr>
      <w:r>
        <w:rPr>
          <w:sz w:val="1"/>
          <w:szCs w:val="1"/>
          <w:color w:val="auto"/>
        </w:rPr>
        <w:drawing>
          <wp:inline distT="0" distB="0" distL="0" distR="0">
            <wp:extent cx="85725" cy="6858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6"/>
          <w:szCs w:val="16"/>
          <w:color w:val="auto"/>
        </w:rPr>
        <w:t xml:space="preserve"> Independent Lead Director and CGRC Chair empowered to call special Board meetings at any time for any reason.</w:t>
      </w:r>
    </w:p>
    <w:p>
      <w:pPr>
        <w:spacing w:after="0" w:line="55" w:lineRule="exact"/>
        <w:rPr>
          <w:sz w:val="20"/>
          <w:szCs w:val="20"/>
          <w:color w:val="auto"/>
        </w:rPr>
      </w:pPr>
    </w:p>
    <w:p>
      <w:pPr>
        <w:ind w:left="240" w:right="1240" w:hanging="219"/>
        <w:spacing w:after="0"/>
        <w:rPr>
          <w:sz w:val="20"/>
          <w:szCs w:val="20"/>
          <w:color w:val="auto"/>
        </w:rPr>
      </w:pPr>
      <w:r>
        <w:rPr>
          <w:sz w:val="1"/>
          <w:szCs w:val="1"/>
          <w:color w:val="auto"/>
        </w:rPr>
        <w:drawing>
          <wp:inline distT="0" distB="0" distL="0" distR="0">
            <wp:extent cx="85725" cy="6858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6"/>
          <w:szCs w:val="16"/>
          <w:color w:val="auto"/>
        </w:rPr>
        <w:t xml:space="preserve"> Regular executive sessions of independent directors.</w:t>
      </w:r>
    </w:p>
    <w:p>
      <w:pPr>
        <w:spacing w:after="0" w:line="55" w:lineRule="exact"/>
        <w:rPr>
          <w:sz w:val="20"/>
          <w:szCs w:val="20"/>
          <w:color w:val="auto"/>
        </w:rPr>
      </w:pPr>
    </w:p>
    <w:p>
      <w:pPr>
        <w:ind w:left="240" w:right="160" w:hanging="219"/>
        <w:spacing w:after="0"/>
        <w:rPr>
          <w:sz w:val="20"/>
          <w:szCs w:val="20"/>
          <w:color w:val="auto"/>
        </w:rPr>
      </w:pPr>
      <w:r>
        <w:rPr>
          <w:sz w:val="1"/>
          <w:szCs w:val="1"/>
          <w:color w:val="auto"/>
        </w:rPr>
        <w:drawing>
          <wp:inline distT="0" distB="0" distL="0" distR="0">
            <wp:extent cx="85725" cy="6858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6"/>
          <w:szCs w:val="16"/>
          <w:color w:val="auto"/>
        </w:rPr>
        <w:t xml:space="preserve"> Annual Board, committee, and individual self-assessments to enable Board refreshment and appropriate evolution of skills, experience, and perspectives.</w:t>
      </w:r>
    </w:p>
    <w:p>
      <w:pPr>
        <w:spacing w:after="0" w:line="69" w:lineRule="exact"/>
        <w:rPr>
          <w:sz w:val="20"/>
          <w:szCs w:val="20"/>
          <w:color w:val="auto"/>
        </w:rPr>
      </w:pPr>
    </w:p>
    <w:p>
      <w:pPr>
        <w:ind w:left="240" w:right="180" w:hanging="219"/>
        <w:spacing w:after="0"/>
        <w:rPr>
          <w:sz w:val="20"/>
          <w:szCs w:val="20"/>
          <w:color w:val="auto"/>
        </w:rPr>
      </w:pPr>
      <w:r>
        <w:rPr>
          <w:sz w:val="1"/>
          <w:szCs w:val="1"/>
          <w:color w:val="auto"/>
        </w:rPr>
        <w:drawing>
          <wp:inline distT="0" distB="0" distL="0" distR="0">
            <wp:extent cx="85725" cy="6858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6"/>
          <w:szCs w:val="16"/>
          <w:color w:val="auto"/>
        </w:rPr>
        <w:t xml:space="preserve"> Annual review of Corporate Governance Guidelines and committee charters to ensure alignment with best practices.</w:t>
      </w:r>
    </w:p>
    <w:p>
      <w:pPr>
        <w:spacing w:after="0" w:line="55" w:lineRule="exact"/>
        <w:rPr>
          <w:sz w:val="20"/>
          <w:szCs w:val="20"/>
          <w:color w:val="auto"/>
        </w:rPr>
      </w:pPr>
    </w:p>
    <w:p>
      <w:pPr>
        <w:ind w:left="240" w:right="300" w:hanging="219"/>
        <w:spacing w:after="0"/>
        <w:rPr>
          <w:sz w:val="20"/>
          <w:szCs w:val="20"/>
          <w:color w:val="auto"/>
        </w:rPr>
      </w:pPr>
      <w:r>
        <w:rPr>
          <w:sz w:val="1"/>
          <w:szCs w:val="1"/>
          <w:color w:val="auto"/>
        </w:rPr>
        <w:drawing>
          <wp:inline distT="0" distB="0" distL="0" distR="0">
            <wp:extent cx="85725" cy="6858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6"/>
          <w:szCs w:val="16"/>
          <w:color w:val="auto"/>
        </w:rPr>
        <w:t xml:space="preserve"> Director stock ownership guidelines require equity holdings of at least 5x annual cash retainer by non-employee directors.</w:t>
      </w:r>
    </w:p>
    <w:p>
      <w:pPr>
        <w:spacing w:after="0" w:line="200" w:lineRule="exact"/>
        <w:rPr>
          <w:sz w:val="20"/>
          <w:szCs w:val="20"/>
          <w:color w:val="auto"/>
        </w:rPr>
      </w:pPr>
    </w:p>
    <w:p>
      <w:pPr>
        <w:sectPr>
          <w:pgSz w:w="11900" w:h="16838" w:orient="portrait"/>
          <w:cols w:equalWidth="0" w:num="3">
            <w:col w:w="3600" w:space="240"/>
            <w:col w:w="3540" w:space="220"/>
            <w:col w:w="3640"/>
          </w:cols>
          <w:pgMar w:left="320" w:top="230" w:right="339" w:bottom="1440" w:gutter="0" w:footer="0" w:header="0"/>
          <w:type w:val="continuous"/>
        </w:sectPr>
      </w:pPr>
    </w:p>
    <w:p>
      <w:pPr>
        <w:spacing w:after="0" w:line="16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D7282F"/>
        </w:rPr>
        <w:t>ROBUST OVERSIGHT OF RISKS AND OPPORTUNITIES</w:t>
      </w:r>
    </w:p>
    <w:p>
      <w:pPr>
        <w:spacing w:after="0" w:line="167" w:lineRule="exact"/>
        <w:rPr>
          <w:sz w:val="20"/>
          <w:szCs w:val="20"/>
          <w:color w:val="auto"/>
        </w:rPr>
      </w:pPr>
    </w:p>
    <w:p>
      <w:pPr>
        <w:ind w:left="240" w:right="200" w:firstLine="5"/>
        <w:spacing w:after="0" w:line="286" w:lineRule="auto"/>
        <w:rPr>
          <w:sz w:val="20"/>
          <w:szCs w:val="20"/>
          <w:color w:val="auto"/>
        </w:rPr>
      </w:pPr>
      <w:r>
        <w:rPr>
          <w:rFonts w:ascii="Arial" w:cs="Arial" w:eastAsia="Arial" w:hAnsi="Arial"/>
          <w:sz w:val="16"/>
          <w:szCs w:val="16"/>
          <w:color w:val="auto"/>
        </w:rPr>
        <w:t>Robust Enterprise Risk Management (ERM) program to enable Board identification and monitoring of risk.</w:t>
      </w:r>
    </w:p>
    <w:p>
      <w:pPr>
        <w:spacing w:after="0" w:line="34" w:lineRule="exact"/>
        <w:rPr>
          <w:sz w:val="20"/>
          <w:szCs w:val="20"/>
          <w:color w:val="auto"/>
        </w:rPr>
      </w:pPr>
    </w:p>
    <w:p>
      <w:pPr>
        <w:ind w:left="240" w:right="520" w:firstLine="5"/>
        <w:spacing w:after="0" w:line="286" w:lineRule="auto"/>
        <w:rPr>
          <w:sz w:val="20"/>
          <w:szCs w:val="20"/>
          <w:color w:val="auto"/>
        </w:rPr>
      </w:pPr>
      <w:r>
        <w:rPr>
          <w:rFonts w:ascii="Arial" w:cs="Arial" w:eastAsia="Arial" w:hAnsi="Arial"/>
          <w:sz w:val="16"/>
          <w:szCs w:val="16"/>
          <w:color w:val="auto"/>
        </w:rPr>
        <w:t>Purposeful inclusion of key risk areas on Board and/or committee agendas.</w:t>
      </w:r>
    </w:p>
    <w:p>
      <w:pPr>
        <w:spacing w:after="0" w:line="21" w:lineRule="exact"/>
        <w:rPr>
          <w:sz w:val="20"/>
          <w:szCs w:val="20"/>
          <w:color w:val="auto"/>
        </w:rPr>
      </w:pPr>
    </w:p>
    <w:p>
      <w:pPr>
        <w:ind w:left="240" w:firstLine="5"/>
        <w:spacing w:after="0" w:line="304" w:lineRule="auto"/>
        <w:rPr>
          <w:sz w:val="20"/>
          <w:szCs w:val="20"/>
          <w:color w:val="auto"/>
        </w:rPr>
      </w:pPr>
      <w:r>
        <w:rPr>
          <w:rFonts w:ascii="Arial" w:cs="Arial" w:eastAsia="Arial" w:hAnsi="Arial"/>
          <w:sz w:val="16"/>
          <w:szCs w:val="16"/>
          <w:color w:val="auto"/>
        </w:rPr>
        <w:t>Engagement with business leaders to review short-term plans, long-term strategies, and associated risks.</w:t>
      </w:r>
    </w:p>
    <w:p>
      <w:pPr>
        <w:spacing w:after="0" w:line="6" w:lineRule="exact"/>
        <w:rPr>
          <w:sz w:val="20"/>
          <w:szCs w:val="20"/>
          <w:color w:val="auto"/>
        </w:rPr>
      </w:pPr>
    </w:p>
    <w:p>
      <w:pPr>
        <w:jc w:val="both"/>
        <w:ind w:left="240" w:right="60" w:firstLine="5"/>
        <w:spacing w:after="0" w:line="275" w:lineRule="auto"/>
        <w:rPr>
          <w:sz w:val="20"/>
          <w:szCs w:val="20"/>
          <w:color w:val="auto"/>
        </w:rPr>
      </w:pPr>
      <w:r>
        <w:rPr>
          <w:rFonts w:ascii="Arial" w:cs="Arial" w:eastAsia="Arial" w:hAnsi="Arial"/>
          <w:sz w:val="16"/>
          <w:szCs w:val="16"/>
          <w:color w:val="auto"/>
        </w:rPr>
        <w:t>Incentive compensation not overly leveraged and with maximum payout caps and design features intended to balance pay for performance with the appropriate level of risk-taking.</w:t>
      </w:r>
    </w:p>
    <w:p>
      <w:pPr>
        <w:spacing w:after="0" w:line="29" w:lineRule="exact"/>
        <w:rPr>
          <w:sz w:val="20"/>
          <w:szCs w:val="20"/>
          <w:color w:val="auto"/>
        </w:rPr>
      </w:pPr>
    </w:p>
    <w:p>
      <w:pPr>
        <w:ind w:left="240" w:right="100" w:firstLine="5"/>
        <w:spacing w:after="0" w:line="304" w:lineRule="auto"/>
        <w:rPr>
          <w:sz w:val="20"/>
          <w:szCs w:val="20"/>
          <w:color w:val="auto"/>
        </w:rPr>
      </w:pPr>
      <w:r>
        <w:rPr>
          <w:rFonts w:ascii="Arial" w:cs="Arial" w:eastAsia="Arial" w:hAnsi="Arial"/>
          <w:sz w:val="16"/>
          <w:szCs w:val="16"/>
          <w:color w:val="auto"/>
        </w:rPr>
        <w:t>Robust stock ownership requirements and prohibitions against hedging and pledging Honeywell securities.</w:t>
      </w:r>
    </w:p>
    <w:p>
      <w:pPr>
        <w:spacing w:after="0" w:line="6" w:lineRule="exact"/>
        <w:rPr>
          <w:sz w:val="20"/>
          <w:szCs w:val="20"/>
          <w:color w:val="auto"/>
        </w:rPr>
      </w:pPr>
    </w:p>
    <w:p>
      <w:pPr>
        <w:ind w:left="240" w:right="280" w:firstLine="5"/>
        <w:spacing w:after="0" w:line="286" w:lineRule="auto"/>
        <w:rPr>
          <w:sz w:val="20"/>
          <w:szCs w:val="20"/>
          <w:color w:val="auto"/>
        </w:rPr>
      </w:pPr>
      <w:r>
        <w:rPr>
          <w:rFonts w:ascii="Arial" w:cs="Arial" w:eastAsia="Arial" w:hAnsi="Arial"/>
          <w:sz w:val="16"/>
          <w:szCs w:val="16"/>
          <w:color w:val="auto"/>
        </w:rPr>
        <w:t>Chief Compliance Officer invited to participate in all Audit Committee meetings to facilitate Board oversight of compliance risk.</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D7282F"/>
        </w:rPr>
        <w:t>COMMITMENT TO CORPORATE RESPONSIBILITY</w:t>
      </w:r>
    </w:p>
    <w:p>
      <w:pPr>
        <w:spacing w:after="0" w:line="167" w:lineRule="exact"/>
        <w:rPr>
          <w:sz w:val="20"/>
          <w:szCs w:val="20"/>
          <w:color w:val="auto"/>
        </w:rPr>
      </w:pPr>
    </w:p>
    <w:p>
      <w:pPr>
        <w:ind w:left="240" w:right="260" w:hanging="219"/>
        <w:spacing w:after="0"/>
        <w:rPr>
          <w:sz w:val="20"/>
          <w:szCs w:val="20"/>
          <w:color w:val="auto"/>
        </w:rPr>
      </w:pPr>
      <w:r>
        <w:rPr>
          <w:sz w:val="1"/>
          <w:szCs w:val="1"/>
          <w:color w:val="auto"/>
        </w:rPr>
        <w:drawing>
          <wp:inline distT="0" distB="0" distL="0" distR="0">
            <wp:extent cx="85725" cy="6858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6"/>
          <w:szCs w:val="16"/>
          <w:color w:val="auto"/>
        </w:rPr>
        <w:t xml:space="preserve"> Code of Business Conduct applies to all directors, officers, and employees, with 100% annual training and certification by officers and employees where permitted by law.</w:t>
      </w:r>
    </w:p>
    <w:p>
      <w:pPr>
        <w:spacing w:after="0" w:line="55" w:lineRule="exact"/>
        <w:rPr>
          <w:sz w:val="20"/>
          <w:szCs w:val="20"/>
          <w:color w:val="auto"/>
        </w:rPr>
      </w:pPr>
    </w:p>
    <w:p>
      <w:pPr>
        <w:ind w:left="240" w:right="120" w:hanging="219"/>
        <w:spacing w:after="0"/>
        <w:rPr>
          <w:sz w:val="20"/>
          <w:szCs w:val="20"/>
          <w:color w:val="auto"/>
        </w:rPr>
      </w:pPr>
      <w:r>
        <w:rPr>
          <w:sz w:val="1"/>
          <w:szCs w:val="1"/>
          <w:color w:val="auto"/>
        </w:rPr>
        <w:drawing>
          <wp:inline distT="0" distB="0" distL="0" distR="0">
            <wp:extent cx="85725" cy="6858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6"/>
          <w:szCs w:val="16"/>
          <w:color w:val="auto"/>
        </w:rPr>
        <w:t xml:space="preserve"> Suppliers expected to comply with published Supplier Code of Business Conduct, including conflict minerals, anti-human trafficking, human rights, business integrity, and health, safety, and environmental policies.</w:t>
      </w:r>
    </w:p>
    <w:p>
      <w:pPr>
        <w:spacing w:after="0" w:line="55" w:lineRule="exact"/>
        <w:rPr>
          <w:sz w:val="20"/>
          <w:szCs w:val="20"/>
          <w:color w:val="auto"/>
        </w:rPr>
      </w:pPr>
    </w:p>
    <w:p>
      <w:pPr>
        <w:jc w:val="both"/>
        <w:ind w:left="240" w:right="120" w:hanging="219"/>
        <w:spacing w:after="0"/>
        <w:rPr>
          <w:sz w:val="20"/>
          <w:szCs w:val="20"/>
          <w:color w:val="auto"/>
        </w:rPr>
      </w:pPr>
      <w:r>
        <w:rPr>
          <w:sz w:val="1"/>
          <w:szCs w:val="1"/>
          <w:color w:val="auto"/>
        </w:rPr>
        <w:drawing>
          <wp:inline distT="0" distB="0" distL="0" distR="0">
            <wp:extent cx="85725" cy="6858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6"/>
          <w:szCs w:val="16"/>
          <w:color w:val="auto"/>
        </w:rPr>
        <w:t xml:space="preserve"> Strong adherence to Foundational Principles of Safety Always, Integrity and Ethics, Inclusion and Global Mindset, and Workplace Respect while fostering a performance culture based on Honeywell Behaviors.</w:t>
      </w:r>
    </w:p>
    <w:p>
      <w:pPr>
        <w:spacing w:after="0" w:line="5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Robust oversight of and transparency into political activities.</w:t>
      </w:r>
    </w:p>
    <w:p>
      <w:pPr>
        <w:spacing w:after="0" w:line="1008" w:lineRule="exact"/>
        <w:rPr>
          <w:sz w:val="20"/>
          <w:szCs w:val="20"/>
          <w:color w:val="auto"/>
        </w:rPr>
      </w:pPr>
    </w:p>
    <w:p>
      <w:pPr>
        <w:sectPr>
          <w:pgSz w:w="11900" w:h="16838" w:orient="portrait"/>
          <w:cols w:equalWidth="0" w:num="2">
            <w:col w:w="5440" w:space="300"/>
            <w:col w:w="5500"/>
          </w:cols>
          <w:pgMar w:left="320" w:top="230" w:right="339" w:bottom="1440" w:gutter="0" w:footer="0" w:header="0"/>
          <w:type w:val="continuous"/>
        </w:sect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2026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373"/>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3"/>
          <w:szCs w:val="13"/>
          <w:b w:val="1"/>
          <w:bCs w:val="1"/>
          <w:color w:val="6D6E71"/>
        </w:rPr>
        <w:t>PROXY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2240" w:type="dxa"/>
            <w:vAlign w:val="bottom"/>
            <w:tcBorders>
              <w:top w:val="single" w:sz="8" w:color="D7282F"/>
            </w:tcBorders>
            <w:shd w:val="clear" w:color="auto" w:fill="D7282F"/>
          </w:tcPr>
          <w:p>
            <w:pPr>
              <w:jc w:val="center"/>
              <w:spacing w:after="0"/>
              <w:rPr>
                <w:sz w:val="20"/>
                <w:szCs w:val="20"/>
                <w:color w:val="auto"/>
              </w:rPr>
            </w:pPr>
            <w:r>
              <w:rPr>
                <w:rFonts w:ascii="Arial" w:cs="Arial" w:eastAsia="Arial" w:hAnsi="Arial"/>
                <w:sz w:val="17"/>
                <w:szCs w:val="17"/>
                <w:b w:val="1"/>
                <w:bCs w:val="1"/>
                <w:color w:val="FFFFFF"/>
              </w:rPr>
              <w:t>PROPOSAL</w:t>
            </w:r>
          </w:p>
        </w:tc>
        <w:tc>
          <w:tcPr>
            <w:tcW w:w="6800" w:type="dxa"/>
            <w:vAlign w:val="bottom"/>
            <w:tcBorders>
              <w:top w:val="single" w:sz="8" w:color="D7282F"/>
              <w:right w:val="single" w:sz="8" w:color="D7282F"/>
            </w:tcBorders>
          </w:tcPr>
          <w:p>
            <w:pPr>
              <w:ind w:left="140"/>
              <w:spacing w:after="0"/>
              <w:rPr>
                <w:sz w:val="20"/>
                <w:szCs w:val="20"/>
                <w:color w:val="auto"/>
              </w:rPr>
            </w:pPr>
            <w:r>
              <w:rPr>
                <w:rFonts w:ascii="Arial" w:cs="Arial" w:eastAsia="Arial" w:hAnsi="Arial"/>
                <w:sz w:val="25"/>
                <w:szCs w:val="25"/>
                <w:b w:val="1"/>
                <w:bCs w:val="1"/>
                <w:color w:val="auto"/>
              </w:rPr>
              <w:t>ADVISORY VOTE TO APPROVE</w:t>
            </w:r>
          </w:p>
        </w:tc>
        <w:tc>
          <w:tcPr>
            <w:tcW w:w="2180" w:type="dxa"/>
            <w:vAlign w:val="bottom"/>
            <w:tcBorders>
              <w:top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240" w:type="dxa"/>
            <w:vAlign w:val="bottom"/>
            <w:shd w:val="clear" w:color="auto" w:fill="D7282F"/>
          </w:tcPr>
          <w:p>
            <w:pPr>
              <w:jc w:val="right"/>
              <w:ind w:right="832"/>
              <w:spacing w:after="0" w:line="297" w:lineRule="exact"/>
              <w:rPr>
                <w:sz w:val="20"/>
                <w:szCs w:val="20"/>
                <w:color w:val="auto"/>
              </w:rPr>
            </w:pPr>
            <w:r>
              <w:rPr>
                <w:rFonts w:ascii="Arial" w:cs="Arial" w:eastAsia="Arial" w:hAnsi="Arial"/>
                <w:sz w:val="34"/>
                <w:szCs w:val="34"/>
                <w:b w:val="1"/>
                <w:bCs w:val="1"/>
                <w:color w:val="FFFFFF"/>
              </w:rPr>
              <w:t>2</w:t>
            </w:r>
          </w:p>
        </w:tc>
        <w:tc>
          <w:tcPr>
            <w:tcW w:w="6800" w:type="dxa"/>
            <w:vAlign w:val="bottom"/>
            <w:tcBorders>
              <w:right w:val="single" w:sz="8" w:color="D7282F"/>
            </w:tcBorders>
            <w:vMerge w:val="restart"/>
          </w:tcPr>
          <w:p>
            <w:pPr>
              <w:ind w:left="140"/>
              <w:spacing w:after="0"/>
              <w:rPr>
                <w:sz w:val="20"/>
                <w:szCs w:val="20"/>
                <w:color w:val="auto"/>
              </w:rPr>
            </w:pPr>
            <w:r>
              <w:rPr>
                <w:rFonts w:ascii="Arial" w:cs="Arial" w:eastAsia="Arial" w:hAnsi="Arial"/>
                <w:sz w:val="25"/>
                <w:szCs w:val="25"/>
                <w:b w:val="1"/>
                <w:bCs w:val="1"/>
                <w:color w:val="auto"/>
              </w:rPr>
              <w:t>EXECUTIVE COMPENSATION</w:t>
            </w:r>
          </w:p>
        </w:tc>
        <w:tc>
          <w:tcPr>
            <w:tcW w:w="2180" w:type="dxa"/>
            <w:vAlign w:val="bottom"/>
            <w:vMerge w:val="restart"/>
          </w:tcPr>
          <w:p>
            <w:pPr>
              <w:ind w:left="260"/>
              <w:spacing w:after="0"/>
              <w:rPr>
                <w:sz w:val="20"/>
                <w:szCs w:val="20"/>
                <w:color w:val="auto"/>
              </w:rPr>
            </w:pPr>
            <w:r>
              <w:rPr>
                <w:rFonts w:ascii="Arial" w:cs="Arial" w:eastAsia="Arial" w:hAnsi="Arial"/>
                <w:sz w:val="25"/>
                <w:szCs w:val="25"/>
                <w:b w:val="1"/>
                <w:bCs w:val="1"/>
                <w:color w:val="D7282F"/>
              </w:rPr>
              <w:t>FOR</w:t>
            </w:r>
          </w:p>
        </w:tc>
        <w:tc>
          <w:tcPr>
            <w:tcW w:w="0" w:type="dxa"/>
            <w:vAlign w:val="bottom"/>
          </w:tcPr>
          <w:p>
            <w:pPr>
              <w:spacing w:after="0"/>
              <w:rPr>
                <w:sz w:val="1"/>
                <w:szCs w:val="1"/>
                <w:color w:val="auto"/>
              </w:rPr>
            </w:pPr>
          </w:p>
        </w:tc>
      </w:tr>
      <w:tr>
        <w:trPr>
          <w:trHeight w:val="94"/>
        </w:trPr>
        <w:tc>
          <w:tcPr>
            <w:tcW w:w="2240" w:type="dxa"/>
            <w:vAlign w:val="bottom"/>
            <w:shd w:val="clear" w:color="auto" w:fill="D7282F"/>
          </w:tcPr>
          <w:p>
            <w:pPr>
              <w:spacing w:after="0"/>
              <w:rPr>
                <w:sz w:val="8"/>
                <w:szCs w:val="8"/>
                <w:color w:val="auto"/>
              </w:rPr>
            </w:pPr>
          </w:p>
        </w:tc>
        <w:tc>
          <w:tcPr>
            <w:tcW w:w="6800" w:type="dxa"/>
            <w:vAlign w:val="bottom"/>
            <w:tcBorders>
              <w:right w:val="single" w:sz="8" w:color="D7282F"/>
            </w:tcBorders>
            <w:vMerge w:val="continue"/>
          </w:tcPr>
          <w:p>
            <w:pPr>
              <w:spacing w:after="0"/>
              <w:rPr>
                <w:sz w:val="8"/>
                <w:szCs w:val="8"/>
                <w:color w:val="auto"/>
              </w:rPr>
            </w:pPr>
          </w:p>
        </w:tc>
        <w:tc>
          <w:tcPr>
            <w:tcW w:w="2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38"/>
        </w:trPr>
        <w:tc>
          <w:tcPr>
            <w:tcW w:w="2240" w:type="dxa"/>
            <w:vAlign w:val="bottom"/>
            <w:shd w:val="clear" w:color="auto" w:fill="D7282F"/>
          </w:tcPr>
          <w:p>
            <w:pPr>
              <w:spacing w:after="0"/>
              <w:rPr>
                <w:sz w:val="24"/>
                <w:szCs w:val="24"/>
                <w:color w:val="auto"/>
              </w:rPr>
            </w:pPr>
          </w:p>
        </w:tc>
        <w:tc>
          <w:tcPr>
            <w:tcW w:w="6800" w:type="dxa"/>
            <w:vAlign w:val="bottom"/>
            <w:tcBorders>
              <w:right w:val="single" w:sz="8" w:color="D7282F"/>
            </w:tcBorders>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200" w:hanging="192"/>
        <w:spacing w:after="0"/>
        <w:tabs>
          <w:tab w:leader="none" w:pos="200" w:val="left"/>
        </w:tabs>
        <w:numPr>
          <w:ilvl w:val="0"/>
          <w:numId w:val="22"/>
        </w:numPr>
        <w:rPr>
          <w:rFonts w:ascii="Arial" w:cs="Arial" w:eastAsia="Arial" w:hAnsi="Arial"/>
          <w:sz w:val="16"/>
          <w:szCs w:val="16"/>
          <w:b w:val="1"/>
          <w:bCs w:val="1"/>
          <w:color w:val="D7282F"/>
        </w:rPr>
      </w:pPr>
      <w:r>
        <w:rPr>
          <w:rFonts w:ascii="Arial" w:cs="Arial" w:eastAsia="Arial" w:hAnsi="Arial"/>
          <w:sz w:val="16"/>
          <w:szCs w:val="16"/>
          <w:color w:val="auto"/>
        </w:rPr>
        <w:t>Approve, on an advisory basis, the compensation of the Company's Named Executive Officers (NEOs).</w:t>
      </w:r>
    </w:p>
    <w:p>
      <w:pPr>
        <w:spacing w:after="0" w:line="59" w:lineRule="exact"/>
        <w:rPr>
          <w:rFonts w:ascii="Arial" w:cs="Arial" w:eastAsia="Arial" w:hAnsi="Arial"/>
          <w:sz w:val="16"/>
          <w:szCs w:val="16"/>
          <w:b w:val="1"/>
          <w:bCs w:val="1"/>
          <w:color w:val="D7282F"/>
        </w:rPr>
      </w:pPr>
    </w:p>
    <w:p>
      <w:pPr>
        <w:ind w:left="200" w:hanging="192"/>
        <w:spacing w:after="0"/>
        <w:tabs>
          <w:tab w:leader="none" w:pos="200" w:val="left"/>
        </w:tabs>
        <w:numPr>
          <w:ilvl w:val="0"/>
          <w:numId w:val="22"/>
        </w:numPr>
        <w:rPr>
          <w:rFonts w:ascii="Arial" w:cs="Arial" w:eastAsia="Arial" w:hAnsi="Arial"/>
          <w:sz w:val="16"/>
          <w:szCs w:val="16"/>
          <w:b w:val="1"/>
          <w:bCs w:val="1"/>
          <w:color w:val="D7282F"/>
        </w:rPr>
      </w:pPr>
      <w:r>
        <w:rPr>
          <w:rFonts w:ascii="Arial" w:cs="Arial" w:eastAsia="Arial" w:hAnsi="Arial"/>
          <w:sz w:val="16"/>
          <w:szCs w:val="16"/>
          <w:color w:val="auto"/>
        </w:rPr>
        <w:t>Honeywell's executive compensation program appropriately aligns executive compensation with Company and individual performance.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2700" w:type="dxa"/>
            <w:vAlign w:val="bottom"/>
            <w:tcBorders>
              <w:bottom w:val="single" w:sz="8" w:color="D7282F"/>
            </w:tcBorders>
            <w:gridSpan w:val="2"/>
          </w:tcPr>
          <w:p>
            <w:pPr>
              <w:ind w:left="480"/>
              <w:spacing w:after="0"/>
              <w:rPr>
                <w:sz w:val="20"/>
                <w:szCs w:val="20"/>
                <w:color w:val="auto"/>
              </w:rPr>
            </w:pPr>
            <w:r>
              <w:rPr>
                <w:rFonts w:ascii="Arial" w:cs="Arial" w:eastAsia="Arial" w:hAnsi="Arial"/>
                <w:sz w:val="14"/>
                <w:szCs w:val="14"/>
                <w:b w:val="1"/>
                <w:bCs w:val="1"/>
                <w:color w:val="auto"/>
              </w:rPr>
              <w:t>Target Compensation Mix</w:t>
            </w:r>
          </w:p>
        </w:tc>
        <w:tc>
          <w:tcPr>
            <w:tcW w:w="0" w:type="dxa"/>
            <w:vAlign w:val="bottom"/>
          </w:tcPr>
          <w:p>
            <w:pPr>
              <w:spacing w:after="0"/>
              <w:rPr>
                <w:sz w:val="1"/>
                <w:szCs w:val="1"/>
                <w:color w:val="auto"/>
              </w:rPr>
            </w:pPr>
          </w:p>
        </w:tc>
      </w:tr>
      <w:tr>
        <w:trPr>
          <w:trHeight w:val="229"/>
        </w:trPr>
        <w:tc>
          <w:tcPr>
            <w:tcW w:w="460" w:type="dxa"/>
            <w:vAlign w:val="bottom"/>
            <w:tcBorders>
              <w:bottom w:val="single" w:sz="8" w:color="A7A9AC"/>
            </w:tcBorders>
          </w:tcPr>
          <w:p>
            <w:pPr>
              <w:spacing w:after="0"/>
              <w:rPr>
                <w:sz w:val="19"/>
                <w:szCs w:val="19"/>
                <w:color w:val="auto"/>
              </w:rPr>
            </w:pPr>
          </w:p>
        </w:tc>
        <w:tc>
          <w:tcPr>
            <w:tcW w:w="480" w:type="dxa"/>
            <w:vAlign w:val="bottom"/>
            <w:tcBorders>
              <w:bottom w:val="single" w:sz="8" w:color="D7282F"/>
            </w:tcBorders>
          </w:tcPr>
          <w:p>
            <w:pPr>
              <w:spacing w:after="0"/>
              <w:rPr>
                <w:sz w:val="19"/>
                <w:szCs w:val="19"/>
                <w:color w:val="auto"/>
              </w:rPr>
            </w:pPr>
          </w:p>
        </w:tc>
        <w:tc>
          <w:tcPr>
            <w:tcW w:w="1460" w:type="dxa"/>
            <w:vAlign w:val="bottom"/>
            <w:tcBorders>
              <w:bottom w:val="single" w:sz="8" w:color="D7282F"/>
            </w:tcBorders>
          </w:tcPr>
          <w:p>
            <w:pPr>
              <w:ind w:left="40"/>
              <w:spacing w:after="0"/>
              <w:rPr>
                <w:sz w:val="20"/>
                <w:szCs w:val="20"/>
                <w:color w:val="auto"/>
              </w:rPr>
            </w:pPr>
            <w:r>
              <w:rPr>
                <w:rFonts w:ascii="Arial" w:cs="Arial" w:eastAsia="Arial" w:hAnsi="Arial"/>
                <w:sz w:val="14"/>
                <w:szCs w:val="14"/>
                <w:b w:val="1"/>
                <w:bCs w:val="1"/>
                <w:color w:val="auto"/>
              </w:rPr>
              <w:t>Element</w:t>
            </w:r>
          </w:p>
        </w:tc>
        <w:tc>
          <w:tcPr>
            <w:tcW w:w="28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Description</w:t>
            </w:r>
          </w:p>
        </w:tc>
        <w:tc>
          <w:tcPr>
            <w:tcW w:w="3240" w:type="dxa"/>
            <w:vAlign w:val="bottom"/>
            <w:tcBorders>
              <w:bottom w:val="single" w:sz="8" w:color="D7282F"/>
            </w:tcBorders>
          </w:tcPr>
          <w:p>
            <w:pPr>
              <w:ind w:left="160"/>
              <w:spacing w:after="0"/>
              <w:rPr>
                <w:sz w:val="20"/>
                <w:szCs w:val="20"/>
                <w:color w:val="auto"/>
              </w:rPr>
            </w:pPr>
            <w:r>
              <w:rPr>
                <w:rFonts w:ascii="Arial" w:cs="Arial" w:eastAsia="Arial" w:hAnsi="Arial"/>
                <w:sz w:val="14"/>
                <w:szCs w:val="14"/>
                <w:b w:val="1"/>
                <w:bCs w:val="1"/>
                <w:color w:val="auto"/>
              </w:rPr>
              <w:t>Link to Strategy and Performance</w:t>
            </w:r>
          </w:p>
        </w:tc>
        <w:tc>
          <w:tcPr>
            <w:tcW w:w="1240" w:type="dxa"/>
            <w:vAlign w:val="bottom"/>
            <w:tcBorders>
              <w:bottom w:val="single" w:sz="8" w:color="D7282F"/>
            </w:tcBorders>
          </w:tcPr>
          <w:p>
            <w:pPr>
              <w:ind w:left="520"/>
              <w:spacing w:after="0"/>
              <w:rPr>
                <w:sz w:val="20"/>
                <w:szCs w:val="20"/>
                <w:color w:val="auto"/>
              </w:rPr>
            </w:pPr>
            <w:r>
              <w:rPr>
                <w:rFonts w:ascii="Arial" w:cs="Arial" w:eastAsia="Arial" w:hAnsi="Arial"/>
                <w:sz w:val="14"/>
                <w:szCs w:val="14"/>
                <w:b w:val="1"/>
                <w:bCs w:val="1"/>
                <w:color w:val="auto"/>
              </w:rPr>
              <w:t>CEO</w:t>
            </w:r>
          </w:p>
        </w:tc>
        <w:tc>
          <w:tcPr>
            <w:tcW w:w="1460" w:type="dxa"/>
            <w:vAlign w:val="bottom"/>
            <w:tcBorders>
              <w:bottom w:val="single" w:sz="8" w:color="D7282F"/>
            </w:tcBorders>
          </w:tcPr>
          <w:p>
            <w:pPr>
              <w:ind w:left="380"/>
              <w:spacing w:after="0"/>
              <w:rPr>
                <w:sz w:val="20"/>
                <w:szCs w:val="20"/>
                <w:color w:val="auto"/>
              </w:rPr>
            </w:pPr>
            <w:r>
              <w:rPr>
                <w:rFonts w:ascii="Arial" w:cs="Arial" w:eastAsia="Arial" w:hAnsi="Arial"/>
                <w:sz w:val="14"/>
                <w:szCs w:val="14"/>
                <w:b w:val="1"/>
                <w:bCs w:val="1"/>
                <w:color w:val="auto"/>
              </w:rPr>
              <w:t>Other NEOs</w:t>
            </w:r>
          </w:p>
        </w:tc>
        <w:tc>
          <w:tcPr>
            <w:tcW w:w="0" w:type="dxa"/>
            <w:vAlign w:val="bottom"/>
          </w:tcPr>
          <w:p>
            <w:pPr>
              <w:spacing w:after="0"/>
              <w:rPr>
                <w:sz w:val="1"/>
                <w:szCs w:val="1"/>
                <w:color w:val="auto"/>
              </w:rPr>
            </w:pPr>
          </w:p>
        </w:tc>
      </w:tr>
      <w:tr>
        <w:trPr>
          <w:trHeight w:val="228"/>
        </w:trPr>
        <w:tc>
          <w:tcPr>
            <w:tcW w:w="460" w:type="dxa"/>
            <w:vAlign w:val="bottom"/>
            <w:shd w:val="clear" w:color="auto" w:fill="A7A9AC"/>
          </w:tcPr>
          <w:p>
            <w:pPr>
              <w:spacing w:after="0"/>
              <w:rPr>
                <w:sz w:val="19"/>
                <w:szCs w:val="19"/>
                <w:color w:val="auto"/>
              </w:rPr>
            </w:pPr>
          </w:p>
        </w:tc>
        <w:tc>
          <w:tcPr>
            <w:tcW w:w="480" w:type="dxa"/>
            <w:vAlign w:val="bottom"/>
          </w:tcPr>
          <w:p>
            <w:pPr>
              <w:spacing w:after="0"/>
              <w:rPr>
                <w:sz w:val="19"/>
                <w:szCs w:val="19"/>
                <w:color w:val="auto"/>
              </w:rPr>
            </w:pPr>
          </w:p>
        </w:tc>
        <w:tc>
          <w:tcPr>
            <w:tcW w:w="1460" w:type="dxa"/>
            <w:vAlign w:val="bottom"/>
            <w:vMerge w:val="restart"/>
          </w:tcPr>
          <w:p>
            <w:pPr>
              <w:ind w:left="60"/>
              <w:spacing w:after="0"/>
              <w:rPr>
                <w:sz w:val="20"/>
                <w:szCs w:val="20"/>
                <w:color w:val="auto"/>
              </w:rPr>
            </w:pPr>
            <w:r>
              <w:rPr>
                <w:rFonts w:ascii="Arial" w:cs="Arial" w:eastAsia="Arial" w:hAnsi="Arial"/>
                <w:sz w:val="14"/>
                <w:szCs w:val="14"/>
                <w:b w:val="1"/>
                <w:bCs w:val="1"/>
                <w:color w:val="D7282F"/>
              </w:rPr>
              <w:t>BASE SALARY</w:t>
            </w:r>
          </w:p>
        </w:tc>
        <w:tc>
          <w:tcPr>
            <w:tcW w:w="2880" w:type="dxa"/>
            <w:vAlign w:val="bottom"/>
            <w:vMerge w:val="restart"/>
          </w:tcPr>
          <w:p>
            <w:pPr>
              <w:ind w:left="240"/>
              <w:spacing w:after="0"/>
              <w:rPr>
                <w:sz w:val="20"/>
                <w:szCs w:val="20"/>
                <w:color w:val="auto"/>
              </w:rPr>
            </w:pPr>
            <w:r>
              <w:rPr>
                <w:rFonts w:ascii="Arial" w:cs="Arial" w:eastAsia="Arial" w:hAnsi="Arial"/>
                <w:sz w:val="14"/>
                <w:szCs w:val="14"/>
                <w:b w:val="1"/>
                <w:bCs w:val="1"/>
                <w:color w:val="D7282F"/>
              </w:rPr>
              <w:t xml:space="preserve">•  </w:t>
            </w:r>
            <w:r>
              <w:rPr>
                <w:rFonts w:ascii="Arial" w:cs="Arial" w:eastAsia="Arial" w:hAnsi="Arial"/>
                <w:sz w:val="14"/>
                <w:szCs w:val="14"/>
                <w:color w:val="000000"/>
              </w:rPr>
              <w:t>Base salaries are determined based</w:t>
            </w:r>
          </w:p>
        </w:tc>
        <w:tc>
          <w:tcPr>
            <w:tcW w:w="3240" w:type="dxa"/>
            <w:vAlign w:val="bottom"/>
          </w:tcPr>
          <w:p>
            <w:pPr>
              <w:ind w:left="160"/>
              <w:spacing w:after="0"/>
              <w:rPr>
                <w:sz w:val="20"/>
                <w:szCs w:val="20"/>
                <w:color w:val="auto"/>
              </w:rPr>
            </w:pPr>
            <w:r>
              <w:rPr>
                <w:rFonts w:ascii="Arial" w:cs="Arial" w:eastAsia="Arial" w:hAnsi="Arial"/>
                <w:sz w:val="14"/>
                <w:szCs w:val="14"/>
                <w:b w:val="1"/>
                <w:bCs w:val="1"/>
                <w:color w:val="D7282F"/>
              </w:rPr>
              <w:t xml:space="preserve">•  </w:t>
            </w:r>
            <w:r>
              <w:rPr>
                <w:rFonts w:ascii="Arial" w:cs="Arial" w:eastAsia="Arial" w:hAnsi="Arial"/>
                <w:sz w:val="14"/>
                <w:szCs w:val="14"/>
                <w:color w:val="000000"/>
              </w:rPr>
              <w:t>To attract and compensate high-performing</w:t>
            </w:r>
          </w:p>
        </w:tc>
        <w:tc>
          <w:tcPr>
            <w:tcW w:w="1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460" w:type="dxa"/>
            <w:vAlign w:val="bottom"/>
            <w:shd w:val="clear" w:color="auto" w:fill="A7A9AC"/>
          </w:tcPr>
          <w:p>
            <w:pPr>
              <w:spacing w:after="0"/>
              <w:rPr>
                <w:sz w:val="7"/>
                <w:szCs w:val="7"/>
                <w:color w:val="auto"/>
              </w:rPr>
            </w:pPr>
          </w:p>
        </w:tc>
        <w:tc>
          <w:tcPr>
            <w:tcW w:w="480" w:type="dxa"/>
            <w:vAlign w:val="bottom"/>
          </w:tcPr>
          <w:p>
            <w:pPr>
              <w:spacing w:after="0"/>
              <w:rPr>
                <w:sz w:val="7"/>
                <w:szCs w:val="7"/>
                <w:color w:val="auto"/>
              </w:rPr>
            </w:pPr>
          </w:p>
        </w:tc>
        <w:tc>
          <w:tcPr>
            <w:tcW w:w="1460" w:type="dxa"/>
            <w:vAlign w:val="bottom"/>
            <w:vMerge w:val="continue"/>
          </w:tcPr>
          <w:p>
            <w:pPr>
              <w:spacing w:after="0"/>
              <w:rPr>
                <w:sz w:val="7"/>
                <w:szCs w:val="7"/>
                <w:color w:val="auto"/>
              </w:rPr>
            </w:pPr>
          </w:p>
        </w:tc>
        <w:tc>
          <w:tcPr>
            <w:tcW w:w="2880" w:type="dxa"/>
            <w:vAlign w:val="bottom"/>
            <w:vMerge w:val="continue"/>
          </w:tcPr>
          <w:p>
            <w:pPr>
              <w:spacing w:after="0"/>
              <w:rPr>
                <w:sz w:val="7"/>
                <w:szCs w:val="7"/>
                <w:color w:val="auto"/>
              </w:rPr>
            </w:pPr>
          </w:p>
        </w:tc>
        <w:tc>
          <w:tcPr>
            <w:tcW w:w="3240" w:type="dxa"/>
            <w:vAlign w:val="bottom"/>
            <w:vMerge w:val="restart"/>
          </w:tcPr>
          <w:p>
            <w:pPr>
              <w:ind w:left="360"/>
              <w:spacing w:after="0"/>
              <w:rPr>
                <w:sz w:val="20"/>
                <w:szCs w:val="20"/>
                <w:color w:val="auto"/>
              </w:rPr>
            </w:pPr>
            <w:r>
              <w:rPr>
                <w:rFonts w:ascii="Arial" w:cs="Arial" w:eastAsia="Arial" w:hAnsi="Arial"/>
                <w:sz w:val="14"/>
                <w:szCs w:val="14"/>
                <w:color w:val="auto"/>
              </w:rPr>
              <w:t>and experienced leaders at a competitive</w:t>
            </w:r>
          </w:p>
        </w:tc>
        <w:tc>
          <w:tcPr>
            <w:tcW w:w="12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460" w:type="dxa"/>
            <w:vAlign w:val="bottom"/>
            <w:shd w:val="clear" w:color="auto" w:fill="A7A9AC"/>
          </w:tcPr>
          <w:p>
            <w:pPr>
              <w:spacing w:after="0"/>
              <w:rPr>
                <w:sz w:val="8"/>
                <w:szCs w:val="8"/>
                <w:color w:val="auto"/>
              </w:rPr>
            </w:pPr>
          </w:p>
        </w:tc>
        <w:tc>
          <w:tcPr>
            <w:tcW w:w="4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880" w:type="dxa"/>
            <w:vAlign w:val="bottom"/>
            <w:vMerge w:val="restart"/>
          </w:tcPr>
          <w:p>
            <w:pPr>
              <w:ind w:left="440"/>
              <w:spacing w:after="0"/>
              <w:rPr>
                <w:sz w:val="20"/>
                <w:szCs w:val="20"/>
                <w:color w:val="auto"/>
              </w:rPr>
            </w:pPr>
            <w:r>
              <w:rPr>
                <w:rFonts w:ascii="Arial" w:cs="Arial" w:eastAsia="Arial" w:hAnsi="Arial"/>
                <w:sz w:val="14"/>
                <w:szCs w:val="14"/>
                <w:color w:val="auto"/>
              </w:rPr>
              <w:t>on scope of responsibility, years of</w:t>
            </w:r>
          </w:p>
        </w:tc>
        <w:tc>
          <w:tcPr>
            <w:tcW w:w="324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460" w:type="dxa"/>
            <w:vAlign w:val="bottom"/>
            <w:shd w:val="clear" w:color="auto" w:fill="A7A9AC"/>
          </w:tcPr>
          <w:p>
            <w:pPr>
              <w:spacing w:after="0"/>
              <w:rPr>
                <w:sz w:val="5"/>
                <w:szCs w:val="5"/>
                <w:color w:val="auto"/>
              </w:rPr>
            </w:pPr>
          </w:p>
        </w:tc>
        <w:tc>
          <w:tcPr>
            <w:tcW w:w="4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880" w:type="dxa"/>
            <w:vAlign w:val="bottom"/>
            <w:vMerge w:val="continue"/>
          </w:tcPr>
          <w:p>
            <w:pPr>
              <w:spacing w:after="0"/>
              <w:rPr>
                <w:sz w:val="5"/>
                <w:szCs w:val="5"/>
                <w:color w:val="auto"/>
              </w:rPr>
            </w:pPr>
          </w:p>
        </w:tc>
        <w:tc>
          <w:tcPr>
            <w:tcW w:w="3240" w:type="dxa"/>
            <w:vAlign w:val="bottom"/>
            <w:vMerge w:val="restart"/>
          </w:tcPr>
          <w:p>
            <w:pPr>
              <w:ind w:left="360"/>
              <w:spacing w:after="0"/>
              <w:rPr>
                <w:sz w:val="20"/>
                <w:szCs w:val="20"/>
                <w:color w:val="auto"/>
              </w:rPr>
            </w:pPr>
            <w:r>
              <w:rPr>
                <w:rFonts w:ascii="Arial" w:cs="Arial" w:eastAsia="Arial" w:hAnsi="Arial"/>
                <w:sz w:val="14"/>
                <w:szCs w:val="14"/>
                <w:color w:val="auto"/>
              </w:rPr>
              <w:t>level of cash compensation.</w:t>
            </w:r>
          </w:p>
        </w:tc>
        <w:tc>
          <w:tcPr>
            <w:tcW w:w="12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460" w:type="dxa"/>
            <w:vAlign w:val="bottom"/>
            <w:shd w:val="clear" w:color="auto" w:fill="A7A9AC"/>
          </w:tcPr>
          <w:p>
            <w:pPr>
              <w:spacing w:after="0"/>
              <w:rPr>
                <w:sz w:val="10"/>
                <w:szCs w:val="10"/>
                <w:color w:val="auto"/>
              </w:rPr>
            </w:pPr>
          </w:p>
        </w:tc>
        <w:tc>
          <w:tcPr>
            <w:tcW w:w="4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880" w:type="dxa"/>
            <w:vAlign w:val="bottom"/>
            <w:vMerge w:val="restart"/>
          </w:tcPr>
          <w:p>
            <w:pPr>
              <w:ind w:left="440"/>
              <w:spacing w:after="0"/>
              <w:rPr>
                <w:sz w:val="20"/>
                <w:szCs w:val="20"/>
                <w:color w:val="auto"/>
              </w:rPr>
            </w:pPr>
            <w:r>
              <w:rPr>
                <w:rFonts w:ascii="Arial" w:cs="Arial" w:eastAsia="Arial" w:hAnsi="Arial"/>
                <w:sz w:val="14"/>
                <w:szCs w:val="14"/>
                <w:color w:val="auto"/>
              </w:rPr>
              <w:t>experience, and individual</w:t>
            </w:r>
          </w:p>
        </w:tc>
        <w:tc>
          <w:tcPr>
            <w:tcW w:w="324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460" w:type="dxa"/>
            <w:vAlign w:val="bottom"/>
            <w:shd w:val="clear" w:color="auto" w:fill="A7A9AC"/>
          </w:tcPr>
          <w:p>
            <w:pPr>
              <w:spacing w:after="0"/>
              <w:rPr>
                <w:sz w:val="4"/>
                <w:szCs w:val="4"/>
                <w:color w:val="auto"/>
              </w:rPr>
            </w:pPr>
          </w:p>
        </w:tc>
        <w:tc>
          <w:tcPr>
            <w:tcW w:w="4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880" w:type="dxa"/>
            <w:vAlign w:val="bottom"/>
            <w:vMerge w:val="continue"/>
          </w:tcPr>
          <w:p>
            <w:pPr>
              <w:spacing w:after="0"/>
              <w:rPr>
                <w:sz w:val="4"/>
                <w:szCs w:val="4"/>
                <w:color w:val="auto"/>
              </w:rPr>
            </w:pPr>
          </w:p>
        </w:tc>
        <w:tc>
          <w:tcPr>
            <w:tcW w:w="3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460" w:type="dxa"/>
            <w:vAlign w:val="bottom"/>
            <w:shd w:val="clear" w:color="auto" w:fill="A7A9AC"/>
          </w:tcPr>
          <w:p>
            <w:pPr>
              <w:spacing w:after="0"/>
              <w:rPr>
                <w:sz w:val="16"/>
                <w:szCs w:val="16"/>
                <w:color w:val="auto"/>
              </w:rPr>
            </w:pPr>
          </w:p>
        </w:tc>
        <w:tc>
          <w:tcPr>
            <w:tcW w:w="4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880" w:type="dxa"/>
            <w:vAlign w:val="bottom"/>
          </w:tcPr>
          <w:p>
            <w:pPr>
              <w:ind w:left="440"/>
              <w:spacing w:after="0"/>
              <w:rPr>
                <w:sz w:val="20"/>
                <w:szCs w:val="20"/>
                <w:color w:val="auto"/>
              </w:rPr>
            </w:pPr>
            <w:r>
              <w:rPr>
                <w:rFonts w:ascii="Arial" w:cs="Arial" w:eastAsia="Arial" w:hAnsi="Arial"/>
                <w:sz w:val="14"/>
                <w:szCs w:val="14"/>
                <w:color w:val="auto"/>
              </w:rPr>
              <w:t>performance.</w:t>
            </w:r>
          </w:p>
        </w:tc>
        <w:tc>
          <w:tcPr>
            <w:tcW w:w="3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3"/>
        </w:trPr>
        <w:tc>
          <w:tcPr>
            <w:tcW w:w="460" w:type="dxa"/>
            <w:vAlign w:val="bottom"/>
            <w:shd w:val="clear" w:color="auto" w:fill="A7A9AC"/>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tcBorders>
              <w:bottom w:val="single" w:sz="8" w:color="939598"/>
            </w:tcBorders>
          </w:tcPr>
          <w:p>
            <w:pPr>
              <w:spacing w:after="0"/>
              <w:rPr>
                <w:sz w:val="24"/>
                <w:szCs w:val="24"/>
                <w:color w:val="auto"/>
              </w:rPr>
            </w:pPr>
          </w:p>
        </w:tc>
        <w:tc>
          <w:tcPr>
            <w:tcW w:w="2880" w:type="dxa"/>
            <w:vAlign w:val="bottom"/>
            <w:tcBorders>
              <w:bottom w:val="single" w:sz="8" w:color="939598"/>
            </w:tcBorders>
          </w:tcPr>
          <w:p>
            <w:pPr>
              <w:spacing w:after="0"/>
              <w:rPr>
                <w:sz w:val="24"/>
                <w:szCs w:val="24"/>
                <w:color w:val="auto"/>
              </w:rPr>
            </w:pPr>
          </w:p>
        </w:tc>
        <w:tc>
          <w:tcPr>
            <w:tcW w:w="3240" w:type="dxa"/>
            <w:vAlign w:val="bottom"/>
            <w:tcBorders>
              <w:bottom w:val="single" w:sz="8" w:color="939598"/>
            </w:tcBorders>
          </w:tcPr>
          <w:p>
            <w:pPr>
              <w:spacing w:after="0"/>
              <w:rPr>
                <w:sz w:val="24"/>
                <w:szCs w:val="24"/>
                <w:color w:val="auto"/>
              </w:rPr>
            </w:pPr>
          </w:p>
        </w:tc>
        <w:tc>
          <w:tcPr>
            <w:tcW w:w="1240" w:type="dxa"/>
            <w:vAlign w:val="bottom"/>
            <w:tcBorders>
              <w:bottom w:val="single" w:sz="8" w:color="939598"/>
            </w:tcBorders>
          </w:tcPr>
          <w:p>
            <w:pPr>
              <w:spacing w:after="0"/>
              <w:rPr>
                <w:sz w:val="24"/>
                <w:szCs w:val="24"/>
                <w:color w:val="auto"/>
              </w:rPr>
            </w:pPr>
          </w:p>
        </w:tc>
        <w:tc>
          <w:tcPr>
            <w:tcW w:w="1460" w:type="dxa"/>
            <w:vAlign w:val="bottom"/>
            <w:tcBorders>
              <w:bottom w:val="single" w:sz="8" w:color="939598"/>
            </w:tcBorders>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tcPr>
          <w:p>
            <w:pPr>
              <w:ind w:left="40"/>
              <w:spacing w:after="0"/>
              <w:rPr>
                <w:sz w:val="20"/>
                <w:szCs w:val="20"/>
                <w:color w:val="auto"/>
              </w:rPr>
            </w:pPr>
            <w:r>
              <w:rPr>
                <w:rFonts w:ascii="Arial" w:cs="Arial" w:eastAsia="Arial" w:hAnsi="Arial"/>
                <w:sz w:val="14"/>
                <w:szCs w:val="14"/>
                <w:b w:val="1"/>
                <w:bCs w:val="1"/>
                <w:color w:val="D7282F"/>
              </w:rPr>
              <w:t>ANNUAL</w:t>
            </w:r>
          </w:p>
        </w:tc>
        <w:tc>
          <w:tcPr>
            <w:tcW w:w="2880" w:type="dxa"/>
            <w:vAlign w:val="bottom"/>
          </w:tcPr>
          <w:p>
            <w:pPr>
              <w:spacing w:after="0"/>
              <w:rPr>
                <w:sz w:val="24"/>
                <w:szCs w:val="24"/>
                <w:color w:val="auto"/>
              </w:rPr>
            </w:pPr>
          </w:p>
        </w:tc>
        <w:tc>
          <w:tcPr>
            <w:tcW w:w="3240" w:type="dxa"/>
            <w:vAlign w:val="bottom"/>
          </w:tcPr>
          <w:p>
            <w:pPr>
              <w:ind w:left="160"/>
              <w:spacing w:after="0"/>
              <w:rPr>
                <w:sz w:val="20"/>
                <w:szCs w:val="20"/>
                <w:color w:val="auto"/>
              </w:rPr>
            </w:pPr>
            <w:r>
              <w:rPr>
                <w:rFonts w:ascii="Arial" w:cs="Arial" w:eastAsia="Arial" w:hAnsi="Arial"/>
                <w:sz w:val="14"/>
                <w:szCs w:val="14"/>
                <w:b w:val="1"/>
                <w:bCs w:val="1"/>
                <w:color w:val="D7282F"/>
              </w:rPr>
              <w:t xml:space="preserve">•  </w:t>
            </w:r>
            <w:r>
              <w:rPr>
                <w:rFonts w:ascii="Arial" w:cs="Arial" w:eastAsia="Arial" w:hAnsi="Arial"/>
                <w:sz w:val="14"/>
                <w:szCs w:val="14"/>
                <w:color w:val="000000"/>
              </w:rPr>
              <w:t>To motivate and reward executives for</w:t>
            </w: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60" w:type="dxa"/>
            <w:vAlign w:val="bottom"/>
          </w:tcPr>
          <w:p>
            <w:pPr>
              <w:ind w:left="40"/>
              <w:spacing w:after="0"/>
              <w:rPr>
                <w:sz w:val="20"/>
                <w:szCs w:val="20"/>
                <w:color w:val="auto"/>
              </w:rPr>
            </w:pPr>
            <w:r>
              <w:rPr>
                <w:rFonts w:ascii="Arial" w:cs="Arial" w:eastAsia="Arial" w:hAnsi="Arial"/>
                <w:sz w:val="14"/>
                <w:szCs w:val="14"/>
                <w:b w:val="1"/>
                <w:bCs w:val="1"/>
                <w:color w:val="D7282F"/>
              </w:rPr>
              <w:t>INCENTIVE</w:t>
            </w:r>
          </w:p>
        </w:tc>
        <w:tc>
          <w:tcPr>
            <w:tcW w:w="2880" w:type="dxa"/>
            <w:vAlign w:val="bottom"/>
          </w:tcPr>
          <w:p>
            <w:pPr>
              <w:spacing w:after="0"/>
              <w:rPr>
                <w:sz w:val="15"/>
                <w:szCs w:val="15"/>
                <w:color w:val="auto"/>
              </w:rPr>
            </w:pPr>
          </w:p>
        </w:tc>
        <w:tc>
          <w:tcPr>
            <w:tcW w:w="3240" w:type="dxa"/>
            <w:vAlign w:val="bottom"/>
          </w:tcPr>
          <w:p>
            <w:pPr>
              <w:ind w:left="360"/>
              <w:spacing w:after="0"/>
              <w:rPr>
                <w:sz w:val="20"/>
                <w:szCs w:val="20"/>
                <w:color w:val="auto"/>
              </w:rPr>
            </w:pPr>
            <w:r>
              <w:rPr>
                <w:rFonts w:ascii="Arial" w:cs="Arial" w:eastAsia="Arial" w:hAnsi="Arial"/>
                <w:sz w:val="14"/>
                <w:szCs w:val="14"/>
                <w:color w:val="auto"/>
              </w:rPr>
              <w:t>achieving annual corporate, business</w:t>
            </w:r>
          </w:p>
        </w:tc>
        <w:tc>
          <w:tcPr>
            <w:tcW w:w="1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60" w:type="dxa"/>
            <w:vAlign w:val="bottom"/>
          </w:tcPr>
          <w:p>
            <w:pPr>
              <w:ind w:left="40"/>
              <w:spacing w:after="0"/>
              <w:rPr>
                <w:sz w:val="20"/>
                <w:szCs w:val="20"/>
                <w:color w:val="auto"/>
              </w:rPr>
            </w:pPr>
            <w:r>
              <w:rPr>
                <w:rFonts w:ascii="Arial" w:cs="Arial" w:eastAsia="Arial" w:hAnsi="Arial"/>
                <w:sz w:val="14"/>
                <w:szCs w:val="14"/>
                <w:b w:val="1"/>
                <w:bCs w:val="1"/>
                <w:color w:val="D7282F"/>
              </w:rPr>
              <w:t>COMPENSATION</w:t>
            </w:r>
          </w:p>
        </w:tc>
        <w:tc>
          <w:tcPr>
            <w:tcW w:w="2880" w:type="dxa"/>
            <w:vAlign w:val="bottom"/>
          </w:tcPr>
          <w:p>
            <w:pPr>
              <w:spacing w:after="0"/>
              <w:rPr>
                <w:sz w:val="15"/>
                <w:szCs w:val="15"/>
                <w:color w:val="auto"/>
              </w:rPr>
            </w:pPr>
          </w:p>
        </w:tc>
        <w:tc>
          <w:tcPr>
            <w:tcW w:w="3240" w:type="dxa"/>
            <w:vAlign w:val="bottom"/>
          </w:tcPr>
          <w:p>
            <w:pPr>
              <w:ind w:left="360"/>
              <w:spacing w:after="0"/>
              <w:rPr>
                <w:sz w:val="20"/>
                <w:szCs w:val="20"/>
                <w:color w:val="auto"/>
              </w:rPr>
            </w:pPr>
            <w:r>
              <w:rPr>
                <w:rFonts w:ascii="Arial" w:cs="Arial" w:eastAsia="Arial" w:hAnsi="Arial"/>
                <w:sz w:val="14"/>
                <w:szCs w:val="14"/>
                <w:color w:val="auto"/>
              </w:rPr>
              <w:t>unit, corporate responsibility, and functional</w:t>
            </w:r>
          </w:p>
        </w:tc>
        <w:tc>
          <w:tcPr>
            <w:tcW w:w="1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60" w:type="dxa"/>
            <w:vAlign w:val="bottom"/>
          </w:tcPr>
          <w:p>
            <w:pPr>
              <w:ind w:left="40"/>
              <w:spacing w:after="0"/>
              <w:rPr>
                <w:sz w:val="20"/>
                <w:szCs w:val="20"/>
                <w:color w:val="auto"/>
              </w:rPr>
            </w:pPr>
            <w:r>
              <w:rPr>
                <w:rFonts w:ascii="Arial" w:cs="Arial" w:eastAsia="Arial" w:hAnsi="Arial"/>
                <w:sz w:val="14"/>
                <w:szCs w:val="14"/>
                <w:b w:val="1"/>
                <w:bCs w:val="1"/>
                <w:color w:val="D7282F"/>
              </w:rPr>
              <w:t>PLAN (ICP)</w:t>
            </w:r>
          </w:p>
        </w:tc>
        <w:tc>
          <w:tcPr>
            <w:tcW w:w="2880" w:type="dxa"/>
            <w:vAlign w:val="bottom"/>
          </w:tcPr>
          <w:p>
            <w:pPr>
              <w:spacing w:after="0"/>
              <w:rPr>
                <w:sz w:val="15"/>
                <w:szCs w:val="15"/>
                <w:color w:val="auto"/>
              </w:rPr>
            </w:pPr>
          </w:p>
        </w:tc>
        <w:tc>
          <w:tcPr>
            <w:tcW w:w="3240" w:type="dxa"/>
            <w:vAlign w:val="bottom"/>
          </w:tcPr>
          <w:p>
            <w:pPr>
              <w:ind w:left="360"/>
              <w:spacing w:after="0"/>
              <w:rPr>
                <w:sz w:val="20"/>
                <w:szCs w:val="20"/>
                <w:color w:val="auto"/>
              </w:rPr>
            </w:pPr>
            <w:r>
              <w:rPr>
                <w:rFonts w:ascii="Arial" w:cs="Arial" w:eastAsia="Arial" w:hAnsi="Arial"/>
                <w:sz w:val="14"/>
                <w:szCs w:val="14"/>
                <w:color w:val="auto"/>
              </w:rPr>
              <w:t>goals in key areas of financial and</w:t>
            </w:r>
          </w:p>
        </w:tc>
        <w:tc>
          <w:tcPr>
            <w:tcW w:w="1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3240" w:type="dxa"/>
            <w:vAlign w:val="bottom"/>
          </w:tcPr>
          <w:p>
            <w:pPr>
              <w:ind w:left="360"/>
              <w:spacing w:after="0"/>
              <w:rPr>
                <w:sz w:val="20"/>
                <w:szCs w:val="20"/>
                <w:color w:val="auto"/>
              </w:rPr>
            </w:pPr>
            <w:r>
              <w:rPr>
                <w:rFonts w:ascii="Arial" w:cs="Arial" w:eastAsia="Arial" w:hAnsi="Arial"/>
                <w:sz w:val="14"/>
                <w:szCs w:val="14"/>
                <w:color w:val="auto"/>
              </w:rPr>
              <w:t>operational performance.</w:t>
            </w:r>
          </w:p>
        </w:tc>
        <w:tc>
          <w:tcPr>
            <w:tcW w:w="1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-1459865</wp:posOffset>
            </wp:positionV>
            <wp:extent cx="6986270" cy="67208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86270" cy="6720840"/>
                    </a:xfrm>
                    <a:prstGeom prst="rect">
                      <a:avLst/>
                    </a:prstGeom>
                    <a:noFill/>
                  </pic:spPr>
                </pic:pic>
              </a:graphicData>
            </a:graphic>
          </wp:anchor>
        </w:drawing>
      </w:r>
    </w:p>
    <w:p>
      <w:pPr>
        <w:spacing w:after="0" w:line="100" w:lineRule="exact"/>
        <w:rPr>
          <w:sz w:val="20"/>
          <w:szCs w:val="20"/>
          <w:color w:val="auto"/>
        </w:rPr>
      </w:pPr>
    </w:p>
    <w:p>
      <w:pPr>
        <w:ind w:left="2840" w:right="5940" w:hanging="195"/>
        <w:spacing w:after="0" w:line="235" w:lineRule="auto"/>
        <w:tabs>
          <w:tab w:leader="none" w:pos="2837" w:val="left"/>
        </w:tabs>
        <w:numPr>
          <w:ilvl w:val="0"/>
          <w:numId w:val="23"/>
        </w:numPr>
        <w:rPr>
          <w:rFonts w:ascii="Arial" w:cs="Arial" w:eastAsia="Arial" w:hAnsi="Arial"/>
          <w:sz w:val="16"/>
          <w:szCs w:val="16"/>
          <w:b w:val="1"/>
          <w:bCs w:val="1"/>
          <w:color w:val="D7282F"/>
        </w:rPr>
      </w:pPr>
      <w:r>
        <w:rPr>
          <w:rFonts w:ascii="Arial" w:cs="Arial" w:eastAsia="Arial" w:hAnsi="Arial"/>
          <w:sz w:val="14"/>
          <w:szCs w:val="14"/>
          <w:color w:val="auto"/>
        </w:rPr>
        <w:t>80% based on formulaic determination against pre-established</w:t>
      </w:r>
    </w:p>
    <w:p>
      <w:pPr>
        <w:ind w:left="2840"/>
        <w:spacing w:after="0"/>
        <w:rPr>
          <w:rFonts w:ascii="Arial" w:cs="Arial" w:eastAsia="Arial" w:hAnsi="Arial"/>
          <w:sz w:val="16"/>
          <w:szCs w:val="16"/>
          <w:b w:val="1"/>
          <w:bCs w:val="1"/>
          <w:color w:val="D7282F"/>
        </w:rPr>
      </w:pPr>
      <w:r>
        <w:rPr>
          <w:rFonts w:ascii="Arial" w:cs="Arial" w:eastAsia="Arial" w:hAnsi="Arial"/>
          <w:sz w:val="14"/>
          <w:szCs w:val="14"/>
          <w:color w:val="auto"/>
        </w:rPr>
        <w:t>financial metrics.</w:t>
      </w:r>
    </w:p>
    <w:p>
      <w:pPr>
        <w:spacing w:after="0" w:line="200" w:lineRule="exact"/>
        <w:rPr>
          <w:rFonts w:ascii="Arial" w:cs="Arial" w:eastAsia="Arial" w:hAnsi="Arial"/>
          <w:sz w:val="16"/>
          <w:szCs w:val="16"/>
          <w:b w:val="1"/>
          <w:bCs w:val="1"/>
          <w:color w:val="D7282F"/>
        </w:rPr>
      </w:pPr>
    </w:p>
    <w:p>
      <w:pPr>
        <w:spacing w:after="0" w:line="200" w:lineRule="exact"/>
        <w:rPr>
          <w:rFonts w:ascii="Arial" w:cs="Arial" w:eastAsia="Arial" w:hAnsi="Arial"/>
          <w:sz w:val="16"/>
          <w:szCs w:val="16"/>
          <w:b w:val="1"/>
          <w:bCs w:val="1"/>
          <w:color w:val="D7282F"/>
        </w:rPr>
      </w:pPr>
    </w:p>
    <w:p>
      <w:pPr>
        <w:spacing w:after="0" w:line="200" w:lineRule="exact"/>
        <w:rPr>
          <w:rFonts w:ascii="Arial" w:cs="Arial" w:eastAsia="Arial" w:hAnsi="Arial"/>
          <w:sz w:val="16"/>
          <w:szCs w:val="16"/>
          <w:b w:val="1"/>
          <w:bCs w:val="1"/>
          <w:color w:val="D7282F"/>
        </w:rPr>
      </w:pPr>
    </w:p>
    <w:p>
      <w:pPr>
        <w:spacing w:after="0" w:line="386" w:lineRule="exact"/>
        <w:rPr>
          <w:rFonts w:ascii="Arial" w:cs="Arial" w:eastAsia="Arial" w:hAnsi="Arial"/>
          <w:sz w:val="16"/>
          <w:szCs w:val="16"/>
          <w:b w:val="1"/>
          <w:bCs w:val="1"/>
          <w:color w:val="D7282F"/>
        </w:rPr>
      </w:pPr>
    </w:p>
    <w:p>
      <w:pPr>
        <w:ind w:left="2840" w:right="5880" w:hanging="195"/>
        <w:spacing w:after="0" w:line="285" w:lineRule="auto"/>
        <w:tabs>
          <w:tab w:leader="none" w:pos="2831" w:val="left"/>
        </w:tabs>
        <w:numPr>
          <w:ilvl w:val="0"/>
          <w:numId w:val="23"/>
        </w:numPr>
        <w:rPr>
          <w:rFonts w:ascii="Arial" w:cs="Arial" w:eastAsia="Arial" w:hAnsi="Arial"/>
          <w:sz w:val="14"/>
          <w:szCs w:val="14"/>
          <w:b w:val="1"/>
          <w:bCs w:val="1"/>
          <w:color w:val="D7282F"/>
        </w:rPr>
      </w:pPr>
      <w:r>
        <w:rPr>
          <w:rFonts w:ascii="Arial" w:cs="Arial" w:eastAsia="Arial" w:hAnsi="Arial"/>
          <w:sz w:val="14"/>
          <w:szCs w:val="14"/>
          <w:color w:val="auto"/>
        </w:rPr>
        <w:t>15% based on assessment of individual performance.</w:t>
      </w:r>
    </w:p>
    <w:p>
      <w:pPr>
        <w:spacing w:after="0" w:line="200" w:lineRule="exact"/>
        <w:rPr>
          <w:rFonts w:ascii="Arial" w:cs="Arial" w:eastAsia="Arial" w:hAnsi="Arial"/>
          <w:sz w:val="14"/>
          <w:szCs w:val="14"/>
          <w:b w:val="1"/>
          <w:bCs w:val="1"/>
          <w:color w:val="D7282F"/>
        </w:rPr>
      </w:pPr>
    </w:p>
    <w:p>
      <w:pPr>
        <w:spacing w:after="0" w:line="200" w:lineRule="exact"/>
        <w:rPr>
          <w:rFonts w:ascii="Arial" w:cs="Arial" w:eastAsia="Arial" w:hAnsi="Arial"/>
          <w:sz w:val="14"/>
          <w:szCs w:val="14"/>
          <w:b w:val="1"/>
          <w:bCs w:val="1"/>
          <w:color w:val="D7282F"/>
        </w:rPr>
      </w:pPr>
    </w:p>
    <w:p>
      <w:pPr>
        <w:spacing w:after="0" w:line="200" w:lineRule="exact"/>
        <w:rPr>
          <w:rFonts w:ascii="Arial" w:cs="Arial" w:eastAsia="Arial" w:hAnsi="Arial"/>
          <w:sz w:val="14"/>
          <w:szCs w:val="14"/>
          <w:b w:val="1"/>
          <w:bCs w:val="1"/>
          <w:color w:val="D7282F"/>
        </w:rPr>
      </w:pPr>
    </w:p>
    <w:p>
      <w:pPr>
        <w:spacing w:after="0" w:line="340" w:lineRule="exact"/>
        <w:rPr>
          <w:rFonts w:ascii="Arial" w:cs="Arial" w:eastAsia="Arial" w:hAnsi="Arial"/>
          <w:sz w:val="14"/>
          <w:szCs w:val="14"/>
          <w:b w:val="1"/>
          <w:bCs w:val="1"/>
          <w:color w:val="D7282F"/>
        </w:rPr>
      </w:pPr>
    </w:p>
    <w:p>
      <w:pPr>
        <w:ind w:left="2840" w:right="5960" w:hanging="195"/>
        <w:spacing w:after="0" w:line="285" w:lineRule="auto"/>
        <w:tabs>
          <w:tab w:leader="none" w:pos="2831" w:val="left"/>
        </w:tabs>
        <w:numPr>
          <w:ilvl w:val="0"/>
          <w:numId w:val="23"/>
        </w:numPr>
        <w:rPr>
          <w:rFonts w:ascii="Arial" w:cs="Arial" w:eastAsia="Arial" w:hAnsi="Arial"/>
          <w:sz w:val="14"/>
          <w:szCs w:val="14"/>
          <w:b w:val="1"/>
          <w:bCs w:val="1"/>
          <w:color w:val="D7282F"/>
        </w:rPr>
      </w:pPr>
      <w:r>
        <w:rPr>
          <w:rFonts w:ascii="Arial" w:cs="Arial" w:eastAsia="Arial" w:hAnsi="Arial"/>
          <w:sz w:val="14"/>
          <w:szCs w:val="14"/>
          <w:color w:val="auto"/>
        </w:rPr>
        <w:t>5% based on Corporate Responsibility KPIs.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-1702435</wp:posOffset>
            </wp:positionV>
            <wp:extent cx="6831965" cy="48691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1965" cy="486918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-1702435</wp:posOffset>
            </wp:positionV>
            <wp:extent cx="6831965" cy="48691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1965" cy="4869180"/>
                    </a:xfrm>
                    <a:prstGeom prst="rect">
                      <a:avLst/>
                    </a:prstGeom>
                    <a:noFill/>
                  </pic:spPr>
                </pic:pic>
              </a:graphicData>
            </a:graphic>
          </wp:anchor>
        </w:drawing>
      </w:r>
    </w:p>
    <w:p>
      <w:pPr>
        <w:sectPr>
          <w:pgSz w:w="11900" w:h="16838" w:orient="portrait"/>
          <w:cols w:equalWidth="0" w:num="1">
            <w:col w:w="11240"/>
          </w:cols>
          <w:pgMar w:left="320" w:top="230" w:right="339" w:bottom="1108" w:gutter="0" w:footer="0" w:header="0"/>
        </w:sectPr>
      </w:pPr>
    </w:p>
    <w:p>
      <w:pPr>
        <w:spacing w:after="0" w:line="200" w:lineRule="exact"/>
        <w:rPr>
          <w:sz w:val="20"/>
          <w:szCs w:val="20"/>
          <w:color w:val="auto"/>
        </w:rPr>
      </w:pPr>
    </w:p>
    <w:p>
      <w:pPr>
        <w:spacing w:after="0" w:line="255" w:lineRule="exact"/>
        <w:rPr>
          <w:sz w:val="20"/>
          <w:szCs w:val="20"/>
          <w:color w:val="auto"/>
        </w:rPr>
      </w:pPr>
    </w:p>
    <w:p>
      <w:pPr>
        <w:ind w:left="980"/>
        <w:spacing w:after="0"/>
        <w:rPr>
          <w:sz w:val="20"/>
          <w:szCs w:val="20"/>
          <w:color w:val="auto"/>
        </w:rPr>
      </w:pPr>
      <w:r>
        <w:rPr>
          <w:rFonts w:ascii="Arial" w:cs="Arial" w:eastAsia="Arial" w:hAnsi="Arial"/>
          <w:sz w:val="14"/>
          <w:szCs w:val="14"/>
          <w:b w:val="1"/>
          <w:bCs w:val="1"/>
          <w:color w:val="D7282F"/>
        </w:rPr>
        <w:t>PERFORMANCE</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4"/>
          <w:szCs w:val="14"/>
          <w:b w:val="1"/>
          <w:bCs w:val="1"/>
          <w:color w:val="D7282F"/>
        </w:rPr>
        <w:t>STOCK UNITS</w:t>
      </w:r>
    </w:p>
    <w:p>
      <w:pPr>
        <w:spacing w:after="0" w:line="15" w:lineRule="exact"/>
        <w:rPr>
          <w:sz w:val="20"/>
          <w:szCs w:val="20"/>
          <w:color w:val="auto"/>
        </w:rPr>
      </w:pPr>
    </w:p>
    <w:p>
      <w:pPr>
        <w:ind w:left="980"/>
        <w:spacing w:after="0"/>
        <w:rPr>
          <w:sz w:val="20"/>
          <w:szCs w:val="20"/>
          <w:color w:val="auto"/>
        </w:rPr>
      </w:pPr>
      <w:r>
        <w:rPr>
          <w:rFonts w:ascii="Arial" w:cs="Arial" w:eastAsia="Arial" w:hAnsi="Arial"/>
          <w:sz w:val="14"/>
          <w:szCs w:val="14"/>
          <w:b w:val="1"/>
          <w:bCs w:val="1"/>
          <w:color w:val="D7282F"/>
        </w:rPr>
        <w:t>(PSUs)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ind w:left="195" w:hanging="195"/>
        <w:spacing w:after="0"/>
        <w:tabs>
          <w:tab w:leader="none" w:pos="195" w:val="left"/>
        </w:tabs>
        <w:numPr>
          <w:ilvl w:val="0"/>
          <w:numId w:val="24"/>
        </w:numPr>
        <w:rPr>
          <w:rFonts w:ascii="Arial" w:cs="Arial" w:eastAsia="Arial" w:hAnsi="Arial"/>
          <w:sz w:val="14"/>
          <w:szCs w:val="14"/>
          <w:b w:val="1"/>
          <w:bCs w:val="1"/>
          <w:color w:val="D7282F"/>
        </w:rPr>
      </w:pPr>
      <w:r>
        <w:rPr>
          <w:rFonts w:ascii="Arial" w:cs="Arial" w:eastAsia="Arial" w:hAnsi="Arial"/>
          <w:sz w:val="14"/>
          <w:szCs w:val="14"/>
          <w:color w:val="auto"/>
        </w:rPr>
        <w:t>Executive officers: 50% of annual LTI.</w:t>
      </w:r>
    </w:p>
    <w:p>
      <w:pPr>
        <w:spacing w:after="0" w:line="95" w:lineRule="exact"/>
        <w:rPr>
          <w:rFonts w:ascii="Arial" w:cs="Arial" w:eastAsia="Arial" w:hAnsi="Arial"/>
          <w:sz w:val="14"/>
          <w:szCs w:val="14"/>
          <w:b w:val="1"/>
          <w:bCs w:val="1"/>
          <w:color w:val="D7282F"/>
        </w:rPr>
      </w:pPr>
    </w:p>
    <w:p>
      <w:pPr>
        <w:ind w:left="195" w:hanging="195"/>
        <w:spacing w:after="0"/>
        <w:tabs>
          <w:tab w:leader="none" w:pos="195" w:val="left"/>
        </w:tabs>
        <w:numPr>
          <w:ilvl w:val="0"/>
          <w:numId w:val="24"/>
        </w:numPr>
        <w:rPr>
          <w:rFonts w:ascii="Arial" w:cs="Arial" w:eastAsia="Arial" w:hAnsi="Arial"/>
          <w:sz w:val="14"/>
          <w:szCs w:val="14"/>
          <w:b w:val="1"/>
          <w:bCs w:val="1"/>
          <w:color w:val="D7282F"/>
        </w:rPr>
      </w:pPr>
      <w:r>
        <w:rPr>
          <w:rFonts w:ascii="Arial" w:cs="Arial" w:eastAsia="Arial" w:hAnsi="Arial"/>
          <w:sz w:val="14"/>
          <w:szCs w:val="14"/>
          <w:color w:val="auto"/>
        </w:rPr>
        <w:t>Covers three-year period.</w:t>
      </w:r>
    </w:p>
    <w:p>
      <w:pPr>
        <w:spacing w:after="0" w:line="82" w:lineRule="exact"/>
        <w:rPr>
          <w:rFonts w:ascii="Arial" w:cs="Arial" w:eastAsia="Arial" w:hAnsi="Arial"/>
          <w:sz w:val="14"/>
          <w:szCs w:val="14"/>
          <w:b w:val="1"/>
          <w:bCs w:val="1"/>
          <w:color w:val="D7282F"/>
        </w:rPr>
      </w:pPr>
    </w:p>
    <w:p>
      <w:pPr>
        <w:ind w:left="195" w:hanging="195"/>
        <w:spacing w:after="0" w:line="285" w:lineRule="auto"/>
        <w:tabs>
          <w:tab w:leader="none" w:pos="186" w:val="left"/>
        </w:tabs>
        <w:numPr>
          <w:ilvl w:val="0"/>
          <w:numId w:val="24"/>
        </w:numPr>
        <w:rPr>
          <w:rFonts w:ascii="Arial" w:cs="Arial" w:eastAsia="Arial" w:hAnsi="Arial"/>
          <w:sz w:val="14"/>
          <w:szCs w:val="14"/>
          <w:b w:val="1"/>
          <w:bCs w:val="1"/>
          <w:color w:val="D7282F"/>
        </w:rPr>
      </w:pPr>
      <w:r>
        <w:rPr>
          <w:rFonts w:ascii="Arial" w:cs="Arial" w:eastAsia="Arial" w:hAnsi="Arial"/>
          <w:sz w:val="14"/>
          <w:szCs w:val="14"/>
          <w:color w:val="auto"/>
        </w:rPr>
        <w:t>Relative TSR (25% weight) along with key financial metrics (75% weight).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ind w:left="201" w:right="2840" w:hanging="201"/>
        <w:spacing w:after="0" w:line="265" w:lineRule="auto"/>
        <w:tabs>
          <w:tab w:leader="none" w:pos="191" w:val="left"/>
        </w:tabs>
        <w:numPr>
          <w:ilvl w:val="0"/>
          <w:numId w:val="25"/>
        </w:numPr>
        <w:rPr>
          <w:rFonts w:ascii="Arial" w:cs="Arial" w:eastAsia="Arial" w:hAnsi="Arial"/>
          <w:sz w:val="14"/>
          <w:szCs w:val="14"/>
          <w:b w:val="1"/>
          <w:bCs w:val="1"/>
          <w:color w:val="D7282F"/>
        </w:rPr>
      </w:pPr>
      <w:r>
        <w:rPr>
          <w:rFonts w:ascii="Arial" w:cs="Arial" w:eastAsia="Arial" w:hAnsi="Arial"/>
          <w:sz w:val="14"/>
          <w:szCs w:val="14"/>
          <w:color w:val="auto"/>
        </w:rPr>
        <w:t>Focuses executives on the achievement of specific long-term financial performance goals directly aligned with our operating and strategic plans. TSR portion pays based on three-year return from stock price appreciation and dividends vs. the Compensation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-2856865</wp:posOffset>
            </wp:positionH>
            <wp:positionV relativeFrom="paragraph">
              <wp:posOffset>389890</wp:posOffset>
            </wp:positionV>
            <wp:extent cx="653224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532245" cy="8255"/>
                    </a:xfrm>
                    <a:prstGeom prst="rect">
                      <a:avLst/>
                    </a:prstGeom>
                    <a:noFill/>
                  </pic:spPr>
                </pic:pic>
              </a:graphicData>
            </a:graphic>
          </wp:anchor>
        </w:drawing>
        <w:drawing>
          <wp:anchor simplePos="0" relativeHeight="251657728" behindDoc="1" locked="0" layoutInCell="0" allowOverlap="1">
            <wp:simplePos x="0" y="0"/>
            <wp:positionH relativeFrom="column">
              <wp:posOffset>2106295</wp:posOffset>
            </wp:positionH>
            <wp:positionV relativeFrom="paragraph">
              <wp:posOffset>-783590</wp:posOffset>
            </wp:positionV>
            <wp:extent cx="1423035" cy="5746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423035" cy="574675"/>
                    </a:xfrm>
                    <a:prstGeom prst="rect">
                      <a:avLst/>
                    </a:prstGeom>
                    <a:noFill/>
                  </pic:spPr>
                </pic:pic>
              </a:graphicData>
            </a:graphic>
          </wp:anchor>
        </w:drawing>
        <w:drawing>
          <wp:anchor simplePos="0" relativeHeight="251657728" behindDoc="1" locked="0" layoutInCell="0" allowOverlap="1">
            <wp:simplePos x="0" y="0"/>
            <wp:positionH relativeFrom="column">
              <wp:posOffset>2106295</wp:posOffset>
            </wp:positionH>
            <wp:positionV relativeFrom="paragraph">
              <wp:posOffset>-783590</wp:posOffset>
            </wp:positionV>
            <wp:extent cx="1423035" cy="5746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423035" cy="574675"/>
                    </a:xfrm>
                    <a:prstGeom prst="rect">
                      <a:avLst/>
                    </a:prstGeom>
                    <a:noFill/>
                  </pic:spPr>
                </pic:pic>
              </a:graphicData>
            </a:graphic>
          </wp:anchor>
        </w:drawing>
        <w:drawing>
          <wp:anchor simplePos="0" relativeHeight="251657728" behindDoc="1" locked="0" layoutInCell="0" allowOverlap="1">
            <wp:simplePos x="0" y="0"/>
            <wp:positionH relativeFrom="column">
              <wp:posOffset>2106295</wp:posOffset>
            </wp:positionH>
            <wp:positionV relativeFrom="paragraph">
              <wp:posOffset>467360</wp:posOffset>
            </wp:positionV>
            <wp:extent cx="574040" cy="5657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clrChange>
                        <a:clrFrom>
                          <a:srgbClr val="000000"/>
                        </a:clrFrom>
                        <a:clrTo>
                          <a:srgbClr val="000000">
                            <a:alpha val="0"/>
                          </a:srgbClr>
                        </a:clrTo>
                      </a:clrChange>
                      <a:extLst>
                        <a:ext uri="{28A0092B-C50C-407E-A947-70E740481C1C}"/>
                      </a:extLst>
                    </a:blip>
                    <a:srcRect/>
                    <a:stretch>
                      <a:fillRect/>
                    </a:stretch>
                  </pic:blipFill>
                  <pic:spPr bwMode="auto">
                    <a:xfrm>
                      <a:off x="0" y="0"/>
                      <a:ext cx="574040" cy="565785"/>
                    </a:xfrm>
                    <a:prstGeom prst="rect">
                      <a:avLst/>
                    </a:prstGeom>
                    <a:noFill/>
                  </pic:spPr>
                </pic:pic>
              </a:graphicData>
            </a:graphic>
          </wp:anchor>
        </w:drawing>
        <w:drawing>
          <wp:anchor simplePos="0" relativeHeight="251657728" behindDoc="1" locked="0" layoutInCell="0" allowOverlap="1">
            <wp:simplePos x="0" y="0"/>
            <wp:positionH relativeFrom="column">
              <wp:posOffset>2106295</wp:posOffset>
            </wp:positionH>
            <wp:positionV relativeFrom="paragraph">
              <wp:posOffset>467360</wp:posOffset>
            </wp:positionV>
            <wp:extent cx="574040" cy="5657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574040" cy="5657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2120" w:space="525"/>
            <w:col w:w="2595" w:space="199"/>
            <w:col w:w="5801"/>
          </w:cols>
          <w:pgMar w:left="320" w:top="230" w:right="339" w:bottom="1108" w:gutter="0" w:footer="0" w:header="0"/>
          <w:type w:val="continuous"/>
        </w:sect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60" w:type="dxa"/>
            <w:vAlign w:val="bottom"/>
          </w:tcPr>
          <w:p>
            <w:pPr>
              <w:ind w:left="40"/>
              <w:spacing w:after="0"/>
              <w:rPr>
                <w:sz w:val="20"/>
                <w:szCs w:val="20"/>
                <w:color w:val="auto"/>
              </w:rPr>
            </w:pPr>
            <w:r>
              <w:rPr>
                <w:rFonts w:ascii="Arial" w:cs="Arial" w:eastAsia="Arial" w:hAnsi="Arial"/>
                <w:sz w:val="14"/>
                <w:szCs w:val="14"/>
                <w:b w:val="1"/>
                <w:bCs w:val="1"/>
                <w:color w:val="D7282F"/>
              </w:rPr>
              <w:t>STOCK OPTIONS</w:t>
            </w:r>
          </w:p>
        </w:tc>
        <w:tc>
          <w:tcPr>
            <w:tcW w:w="2940" w:type="dxa"/>
            <w:vAlign w:val="bottom"/>
          </w:tcPr>
          <w:p>
            <w:pPr>
              <w:ind w:left="240"/>
              <w:spacing w:after="0"/>
              <w:rPr>
                <w:sz w:val="20"/>
                <w:szCs w:val="20"/>
                <w:color w:val="auto"/>
              </w:rPr>
            </w:pPr>
            <w:r>
              <w:rPr>
                <w:rFonts w:ascii="Arial" w:cs="Arial" w:eastAsia="Arial" w:hAnsi="Arial"/>
                <w:sz w:val="14"/>
                <w:szCs w:val="14"/>
                <w:b w:val="1"/>
                <w:bCs w:val="1"/>
                <w:color w:val="D7282F"/>
              </w:rPr>
              <w:t xml:space="preserve">•  </w:t>
            </w:r>
            <w:r>
              <w:rPr>
                <w:rFonts w:ascii="Arial" w:cs="Arial" w:eastAsia="Arial" w:hAnsi="Arial"/>
                <w:sz w:val="14"/>
                <w:szCs w:val="14"/>
                <w:color w:val="000000"/>
              </w:rPr>
              <w:t>Executive officers: 25% of annual LTI.</w:t>
            </w:r>
          </w:p>
        </w:tc>
        <w:tc>
          <w:tcPr>
            <w:tcW w:w="5900" w:type="dxa"/>
            <w:vAlign w:val="bottom"/>
            <w:gridSpan w:val="2"/>
          </w:tcPr>
          <w:p>
            <w:pPr>
              <w:ind w:left="100"/>
              <w:spacing w:after="0"/>
              <w:rPr>
                <w:sz w:val="20"/>
                <w:szCs w:val="20"/>
                <w:color w:val="auto"/>
              </w:rPr>
            </w:pPr>
            <w:r>
              <w:rPr>
                <w:rFonts w:ascii="Arial" w:cs="Arial" w:eastAsia="Arial" w:hAnsi="Arial"/>
                <w:sz w:val="14"/>
                <w:szCs w:val="14"/>
                <w:b w:val="1"/>
                <w:bCs w:val="1"/>
                <w:color w:val="D7282F"/>
              </w:rPr>
              <w:t xml:space="preserve">•  </w:t>
            </w:r>
            <w:r>
              <w:rPr>
                <w:rFonts w:ascii="Arial" w:cs="Arial" w:eastAsia="Arial" w:hAnsi="Arial"/>
                <w:sz w:val="14"/>
                <w:szCs w:val="14"/>
                <w:color w:val="000000"/>
              </w:rPr>
              <w:t>Directly aligns the interests of our</w:t>
            </w:r>
          </w:p>
        </w:tc>
      </w:tr>
      <w:tr>
        <w:trPr>
          <w:trHeight w:val="175"/>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5900" w:type="dxa"/>
            <w:vAlign w:val="bottom"/>
            <w:gridSpan w:val="2"/>
          </w:tcPr>
          <w:p>
            <w:pPr>
              <w:ind w:left="300"/>
              <w:spacing w:after="0"/>
              <w:rPr>
                <w:sz w:val="20"/>
                <w:szCs w:val="20"/>
                <w:color w:val="auto"/>
              </w:rPr>
            </w:pPr>
            <w:r>
              <w:rPr>
                <w:rFonts w:ascii="Arial" w:cs="Arial" w:eastAsia="Arial" w:hAnsi="Arial"/>
                <w:sz w:val="14"/>
                <w:szCs w:val="14"/>
                <w:color w:val="auto"/>
              </w:rPr>
              <w:t>executives with shareowners. Stock options</w:t>
            </w:r>
          </w:p>
        </w:tc>
      </w:tr>
      <w:tr>
        <w:trPr>
          <w:trHeight w:val="175"/>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5900" w:type="dxa"/>
            <w:vAlign w:val="bottom"/>
            <w:gridSpan w:val="2"/>
          </w:tcPr>
          <w:p>
            <w:pPr>
              <w:ind w:left="300"/>
              <w:spacing w:after="0"/>
              <w:rPr>
                <w:sz w:val="20"/>
                <w:szCs w:val="20"/>
                <w:color w:val="auto"/>
              </w:rPr>
            </w:pPr>
            <w:r>
              <w:rPr>
                <w:rFonts w:ascii="Arial" w:cs="Arial" w:eastAsia="Arial" w:hAnsi="Arial"/>
                <w:sz w:val="14"/>
                <w:szCs w:val="14"/>
                <w:color w:val="auto"/>
              </w:rPr>
              <w:t>only have value for executives if operating</w:t>
            </w:r>
          </w:p>
        </w:tc>
      </w:tr>
      <w:tr>
        <w:trPr>
          <w:trHeight w:val="176"/>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5900" w:type="dxa"/>
            <w:vAlign w:val="bottom"/>
            <w:gridSpan w:val="2"/>
          </w:tcPr>
          <w:p>
            <w:pPr>
              <w:ind w:left="300"/>
              <w:spacing w:after="0"/>
              <w:rPr>
                <w:sz w:val="20"/>
                <w:szCs w:val="20"/>
                <w:color w:val="auto"/>
              </w:rPr>
            </w:pPr>
            <w:r>
              <w:rPr>
                <w:rFonts w:ascii="Arial" w:cs="Arial" w:eastAsia="Arial" w:hAnsi="Arial"/>
                <w:sz w:val="14"/>
                <w:szCs w:val="14"/>
                <w:color w:val="auto"/>
              </w:rPr>
              <w:t>performance results in stock</w:t>
            </w:r>
          </w:p>
        </w:tc>
      </w:tr>
      <w:tr>
        <w:trPr>
          <w:trHeight w:val="190"/>
        </w:trPr>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5900" w:type="dxa"/>
            <w:vAlign w:val="bottom"/>
            <w:gridSpan w:val="2"/>
          </w:tcPr>
          <w:p>
            <w:pPr>
              <w:ind w:left="300"/>
              <w:spacing w:after="0"/>
              <w:rPr>
                <w:sz w:val="20"/>
                <w:szCs w:val="20"/>
                <w:color w:val="auto"/>
              </w:rPr>
            </w:pPr>
            <w:r>
              <w:rPr>
                <w:rFonts w:ascii="Arial" w:cs="Arial" w:eastAsia="Arial" w:hAnsi="Arial"/>
                <w:sz w:val="14"/>
                <w:szCs w:val="14"/>
                <w:color w:val="auto"/>
              </w:rPr>
              <w:t>price appreciation.</w:t>
            </w:r>
          </w:p>
        </w:tc>
      </w:tr>
      <w:tr>
        <w:trPr>
          <w:trHeight w:val="345"/>
        </w:trPr>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tcBorders>
              <w:bottom w:val="single" w:sz="8" w:color="939598"/>
            </w:tcBorders>
          </w:tcPr>
          <w:p>
            <w:pPr>
              <w:spacing w:after="0"/>
              <w:rPr>
                <w:sz w:val="24"/>
                <w:szCs w:val="24"/>
                <w:color w:val="auto"/>
              </w:rPr>
            </w:pPr>
          </w:p>
        </w:tc>
        <w:tc>
          <w:tcPr>
            <w:tcW w:w="2940" w:type="dxa"/>
            <w:vAlign w:val="bottom"/>
            <w:tcBorders>
              <w:bottom w:val="single" w:sz="8" w:color="939598"/>
            </w:tcBorders>
          </w:tcPr>
          <w:p>
            <w:pPr>
              <w:spacing w:after="0"/>
              <w:rPr>
                <w:sz w:val="24"/>
                <w:szCs w:val="24"/>
                <w:color w:val="auto"/>
              </w:rPr>
            </w:pPr>
          </w:p>
        </w:tc>
        <w:tc>
          <w:tcPr>
            <w:tcW w:w="5880" w:type="dxa"/>
            <w:vAlign w:val="bottom"/>
            <w:tcBorders>
              <w:bottom w:val="single" w:sz="8" w:color="939598"/>
            </w:tcBorders>
          </w:tcPr>
          <w:p>
            <w:pPr>
              <w:spacing w:after="0"/>
              <w:rPr>
                <w:sz w:val="24"/>
                <w:szCs w:val="24"/>
                <w:color w:val="auto"/>
              </w:rPr>
            </w:pPr>
          </w:p>
        </w:tc>
        <w:tc>
          <w:tcPr>
            <w:tcW w:w="20" w:type="dxa"/>
            <w:vAlign w:val="bottom"/>
          </w:tcPr>
          <w:p>
            <w:pPr>
              <w:spacing w:after="0"/>
              <w:rPr>
                <w:sz w:val="24"/>
                <w:szCs w:val="24"/>
                <w:color w:val="auto"/>
              </w:rPr>
            </w:pPr>
          </w:p>
        </w:tc>
      </w:tr>
      <w:tr>
        <w:trPr>
          <w:trHeight w:val="295"/>
        </w:trPr>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tcPr>
          <w:p>
            <w:pPr>
              <w:ind w:left="40"/>
              <w:spacing w:after="0"/>
              <w:rPr>
                <w:sz w:val="20"/>
                <w:szCs w:val="20"/>
                <w:color w:val="auto"/>
              </w:rPr>
            </w:pPr>
            <w:r>
              <w:rPr>
                <w:rFonts w:ascii="Arial" w:cs="Arial" w:eastAsia="Arial" w:hAnsi="Arial"/>
                <w:sz w:val="14"/>
                <w:szCs w:val="14"/>
                <w:b w:val="1"/>
                <w:bCs w:val="1"/>
                <w:color w:val="D7282F"/>
              </w:rPr>
              <w:t>RESTRICTED</w:t>
            </w:r>
          </w:p>
        </w:tc>
        <w:tc>
          <w:tcPr>
            <w:tcW w:w="2940" w:type="dxa"/>
            <w:vAlign w:val="bottom"/>
          </w:tcPr>
          <w:p>
            <w:pPr>
              <w:ind w:left="240"/>
              <w:spacing w:after="0"/>
              <w:rPr>
                <w:sz w:val="20"/>
                <w:szCs w:val="20"/>
                <w:color w:val="auto"/>
              </w:rPr>
            </w:pPr>
            <w:r>
              <w:rPr>
                <w:rFonts w:ascii="Arial" w:cs="Arial" w:eastAsia="Arial" w:hAnsi="Arial"/>
                <w:sz w:val="14"/>
                <w:szCs w:val="14"/>
                <w:b w:val="1"/>
                <w:bCs w:val="1"/>
                <w:color w:val="D7282F"/>
              </w:rPr>
              <w:t xml:space="preserve">•  </w:t>
            </w:r>
            <w:r>
              <w:rPr>
                <w:rFonts w:ascii="Arial" w:cs="Arial" w:eastAsia="Arial" w:hAnsi="Arial"/>
                <w:sz w:val="14"/>
                <w:szCs w:val="14"/>
                <w:color w:val="000000"/>
              </w:rPr>
              <w:t>Executive officers: 25% of annual LTI.</w:t>
            </w:r>
          </w:p>
        </w:tc>
        <w:tc>
          <w:tcPr>
            <w:tcW w:w="5900" w:type="dxa"/>
            <w:vAlign w:val="bottom"/>
            <w:gridSpan w:val="2"/>
          </w:tcPr>
          <w:p>
            <w:pPr>
              <w:ind w:left="100"/>
              <w:spacing w:after="0"/>
              <w:rPr>
                <w:sz w:val="20"/>
                <w:szCs w:val="20"/>
                <w:color w:val="auto"/>
              </w:rPr>
            </w:pPr>
            <w:r>
              <w:rPr>
                <w:rFonts w:ascii="Arial" w:cs="Arial" w:eastAsia="Arial" w:hAnsi="Arial"/>
                <w:sz w:val="14"/>
                <w:szCs w:val="14"/>
                <w:b w:val="1"/>
                <w:bCs w:val="1"/>
                <w:color w:val="D7282F"/>
              </w:rPr>
              <w:t xml:space="preserve">•  </w:t>
            </w:r>
            <w:r>
              <w:rPr>
                <w:rFonts w:ascii="Arial" w:cs="Arial" w:eastAsia="Arial" w:hAnsi="Arial"/>
                <w:sz w:val="14"/>
                <w:szCs w:val="14"/>
                <w:color w:val="000000"/>
              </w:rPr>
              <w:t>Strengthens key executive retention over</w:t>
            </w:r>
          </w:p>
        </w:tc>
      </w:tr>
      <w:tr>
        <w:trPr>
          <w:trHeight w:val="175"/>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60" w:type="dxa"/>
            <w:vAlign w:val="bottom"/>
          </w:tcPr>
          <w:p>
            <w:pPr>
              <w:ind w:left="40"/>
              <w:spacing w:after="0"/>
              <w:rPr>
                <w:sz w:val="20"/>
                <w:szCs w:val="20"/>
                <w:color w:val="auto"/>
              </w:rPr>
            </w:pPr>
            <w:r>
              <w:rPr>
                <w:rFonts w:ascii="Arial" w:cs="Arial" w:eastAsia="Arial" w:hAnsi="Arial"/>
                <w:sz w:val="14"/>
                <w:szCs w:val="14"/>
                <w:b w:val="1"/>
                <w:bCs w:val="1"/>
                <w:color w:val="D7282F"/>
              </w:rPr>
              <w:t>STOCK</w:t>
            </w:r>
          </w:p>
        </w:tc>
        <w:tc>
          <w:tcPr>
            <w:tcW w:w="2940" w:type="dxa"/>
            <w:vAlign w:val="bottom"/>
          </w:tcPr>
          <w:p>
            <w:pPr>
              <w:spacing w:after="0"/>
              <w:rPr>
                <w:sz w:val="15"/>
                <w:szCs w:val="15"/>
                <w:color w:val="auto"/>
              </w:rPr>
            </w:pPr>
          </w:p>
        </w:tc>
        <w:tc>
          <w:tcPr>
            <w:tcW w:w="5900" w:type="dxa"/>
            <w:vAlign w:val="bottom"/>
            <w:gridSpan w:val="2"/>
          </w:tcPr>
          <w:p>
            <w:pPr>
              <w:ind w:left="300"/>
              <w:spacing w:after="0"/>
              <w:rPr>
                <w:sz w:val="20"/>
                <w:szCs w:val="20"/>
                <w:color w:val="auto"/>
              </w:rPr>
            </w:pPr>
            <w:r>
              <w:rPr>
                <w:rFonts w:ascii="Arial" w:cs="Arial" w:eastAsia="Arial" w:hAnsi="Arial"/>
                <w:sz w:val="14"/>
                <w:szCs w:val="14"/>
                <w:color w:val="auto"/>
              </w:rPr>
              <w:t>relevant time periods to ensure</w:t>
            </w:r>
          </w:p>
        </w:tc>
      </w:tr>
      <w:tr>
        <w:trPr>
          <w:trHeight w:val="175"/>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60" w:type="dxa"/>
            <w:vAlign w:val="bottom"/>
          </w:tcPr>
          <w:p>
            <w:pPr>
              <w:ind w:left="40"/>
              <w:spacing w:after="0"/>
              <w:rPr>
                <w:sz w:val="20"/>
                <w:szCs w:val="20"/>
                <w:color w:val="auto"/>
              </w:rPr>
            </w:pPr>
            <w:r>
              <w:rPr>
                <w:rFonts w:ascii="Arial" w:cs="Arial" w:eastAsia="Arial" w:hAnsi="Arial"/>
                <w:sz w:val="14"/>
                <w:szCs w:val="14"/>
                <w:b w:val="1"/>
                <w:bCs w:val="1"/>
                <w:color w:val="D7282F"/>
              </w:rPr>
              <w:t>UNITS (RSUs)</w:t>
            </w:r>
          </w:p>
        </w:tc>
        <w:tc>
          <w:tcPr>
            <w:tcW w:w="2940" w:type="dxa"/>
            <w:vAlign w:val="bottom"/>
          </w:tcPr>
          <w:p>
            <w:pPr>
              <w:spacing w:after="0"/>
              <w:rPr>
                <w:sz w:val="15"/>
                <w:szCs w:val="15"/>
                <w:color w:val="auto"/>
              </w:rPr>
            </w:pPr>
          </w:p>
        </w:tc>
        <w:tc>
          <w:tcPr>
            <w:tcW w:w="5900" w:type="dxa"/>
            <w:vAlign w:val="bottom"/>
            <w:gridSpan w:val="2"/>
          </w:tcPr>
          <w:p>
            <w:pPr>
              <w:ind w:left="300"/>
              <w:spacing w:after="0"/>
              <w:rPr>
                <w:sz w:val="20"/>
                <w:szCs w:val="20"/>
                <w:color w:val="auto"/>
              </w:rPr>
            </w:pPr>
            <w:r>
              <w:rPr>
                <w:rFonts w:ascii="Arial" w:cs="Arial" w:eastAsia="Arial" w:hAnsi="Arial"/>
                <w:sz w:val="14"/>
                <w:szCs w:val="14"/>
                <w:color w:val="auto"/>
              </w:rPr>
              <w:t>consistency and execution of long-term</w:t>
            </w:r>
          </w:p>
        </w:tc>
      </w:tr>
      <w:tr>
        <w:trPr>
          <w:trHeight w:val="190"/>
        </w:trPr>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5900" w:type="dxa"/>
            <w:vAlign w:val="bottom"/>
            <w:gridSpan w:val="2"/>
          </w:tcPr>
          <w:p>
            <w:pPr>
              <w:ind w:left="300"/>
              <w:spacing w:after="0"/>
              <w:rPr>
                <w:sz w:val="20"/>
                <w:szCs w:val="20"/>
                <w:color w:val="auto"/>
              </w:rPr>
            </w:pPr>
            <w:r>
              <w:rPr>
                <w:rFonts w:ascii="Arial" w:cs="Arial" w:eastAsia="Arial" w:hAnsi="Arial"/>
                <w:sz w:val="14"/>
                <w:szCs w:val="14"/>
                <w:color w:val="auto"/>
              </w:rPr>
              <w:t>strategies.</w:t>
            </w:r>
          </w:p>
        </w:tc>
      </w:tr>
      <w:tr>
        <w:trPr>
          <w:trHeight w:val="426"/>
        </w:trPr>
        <w:tc>
          <w:tcPr>
            <w:tcW w:w="460" w:type="dxa"/>
            <w:vAlign w:val="bottom"/>
            <w:tcBorders>
              <w:bottom w:val="single" w:sz="8" w:color="D7282F"/>
            </w:tcBorders>
          </w:tcPr>
          <w:p>
            <w:pPr>
              <w:spacing w:after="0"/>
              <w:rPr>
                <w:sz w:val="24"/>
                <w:szCs w:val="24"/>
                <w:color w:val="auto"/>
              </w:rPr>
            </w:pPr>
          </w:p>
        </w:tc>
        <w:tc>
          <w:tcPr>
            <w:tcW w:w="480" w:type="dxa"/>
            <w:vAlign w:val="bottom"/>
          </w:tcPr>
          <w:p>
            <w:pPr>
              <w:spacing w:after="0"/>
              <w:rPr>
                <w:sz w:val="24"/>
                <w:szCs w:val="24"/>
                <w:color w:val="auto"/>
              </w:rPr>
            </w:pPr>
          </w:p>
        </w:tc>
        <w:tc>
          <w:tcPr>
            <w:tcW w:w="4400" w:type="dxa"/>
            <w:vAlign w:val="bottom"/>
            <w:tcBorders>
              <w:bottom w:val="single" w:sz="8" w:color="D7282F"/>
            </w:tcBorders>
            <w:gridSpan w:val="2"/>
          </w:tcPr>
          <w:p>
            <w:pPr>
              <w:spacing w:after="0"/>
              <w:rPr>
                <w:sz w:val="24"/>
                <w:szCs w:val="24"/>
                <w:color w:val="auto"/>
              </w:rPr>
            </w:pPr>
          </w:p>
        </w:tc>
        <w:tc>
          <w:tcPr>
            <w:tcW w:w="5880" w:type="dxa"/>
            <w:vAlign w:val="bottom"/>
            <w:tcBorders>
              <w:bottom w:val="single" w:sz="8" w:color="D7282F"/>
            </w:tcBorders>
          </w:tcPr>
          <w:p>
            <w:pPr>
              <w:spacing w:after="0"/>
              <w:rPr>
                <w:sz w:val="24"/>
                <w:szCs w:val="24"/>
                <w:color w:val="auto"/>
              </w:rPr>
            </w:pPr>
          </w:p>
        </w:tc>
        <w:tc>
          <w:tcPr>
            <w:tcW w:w="20" w:type="dxa"/>
            <w:vAlign w:val="bottom"/>
          </w:tcPr>
          <w:p>
            <w:pPr>
              <w:spacing w:after="0"/>
              <w:rPr>
                <w:sz w:val="24"/>
                <w:szCs w:val="24"/>
                <w:color w:val="auto"/>
              </w:rPr>
            </w:pPr>
          </w:p>
        </w:tc>
      </w:tr>
      <w:tr>
        <w:trPr>
          <w:trHeight w:val="478"/>
        </w:trPr>
        <w:tc>
          <w:tcPr>
            <w:tcW w:w="4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14</w:t>
            </w:r>
          </w:p>
        </w:tc>
        <w:tc>
          <w:tcPr>
            <w:tcW w:w="480" w:type="dxa"/>
            <w:vAlign w:val="bottom"/>
          </w:tcPr>
          <w:p>
            <w:pPr>
              <w:spacing w:after="0"/>
              <w:rPr>
                <w:sz w:val="24"/>
                <w:szCs w:val="24"/>
                <w:color w:val="auto"/>
              </w:rPr>
            </w:pPr>
          </w:p>
        </w:tc>
        <w:tc>
          <w:tcPr>
            <w:tcW w:w="4400" w:type="dxa"/>
            <w:vAlign w:val="bottom"/>
            <w:gridSpan w:val="2"/>
          </w:tcPr>
          <w:p>
            <w:pPr>
              <w:ind w:left="700"/>
              <w:spacing w:after="0"/>
              <w:rPr>
                <w:sz w:val="20"/>
                <w:szCs w:val="20"/>
                <w:color w:val="auto"/>
              </w:rPr>
            </w:pPr>
            <w:r>
              <w:rPr>
                <w:rFonts w:ascii="Arial" w:cs="Arial" w:eastAsia="Arial" w:hAnsi="Arial"/>
                <w:sz w:val="13"/>
                <w:szCs w:val="13"/>
                <w:b w:val="1"/>
                <w:bCs w:val="1"/>
                <w:color w:val="6D6E71"/>
              </w:rPr>
              <w:t>|   2026 NOTICE AND PROXY STATEMENT</w:t>
            </w:r>
          </w:p>
        </w:tc>
        <w:tc>
          <w:tcPr>
            <w:tcW w:w="5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3"/>
        </w:trPr>
        <w:tc>
          <w:tcPr>
            <w:tcW w:w="4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5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-2159635</wp:posOffset>
            </wp:positionV>
            <wp:extent cx="574040" cy="5657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clrChange>
                        <a:clrFrom>
                          <a:srgbClr val="000000"/>
                        </a:clrFrom>
                        <a:clrTo>
                          <a:srgbClr val="000000">
                            <a:alpha val="0"/>
                          </a:srgbClr>
                        </a:clrTo>
                      </a:clrChange>
                      <a:extLst>
                        <a:ext uri="{28A0092B-C50C-407E-A947-70E740481C1C}"/>
                      </a:extLst>
                    </a:blip>
                    <a:srcRect/>
                    <a:stretch>
                      <a:fillRect/>
                    </a:stretch>
                  </pic:blipFill>
                  <pic:spPr bwMode="auto">
                    <a:xfrm>
                      <a:off x="0" y="0"/>
                      <a:ext cx="574040" cy="56578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-2159635</wp:posOffset>
            </wp:positionV>
            <wp:extent cx="574040" cy="5657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clrChange>
                        <a:clrFrom>
                          <a:srgbClr val="FFFFFF"/>
                        </a:clrFrom>
                        <a:clrTo>
                          <a:srgbClr val="FFFFFF">
                            <a:alpha val="0"/>
                          </a:srgbClr>
                        </a:clrTo>
                      </a:clrChange>
                      <a:extLst>
                        <a:ext uri="{28A0092B-C50C-407E-A947-70E740481C1C}"/>
                      </a:extLst>
                    </a:blip>
                    <a:srcRect/>
                    <a:stretch>
                      <a:fillRect/>
                    </a:stretch>
                  </pic:blipFill>
                  <pic:spPr bwMode="auto">
                    <a:xfrm>
                      <a:off x="0" y="0"/>
                      <a:ext cx="574040" cy="56578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-1302385</wp:posOffset>
            </wp:positionV>
            <wp:extent cx="1431290" cy="5746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431290" cy="57467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-1302385</wp:posOffset>
            </wp:positionV>
            <wp:extent cx="1431290" cy="5746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431290" cy="57467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-376555</wp:posOffset>
            </wp:positionV>
            <wp:extent cx="548640" cy="1028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108" w:gutter="0" w:footer="0" w:header="0"/>
          <w:type w:val="continuous"/>
        </w:sectPr>
      </w:pPr>
    </w:p>
    <w:bookmarkStart w:id="18" w:name="page19"/>
    <w:bookmarkEnd w:id="18"/>
    <w:p>
      <w:pPr>
        <w:ind w:left="10120"/>
        <w:spacing w:after="0"/>
        <w:rPr>
          <w:sz w:val="20"/>
          <w:szCs w:val="20"/>
          <w:color w:val="auto"/>
        </w:rPr>
      </w:pPr>
      <w:r>
        <w:rPr>
          <w:rFonts w:ascii="Arial" w:cs="Arial" w:eastAsia="Arial" w:hAnsi="Arial"/>
          <w:sz w:val="12"/>
          <w:szCs w:val="12"/>
          <w:b w:val="1"/>
          <w:bCs w:val="1"/>
          <w:color w:val="6D6E71"/>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626745</wp:posOffset>
            </wp:positionV>
            <wp:extent cx="7115175" cy="2400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15175" cy="24003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FFFFFF"/>
        </w:rPr>
        <w:t>WHAT WE DO</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Pay for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-107315</wp:posOffset>
            </wp:positionV>
            <wp:extent cx="68580" cy="596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59690"/>
                    </a:xfrm>
                    <a:prstGeom prst="rect">
                      <a:avLst/>
                    </a:prstGeom>
                    <a:noFill/>
                  </pic:spPr>
                </pic:pic>
              </a:graphicData>
            </a:graphic>
          </wp:anchor>
        </w:drawing>
      </w:r>
    </w:p>
    <w:p>
      <w:pPr>
        <w:spacing w:after="0" w:line="6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Robust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-107315</wp:posOffset>
            </wp:positionV>
            <wp:extent cx="68580" cy="596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59690"/>
                    </a:xfrm>
                    <a:prstGeom prst="rect">
                      <a:avLst/>
                    </a:prstGeom>
                    <a:noFill/>
                  </pic:spPr>
                </pic:pic>
              </a:graphicData>
            </a:graphic>
          </wp:anchor>
        </w:drawing>
      </w:r>
    </w:p>
    <w:p>
      <w:pPr>
        <w:spacing w:after="0" w:line="53" w:lineRule="exact"/>
        <w:rPr>
          <w:sz w:val="20"/>
          <w:szCs w:val="20"/>
          <w:color w:val="auto"/>
        </w:rPr>
      </w:pPr>
    </w:p>
    <w:p>
      <w:pPr>
        <w:ind w:left="360" w:hanging="21"/>
        <w:spacing w:after="0" w:line="304" w:lineRule="auto"/>
        <w:rPr>
          <w:sz w:val="20"/>
          <w:szCs w:val="20"/>
          <w:color w:val="auto"/>
        </w:rPr>
      </w:pPr>
      <w:r>
        <w:rPr>
          <w:rFonts w:ascii="Arial" w:cs="Arial" w:eastAsia="Arial" w:hAnsi="Arial"/>
          <w:sz w:val="16"/>
          <w:szCs w:val="16"/>
          <w:color w:val="auto"/>
        </w:rPr>
        <w:t>Clawback Policy — Expanded in 2023 to Incorporate Exchange Act Rule 10D-1 and Nasdaq Listing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-277495</wp:posOffset>
            </wp:positionV>
            <wp:extent cx="68580" cy="596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59690"/>
                    </a:xfrm>
                    <a:prstGeom prst="rect">
                      <a:avLst/>
                    </a:prstGeom>
                    <a:noFill/>
                  </pic:spPr>
                </pic:pic>
              </a:graphicData>
            </a:graphic>
          </wp:anchor>
        </w:drawing>
      </w:r>
    </w:p>
    <w:p>
      <w:pPr>
        <w:ind w:left="320"/>
        <w:spacing w:after="0"/>
        <w:rPr>
          <w:sz w:val="20"/>
          <w:szCs w:val="20"/>
          <w:color w:val="auto"/>
        </w:rPr>
      </w:pPr>
      <w:r>
        <w:rPr>
          <w:rFonts w:ascii="Arial" w:cs="Arial" w:eastAsia="Arial" w:hAnsi="Arial"/>
          <w:sz w:val="16"/>
          <w:szCs w:val="16"/>
          <w:color w:val="auto"/>
        </w:rPr>
        <w:t>Double Trigger in the Event of a Change in Control (CIC)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-107315</wp:posOffset>
            </wp:positionV>
            <wp:extent cx="68580" cy="596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59690"/>
                    </a:xfrm>
                    <a:prstGeom prst="rect">
                      <a:avLst/>
                    </a:prstGeom>
                    <a:noFill/>
                  </pic:spPr>
                </pic:pic>
              </a:graphicData>
            </a:graphic>
          </wp:anchor>
        </w:drawing>
      </w:r>
    </w:p>
    <w:p>
      <w:pPr>
        <w:spacing w:after="0" w:line="5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Maximum Payout Caps for Incentive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-98425</wp:posOffset>
            </wp:positionV>
            <wp:extent cx="68580" cy="596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59690"/>
                    </a:xfrm>
                    <a:prstGeom prst="rect">
                      <a:avLst/>
                    </a:prstGeom>
                    <a:noFill/>
                  </pic:spPr>
                </pic:pic>
              </a:graphicData>
            </a:graphic>
          </wp:anchor>
        </w:drawing>
      </w:r>
    </w:p>
    <w:p>
      <w:pPr>
        <w:spacing w:after="0" w:line="66" w:lineRule="exact"/>
        <w:rPr>
          <w:sz w:val="20"/>
          <w:szCs w:val="20"/>
          <w:color w:val="auto"/>
        </w:rPr>
      </w:pPr>
    </w:p>
    <w:p>
      <w:pPr>
        <w:ind w:left="320" w:right="2000"/>
        <w:spacing w:after="0" w:line="363" w:lineRule="auto"/>
        <w:rPr>
          <w:sz w:val="20"/>
          <w:szCs w:val="20"/>
          <w:color w:val="auto"/>
        </w:rPr>
      </w:pPr>
      <w:r>
        <w:rPr>
          <w:rFonts w:ascii="Arial" w:cs="Arial" w:eastAsia="Arial" w:hAnsi="Arial"/>
          <w:sz w:val="16"/>
          <w:szCs w:val="16"/>
          <w:color w:val="auto"/>
        </w:rPr>
        <w:t>Robust Stock Ownership Requirements Options Granted at Fair Market Value 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-520700</wp:posOffset>
            </wp:positionV>
            <wp:extent cx="68580" cy="603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6032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-349250</wp:posOffset>
            </wp:positionV>
            <wp:extent cx="68580" cy="603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6032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-177800</wp:posOffset>
            </wp:positionV>
            <wp:extent cx="68580" cy="603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603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69215</wp:posOffset>
            </wp:positionV>
            <wp:extent cx="8890" cy="18516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90" cy="1851660"/>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120650</wp:posOffset>
            </wp:positionV>
            <wp:extent cx="85725" cy="857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No Excessive Perks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55245</wp:posOffset>
            </wp:positionV>
            <wp:extent cx="85725" cy="857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9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No Guaranteed Annual Salary Increases or Bonuses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63500</wp:posOffset>
            </wp:positionV>
            <wp:extent cx="85725" cy="857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9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No Hedging or Pledging</w:t>
      </w:r>
    </w:p>
    <w:p>
      <w:pPr>
        <w:spacing w:after="0" w:line="100" w:lineRule="exact"/>
        <w:rPr>
          <w:sz w:val="20"/>
          <w:szCs w:val="20"/>
          <w:color w:val="auto"/>
        </w:rPr>
      </w:pPr>
    </w:p>
    <w:p>
      <w:pPr>
        <w:ind w:left="180" w:right="260" w:hanging="220"/>
        <w:spacing w:after="0"/>
        <w:rPr>
          <w:sz w:val="20"/>
          <w:szCs w:val="20"/>
          <w:color w:val="auto"/>
        </w:rPr>
      </w:pPr>
      <w:r>
        <w:rPr>
          <w:sz w:val="1"/>
          <w:szCs w:val="1"/>
          <w:color w:val="auto"/>
        </w:rPr>
        <w:drawing>
          <wp:inline distT="0" distB="0" distL="0" distR="0">
            <wp:extent cx="85725" cy="85725"/>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Arial" w:cs="Arial" w:eastAsia="Arial" w:hAnsi="Arial"/>
          <w:sz w:val="16"/>
          <w:szCs w:val="16"/>
          <w:color w:val="auto"/>
        </w:rPr>
        <w:t xml:space="preserve"> No Excise Tax Gross-Ups and No Accelerated Bonus Payments Upon a Change-in-Control</w:t>
      </w:r>
    </w:p>
    <w:p>
      <w:pPr>
        <w:spacing w:after="0" w:line="70" w:lineRule="exact"/>
        <w:rPr>
          <w:sz w:val="20"/>
          <w:szCs w:val="20"/>
          <w:color w:val="auto"/>
        </w:rPr>
      </w:pPr>
    </w:p>
    <w:p>
      <w:pPr>
        <w:ind w:left="180" w:right="320" w:hanging="220"/>
        <w:spacing w:after="0"/>
        <w:rPr>
          <w:sz w:val="20"/>
          <w:szCs w:val="20"/>
          <w:color w:val="auto"/>
        </w:rPr>
      </w:pPr>
      <w:r>
        <w:rPr>
          <w:sz w:val="1"/>
          <w:szCs w:val="1"/>
          <w:color w:val="auto"/>
        </w:rPr>
        <w:drawing>
          <wp:inline distT="0" distB="0" distL="0" distR="0">
            <wp:extent cx="85725" cy="85725"/>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Arial" w:cs="Arial" w:eastAsia="Arial" w:hAnsi="Arial"/>
          <w:sz w:val="16"/>
          <w:szCs w:val="16"/>
          <w:color w:val="auto"/>
        </w:rPr>
        <w:t xml:space="preserve"> No Incentivizing of Short-Term Results to the Detriment of Long-Term Goals and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44450</wp:posOffset>
            </wp:positionV>
            <wp:extent cx="85725" cy="857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6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No Excessive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63500</wp:posOffset>
            </wp:positionV>
            <wp:extent cx="85725" cy="857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No Options Repricing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55245</wp:posOffset>
            </wp:positionV>
            <wp:extent cx="85725" cy="857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9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No Consultant Conflicts</w:t>
      </w:r>
    </w:p>
    <w:p>
      <w:pPr>
        <w:spacing w:after="0" w:line="200" w:lineRule="exact"/>
        <w:rPr>
          <w:sz w:val="20"/>
          <w:szCs w:val="20"/>
          <w:color w:val="auto"/>
        </w:rPr>
      </w:pPr>
    </w:p>
    <w:p>
      <w:pPr>
        <w:sectPr>
          <w:pgSz w:w="11900" w:h="16838" w:orient="portrait"/>
          <w:cols w:equalWidth="0" w:num="2">
            <w:col w:w="5160" w:space="620"/>
            <w:col w:w="5460"/>
          </w:cols>
          <w:pgMar w:left="320" w:top="230" w:right="339" w:bottom="1440" w:gutter="0" w:footer="0" w:header="0"/>
          <w:type w:val="continuous"/>
        </w:sectPr>
      </w:pPr>
    </w:p>
    <w:p>
      <w:pPr>
        <w:spacing w:after="0" w:line="116"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following table reflects compensation awarded in 2025 to the Company’s Named Executive Officers as identified on page 53. This table does not replace the Summary Compensation Table shown on page 86, as required by the Securities and Exchange Commission (SEC), but is intended to show 2025 compensation awarded to the NEOs from the perspective of the MDCC. See Compensation Discussion and Analysis beginning on page 52 for more details: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5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2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Base</w:t>
            </w:r>
          </w:p>
        </w:tc>
        <w:tc>
          <w:tcPr>
            <w:tcW w:w="1220" w:type="dxa"/>
            <w:vAlign w:val="bottom"/>
          </w:tcPr>
          <w:p>
            <w:pPr>
              <w:jc w:val="right"/>
              <w:ind w:right="148"/>
              <w:spacing w:after="0"/>
              <w:rPr>
                <w:sz w:val="20"/>
                <w:szCs w:val="20"/>
                <w:color w:val="auto"/>
              </w:rPr>
            </w:pPr>
            <w:r>
              <w:rPr>
                <w:rFonts w:ascii="Arial" w:cs="Arial" w:eastAsia="Arial" w:hAnsi="Arial"/>
                <w:sz w:val="14"/>
                <w:szCs w:val="14"/>
                <w:b w:val="1"/>
                <w:bCs w:val="1"/>
                <w:color w:val="auto"/>
              </w:rPr>
              <w:t>Annual</w:t>
            </w:r>
          </w:p>
        </w:tc>
        <w:tc>
          <w:tcPr>
            <w:tcW w:w="1320" w:type="dxa"/>
            <w:vAlign w:val="bottom"/>
          </w:tcPr>
          <w:p>
            <w:pPr>
              <w:jc w:val="right"/>
              <w:ind w:right="128"/>
              <w:spacing w:after="0"/>
              <w:rPr>
                <w:sz w:val="20"/>
                <w:szCs w:val="20"/>
                <w:color w:val="auto"/>
              </w:rPr>
            </w:pPr>
            <w:r>
              <w:rPr>
                <w:rFonts w:ascii="Arial" w:cs="Arial" w:eastAsia="Arial" w:hAnsi="Arial"/>
                <w:sz w:val="14"/>
                <w:szCs w:val="14"/>
                <w:b w:val="1"/>
                <w:bCs w:val="1"/>
                <w:color w:val="auto"/>
              </w:rPr>
              <w:t>2025–2027</w:t>
            </w:r>
          </w:p>
        </w:tc>
        <w:tc>
          <w:tcPr>
            <w:tcW w:w="11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Stock</w:t>
            </w:r>
          </w:p>
        </w:tc>
        <w:tc>
          <w:tcPr>
            <w:tcW w:w="1200" w:type="dxa"/>
            <w:vAlign w:val="bottom"/>
          </w:tcPr>
          <w:p>
            <w:pPr>
              <w:jc w:val="right"/>
              <w:ind w:right="148"/>
              <w:spacing w:after="0"/>
              <w:rPr>
                <w:sz w:val="20"/>
                <w:szCs w:val="20"/>
                <w:color w:val="auto"/>
              </w:rPr>
            </w:pPr>
            <w:r>
              <w:rPr>
                <w:rFonts w:ascii="Arial" w:cs="Arial" w:eastAsia="Arial" w:hAnsi="Arial"/>
                <w:sz w:val="14"/>
                <w:szCs w:val="14"/>
                <w:b w:val="1"/>
                <w:bCs w:val="1"/>
                <w:color w:val="auto"/>
              </w:rPr>
              <w:t>Restricted</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Total Annual</w:t>
            </w:r>
          </w:p>
        </w:tc>
        <w:tc>
          <w:tcPr>
            <w:tcW w:w="0" w:type="dxa"/>
            <w:vAlign w:val="bottom"/>
          </w:tcPr>
          <w:p>
            <w:pPr>
              <w:spacing w:after="0"/>
              <w:rPr>
                <w:sz w:val="1"/>
                <w:szCs w:val="1"/>
                <w:color w:val="auto"/>
              </w:rPr>
            </w:pPr>
          </w:p>
        </w:tc>
      </w:tr>
      <w:tr>
        <w:trPr>
          <w:trHeight w:val="160"/>
        </w:trPr>
        <w:tc>
          <w:tcPr>
            <w:tcW w:w="15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1220" w:type="dxa"/>
            <w:vAlign w:val="bottom"/>
          </w:tcPr>
          <w:p>
            <w:pPr>
              <w:jc w:val="right"/>
              <w:ind w:right="148"/>
              <w:spacing w:after="0" w:line="159" w:lineRule="exact"/>
              <w:rPr>
                <w:sz w:val="20"/>
                <w:szCs w:val="20"/>
                <w:color w:val="auto"/>
              </w:rPr>
            </w:pPr>
            <w:r>
              <w:rPr>
                <w:rFonts w:ascii="Arial" w:cs="Arial" w:eastAsia="Arial" w:hAnsi="Arial"/>
                <w:sz w:val="14"/>
                <w:szCs w:val="14"/>
                <w:b w:val="1"/>
                <w:bCs w:val="1"/>
                <w:color w:val="auto"/>
              </w:rPr>
              <w:t>Incentive</w:t>
            </w:r>
          </w:p>
        </w:tc>
        <w:tc>
          <w:tcPr>
            <w:tcW w:w="1320" w:type="dxa"/>
            <w:vAlign w:val="bottom"/>
          </w:tcPr>
          <w:p>
            <w:pPr>
              <w:jc w:val="right"/>
              <w:ind w:right="128"/>
              <w:spacing w:after="0" w:line="159" w:lineRule="exact"/>
              <w:rPr>
                <w:sz w:val="20"/>
                <w:szCs w:val="20"/>
                <w:color w:val="auto"/>
              </w:rPr>
            </w:pPr>
            <w:r>
              <w:rPr>
                <w:rFonts w:ascii="Arial" w:cs="Arial" w:eastAsia="Arial" w:hAnsi="Arial"/>
                <w:sz w:val="14"/>
                <w:szCs w:val="14"/>
                <w:b w:val="1"/>
                <w:bCs w:val="1"/>
                <w:color w:val="auto"/>
              </w:rPr>
              <w:t>Performance</w:t>
            </w:r>
          </w:p>
        </w:tc>
        <w:tc>
          <w:tcPr>
            <w:tcW w:w="1180" w:type="dxa"/>
            <w:vAlign w:val="bottom"/>
            <w:vMerge w:val="continue"/>
          </w:tcPr>
          <w:p>
            <w:pPr>
              <w:spacing w:after="0"/>
              <w:rPr>
                <w:sz w:val="13"/>
                <w:szCs w:val="13"/>
                <w:color w:val="auto"/>
              </w:rPr>
            </w:pPr>
          </w:p>
        </w:tc>
        <w:tc>
          <w:tcPr>
            <w:tcW w:w="1200" w:type="dxa"/>
            <w:vAlign w:val="bottom"/>
          </w:tcPr>
          <w:p>
            <w:pPr>
              <w:jc w:val="right"/>
              <w:ind w:right="148"/>
              <w:spacing w:after="0" w:line="159" w:lineRule="exact"/>
              <w:rPr>
                <w:sz w:val="20"/>
                <w:szCs w:val="20"/>
                <w:color w:val="auto"/>
              </w:rPr>
            </w:pPr>
            <w:r>
              <w:rPr>
                <w:rFonts w:ascii="Arial" w:cs="Arial" w:eastAsia="Arial" w:hAnsi="Arial"/>
                <w:sz w:val="14"/>
                <w:szCs w:val="14"/>
                <w:b w:val="1"/>
                <w:bCs w:val="1"/>
                <w:color w:val="auto"/>
              </w:rPr>
              <w:t>Stock</w:t>
            </w:r>
          </w:p>
        </w:tc>
        <w:tc>
          <w:tcPr>
            <w:tcW w:w="124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Direct</w:t>
            </w:r>
          </w:p>
        </w:tc>
        <w:tc>
          <w:tcPr>
            <w:tcW w:w="0" w:type="dxa"/>
            <w:vAlign w:val="bottom"/>
          </w:tcPr>
          <w:p>
            <w:pPr>
              <w:spacing w:after="0"/>
              <w:rPr>
                <w:sz w:val="1"/>
                <w:szCs w:val="1"/>
                <w:color w:val="auto"/>
              </w:rPr>
            </w:pPr>
          </w:p>
        </w:tc>
      </w:tr>
      <w:tr>
        <w:trPr>
          <w:trHeight w:val="214"/>
        </w:trPr>
        <w:tc>
          <w:tcPr>
            <w:tcW w:w="15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NEO</w:t>
            </w:r>
          </w:p>
        </w:tc>
        <w:tc>
          <w:tcPr>
            <w:tcW w:w="2360" w:type="dxa"/>
            <w:vAlign w:val="bottom"/>
            <w:tcBorders>
              <w:bottom w:val="single" w:sz="8" w:color="D7282F"/>
            </w:tcBorders>
          </w:tcPr>
          <w:p>
            <w:pPr>
              <w:ind w:left="200"/>
              <w:spacing w:after="0"/>
              <w:rPr>
                <w:sz w:val="20"/>
                <w:szCs w:val="20"/>
                <w:color w:val="auto"/>
              </w:rPr>
            </w:pPr>
            <w:r>
              <w:rPr>
                <w:rFonts w:ascii="Arial" w:cs="Arial" w:eastAsia="Arial" w:hAnsi="Arial"/>
                <w:sz w:val="14"/>
                <w:szCs w:val="14"/>
                <w:b w:val="1"/>
                <w:bCs w:val="1"/>
                <w:color w:val="auto"/>
              </w:rPr>
              <w:t>Position</w:t>
            </w:r>
          </w:p>
        </w:tc>
        <w:tc>
          <w:tcPr>
            <w:tcW w:w="12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Salary</w:t>
            </w:r>
          </w:p>
        </w:tc>
        <w:tc>
          <w:tcPr>
            <w:tcW w:w="122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Plan (ICP)</w:t>
            </w:r>
            <w:r>
              <w:rPr>
                <w:rFonts w:ascii="Arial" w:cs="Arial" w:eastAsia="Arial" w:hAnsi="Arial"/>
                <w:sz w:val="9"/>
                <w:szCs w:val="9"/>
                <w:b w:val="1"/>
                <w:bCs w:val="1"/>
                <w:color w:val="auto"/>
              </w:rPr>
              <w:t>(1)</w:t>
            </w:r>
          </w:p>
        </w:tc>
        <w:tc>
          <w:tcPr>
            <w:tcW w:w="132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Stock Units</w:t>
            </w:r>
            <w:r>
              <w:rPr>
                <w:rFonts w:ascii="Arial" w:cs="Arial" w:eastAsia="Arial" w:hAnsi="Arial"/>
                <w:sz w:val="9"/>
                <w:szCs w:val="9"/>
                <w:b w:val="1"/>
                <w:bCs w:val="1"/>
                <w:color w:val="auto"/>
              </w:rPr>
              <w:t>(2)</w:t>
            </w:r>
          </w:p>
        </w:tc>
        <w:tc>
          <w:tcPr>
            <w:tcW w:w="118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Options</w:t>
            </w:r>
            <w:r>
              <w:rPr>
                <w:rFonts w:ascii="Arial" w:cs="Arial" w:eastAsia="Arial" w:hAnsi="Arial"/>
                <w:sz w:val="18"/>
                <w:szCs w:val="18"/>
                <w:b w:val="1"/>
                <w:bCs w:val="1"/>
                <w:color w:val="auto"/>
                <w:vertAlign w:val="superscript"/>
              </w:rPr>
              <w:t>(3)</w:t>
            </w:r>
          </w:p>
        </w:tc>
        <w:tc>
          <w:tcPr>
            <w:tcW w:w="12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Units</w:t>
            </w:r>
            <w:r>
              <w:rPr>
                <w:rFonts w:ascii="Arial" w:cs="Arial" w:eastAsia="Arial" w:hAnsi="Arial"/>
                <w:sz w:val="9"/>
                <w:szCs w:val="9"/>
                <w:b w:val="1"/>
                <w:bCs w:val="1"/>
                <w:color w:val="auto"/>
              </w:rPr>
              <w:t>(4)</w:t>
            </w:r>
          </w:p>
        </w:tc>
        <w:tc>
          <w:tcPr>
            <w:tcW w:w="1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315"/>
        </w:trPr>
        <w:tc>
          <w:tcPr>
            <w:tcW w:w="1500" w:type="dxa"/>
            <w:vAlign w:val="bottom"/>
          </w:tcPr>
          <w:p>
            <w:pPr>
              <w:ind w:left="20"/>
              <w:spacing w:after="0"/>
              <w:rPr>
                <w:sz w:val="20"/>
                <w:szCs w:val="20"/>
                <w:color w:val="auto"/>
              </w:rPr>
            </w:pPr>
            <w:r>
              <w:rPr>
                <w:rFonts w:ascii="Arial" w:cs="Arial" w:eastAsia="Arial" w:hAnsi="Arial"/>
                <w:sz w:val="14"/>
                <w:szCs w:val="14"/>
                <w:b w:val="1"/>
                <w:bCs w:val="1"/>
                <w:color w:val="auto"/>
              </w:rPr>
              <w:t>Vimal Kapur</w:t>
            </w:r>
          </w:p>
        </w:tc>
        <w:tc>
          <w:tcPr>
            <w:tcW w:w="2360" w:type="dxa"/>
            <w:vAlign w:val="bottom"/>
          </w:tcPr>
          <w:p>
            <w:pPr>
              <w:ind w:left="200"/>
              <w:spacing w:after="0"/>
              <w:rPr>
                <w:sz w:val="20"/>
                <w:szCs w:val="20"/>
                <w:color w:val="auto"/>
              </w:rPr>
            </w:pPr>
            <w:r>
              <w:rPr>
                <w:rFonts w:ascii="Arial" w:cs="Arial" w:eastAsia="Arial" w:hAnsi="Arial"/>
                <w:sz w:val="14"/>
                <w:szCs w:val="14"/>
                <w:color w:val="auto"/>
              </w:rPr>
              <w:t>Chairman and CEO</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$1,600,000</w:t>
            </w:r>
          </w:p>
        </w:tc>
        <w:tc>
          <w:tcPr>
            <w:tcW w:w="1220" w:type="dxa"/>
            <w:vAlign w:val="bottom"/>
          </w:tcPr>
          <w:p>
            <w:pPr>
              <w:jc w:val="right"/>
              <w:ind w:right="188"/>
              <w:spacing w:after="0"/>
              <w:rPr>
                <w:sz w:val="20"/>
                <w:szCs w:val="20"/>
                <w:color w:val="auto"/>
              </w:rPr>
            </w:pPr>
            <w:r>
              <w:rPr>
                <w:rFonts w:ascii="Arial" w:cs="Arial" w:eastAsia="Arial" w:hAnsi="Arial"/>
                <w:sz w:val="14"/>
                <w:szCs w:val="14"/>
                <w:color w:val="auto"/>
              </w:rPr>
              <w:t>$3,516,800</w:t>
            </w:r>
          </w:p>
        </w:tc>
        <w:tc>
          <w:tcPr>
            <w:tcW w:w="1320" w:type="dxa"/>
            <w:vAlign w:val="bottom"/>
          </w:tcPr>
          <w:p>
            <w:pPr>
              <w:jc w:val="right"/>
              <w:ind w:right="168"/>
              <w:spacing w:after="0"/>
              <w:rPr>
                <w:sz w:val="20"/>
                <w:szCs w:val="20"/>
                <w:color w:val="auto"/>
              </w:rPr>
            </w:pPr>
            <w:r>
              <w:rPr>
                <w:rFonts w:ascii="Arial" w:cs="Arial" w:eastAsia="Arial" w:hAnsi="Arial"/>
                <w:sz w:val="14"/>
                <w:szCs w:val="14"/>
                <w:color w:val="auto"/>
              </w:rPr>
              <w:t>$7,257,537</w:t>
            </w:r>
          </w:p>
        </w:tc>
        <w:tc>
          <w:tcPr>
            <w:tcW w:w="1180" w:type="dxa"/>
            <w:vAlign w:val="bottom"/>
          </w:tcPr>
          <w:p>
            <w:pPr>
              <w:jc w:val="right"/>
              <w:ind w:right="188"/>
              <w:spacing w:after="0"/>
              <w:rPr>
                <w:sz w:val="20"/>
                <w:szCs w:val="20"/>
                <w:color w:val="auto"/>
              </w:rPr>
            </w:pPr>
            <w:r>
              <w:rPr>
                <w:rFonts w:ascii="Arial" w:cs="Arial" w:eastAsia="Arial" w:hAnsi="Arial"/>
                <w:sz w:val="14"/>
                <w:szCs w:val="14"/>
                <w:color w:val="auto"/>
              </w:rPr>
              <w:t>$3,623,914</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$3,608,732</w:t>
            </w:r>
          </w:p>
        </w:tc>
        <w:tc>
          <w:tcPr>
            <w:tcW w:w="1240" w:type="dxa"/>
            <w:vAlign w:val="bottom"/>
          </w:tcPr>
          <w:p>
            <w:pPr>
              <w:jc w:val="right"/>
              <w:spacing w:after="0"/>
              <w:rPr>
                <w:sz w:val="20"/>
                <w:szCs w:val="20"/>
                <w:color w:val="auto"/>
              </w:rPr>
            </w:pPr>
            <w:r>
              <w:rPr>
                <w:rFonts w:ascii="Arial" w:cs="Arial" w:eastAsia="Arial" w:hAnsi="Arial"/>
                <w:sz w:val="14"/>
                <w:szCs w:val="14"/>
                <w:color w:val="auto"/>
              </w:rPr>
              <w:t>$19,606,983</w:t>
            </w:r>
          </w:p>
        </w:tc>
        <w:tc>
          <w:tcPr>
            <w:tcW w:w="0" w:type="dxa"/>
            <w:vAlign w:val="bottom"/>
          </w:tcPr>
          <w:p>
            <w:pPr>
              <w:spacing w:after="0"/>
              <w:rPr>
                <w:sz w:val="1"/>
                <w:szCs w:val="1"/>
                <w:color w:val="auto"/>
              </w:rPr>
            </w:pPr>
          </w:p>
        </w:tc>
      </w:tr>
      <w:tr>
        <w:trPr>
          <w:trHeight w:val="124"/>
        </w:trPr>
        <w:tc>
          <w:tcPr>
            <w:tcW w:w="1500" w:type="dxa"/>
            <w:vAlign w:val="bottom"/>
            <w:tcBorders>
              <w:bottom w:val="single" w:sz="8" w:color="939598"/>
            </w:tcBorders>
          </w:tcPr>
          <w:p>
            <w:pPr>
              <w:spacing w:after="0"/>
              <w:rPr>
                <w:sz w:val="10"/>
                <w:szCs w:val="10"/>
                <w:color w:val="auto"/>
              </w:rPr>
            </w:pPr>
          </w:p>
        </w:tc>
        <w:tc>
          <w:tcPr>
            <w:tcW w:w="2360" w:type="dxa"/>
            <w:vAlign w:val="bottom"/>
            <w:tcBorders>
              <w:bottom w:val="single" w:sz="8" w:color="939598"/>
            </w:tcBorders>
          </w:tcPr>
          <w:p>
            <w:pPr>
              <w:spacing w:after="0"/>
              <w:rPr>
                <w:sz w:val="10"/>
                <w:szCs w:val="10"/>
                <w:color w:val="auto"/>
              </w:rPr>
            </w:pPr>
          </w:p>
        </w:tc>
        <w:tc>
          <w:tcPr>
            <w:tcW w:w="1200" w:type="dxa"/>
            <w:vAlign w:val="bottom"/>
            <w:tcBorders>
              <w:bottom w:val="single" w:sz="8" w:color="939598"/>
            </w:tcBorders>
          </w:tcPr>
          <w:p>
            <w:pPr>
              <w:spacing w:after="0"/>
              <w:rPr>
                <w:sz w:val="10"/>
                <w:szCs w:val="10"/>
                <w:color w:val="auto"/>
              </w:rPr>
            </w:pPr>
          </w:p>
        </w:tc>
        <w:tc>
          <w:tcPr>
            <w:tcW w:w="1220" w:type="dxa"/>
            <w:vAlign w:val="bottom"/>
            <w:tcBorders>
              <w:bottom w:val="single" w:sz="8" w:color="939598"/>
            </w:tcBorders>
          </w:tcPr>
          <w:p>
            <w:pPr>
              <w:spacing w:after="0"/>
              <w:rPr>
                <w:sz w:val="10"/>
                <w:szCs w:val="10"/>
                <w:color w:val="auto"/>
              </w:rPr>
            </w:pPr>
          </w:p>
        </w:tc>
        <w:tc>
          <w:tcPr>
            <w:tcW w:w="1320" w:type="dxa"/>
            <w:vAlign w:val="bottom"/>
            <w:tcBorders>
              <w:bottom w:val="single" w:sz="8" w:color="939598"/>
            </w:tcBorders>
          </w:tcPr>
          <w:p>
            <w:pPr>
              <w:spacing w:after="0"/>
              <w:rPr>
                <w:sz w:val="10"/>
                <w:szCs w:val="10"/>
                <w:color w:val="auto"/>
              </w:rPr>
            </w:pPr>
          </w:p>
        </w:tc>
        <w:tc>
          <w:tcPr>
            <w:tcW w:w="1180" w:type="dxa"/>
            <w:vAlign w:val="bottom"/>
            <w:tcBorders>
              <w:bottom w:val="single" w:sz="8" w:color="939598"/>
            </w:tcBorders>
          </w:tcPr>
          <w:p>
            <w:pPr>
              <w:spacing w:after="0"/>
              <w:rPr>
                <w:sz w:val="10"/>
                <w:szCs w:val="10"/>
                <w:color w:val="auto"/>
              </w:rPr>
            </w:pPr>
          </w:p>
        </w:tc>
        <w:tc>
          <w:tcPr>
            <w:tcW w:w="1200" w:type="dxa"/>
            <w:vAlign w:val="bottom"/>
            <w:tcBorders>
              <w:bottom w:val="single" w:sz="8" w:color="939598"/>
            </w:tcBorders>
          </w:tcPr>
          <w:p>
            <w:pPr>
              <w:spacing w:after="0"/>
              <w:rPr>
                <w:sz w:val="10"/>
                <w:szCs w:val="10"/>
                <w:color w:val="auto"/>
              </w:rPr>
            </w:pPr>
          </w:p>
        </w:tc>
        <w:tc>
          <w:tcPr>
            <w:tcW w:w="124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295"/>
        </w:trPr>
        <w:tc>
          <w:tcPr>
            <w:tcW w:w="1500" w:type="dxa"/>
            <w:vAlign w:val="bottom"/>
          </w:tcPr>
          <w:p>
            <w:pPr>
              <w:ind w:left="20"/>
              <w:spacing w:after="0"/>
              <w:rPr>
                <w:sz w:val="20"/>
                <w:szCs w:val="20"/>
                <w:color w:val="auto"/>
              </w:rPr>
            </w:pPr>
            <w:r>
              <w:rPr>
                <w:rFonts w:ascii="Arial" w:cs="Arial" w:eastAsia="Arial" w:hAnsi="Arial"/>
                <w:sz w:val="14"/>
                <w:szCs w:val="14"/>
                <w:b w:val="1"/>
                <w:bCs w:val="1"/>
                <w:color w:val="auto"/>
              </w:rPr>
              <w:t>Michal Stepniak</w:t>
            </w:r>
          </w:p>
        </w:tc>
        <w:tc>
          <w:tcPr>
            <w:tcW w:w="2360" w:type="dxa"/>
            <w:vAlign w:val="bottom"/>
          </w:tcPr>
          <w:p>
            <w:pPr>
              <w:ind w:left="200"/>
              <w:spacing w:after="0"/>
              <w:rPr>
                <w:sz w:val="20"/>
                <w:szCs w:val="20"/>
                <w:color w:val="auto"/>
              </w:rPr>
            </w:pPr>
            <w:r>
              <w:rPr>
                <w:rFonts w:ascii="Arial" w:cs="Arial" w:eastAsia="Arial" w:hAnsi="Arial"/>
                <w:sz w:val="14"/>
                <w:szCs w:val="14"/>
                <w:color w:val="auto"/>
              </w:rPr>
              <w:t>SVP and Chief</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875,000</w:t>
            </w:r>
          </w:p>
        </w:tc>
        <w:tc>
          <w:tcPr>
            <w:tcW w:w="1220" w:type="dxa"/>
            <w:vAlign w:val="bottom"/>
          </w:tcPr>
          <w:p>
            <w:pPr>
              <w:jc w:val="right"/>
              <w:ind w:right="188"/>
              <w:spacing w:after="0"/>
              <w:rPr>
                <w:sz w:val="20"/>
                <w:szCs w:val="20"/>
                <w:color w:val="auto"/>
              </w:rPr>
            </w:pPr>
            <w:r>
              <w:rPr>
                <w:rFonts w:ascii="Arial" w:cs="Arial" w:eastAsia="Arial" w:hAnsi="Arial"/>
                <w:sz w:val="14"/>
                <w:szCs w:val="14"/>
                <w:color w:val="auto"/>
              </w:rPr>
              <w:t>1,031,000</w:t>
            </w:r>
          </w:p>
        </w:tc>
        <w:tc>
          <w:tcPr>
            <w:tcW w:w="1320" w:type="dxa"/>
            <w:vAlign w:val="bottom"/>
          </w:tcPr>
          <w:p>
            <w:pPr>
              <w:jc w:val="right"/>
              <w:ind w:right="168"/>
              <w:spacing w:after="0"/>
              <w:rPr>
                <w:sz w:val="20"/>
                <w:szCs w:val="20"/>
                <w:color w:val="auto"/>
              </w:rPr>
            </w:pPr>
            <w:r>
              <w:rPr>
                <w:rFonts w:ascii="Arial" w:cs="Arial" w:eastAsia="Arial" w:hAnsi="Arial"/>
                <w:sz w:val="14"/>
                <w:szCs w:val="14"/>
                <w:color w:val="auto"/>
              </w:rPr>
              <w:t>1,904,310</w:t>
            </w:r>
          </w:p>
        </w:tc>
        <w:tc>
          <w:tcPr>
            <w:tcW w:w="1180" w:type="dxa"/>
            <w:vAlign w:val="bottom"/>
          </w:tcPr>
          <w:p>
            <w:pPr>
              <w:jc w:val="right"/>
              <w:ind w:right="188"/>
              <w:spacing w:after="0"/>
              <w:rPr>
                <w:sz w:val="20"/>
                <w:szCs w:val="20"/>
                <w:color w:val="auto"/>
              </w:rPr>
            </w:pPr>
            <w:r>
              <w:rPr>
                <w:rFonts w:ascii="Arial" w:cs="Arial" w:eastAsia="Arial" w:hAnsi="Arial"/>
                <w:sz w:val="14"/>
                <w:szCs w:val="14"/>
                <w:color w:val="auto"/>
              </w:rPr>
              <w:t>946,512</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944,145</w:t>
            </w:r>
          </w:p>
        </w:tc>
        <w:tc>
          <w:tcPr>
            <w:tcW w:w="1240" w:type="dxa"/>
            <w:vAlign w:val="bottom"/>
          </w:tcPr>
          <w:p>
            <w:pPr>
              <w:jc w:val="right"/>
              <w:spacing w:after="0"/>
              <w:rPr>
                <w:sz w:val="20"/>
                <w:szCs w:val="20"/>
                <w:color w:val="auto"/>
              </w:rPr>
            </w:pPr>
            <w:r>
              <w:rPr>
                <w:rFonts w:ascii="Arial" w:cs="Arial" w:eastAsia="Arial" w:hAnsi="Arial"/>
                <w:sz w:val="14"/>
                <w:szCs w:val="14"/>
                <w:color w:val="auto"/>
              </w:rPr>
              <w:t>5,700,967</w:t>
            </w:r>
          </w:p>
        </w:tc>
        <w:tc>
          <w:tcPr>
            <w:tcW w:w="0" w:type="dxa"/>
            <w:vAlign w:val="bottom"/>
          </w:tcPr>
          <w:p>
            <w:pPr>
              <w:spacing w:after="0"/>
              <w:rPr>
                <w:sz w:val="1"/>
                <w:szCs w:val="1"/>
                <w:color w:val="auto"/>
              </w:rPr>
            </w:pPr>
          </w:p>
        </w:tc>
      </w:tr>
      <w:tr>
        <w:trPr>
          <w:trHeight w:val="190"/>
        </w:trPr>
        <w:tc>
          <w:tcPr>
            <w:tcW w:w="1500" w:type="dxa"/>
            <w:vAlign w:val="bottom"/>
          </w:tcPr>
          <w:p>
            <w:pPr>
              <w:spacing w:after="0"/>
              <w:rPr>
                <w:sz w:val="16"/>
                <w:szCs w:val="16"/>
                <w:color w:val="auto"/>
              </w:rPr>
            </w:pPr>
          </w:p>
        </w:tc>
        <w:tc>
          <w:tcPr>
            <w:tcW w:w="2360" w:type="dxa"/>
            <w:vAlign w:val="bottom"/>
          </w:tcPr>
          <w:p>
            <w:pPr>
              <w:ind w:left="200"/>
              <w:spacing w:after="0"/>
              <w:rPr>
                <w:sz w:val="20"/>
                <w:szCs w:val="20"/>
                <w:color w:val="auto"/>
              </w:rPr>
            </w:pPr>
            <w:r>
              <w:rPr>
                <w:rFonts w:ascii="Arial" w:cs="Arial" w:eastAsia="Arial" w:hAnsi="Arial"/>
                <w:sz w:val="14"/>
                <w:szCs w:val="14"/>
                <w:color w:val="auto"/>
              </w:rPr>
              <w:t>Financial Officer</w:t>
            </w:r>
          </w:p>
        </w:tc>
        <w:tc>
          <w:tcPr>
            <w:tcW w:w="1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500" w:type="dxa"/>
            <w:vAlign w:val="bottom"/>
            <w:tcBorders>
              <w:bottom w:val="single" w:sz="8" w:color="939598"/>
            </w:tcBorders>
          </w:tcPr>
          <w:p>
            <w:pPr>
              <w:spacing w:after="0"/>
              <w:rPr>
                <w:sz w:val="11"/>
                <w:szCs w:val="11"/>
                <w:color w:val="auto"/>
              </w:rPr>
            </w:pPr>
          </w:p>
        </w:tc>
        <w:tc>
          <w:tcPr>
            <w:tcW w:w="2360" w:type="dxa"/>
            <w:vAlign w:val="bottom"/>
            <w:tcBorders>
              <w:bottom w:val="single" w:sz="8" w:color="939598"/>
            </w:tcBorders>
          </w:tcPr>
          <w:p>
            <w:pPr>
              <w:spacing w:after="0"/>
              <w:rPr>
                <w:sz w:val="11"/>
                <w:szCs w:val="11"/>
                <w:color w:val="auto"/>
              </w:rPr>
            </w:pPr>
          </w:p>
        </w:tc>
        <w:tc>
          <w:tcPr>
            <w:tcW w:w="1200" w:type="dxa"/>
            <w:vAlign w:val="bottom"/>
            <w:tcBorders>
              <w:bottom w:val="single" w:sz="8" w:color="939598"/>
            </w:tcBorders>
          </w:tcPr>
          <w:p>
            <w:pPr>
              <w:spacing w:after="0"/>
              <w:rPr>
                <w:sz w:val="11"/>
                <w:szCs w:val="11"/>
                <w:color w:val="auto"/>
              </w:rPr>
            </w:pPr>
          </w:p>
        </w:tc>
        <w:tc>
          <w:tcPr>
            <w:tcW w:w="1220" w:type="dxa"/>
            <w:vAlign w:val="bottom"/>
            <w:tcBorders>
              <w:bottom w:val="single" w:sz="8" w:color="939598"/>
            </w:tcBorders>
          </w:tcPr>
          <w:p>
            <w:pPr>
              <w:spacing w:after="0"/>
              <w:rPr>
                <w:sz w:val="11"/>
                <w:szCs w:val="11"/>
                <w:color w:val="auto"/>
              </w:rPr>
            </w:pPr>
          </w:p>
        </w:tc>
        <w:tc>
          <w:tcPr>
            <w:tcW w:w="1320" w:type="dxa"/>
            <w:vAlign w:val="bottom"/>
            <w:tcBorders>
              <w:bottom w:val="single" w:sz="8" w:color="939598"/>
            </w:tcBorders>
          </w:tcPr>
          <w:p>
            <w:pPr>
              <w:spacing w:after="0"/>
              <w:rPr>
                <w:sz w:val="11"/>
                <w:szCs w:val="11"/>
                <w:color w:val="auto"/>
              </w:rPr>
            </w:pPr>
          </w:p>
        </w:tc>
        <w:tc>
          <w:tcPr>
            <w:tcW w:w="1180" w:type="dxa"/>
            <w:vAlign w:val="bottom"/>
            <w:tcBorders>
              <w:bottom w:val="single" w:sz="8" w:color="939598"/>
            </w:tcBorders>
          </w:tcPr>
          <w:p>
            <w:pPr>
              <w:spacing w:after="0"/>
              <w:rPr>
                <w:sz w:val="11"/>
                <w:szCs w:val="11"/>
                <w:color w:val="auto"/>
              </w:rPr>
            </w:pPr>
          </w:p>
        </w:tc>
        <w:tc>
          <w:tcPr>
            <w:tcW w:w="1200" w:type="dxa"/>
            <w:vAlign w:val="bottom"/>
            <w:tcBorders>
              <w:bottom w:val="single" w:sz="8" w:color="939598"/>
            </w:tcBorders>
          </w:tcPr>
          <w:p>
            <w:pPr>
              <w:spacing w:after="0"/>
              <w:rPr>
                <w:sz w:val="11"/>
                <w:szCs w:val="11"/>
                <w:color w:val="auto"/>
              </w:rPr>
            </w:pPr>
          </w:p>
        </w:tc>
        <w:tc>
          <w:tcPr>
            <w:tcW w:w="124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295"/>
        </w:trPr>
        <w:tc>
          <w:tcPr>
            <w:tcW w:w="1500" w:type="dxa"/>
            <w:vAlign w:val="bottom"/>
          </w:tcPr>
          <w:p>
            <w:pPr>
              <w:ind w:left="20"/>
              <w:spacing w:after="0"/>
              <w:rPr>
                <w:sz w:val="20"/>
                <w:szCs w:val="20"/>
                <w:color w:val="auto"/>
              </w:rPr>
            </w:pPr>
            <w:r>
              <w:rPr>
                <w:rFonts w:ascii="Arial" w:cs="Arial" w:eastAsia="Arial" w:hAnsi="Arial"/>
                <w:sz w:val="14"/>
                <w:szCs w:val="14"/>
                <w:b w:val="1"/>
                <w:bCs w:val="1"/>
                <w:color w:val="auto"/>
              </w:rPr>
              <w:t>James Currier</w:t>
            </w:r>
          </w:p>
        </w:tc>
        <w:tc>
          <w:tcPr>
            <w:tcW w:w="2360" w:type="dxa"/>
            <w:vAlign w:val="bottom"/>
          </w:tcPr>
          <w:p>
            <w:pPr>
              <w:ind w:left="200"/>
              <w:spacing w:after="0"/>
              <w:rPr>
                <w:sz w:val="20"/>
                <w:szCs w:val="20"/>
                <w:color w:val="auto"/>
              </w:rPr>
            </w:pPr>
            <w:r>
              <w:rPr>
                <w:rFonts w:ascii="Arial" w:cs="Arial" w:eastAsia="Arial" w:hAnsi="Arial"/>
                <w:sz w:val="14"/>
                <w:szCs w:val="14"/>
                <w:color w:val="auto"/>
              </w:rPr>
              <w:t>President and CEO,</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826,269</w:t>
            </w:r>
          </w:p>
        </w:tc>
        <w:tc>
          <w:tcPr>
            <w:tcW w:w="1220" w:type="dxa"/>
            <w:vAlign w:val="bottom"/>
          </w:tcPr>
          <w:p>
            <w:pPr>
              <w:jc w:val="right"/>
              <w:ind w:right="188"/>
              <w:spacing w:after="0"/>
              <w:rPr>
                <w:sz w:val="20"/>
                <w:szCs w:val="20"/>
                <w:color w:val="auto"/>
              </w:rPr>
            </w:pPr>
            <w:r>
              <w:rPr>
                <w:rFonts w:ascii="Arial" w:cs="Arial" w:eastAsia="Arial" w:hAnsi="Arial"/>
                <w:sz w:val="14"/>
                <w:szCs w:val="14"/>
                <w:color w:val="auto"/>
              </w:rPr>
              <w:t>1,033,600</w:t>
            </w:r>
          </w:p>
        </w:tc>
        <w:tc>
          <w:tcPr>
            <w:tcW w:w="1320" w:type="dxa"/>
            <w:vAlign w:val="bottom"/>
          </w:tcPr>
          <w:p>
            <w:pPr>
              <w:jc w:val="right"/>
              <w:ind w:right="168"/>
              <w:spacing w:after="0"/>
              <w:rPr>
                <w:sz w:val="20"/>
                <w:szCs w:val="20"/>
                <w:color w:val="auto"/>
              </w:rPr>
            </w:pPr>
            <w:r>
              <w:rPr>
                <w:rFonts w:ascii="Arial" w:cs="Arial" w:eastAsia="Arial" w:hAnsi="Arial"/>
                <w:sz w:val="14"/>
                <w:szCs w:val="14"/>
                <w:color w:val="auto"/>
              </w:rPr>
              <w:t>2,010,105</w:t>
            </w:r>
          </w:p>
        </w:tc>
        <w:tc>
          <w:tcPr>
            <w:tcW w:w="1180" w:type="dxa"/>
            <w:vAlign w:val="bottom"/>
          </w:tcPr>
          <w:p>
            <w:pPr>
              <w:jc w:val="right"/>
              <w:ind w:right="188"/>
              <w:spacing w:after="0"/>
              <w:rPr>
                <w:sz w:val="20"/>
                <w:szCs w:val="20"/>
                <w:color w:val="auto"/>
              </w:rPr>
            </w:pPr>
            <w:r>
              <w:rPr>
                <w:rFonts w:ascii="Arial" w:cs="Arial" w:eastAsia="Arial" w:hAnsi="Arial"/>
                <w:sz w:val="14"/>
                <w:szCs w:val="14"/>
                <w:color w:val="auto"/>
              </w:rPr>
              <w:t>999,096</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986,107</w:t>
            </w:r>
          </w:p>
        </w:tc>
        <w:tc>
          <w:tcPr>
            <w:tcW w:w="1240" w:type="dxa"/>
            <w:vAlign w:val="bottom"/>
          </w:tcPr>
          <w:p>
            <w:pPr>
              <w:jc w:val="right"/>
              <w:spacing w:after="0"/>
              <w:rPr>
                <w:sz w:val="20"/>
                <w:szCs w:val="20"/>
                <w:color w:val="auto"/>
              </w:rPr>
            </w:pPr>
            <w:r>
              <w:rPr>
                <w:rFonts w:ascii="Arial" w:cs="Arial" w:eastAsia="Arial" w:hAnsi="Arial"/>
                <w:sz w:val="14"/>
                <w:szCs w:val="14"/>
                <w:color w:val="auto"/>
              </w:rPr>
              <w:t>5,855,177</w:t>
            </w:r>
          </w:p>
        </w:tc>
        <w:tc>
          <w:tcPr>
            <w:tcW w:w="0" w:type="dxa"/>
            <w:vAlign w:val="bottom"/>
          </w:tcPr>
          <w:p>
            <w:pPr>
              <w:spacing w:after="0"/>
              <w:rPr>
                <w:sz w:val="1"/>
                <w:szCs w:val="1"/>
                <w:color w:val="auto"/>
              </w:rPr>
            </w:pPr>
          </w:p>
        </w:tc>
      </w:tr>
      <w:tr>
        <w:trPr>
          <w:trHeight w:val="190"/>
        </w:trPr>
        <w:tc>
          <w:tcPr>
            <w:tcW w:w="1500" w:type="dxa"/>
            <w:vAlign w:val="bottom"/>
          </w:tcPr>
          <w:p>
            <w:pPr>
              <w:spacing w:after="0"/>
              <w:rPr>
                <w:sz w:val="16"/>
                <w:szCs w:val="16"/>
                <w:color w:val="auto"/>
              </w:rPr>
            </w:pPr>
          </w:p>
        </w:tc>
        <w:tc>
          <w:tcPr>
            <w:tcW w:w="2360" w:type="dxa"/>
            <w:vAlign w:val="bottom"/>
          </w:tcPr>
          <w:p>
            <w:pPr>
              <w:ind w:left="200"/>
              <w:spacing w:after="0"/>
              <w:rPr>
                <w:sz w:val="20"/>
                <w:szCs w:val="20"/>
                <w:color w:val="auto"/>
              </w:rPr>
            </w:pPr>
            <w:r>
              <w:rPr>
                <w:rFonts w:ascii="Arial" w:cs="Arial" w:eastAsia="Arial" w:hAnsi="Arial"/>
                <w:sz w:val="14"/>
                <w:szCs w:val="14"/>
                <w:color w:val="auto"/>
              </w:rPr>
              <w:t>Aerospace Technologies</w:t>
            </w:r>
          </w:p>
        </w:tc>
        <w:tc>
          <w:tcPr>
            <w:tcW w:w="1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500" w:type="dxa"/>
            <w:vAlign w:val="bottom"/>
            <w:tcBorders>
              <w:bottom w:val="single" w:sz="8" w:color="939598"/>
            </w:tcBorders>
          </w:tcPr>
          <w:p>
            <w:pPr>
              <w:spacing w:after="0"/>
              <w:rPr>
                <w:sz w:val="11"/>
                <w:szCs w:val="11"/>
                <w:color w:val="auto"/>
              </w:rPr>
            </w:pPr>
          </w:p>
        </w:tc>
        <w:tc>
          <w:tcPr>
            <w:tcW w:w="2360" w:type="dxa"/>
            <w:vAlign w:val="bottom"/>
            <w:tcBorders>
              <w:bottom w:val="single" w:sz="8" w:color="939598"/>
            </w:tcBorders>
          </w:tcPr>
          <w:p>
            <w:pPr>
              <w:spacing w:after="0"/>
              <w:rPr>
                <w:sz w:val="11"/>
                <w:szCs w:val="11"/>
                <w:color w:val="auto"/>
              </w:rPr>
            </w:pPr>
          </w:p>
        </w:tc>
        <w:tc>
          <w:tcPr>
            <w:tcW w:w="1200" w:type="dxa"/>
            <w:vAlign w:val="bottom"/>
            <w:tcBorders>
              <w:bottom w:val="single" w:sz="8" w:color="939598"/>
            </w:tcBorders>
          </w:tcPr>
          <w:p>
            <w:pPr>
              <w:spacing w:after="0"/>
              <w:rPr>
                <w:sz w:val="11"/>
                <w:szCs w:val="11"/>
                <w:color w:val="auto"/>
              </w:rPr>
            </w:pPr>
          </w:p>
        </w:tc>
        <w:tc>
          <w:tcPr>
            <w:tcW w:w="1220" w:type="dxa"/>
            <w:vAlign w:val="bottom"/>
            <w:tcBorders>
              <w:bottom w:val="single" w:sz="8" w:color="939598"/>
            </w:tcBorders>
          </w:tcPr>
          <w:p>
            <w:pPr>
              <w:spacing w:after="0"/>
              <w:rPr>
                <w:sz w:val="11"/>
                <w:szCs w:val="11"/>
                <w:color w:val="auto"/>
              </w:rPr>
            </w:pPr>
          </w:p>
        </w:tc>
        <w:tc>
          <w:tcPr>
            <w:tcW w:w="1320" w:type="dxa"/>
            <w:vAlign w:val="bottom"/>
            <w:tcBorders>
              <w:bottom w:val="single" w:sz="8" w:color="939598"/>
            </w:tcBorders>
          </w:tcPr>
          <w:p>
            <w:pPr>
              <w:spacing w:after="0"/>
              <w:rPr>
                <w:sz w:val="11"/>
                <w:szCs w:val="11"/>
                <w:color w:val="auto"/>
              </w:rPr>
            </w:pPr>
          </w:p>
        </w:tc>
        <w:tc>
          <w:tcPr>
            <w:tcW w:w="1180" w:type="dxa"/>
            <w:vAlign w:val="bottom"/>
            <w:tcBorders>
              <w:bottom w:val="single" w:sz="8" w:color="939598"/>
            </w:tcBorders>
          </w:tcPr>
          <w:p>
            <w:pPr>
              <w:spacing w:after="0"/>
              <w:rPr>
                <w:sz w:val="11"/>
                <w:szCs w:val="11"/>
                <w:color w:val="auto"/>
              </w:rPr>
            </w:pPr>
          </w:p>
        </w:tc>
        <w:tc>
          <w:tcPr>
            <w:tcW w:w="1200" w:type="dxa"/>
            <w:vAlign w:val="bottom"/>
            <w:tcBorders>
              <w:bottom w:val="single" w:sz="8" w:color="939598"/>
            </w:tcBorders>
          </w:tcPr>
          <w:p>
            <w:pPr>
              <w:spacing w:after="0"/>
              <w:rPr>
                <w:sz w:val="11"/>
                <w:szCs w:val="11"/>
                <w:color w:val="auto"/>
              </w:rPr>
            </w:pPr>
          </w:p>
        </w:tc>
        <w:tc>
          <w:tcPr>
            <w:tcW w:w="124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295"/>
        </w:trPr>
        <w:tc>
          <w:tcPr>
            <w:tcW w:w="1500" w:type="dxa"/>
            <w:vAlign w:val="bottom"/>
          </w:tcPr>
          <w:p>
            <w:pPr>
              <w:ind w:left="20"/>
              <w:spacing w:after="0"/>
              <w:rPr>
                <w:sz w:val="20"/>
                <w:szCs w:val="20"/>
                <w:color w:val="auto"/>
              </w:rPr>
            </w:pPr>
            <w:r>
              <w:rPr>
                <w:rFonts w:ascii="Arial" w:cs="Arial" w:eastAsia="Arial" w:hAnsi="Arial"/>
                <w:sz w:val="14"/>
                <w:szCs w:val="14"/>
                <w:b w:val="1"/>
                <w:bCs w:val="1"/>
                <w:color w:val="auto"/>
              </w:rPr>
              <w:t>James Masso</w:t>
            </w:r>
            <w:r>
              <w:rPr>
                <w:rFonts w:ascii="Arial" w:cs="Arial" w:eastAsia="Arial" w:hAnsi="Arial"/>
                <w:sz w:val="18"/>
                <w:szCs w:val="18"/>
                <w:b w:val="1"/>
                <w:bCs w:val="1"/>
                <w:color w:val="auto"/>
                <w:vertAlign w:val="superscript"/>
              </w:rPr>
              <w:t>(5)</w:t>
            </w:r>
          </w:p>
        </w:tc>
        <w:tc>
          <w:tcPr>
            <w:tcW w:w="2360" w:type="dxa"/>
            <w:vAlign w:val="bottom"/>
          </w:tcPr>
          <w:p>
            <w:pPr>
              <w:ind w:left="200"/>
              <w:spacing w:after="0"/>
              <w:rPr>
                <w:sz w:val="20"/>
                <w:szCs w:val="20"/>
                <w:color w:val="auto"/>
              </w:rPr>
            </w:pPr>
            <w:r>
              <w:rPr>
                <w:rFonts w:ascii="Arial" w:cs="Arial" w:eastAsia="Arial" w:hAnsi="Arial"/>
                <w:sz w:val="14"/>
                <w:szCs w:val="14"/>
                <w:color w:val="auto"/>
              </w:rPr>
              <w:t>President and CEO, Process</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298,558</w:t>
            </w:r>
          </w:p>
        </w:tc>
        <w:tc>
          <w:tcPr>
            <w:tcW w:w="1220" w:type="dxa"/>
            <w:vAlign w:val="bottom"/>
          </w:tcPr>
          <w:p>
            <w:pPr>
              <w:jc w:val="right"/>
              <w:ind w:right="188"/>
              <w:spacing w:after="0"/>
              <w:rPr>
                <w:sz w:val="20"/>
                <w:szCs w:val="20"/>
                <w:color w:val="auto"/>
              </w:rPr>
            </w:pPr>
            <w:r>
              <w:rPr>
                <w:rFonts w:ascii="Arial" w:cs="Arial" w:eastAsia="Arial" w:hAnsi="Arial"/>
                <w:sz w:val="14"/>
                <w:szCs w:val="14"/>
                <w:color w:val="auto"/>
              </w:rPr>
              <w:t>314,300</w:t>
            </w:r>
          </w:p>
        </w:tc>
        <w:tc>
          <w:tcPr>
            <w:tcW w:w="1320" w:type="dxa"/>
            <w:vAlign w:val="bottom"/>
          </w:tcPr>
          <w:p>
            <w:pPr>
              <w:jc w:val="right"/>
              <w:ind w:right="168"/>
              <w:spacing w:after="0"/>
              <w:rPr>
                <w:sz w:val="20"/>
                <w:szCs w:val="20"/>
                <w:color w:val="auto"/>
              </w:rPr>
            </w:pPr>
            <w:r>
              <w:rPr>
                <w:rFonts w:ascii="Arial" w:cs="Arial" w:eastAsia="Arial" w:hAnsi="Arial"/>
                <w:sz w:val="14"/>
                <w:szCs w:val="14"/>
                <w:color w:val="auto"/>
              </w:rPr>
              <w:t>900,193</w:t>
            </w:r>
          </w:p>
        </w:tc>
        <w:tc>
          <w:tcPr>
            <w:tcW w:w="1180" w:type="dxa"/>
            <w:vAlign w:val="bottom"/>
          </w:tcPr>
          <w:p>
            <w:pPr>
              <w:jc w:val="right"/>
              <w:ind w:right="188"/>
              <w:spacing w:after="0"/>
              <w:rPr>
                <w:sz w:val="20"/>
                <w:szCs w:val="20"/>
                <w:color w:val="auto"/>
              </w:rPr>
            </w:pPr>
            <w:r>
              <w:rPr>
                <w:rFonts w:ascii="Arial" w:cs="Arial" w:eastAsia="Arial" w:hAnsi="Arial"/>
                <w:sz w:val="14"/>
                <w:szCs w:val="14"/>
                <w:color w:val="auto"/>
              </w:rPr>
              <w:t>413,165</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2,950,117</w:t>
            </w:r>
          </w:p>
        </w:tc>
        <w:tc>
          <w:tcPr>
            <w:tcW w:w="1240" w:type="dxa"/>
            <w:vAlign w:val="bottom"/>
          </w:tcPr>
          <w:p>
            <w:pPr>
              <w:jc w:val="right"/>
              <w:spacing w:after="0"/>
              <w:rPr>
                <w:sz w:val="20"/>
                <w:szCs w:val="20"/>
                <w:color w:val="auto"/>
              </w:rPr>
            </w:pPr>
            <w:r>
              <w:rPr>
                <w:rFonts w:ascii="Arial" w:cs="Arial" w:eastAsia="Arial" w:hAnsi="Arial"/>
                <w:sz w:val="14"/>
                <w:szCs w:val="14"/>
                <w:color w:val="auto"/>
              </w:rPr>
              <w:t>4,876,333</w:t>
            </w:r>
          </w:p>
        </w:tc>
        <w:tc>
          <w:tcPr>
            <w:tcW w:w="0" w:type="dxa"/>
            <w:vAlign w:val="bottom"/>
          </w:tcPr>
          <w:p>
            <w:pPr>
              <w:spacing w:after="0"/>
              <w:rPr>
                <w:sz w:val="1"/>
                <w:szCs w:val="1"/>
                <w:color w:val="auto"/>
              </w:rPr>
            </w:pPr>
          </w:p>
        </w:tc>
      </w:tr>
      <w:tr>
        <w:trPr>
          <w:trHeight w:val="190"/>
        </w:trPr>
        <w:tc>
          <w:tcPr>
            <w:tcW w:w="1500" w:type="dxa"/>
            <w:vAlign w:val="bottom"/>
          </w:tcPr>
          <w:p>
            <w:pPr>
              <w:spacing w:after="0"/>
              <w:rPr>
                <w:sz w:val="16"/>
                <w:szCs w:val="16"/>
                <w:color w:val="auto"/>
              </w:rPr>
            </w:pPr>
          </w:p>
        </w:tc>
        <w:tc>
          <w:tcPr>
            <w:tcW w:w="2360" w:type="dxa"/>
            <w:vAlign w:val="bottom"/>
          </w:tcPr>
          <w:p>
            <w:pPr>
              <w:ind w:left="200"/>
              <w:spacing w:after="0"/>
              <w:rPr>
                <w:sz w:val="20"/>
                <w:szCs w:val="20"/>
                <w:color w:val="auto"/>
              </w:rPr>
            </w:pPr>
            <w:r>
              <w:rPr>
                <w:rFonts w:ascii="Arial" w:cs="Arial" w:eastAsia="Arial" w:hAnsi="Arial"/>
                <w:sz w:val="14"/>
                <w:szCs w:val="14"/>
                <w:color w:val="auto"/>
              </w:rPr>
              <w:t>Automation</w:t>
            </w:r>
          </w:p>
        </w:tc>
        <w:tc>
          <w:tcPr>
            <w:tcW w:w="1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500" w:type="dxa"/>
            <w:vAlign w:val="bottom"/>
            <w:tcBorders>
              <w:bottom w:val="single" w:sz="8" w:color="939598"/>
            </w:tcBorders>
          </w:tcPr>
          <w:p>
            <w:pPr>
              <w:spacing w:after="0"/>
              <w:rPr>
                <w:sz w:val="11"/>
                <w:szCs w:val="11"/>
                <w:color w:val="auto"/>
              </w:rPr>
            </w:pPr>
          </w:p>
        </w:tc>
        <w:tc>
          <w:tcPr>
            <w:tcW w:w="2360" w:type="dxa"/>
            <w:vAlign w:val="bottom"/>
            <w:tcBorders>
              <w:bottom w:val="single" w:sz="8" w:color="939598"/>
            </w:tcBorders>
          </w:tcPr>
          <w:p>
            <w:pPr>
              <w:spacing w:after="0"/>
              <w:rPr>
                <w:sz w:val="11"/>
                <w:szCs w:val="11"/>
                <w:color w:val="auto"/>
              </w:rPr>
            </w:pPr>
          </w:p>
        </w:tc>
        <w:tc>
          <w:tcPr>
            <w:tcW w:w="1200" w:type="dxa"/>
            <w:vAlign w:val="bottom"/>
            <w:tcBorders>
              <w:bottom w:val="single" w:sz="8" w:color="939598"/>
            </w:tcBorders>
          </w:tcPr>
          <w:p>
            <w:pPr>
              <w:spacing w:after="0"/>
              <w:rPr>
                <w:sz w:val="11"/>
                <w:szCs w:val="11"/>
                <w:color w:val="auto"/>
              </w:rPr>
            </w:pPr>
          </w:p>
        </w:tc>
        <w:tc>
          <w:tcPr>
            <w:tcW w:w="1220" w:type="dxa"/>
            <w:vAlign w:val="bottom"/>
            <w:tcBorders>
              <w:bottom w:val="single" w:sz="8" w:color="939598"/>
            </w:tcBorders>
          </w:tcPr>
          <w:p>
            <w:pPr>
              <w:spacing w:after="0"/>
              <w:rPr>
                <w:sz w:val="11"/>
                <w:szCs w:val="11"/>
                <w:color w:val="auto"/>
              </w:rPr>
            </w:pPr>
          </w:p>
        </w:tc>
        <w:tc>
          <w:tcPr>
            <w:tcW w:w="1320" w:type="dxa"/>
            <w:vAlign w:val="bottom"/>
            <w:tcBorders>
              <w:bottom w:val="single" w:sz="8" w:color="939598"/>
            </w:tcBorders>
          </w:tcPr>
          <w:p>
            <w:pPr>
              <w:spacing w:after="0"/>
              <w:rPr>
                <w:sz w:val="11"/>
                <w:szCs w:val="11"/>
                <w:color w:val="auto"/>
              </w:rPr>
            </w:pPr>
          </w:p>
        </w:tc>
        <w:tc>
          <w:tcPr>
            <w:tcW w:w="1180" w:type="dxa"/>
            <w:vAlign w:val="bottom"/>
            <w:tcBorders>
              <w:bottom w:val="single" w:sz="8" w:color="939598"/>
            </w:tcBorders>
          </w:tcPr>
          <w:p>
            <w:pPr>
              <w:spacing w:after="0"/>
              <w:rPr>
                <w:sz w:val="11"/>
                <w:szCs w:val="11"/>
                <w:color w:val="auto"/>
              </w:rPr>
            </w:pPr>
          </w:p>
        </w:tc>
        <w:tc>
          <w:tcPr>
            <w:tcW w:w="1200" w:type="dxa"/>
            <w:vAlign w:val="bottom"/>
            <w:tcBorders>
              <w:bottom w:val="single" w:sz="8" w:color="939598"/>
            </w:tcBorders>
          </w:tcPr>
          <w:p>
            <w:pPr>
              <w:spacing w:after="0"/>
              <w:rPr>
                <w:sz w:val="11"/>
                <w:szCs w:val="11"/>
                <w:color w:val="auto"/>
              </w:rPr>
            </w:pPr>
          </w:p>
        </w:tc>
        <w:tc>
          <w:tcPr>
            <w:tcW w:w="124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295"/>
        </w:trPr>
        <w:tc>
          <w:tcPr>
            <w:tcW w:w="1500" w:type="dxa"/>
            <w:vAlign w:val="bottom"/>
          </w:tcPr>
          <w:p>
            <w:pPr>
              <w:ind w:left="20"/>
              <w:spacing w:after="0"/>
              <w:rPr>
                <w:sz w:val="20"/>
                <w:szCs w:val="20"/>
                <w:color w:val="auto"/>
              </w:rPr>
            </w:pPr>
            <w:r>
              <w:rPr>
                <w:rFonts w:ascii="Arial" w:cs="Arial" w:eastAsia="Arial" w:hAnsi="Arial"/>
                <w:sz w:val="14"/>
                <w:szCs w:val="14"/>
                <w:b w:val="1"/>
                <w:bCs w:val="1"/>
                <w:color w:val="auto"/>
              </w:rPr>
              <w:t>Billal Hammoud</w:t>
            </w:r>
            <w:r>
              <w:rPr>
                <w:rFonts w:ascii="Arial" w:cs="Arial" w:eastAsia="Arial" w:hAnsi="Arial"/>
                <w:sz w:val="18"/>
                <w:szCs w:val="18"/>
                <w:b w:val="1"/>
                <w:bCs w:val="1"/>
                <w:color w:val="auto"/>
                <w:vertAlign w:val="superscript"/>
              </w:rPr>
              <w:t>(6)</w:t>
            </w:r>
          </w:p>
        </w:tc>
        <w:tc>
          <w:tcPr>
            <w:tcW w:w="2360" w:type="dxa"/>
            <w:vAlign w:val="bottom"/>
          </w:tcPr>
          <w:p>
            <w:pPr>
              <w:ind w:left="200"/>
              <w:spacing w:after="0"/>
              <w:rPr>
                <w:sz w:val="20"/>
                <w:szCs w:val="20"/>
                <w:color w:val="auto"/>
              </w:rPr>
            </w:pPr>
            <w:r>
              <w:rPr>
                <w:rFonts w:ascii="Arial" w:cs="Arial" w:eastAsia="Arial" w:hAnsi="Arial"/>
                <w:sz w:val="14"/>
                <w:szCs w:val="14"/>
                <w:color w:val="auto"/>
              </w:rPr>
              <w:t>President and CEO, Building</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693,539</w:t>
            </w:r>
          </w:p>
        </w:tc>
        <w:tc>
          <w:tcPr>
            <w:tcW w:w="1220" w:type="dxa"/>
            <w:vAlign w:val="bottom"/>
          </w:tcPr>
          <w:p>
            <w:pPr>
              <w:jc w:val="right"/>
              <w:ind w:right="188"/>
              <w:spacing w:after="0"/>
              <w:rPr>
                <w:sz w:val="20"/>
                <w:szCs w:val="20"/>
                <w:color w:val="auto"/>
              </w:rPr>
            </w:pPr>
            <w:r>
              <w:rPr>
                <w:rFonts w:ascii="Arial" w:cs="Arial" w:eastAsia="Arial" w:hAnsi="Arial"/>
                <w:sz w:val="14"/>
                <w:szCs w:val="14"/>
                <w:color w:val="auto"/>
              </w:rPr>
              <w:t>877,400</w:t>
            </w:r>
          </w:p>
        </w:tc>
        <w:tc>
          <w:tcPr>
            <w:tcW w:w="1320" w:type="dxa"/>
            <w:vAlign w:val="bottom"/>
          </w:tcPr>
          <w:p>
            <w:pPr>
              <w:jc w:val="right"/>
              <w:ind w:right="168"/>
              <w:spacing w:after="0"/>
              <w:rPr>
                <w:sz w:val="20"/>
                <w:szCs w:val="20"/>
                <w:color w:val="auto"/>
              </w:rPr>
            </w:pPr>
            <w:r>
              <w:rPr>
                <w:rFonts w:ascii="Arial" w:cs="Arial" w:eastAsia="Arial" w:hAnsi="Arial"/>
                <w:sz w:val="14"/>
                <w:szCs w:val="14"/>
                <w:color w:val="auto"/>
              </w:rPr>
              <w:t>994,473</w:t>
            </w:r>
          </w:p>
        </w:tc>
        <w:tc>
          <w:tcPr>
            <w:tcW w:w="1180" w:type="dxa"/>
            <w:vAlign w:val="bottom"/>
          </w:tcPr>
          <w:p>
            <w:pPr>
              <w:jc w:val="right"/>
              <w:ind w:right="128"/>
              <w:spacing w:after="0"/>
              <w:rPr>
                <w:sz w:val="20"/>
                <w:szCs w:val="20"/>
                <w:color w:val="auto"/>
              </w:rPr>
            </w:pPr>
            <w:r>
              <w:rPr>
                <w:rFonts w:ascii="Arial" w:cs="Arial" w:eastAsia="Arial" w:hAnsi="Arial"/>
                <w:sz w:val="14"/>
                <w:szCs w:val="14"/>
                <w:color w:val="auto"/>
              </w:rPr>
              <w:t>486,402</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1,482,611</w:t>
            </w:r>
          </w:p>
        </w:tc>
        <w:tc>
          <w:tcPr>
            <w:tcW w:w="1240" w:type="dxa"/>
            <w:vAlign w:val="bottom"/>
          </w:tcPr>
          <w:p>
            <w:pPr>
              <w:jc w:val="right"/>
              <w:spacing w:after="0"/>
              <w:rPr>
                <w:sz w:val="20"/>
                <w:szCs w:val="20"/>
                <w:color w:val="auto"/>
              </w:rPr>
            </w:pPr>
            <w:r>
              <w:rPr>
                <w:rFonts w:ascii="Arial" w:cs="Arial" w:eastAsia="Arial" w:hAnsi="Arial"/>
                <w:sz w:val="14"/>
                <w:szCs w:val="14"/>
                <w:color w:val="auto"/>
              </w:rPr>
              <w:t>4,534,424</w:t>
            </w:r>
          </w:p>
        </w:tc>
        <w:tc>
          <w:tcPr>
            <w:tcW w:w="0" w:type="dxa"/>
            <w:vAlign w:val="bottom"/>
          </w:tcPr>
          <w:p>
            <w:pPr>
              <w:spacing w:after="0"/>
              <w:rPr>
                <w:sz w:val="1"/>
                <w:szCs w:val="1"/>
                <w:color w:val="auto"/>
              </w:rPr>
            </w:pPr>
          </w:p>
        </w:tc>
      </w:tr>
      <w:tr>
        <w:trPr>
          <w:trHeight w:val="190"/>
        </w:trPr>
        <w:tc>
          <w:tcPr>
            <w:tcW w:w="1500" w:type="dxa"/>
            <w:vAlign w:val="bottom"/>
          </w:tcPr>
          <w:p>
            <w:pPr>
              <w:spacing w:after="0"/>
              <w:rPr>
                <w:sz w:val="16"/>
                <w:szCs w:val="16"/>
                <w:color w:val="auto"/>
              </w:rPr>
            </w:pPr>
          </w:p>
        </w:tc>
        <w:tc>
          <w:tcPr>
            <w:tcW w:w="2360" w:type="dxa"/>
            <w:vAlign w:val="bottom"/>
          </w:tcPr>
          <w:p>
            <w:pPr>
              <w:ind w:left="200"/>
              <w:spacing w:after="0"/>
              <w:rPr>
                <w:sz w:val="20"/>
                <w:szCs w:val="20"/>
                <w:color w:val="auto"/>
              </w:rPr>
            </w:pPr>
            <w:r>
              <w:rPr>
                <w:rFonts w:ascii="Arial" w:cs="Arial" w:eastAsia="Arial" w:hAnsi="Arial"/>
                <w:sz w:val="14"/>
                <w:szCs w:val="14"/>
                <w:color w:val="auto"/>
              </w:rPr>
              <w:t>Automation</w:t>
            </w:r>
          </w:p>
        </w:tc>
        <w:tc>
          <w:tcPr>
            <w:tcW w:w="1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500" w:type="dxa"/>
            <w:vAlign w:val="bottom"/>
            <w:tcBorders>
              <w:bottom w:val="single" w:sz="8" w:color="939598"/>
            </w:tcBorders>
          </w:tcPr>
          <w:p>
            <w:pPr>
              <w:spacing w:after="0"/>
              <w:rPr>
                <w:sz w:val="11"/>
                <w:szCs w:val="11"/>
                <w:color w:val="auto"/>
              </w:rPr>
            </w:pPr>
          </w:p>
        </w:tc>
        <w:tc>
          <w:tcPr>
            <w:tcW w:w="2360" w:type="dxa"/>
            <w:vAlign w:val="bottom"/>
            <w:tcBorders>
              <w:bottom w:val="single" w:sz="8" w:color="939598"/>
            </w:tcBorders>
          </w:tcPr>
          <w:p>
            <w:pPr>
              <w:spacing w:after="0"/>
              <w:rPr>
                <w:sz w:val="11"/>
                <w:szCs w:val="11"/>
                <w:color w:val="auto"/>
              </w:rPr>
            </w:pPr>
          </w:p>
        </w:tc>
        <w:tc>
          <w:tcPr>
            <w:tcW w:w="1200" w:type="dxa"/>
            <w:vAlign w:val="bottom"/>
            <w:tcBorders>
              <w:bottom w:val="single" w:sz="8" w:color="939598"/>
            </w:tcBorders>
          </w:tcPr>
          <w:p>
            <w:pPr>
              <w:spacing w:after="0"/>
              <w:rPr>
                <w:sz w:val="11"/>
                <w:szCs w:val="11"/>
                <w:color w:val="auto"/>
              </w:rPr>
            </w:pPr>
          </w:p>
        </w:tc>
        <w:tc>
          <w:tcPr>
            <w:tcW w:w="1220" w:type="dxa"/>
            <w:vAlign w:val="bottom"/>
            <w:tcBorders>
              <w:bottom w:val="single" w:sz="8" w:color="939598"/>
            </w:tcBorders>
          </w:tcPr>
          <w:p>
            <w:pPr>
              <w:spacing w:after="0"/>
              <w:rPr>
                <w:sz w:val="11"/>
                <w:szCs w:val="11"/>
                <w:color w:val="auto"/>
              </w:rPr>
            </w:pPr>
          </w:p>
        </w:tc>
        <w:tc>
          <w:tcPr>
            <w:tcW w:w="1320" w:type="dxa"/>
            <w:vAlign w:val="bottom"/>
            <w:tcBorders>
              <w:bottom w:val="single" w:sz="8" w:color="939598"/>
            </w:tcBorders>
          </w:tcPr>
          <w:p>
            <w:pPr>
              <w:spacing w:after="0"/>
              <w:rPr>
                <w:sz w:val="11"/>
                <w:szCs w:val="11"/>
                <w:color w:val="auto"/>
              </w:rPr>
            </w:pPr>
          </w:p>
        </w:tc>
        <w:tc>
          <w:tcPr>
            <w:tcW w:w="1180" w:type="dxa"/>
            <w:vAlign w:val="bottom"/>
            <w:tcBorders>
              <w:bottom w:val="single" w:sz="8" w:color="939598"/>
            </w:tcBorders>
          </w:tcPr>
          <w:p>
            <w:pPr>
              <w:spacing w:after="0"/>
              <w:rPr>
                <w:sz w:val="11"/>
                <w:szCs w:val="11"/>
                <w:color w:val="auto"/>
              </w:rPr>
            </w:pPr>
          </w:p>
        </w:tc>
        <w:tc>
          <w:tcPr>
            <w:tcW w:w="1200" w:type="dxa"/>
            <w:vAlign w:val="bottom"/>
            <w:tcBorders>
              <w:bottom w:val="single" w:sz="8" w:color="939598"/>
            </w:tcBorders>
          </w:tcPr>
          <w:p>
            <w:pPr>
              <w:spacing w:after="0"/>
              <w:rPr>
                <w:sz w:val="11"/>
                <w:szCs w:val="11"/>
                <w:color w:val="auto"/>
              </w:rPr>
            </w:pPr>
          </w:p>
        </w:tc>
        <w:tc>
          <w:tcPr>
            <w:tcW w:w="124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295"/>
        </w:trPr>
        <w:tc>
          <w:tcPr>
            <w:tcW w:w="1500" w:type="dxa"/>
            <w:vAlign w:val="bottom"/>
          </w:tcPr>
          <w:p>
            <w:pPr>
              <w:ind w:left="20"/>
              <w:spacing w:after="0"/>
              <w:rPr>
                <w:sz w:val="20"/>
                <w:szCs w:val="20"/>
                <w:color w:val="auto"/>
              </w:rPr>
            </w:pPr>
            <w:r>
              <w:rPr>
                <w:rFonts w:ascii="Arial" w:cs="Arial" w:eastAsia="Arial" w:hAnsi="Arial"/>
                <w:sz w:val="14"/>
                <w:szCs w:val="14"/>
                <w:b w:val="1"/>
                <w:bCs w:val="1"/>
                <w:color w:val="auto"/>
              </w:rPr>
              <w:t>Gregory P. Lewis</w:t>
            </w:r>
            <w:r>
              <w:rPr>
                <w:rFonts w:ascii="Arial" w:cs="Arial" w:eastAsia="Arial" w:hAnsi="Arial"/>
                <w:sz w:val="18"/>
                <w:szCs w:val="18"/>
                <w:b w:val="1"/>
                <w:bCs w:val="1"/>
                <w:color w:val="auto"/>
                <w:vertAlign w:val="superscript"/>
              </w:rPr>
              <w:t>(7)</w:t>
            </w:r>
          </w:p>
        </w:tc>
        <w:tc>
          <w:tcPr>
            <w:tcW w:w="2360" w:type="dxa"/>
            <w:vAlign w:val="bottom"/>
          </w:tcPr>
          <w:p>
            <w:pPr>
              <w:ind w:left="200"/>
              <w:spacing w:after="0"/>
              <w:rPr>
                <w:sz w:val="20"/>
                <w:szCs w:val="20"/>
                <w:color w:val="auto"/>
              </w:rPr>
            </w:pPr>
            <w:r>
              <w:rPr>
                <w:rFonts w:ascii="Arial" w:cs="Arial" w:eastAsia="Arial" w:hAnsi="Arial"/>
                <w:sz w:val="14"/>
                <w:szCs w:val="14"/>
                <w:color w:val="auto"/>
              </w:rPr>
              <w:t>Former SVP and Chief</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428,423</w:t>
            </w:r>
          </w:p>
        </w:tc>
        <w:tc>
          <w:tcPr>
            <w:tcW w:w="1220" w:type="dxa"/>
            <w:vAlign w:val="bottom"/>
          </w:tcPr>
          <w:p>
            <w:pPr>
              <w:jc w:val="right"/>
              <w:ind w:right="188"/>
              <w:spacing w:after="0"/>
              <w:rPr>
                <w:sz w:val="20"/>
                <w:szCs w:val="20"/>
                <w:color w:val="auto"/>
              </w:rPr>
            </w:pPr>
            <w:r>
              <w:rPr>
                <w:rFonts w:ascii="Arial" w:cs="Arial" w:eastAsia="Arial" w:hAnsi="Arial"/>
                <w:sz w:val="14"/>
                <w:szCs w:val="14"/>
                <w:color w:val="auto"/>
              </w:rPr>
              <w:t>381,000</w:t>
            </w:r>
          </w:p>
        </w:tc>
        <w:tc>
          <w:tcPr>
            <w:tcW w:w="1320" w:type="dxa"/>
            <w:vAlign w:val="bottom"/>
          </w:tcPr>
          <w:p>
            <w:pPr>
              <w:jc w:val="right"/>
              <w:ind w:right="168"/>
              <w:spacing w:after="0"/>
              <w:rPr>
                <w:sz w:val="20"/>
                <w:szCs w:val="20"/>
                <w:color w:val="auto"/>
              </w:rPr>
            </w:pPr>
            <w:r>
              <w:rPr>
                <w:rFonts w:ascii="Arial" w:cs="Arial" w:eastAsia="Arial" w:hAnsi="Arial"/>
                <w:sz w:val="14"/>
                <w:szCs w:val="14"/>
                <w:color w:val="auto"/>
              </w:rPr>
              <w:t>507,816</w:t>
            </w:r>
          </w:p>
        </w:tc>
        <w:tc>
          <w:tcPr>
            <w:tcW w:w="1180" w:type="dxa"/>
            <w:vAlign w:val="bottom"/>
          </w:tcPr>
          <w:p>
            <w:pPr>
              <w:jc w:val="right"/>
              <w:ind w:right="188"/>
              <w:spacing w:after="0"/>
              <w:rPr>
                <w:sz w:val="20"/>
                <w:szCs w:val="20"/>
                <w:color w:val="auto"/>
              </w:rPr>
            </w:pPr>
            <w:r>
              <w:rPr>
                <w:rFonts w:ascii="Arial" w:cs="Arial" w:eastAsia="Arial" w:hAnsi="Arial"/>
                <w:sz w:val="14"/>
                <w:szCs w:val="14"/>
                <w:color w:val="auto"/>
              </w:rPr>
              <w:t>249,774</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230,791</w:t>
            </w:r>
          </w:p>
        </w:tc>
        <w:tc>
          <w:tcPr>
            <w:tcW w:w="1240" w:type="dxa"/>
            <w:vAlign w:val="bottom"/>
          </w:tcPr>
          <w:p>
            <w:pPr>
              <w:jc w:val="right"/>
              <w:spacing w:after="0"/>
              <w:rPr>
                <w:sz w:val="20"/>
                <w:szCs w:val="20"/>
                <w:color w:val="auto"/>
              </w:rPr>
            </w:pPr>
            <w:r>
              <w:rPr>
                <w:rFonts w:ascii="Arial" w:cs="Arial" w:eastAsia="Arial" w:hAnsi="Arial"/>
                <w:sz w:val="14"/>
                <w:szCs w:val="14"/>
                <w:color w:val="auto"/>
              </w:rPr>
              <w:t>1,797,804</w:t>
            </w:r>
          </w:p>
        </w:tc>
        <w:tc>
          <w:tcPr>
            <w:tcW w:w="0" w:type="dxa"/>
            <w:vAlign w:val="bottom"/>
          </w:tcPr>
          <w:p>
            <w:pPr>
              <w:spacing w:after="0"/>
              <w:rPr>
                <w:sz w:val="1"/>
                <w:szCs w:val="1"/>
                <w:color w:val="auto"/>
              </w:rPr>
            </w:pPr>
          </w:p>
        </w:tc>
      </w:tr>
      <w:tr>
        <w:trPr>
          <w:trHeight w:val="190"/>
        </w:trPr>
        <w:tc>
          <w:tcPr>
            <w:tcW w:w="1500" w:type="dxa"/>
            <w:vAlign w:val="bottom"/>
          </w:tcPr>
          <w:p>
            <w:pPr>
              <w:spacing w:after="0"/>
              <w:rPr>
                <w:sz w:val="16"/>
                <w:szCs w:val="16"/>
                <w:color w:val="auto"/>
              </w:rPr>
            </w:pPr>
          </w:p>
        </w:tc>
        <w:tc>
          <w:tcPr>
            <w:tcW w:w="2360" w:type="dxa"/>
            <w:vAlign w:val="bottom"/>
          </w:tcPr>
          <w:p>
            <w:pPr>
              <w:ind w:left="200"/>
              <w:spacing w:after="0"/>
              <w:rPr>
                <w:sz w:val="20"/>
                <w:szCs w:val="20"/>
                <w:color w:val="auto"/>
              </w:rPr>
            </w:pPr>
            <w:r>
              <w:rPr>
                <w:rFonts w:ascii="Arial" w:cs="Arial" w:eastAsia="Arial" w:hAnsi="Arial"/>
                <w:sz w:val="14"/>
                <w:szCs w:val="14"/>
                <w:color w:val="auto"/>
              </w:rPr>
              <w:t>Financial Officer</w:t>
            </w:r>
          </w:p>
        </w:tc>
        <w:tc>
          <w:tcPr>
            <w:tcW w:w="1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500" w:type="dxa"/>
            <w:vAlign w:val="bottom"/>
            <w:tcBorders>
              <w:bottom w:val="single" w:sz="8" w:color="939598"/>
            </w:tcBorders>
          </w:tcPr>
          <w:p>
            <w:pPr>
              <w:spacing w:after="0"/>
              <w:rPr>
                <w:sz w:val="11"/>
                <w:szCs w:val="11"/>
                <w:color w:val="auto"/>
              </w:rPr>
            </w:pPr>
          </w:p>
        </w:tc>
        <w:tc>
          <w:tcPr>
            <w:tcW w:w="2360" w:type="dxa"/>
            <w:vAlign w:val="bottom"/>
            <w:tcBorders>
              <w:bottom w:val="single" w:sz="8" w:color="939598"/>
            </w:tcBorders>
          </w:tcPr>
          <w:p>
            <w:pPr>
              <w:spacing w:after="0"/>
              <w:rPr>
                <w:sz w:val="11"/>
                <w:szCs w:val="11"/>
                <w:color w:val="auto"/>
              </w:rPr>
            </w:pPr>
          </w:p>
        </w:tc>
        <w:tc>
          <w:tcPr>
            <w:tcW w:w="1200" w:type="dxa"/>
            <w:vAlign w:val="bottom"/>
            <w:tcBorders>
              <w:bottom w:val="single" w:sz="8" w:color="939598"/>
            </w:tcBorders>
          </w:tcPr>
          <w:p>
            <w:pPr>
              <w:spacing w:after="0"/>
              <w:rPr>
                <w:sz w:val="11"/>
                <w:szCs w:val="11"/>
                <w:color w:val="auto"/>
              </w:rPr>
            </w:pPr>
          </w:p>
        </w:tc>
        <w:tc>
          <w:tcPr>
            <w:tcW w:w="1220" w:type="dxa"/>
            <w:vAlign w:val="bottom"/>
            <w:tcBorders>
              <w:bottom w:val="single" w:sz="8" w:color="939598"/>
            </w:tcBorders>
          </w:tcPr>
          <w:p>
            <w:pPr>
              <w:spacing w:after="0"/>
              <w:rPr>
                <w:sz w:val="11"/>
                <w:szCs w:val="11"/>
                <w:color w:val="auto"/>
              </w:rPr>
            </w:pPr>
          </w:p>
        </w:tc>
        <w:tc>
          <w:tcPr>
            <w:tcW w:w="1320" w:type="dxa"/>
            <w:vAlign w:val="bottom"/>
            <w:tcBorders>
              <w:bottom w:val="single" w:sz="8" w:color="939598"/>
            </w:tcBorders>
          </w:tcPr>
          <w:p>
            <w:pPr>
              <w:spacing w:after="0"/>
              <w:rPr>
                <w:sz w:val="11"/>
                <w:szCs w:val="11"/>
                <w:color w:val="auto"/>
              </w:rPr>
            </w:pPr>
          </w:p>
        </w:tc>
        <w:tc>
          <w:tcPr>
            <w:tcW w:w="1180" w:type="dxa"/>
            <w:vAlign w:val="bottom"/>
            <w:tcBorders>
              <w:bottom w:val="single" w:sz="8" w:color="939598"/>
            </w:tcBorders>
          </w:tcPr>
          <w:p>
            <w:pPr>
              <w:spacing w:after="0"/>
              <w:rPr>
                <w:sz w:val="11"/>
                <w:szCs w:val="11"/>
                <w:color w:val="auto"/>
              </w:rPr>
            </w:pPr>
          </w:p>
        </w:tc>
        <w:tc>
          <w:tcPr>
            <w:tcW w:w="1200" w:type="dxa"/>
            <w:vAlign w:val="bottom"/>
            <w:tcBorders>
              <w:bottom w:val="single" w:sz="8" w:color="939598"/>
            </w:tcBorders>
          </w:tcPr>
          <w:p>
            <w:pPr>
              <w:spacing w:after="0"/>
              <w:rPr>
                <w:sz w:val="11"/>
                <w:szCs w:val="11"/>
                <w:color w:val="auto"/>
              </w:rPr>
            </w:pPr>
          </w:p>
        </w:tc>
        <w:tc>
          <w:tcPr>
            <w:tcW w:w="124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370"/>
        </w:trPr>
        <w:tc>
          <w:tcPr>
            <w:tcW w:w="1500" w:type="dxa"/>
            <w:vAlign w:val="bottom"/>
          </w:tcPr>
          <w:p>
            <w:pPr>
              <w:ind w:left="20"/>
              <w:spacing w:after="0"/>
              <w:rPr>
                <w:sz w:val="20"/>
                <w:szCs w:val="20"/>
                <w:color w:val="auto"/>
              </w:rPr>
            </w:pPr>
            <w:r>
              <w:rPr>
                <w:rFonts w:ascii="Arial" w:cs="Arial" w:eastAsia="Arial" w:hAnsi="Arial"/>
                <w:sz w:val="14"/>
                <w:szCs w:val="14"/>
                <w:b w:val="1"/>
                <w:bCs w:val="1"/>
                <w:color w:val="auto"/>
              </w:rPr>
              <w:t>Lucian Boldea</w:t>
            </w:r>
            <w:r>
              <w:rPr>
                <w:rFonts w:ascii="Arial" w:cs="Arial" w:eastAsia="Arial" w:hAnsi="Arial"/>
                <w:sz w:val="18"/>
                <w:szCs w:val="18"/>
                <w:b w:val="1"/>
                <w:bCs w:val="1"/>
                <w:color w:val="auto"/>
                <w:vertAlign w:val="superscript"/>
              </w:rPr>
              <w:t>(8)</w:t>
            </w:r>
          </w:p>
        </w:tc>
        <w:tc>
          <w:tcPr>
            <w:tcW w:w="2360" w:type="dxa"/>
            <w:vAlign w:val="bottom"/>
          </w:tcPr>
          <w:p>
            <w:pPr>
              <w:ind w:left="200"/>
              <w:spacing w:after="0"/>
              <w:rPr>
                <w:sz w:val="20"/>
                <w:szCs w:val="20"/>
                <w:color w:val="auto"/>
              </w:rPr>
            </w:pPr>
            <w:r>
              <w:rPr>
                <w:rFonts w:ascii="Arial" w:cs="Arial" w:eastAsia="Arial" w:hAnsi="Arial"/>
                <w:sz w:val="14"/>
                <w:szCs w:val="14"/>
                <w:color w:val="auto"/>
              </w:rPr>
              <w:t>Former President and CEO, IA</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587,077</w:t>
            </w:r>
          </w:p>
        </w:tc>
        <w:tc>
          <w:tcPr>
            <w:tcW w:w="12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168"/>
              <w:spacing w:after="0"/>
              <w:rPr>
                <w:sz w:val="20"/>
                <w:szCs w:val="20"/>
                <w:color w:val="auto"/>
              </w:rPr>
            </w:pPr>
            <w:r>
              <w:rPr>
                <w:rFonts w:ascii="Arial" w:cs="Arial" w:eastAsia="Arial" w:hAnsi="Arial"/>
                <w:sz w:val="14"/>
                <w:szCs w:val="14"/>
                <w:color w:val="auto"/>
              </w:rPr>
              <w:t>2,010,105</w:t>
            </w:r>
          </w:p>
        </w:tc>
        <w:tc>
          <w:tcPr>
            <w:tcW w:w="1180" w:type="dxa"/>
            <w:vAlign w:val="bottom"/>
          </w:tcPr>
          <w:p>
            <w:pPr>
              <w:jc w:val="right"/>
              <w:ind w:right="188"/>
              <w:spacing w:after="0"/>
              <w:rPr>
                <w:sz w:val="20"/>
                <w:szCs w:val="20"/>
                <w:color w:val="auto"/>
              </w:rPr>
            </w:pPr>
            <w:r>
              <w:rPr>
                <w:rFonts w:ascii="Arial" w:cs="Arial" w:eastAsia="Arial" w:hAnsi="Arial"/>
                <w:sz w:val="14"/>
                <w:szCs w:val="14"/>
                <w:color w:val="auto"/>
              </w:rPr>
              <w:t>994,714</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986,107</w:t>
            </w:r>
          </w:p>
        </w:tc>
        <w:tc>
          <w:tcPr>
            <w:tcW w:w="1240" w:type="dxa"/>
            <w:vAlign w:val="bottom"/>
          </w:tcPr>
          <w:p>
            <w:pPr>
              <w:jc w:val="right"/>
              <w:spacing w:after="0"/>
              <w:rPr>
                <w:sz w:val="20"/>
                <w:szCs w:val="20"/>
                <w:color w:val="auto"/>
              </w:rPr>
            </w:pPr>
            <w:r>
              <w:rPr>
                <w:rFonts w:ascii="Arial" w:cs="Arial" w:eastAsia="Arial" w:hAnsi="Arial"/>
                <w:sz w:val="14"/>
                <w:szCs w:val="14"/>
                <w:color w:val="auto"/>
              </w:rPr>
              <w:t>4,578,003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2343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6" w:lineRule="exact"/>
        <w:rPr>
          <w:sz w:val="20"/>
          <w:szCs w:val="20"/>
          <w:color w:val="auto"/>
        </w:rPr>
      </w:pPr>
    </w:p>
    <w:p>
      <w:pPr>
        <w:ind w:left="200" w:right="20" w:hanging="192"/>
        <w:spacing w:after="0" w:line="226" w:lineRule="auto"/>
        <w:tabs>
          <w:tab w:leader="none" w:pos="200" w:val="left"/>
        </w:tabs>
        <w:numPr>
          <w:ilvl w:val="0"/>
          <w:numId w:val="26"/>
        </w:numPr>
        <w:rPr>
          <w:rFonts w:ascii="Arial" w:cs="Arial" w:eastAsia="Arial" w:hAnsi="Arial"/>
          <w:sz w:val="16"/>
          <w:szCs w:val="16"/>
          <w:color w:val="auto"/>
          <w:vertAlign w:val="superscript"/>
        </w:rPr>
      </w:pPr>
      <w:r>
        <w:rPr>
          <w:rFonts w:ascii="Arial" w:cs="Arial" w:eastAsia="Arial" w:hAnsi="Arial"/>
          <w:sz w:val="13"/>
          <w:szCs w:val="13"/>
          <w:color w:val="auto"/>
        </w:rPr>
        <w:t>Annual ICP payouts determined 80% based on a calculation against 2025 ICP financial goals. The remaining 20% was based 15% on individual assessments and 5% on a group assessment against 2025 corporate responsibility KPIs.</w:t>
      </w:r>
    </w:p>
    <w:p>
      <w:pPr>
        <w:spacing w:after="0" w:line="45" w:lineRule="exact"/>
        <w:rPr>
          <w:rFonts w:ascii="Arial" w:cs="Arial" w:eastAsia="Arial" w:hAnsi="Arial"/>
          <w:sz w:val="16"/>
          <w:szCs w:val="16"/>
          <w:color w:val="auto"/>
          <w:vertAlign w:val="superscript"/>
        </w:rPr>
      </w:pPr>
    </w:p>
    <w:p>
      <w:pPr>
        <w:ind w:left="200" w:hanging="192"/>
        <w:spacing w:after="0"/>
        <w:tabs>
          <w:tab w:leader="none" w:pos="200" w:val="left"/>
        </w:tabs>
        <w:numPr>
          <w:ilvl w:val="0"/>
          <w:numId w:val="26"/>
        </w:numPr>
        <w:rPr>
          <w:rFonts w:ascii="Arial" w:cs="Arial" w:eastAsia="Arial" w:hAnsi="Arial"/>
          <w:sz w:val="16"/>
          <w:szCs w:val="16"/>
          <w:color w:val="auto"/>
          <w:vertAlign w:val="superscript"/>
        </w:rPr>
      </w:pPr>
      <w:r>
        <w:rPr>
          <w:rFonts w:ascii="Arial" w:cs="Arial" w:eastAsia="Arial" w:hAnsi="Arial"/>
          <w:sz w:val="13"/>
          <w:szCs w:val="13"/>
          <w:color w:val="auto"/>
        </w:rPr>
        <w:t>Grant date value of annual performance stock units (PSUs) issued under the Performance Plan for the three-year period of January 1, 2025–December 31, 2027.</w:t>
      </w:r>
    </w:p>
    <w:p>
      <w:pPr>
        <w:spacing w:after="0" w:line="43" w:lineRule="exact"/>
        <w:rPr>
          <w:rFonts w:ascii="Arial" w:cs="Arial" w:eastAsia="Arial" w:hAnsi="Arial"/>
          <w:sz w:val="16"/>
          <w:szCs w:val="16"/>
          <w:color w:val="auto"/>
          <w:vertAlign w:val="superscript"/>
        </w:rPr>
      </w:pPr>
    </w:p>
    <w:p>
      <w:pPr>
        <w:ind w:left="200" w:hanging="192"/>
        <w:spacing w:after="0" w:line="225" w:lineRule="auto"/>
        <w:tabs>
          <w:tab w:leader="none" w:pos="200" w:val="left"/>
        </w:tabs>
        <w:numPr>
          <w:ilvl w:val="0"/>
          <w:numId w:val="26"/>
        </w:numPr>
        <w:rPr>
          <w:rFonts w:ascii="Arial" w:cs="Arial" w:eastAsia="Arial" w:hAnsi="Arial"/>
          <w:sz w:val="16"/>
          <w:szCs w:val="16"/>
          <w:color w:val="auto"/>
          <w:vertAlign w:val="superscript"/>
        </w:rPr>
      </w:pPr>
      <w:r>
        <w:rPr>
          <w:rFonts w:ascii="Arial" w:cs="Arial" w:eastAsia="Arial" w:hAnsi="Arial"/>
          <w:sz w:val="13"/>
          <w:szCs w:val="13"/>
          <w:color w:val="auto"/>
        </w:rPr>
        <w:t>Stock option grants awarded to NEOs vest ratably over four years, have a 10-year term, and are subject to stock ownership and post-exercise holding requirements.</w:t>
      </w:r>
    </w:p>
    <w:p>
      <w:pPr>
        <w:spacing w:after="0" w:line="57" w:lineRule="exact"/>
        <w:rPr>
          <w:rFonts w:ascii="Arial" w:cs="Arial" w:eastAsia="Arial" w:hAnsi="Arial"/>
          <w:sz w:val="16"/>
          <w:szCs w:val="16"/>
          <w:color w:val="auto"/>
          <w:vertAlign w:val="superscript"/>
        </w:rPr>
      </w:pPr>
    </w:p>
    <w:p>
      <w:pPr>
        <w:ind w:left="200" w:hanging="192"/>
        <w:spacing w:after="0" w:line="225" w:lineRule="auto"/>
        <w:tabs>
          <w:tab w:leader="none" w:pos="200" w:val="left"/>
        </w:tabs>
        <w:numPr>
          <w:ilvl w:val="0"/>
          <w:numId w:val="26"/>
        </w:numPr>
        <w:rPr>
          <w:rFonts w:ascii="Arial" w:cs="Arial" w:eastAsia="Arial" w:hAnsi="Arial"/>
          <w:sz w:val="16"/>
          <w:szCs w:val="16"/>
          <w:color w:val="auto"/>
          <w:vertAlign w:val="superscript"/>
        </w:rPr>
      </w:pPr>
      <w:r>
        <w:rPr>
          <w:rFonts w:ascii="Arial" w:cs="Arial" w:eastAsia="Arial" w:hAnsi="Arial"/>
          <w:sz w:val="13"/>
          <w:szCs w:val="13"/>
          <w:color w:val="auto"/>
        </w:rPr>
        <w:t>Restricted Stock Units vest over a four-year period and are subject to stock ownership and post-vesting holding requirements.</w:t>
      </w:r>
    </w:p>
    <w:p>
      <w:pPr>
        <w:spacing w:after="0" w:line="43" w:lineRule="exact"/>
        <w:rPr>
          <w:rFonts w:ascii="Arial" w:cs="Arial" w:eastAsia="Arial" w:hAnsi="Arial"/>
          <w:sz w:val="16"/>
          <w:szCs w:val="16"/>
          <w:color w:val="auto"/>
          <w:vertAlign w:val="superscript"/>
        </w:rPr>
      </w:pPr>
    </w:p>
    <w:p>
      <w:pPr>
        <w:ind w:left="200" w:hanging="192"/>
        <w:spacing w:after="0" w:line="225" w:lineRule="auto"/>
        <w:tabs>
          <w:tab w:leader="none" w:pos="200" w:val="left"/>
        </w:tabs>
        <w:numPr>
          <w:ilvl w:val="0"/>
          <w:numId w:val="26"/>
        </w:numPr>
        <w:rPr>
          <w:rFonts w:ascii="Arial" w:cs="Arial" w:eastAsia="Arial" w:hAnsi="Arial"/>
          <w:sz w:val="16"/>
          <w:szCs w:val="16"/>
          <w:color w:val="auto"/>
          <w:vertAlign w:val="superscript"/>
        </w:rPr>
      </w:pPr>
      <w:r>
        <w:rPr>
          <w:rFonts w:ascii="Arial" w:cs="Arial" w:eastAsia="Arial" w:hAnsi="Arial"/>
          <w:sz w:val="13"/>
          <w:szCs w:val="13"/>
          <w:color w:val="auto"/>
        </w:rPr>
        <w:t>Mr. Masso received his annual LTI grant upon his hire date of July 14, 2025. Mr. Masso also received a one-time RSU sign-on award with a grant date value of $2,500,131.</w:t>
      </w:r>
    </w:p>
    <w:p>
      <w:pPr>
        <w:spacing w:after="0" w:line="63" w:lineRule="exact"/>
        <w:rPr>
          <w:rFonts w:ascii="Arial" w:cs="Arial" w:eastAsia="Arial" w:hAnsi="Arial"/>
          <w:sz w:val="16"/>
          <w:szCs w:val="16"/>
          <w:color w:val="auto"/>
          <w:vertAlign w:val="superscript"/>
        </w:rPr>
      </w:pPr>
    </w:p>
    <w:p>
      <w:pPr>
        <w:ind w:left="200" w:right="80" w:hanging="192"/>
        <w:spacing w:after="0" w:line="226" w:lineRule="auto"/>
        <w:tabs>
          <w:tab w:leader="none" w:pos="200" w:val="left"/>
        </w:tabs>
        <w:numPr>
          <w:ilvl w:val="0"/>
          <w:numId w:val="26"/>
        </w:numPr>
        <w:rPr>
          <w:rFonts w:ascii="Arial" w:cs="Arial" w:eastAsia="Arial" w:hAnsi="Arial"/>
          <w:sz w:val="16"/>
          <w:szCs w:val="16"/>
          <w:color w:val="auto"/>
          <w:vertAlign w:val="superscript"/>
        </w:rPr>
      </w:pPr>
      <w:r>
        <w:rPr>
          <w:rFonts w:ascii="Arial" w:cs="Arial" w:eastAsia="Arial" w:hAnsi="Arial"/>
          <w:sz w:val="13"/>
          <w:szCs w:val="13"/>
          <w:color w:val="auto"/>
        </w:rPr>
        <w:t>Mr. Hammoud received a one-time RSU award on December 17, 2025 with a grant date value of $1,000,048, in recognition of successful integration of the Access Solutions acquisition and financial outperformance.</w:t>
      </w:r>
    </w:p>
    <w:p>
      <w:pPr>
        <w:spacing w:after="0" w:line="32" w:lineRule="exact"/>
        <w:rPr>
          <w:rFonts w:ascii="Arial" w:cs="Arial" w:eastAsia="Arial" w:hAnsi="Arial"/>
          <w:sz w:val="16"/>
          <w:szCs w:val="16"/>
          <w:color w:val="auto"/>
          <w:vertAlign w:val="superscript"/>
        </w:rPr>
      </w:pPr>
    </w:p>
    <w:p>
      <w:pPr>
        <w:ind w:left="200" w:hanging="192"/>
        <w:spacing w:after="0"/>
        <w:tabs>
          <w:tab w:leader="none" w:pos="200" w:val="left"/>
        </w:tabs>
        <w:numPr>
          <w:ilvl w:val="0"/>
          <w:numId w:val="26"/>
        </w:numPr>
        <w:rPr>
          <w:rFonts w:ascii="Arial" w:cs="Arial" w:eastAsia="Arial" w:hAnsi="Arial"/>
          <w:sz w:val="16"/>
          <w:szCs w:val="16"/>
          <w:color w:val="auto"/>
          <w:vertAlign w:val="superscript"/>
        </w:rPr>
      </w:pPr>
      <w:r>
        <w:rPr>
          <w:rFonts w:ascii="Arial" w:cs="Arial" w:eastAsia="Arial" w:hAnsi="Arial"/>
          <w:sz w:val="13"/>
          <w:szCs w:val="13"/>
          <w:color w:val="auto"/>
        </w:rPr>
        <w:t>Mr. Lewis stepped down from his role as SVP and CFO in February 2025 to serve in the roles of SVP Transformation and Senior Advisor.</w:t>
      </w:r>
    </w:p>
    <w:p>
      <w:pPr>
        <w:spacing w:after="0" w:line="56" w:lineRule="exact"/>
        <w:rPr>
          <w:rFonts w:ascii="Arial" w:cs="Arial" w:eastAsia="Arial" w:hAnsi="Arial"/>
          <w:sz w:val="16"/>
          <w:szCs w:val="16"/>
          <w:color w:val="auto"/>
          <w:vertAlign w:val="superscript"/>
        </w:rPr>
      </w:pPr>
    </w:p>
    <w:p>
      <w:pPr>
        <w:ind w:left="200" w:hanging="192"/>
        <w:spacing w:after="0" w:line="225" w:lineRule="auto"/>
        <w:tabs>
          <w:tab w:leader="none" w:pos="200" w:val="left"/>
        </w:tabs>
        <w:numPr>
          <w:ilvl w:val="0"/>
          <w:numId w:val="26"/>
        </w:numPr>
        <w:rPr>
          <w:rFonts w:ascii="Arial" w:cs="Arial" w:eastAsia="Arial" w:hAnsi="Arial"/>
          <w:sz w:val="16"/>
          <w:szCs w:val="16"/>
          <w:color w:val="auto"/>
          <w:vertAlign w:val="superscript"/>
        </w:rPr>
      </w:pPr>
      <w:r>
        <w:rPr>
          <w:rFonts w:ascii="Arial" w:cs="Arial" w:eastAsia="Arial" w:hAnsi="Arial"/>
          <w:sz w:val="13"/>
          <w:szCs w:val="13"/>
          <w:color w:val="auto"/>
        </w:rPr>
        <w:t>Mr. Boldea was separated from the Company on September 1,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2026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15</w:t>
            </w:r>
          </w:p>
        </w:tc>
      </w:tr>
      <w:tr>
        <w:trPr>
          <w:trHeight w:val="359"/>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-367665</wp:posOffset>
            </wp:positionV>
            <wp:extent cx="548640" cy="1028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3"/>
          <w:szCs w:val="13"/>
          <w:b w:val="1"/>
          <w:bCs w:val="1"/>
          <w:color w:val="6D6E71"/>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687705</wp:posOffset>
            </wp:positionV>
            <wp:extent cx="7003415" cy="7289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00341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620" w:type="dxa"/>
        <w:tblCellMar>
          <w:top w:w="0" w:type="dxa"/>
          <w:left w:w="0" w:type="dxa"/>
          <w:bottom w:w="0" w:type="dxa"/>
          <w:right w:w="0" w:type="dxa"/>
        </w:tblCellMar>
      </w:tblPr>
      <w:tr>
        <w:trPr>
          <w:trHeight w:val="287"/>
        </w:trPr>
        <w:tc>
          <w:tcPr>
            <w:tcW w:w="1340" w:type="dxa"/>
            <w:vAlign w:val="bottom"/>
          </w:tcPr>
          <w:p>
            <w:pPr>
              <w:spacing w:after="0"/>
              <w:rPr>
                <w:sz w:val="20"/>
                <w:szCs w:val="20"/>
                <w:color w:val="auto"/>
              </w:rPr>
            </w:pPr>
            <w:r>
              <w:rPr>
                <w:rFonts w:ascii="Arial" w:cs="Arial" w:eastAsia="Arial" w:hAnsi="Arial"/>
                <w:sz w:val="17"/>
                <w:szCs w:val="17"/>
                <w:b w:val="1"/>
                <w:bCs w:val="1"/>
                <w:color w:val="FFFFFF"/>
              </w:rPr>
              <w:t>PROPOSAL</w:t>
            </w:r>
          </w:p>
        </w:tc>
        <w:tc>
          <w:tcPr>
            <w:tcW w:w="5560" w:type="dxa"/>
            <w:vAlign w:val="bottom"/>
          </w:tcPr>
          <w:p>
            <w:pPr>
              <w:ind w:left="380"/>
              <w:spacing w:after="0"/>
              <w:rPr>
                <w:sz w:val="20"/>
                <w:szCs w:val="20"/>
                <w:color w:val="auto"/>
              </w:rPr>
            </w:pPr>
            <w:r>
              <w:rPr>
                <w:rFonts w:ascii="Arial" w:cs="Arial" w:eastAsia="Arial" w:hAnsi="Arial"/>
                <w:sz w:val="25"/>
                <w:szCs w:val="25"/>
                <w:b w:val="1"/>
                <w:bCs w:val="1"/>
                <w:color w:val="auto"/>
              </w:rPr>
              <w:t>APPROVAL OF INDEPENDENT</w:t>
            </w:r>
          </w:p>
        </w:tc>
        <w:tc>
          <w:tcPr>
            <w:tcW w:w="2040" w:type="dxa"/>
            <w:vAlign w:val="bottom"/>
          </w:tcPr>
          <w:p>
            <w:pPr>
              <w:ind w:left="1500"/>
              <w:spacing w:after="0"/>
              <w:rPr>
                <w:sz w:val="20"/>
                <w:szCs w:val="20"/>
                <w:color w:val="auto"/>
              </w:rPr>
            </w:pPr>
            <w:r>
              <w:rPr>
                <w:rFonts w:ascii="Arial" w:cs="Arial" w:eastAsia="Arial" w:hAnsi="Arial"/>
                <w:sz w:val="25"/>
                <w:szCs w:val="25"/>
                <w:b w:val="1"/>
                <w:bCs w:val="1"/>
                <w:color w:val="D7282F"/>
                <w:w w:val="98"/>
              </w:rPr>
              <w:t>FOR</w:t>
            </w:r>
          </w:p>
        </w:tc>
      </w:tr>
    </w:tbl>
    <w:p>
      <w:pPr>
        <w:ind w:left="2340" w:hanging="1399"/>
        <w:spacing w:after="0" w:line="182" w:lineRule="auto"/>
        <w:tabs>
          <w:tab w:leader="none" w:pos="2340" w:val="left"/>
        </w:tabs>
        <w:numPr>
          <w:ilvl w:val="1"/>
          <w:numId w:val="27"/>
        </w:numPr>
        <w:rPr>
          <w:rFonts w:ascii="Arial" w:cs="Arial" w:eastAsia="Arial" w:hAnsi="Arial"/>
          <w:sz w:val="41"/>
          <w:szCs w:val="41"/>
          <w:b w:val="1"/>
          <w:bCs w:val="1"/>
          <w:color w:val="FFFFFF"/>
        </w:rPr>
      </w:pPr>
      <w:r>
        <w:rPr>
          <w:rFonts w:ascii="Arial" w:cs="Arial" w:eastAsia="Arial" w:hAnsi="Arial"/>
          <w:sz w:val="21"/>
          <w:szCs w:val="21"/>
          <w:b w:val="1"/>
          <w:bCs w:val="1"/>
          <w:color w:val="auto"/>
        </w:rPr>
        <w:t>ACCOUNTANTS</w:t>
      </w:r>
    </w:p>
    <w:p>
      <w:pPr>
        <w:spacing w:after="0" w:line="200" w:lineRule="exact"/>
        <w:rPr>
          <w:rFonts w:ascii="Arial" w:cs="Arial" w:eastAsia="Arial" w:hAnsi="Arial"/>
          <w:sz w:val="41"/>
          <w:szCs w:val="41"/>
          <w:b w:val="1"/>
          <w:bCs w:val="1"/>
          <w:color w:val="FFFFFF"/>
        </w:rPr>
      </w:pPr>
    </w:p>
    <w:p>
      <w:pPr>
        <w:spacing w:after="0" w:line="327" w:lineRule="exact"/>
        <w:rPr>
          <w:rFonts w:ascii="Arial" w:cs="Arial" w:eastAsia="Arial" w:hAnsi="Arial"/>
          <w:sz w:val="41"/>
          <w:szCs w:val="41"/>
          <w:b w:val="1"/>
          <w:bCs w:val="1"/>
          <w:color w:val="FFFFFF"/>
        </w:rPr>
      </w:pPr>
    </w:p>
    <w:p>
      <w:pPr>
        <w:ind w:left="200" w:right="20" w:hanging="192"/>
        <w:spacing w:after="0" w:line="286" w:lineRule="auto"/>
        <w:tabs>
          <w:tab w:leader="none" w:pos="197" w:val="left"/>
        </w:tabs>
        <w:numPr>
          <w:ilvl w:val="0"/>
          <w:numId w:val="27"/>
        </w:numPr>
        <w:rPr>
          <w:rFonts w:ascii="Arial" w:cs="Arial" w:eastAsia="Arial" w:hAnsi="Arial"/>
          <w:sz w:val="16"/>
          <w:szCs w:val="16"/>
          <w:b w:val="1"/>
          <w:bCs w:val="1"/>
          <w:color w:val="D7282F"/>
        </w:rPr>
      </w:pPr>
      <w:r>
        <w:rPr>
          <w:rFonts w:ascii="Arial" w:cs="Arial" w:eastAsia="Arial" w:hAnsi="Arial"/>
          <w:sz w:val="16"/>
          <w:szCs w:val="16"/>
          <w:color w:val="auto"/>
        </w:rPr>
        <w:t>Approve Deloitte &amp; Touche LLP (Deloitte) as independent accountants for Honeywell to audit its consolidated financial statements for 2026 and to perform audit-related services.</w:t>
      </w:r>
    </w:p>
    <w:p>
      <w:pPr>
        <w:spacing w:after="0" w:line="20" w:lineRule="exact"/>
        <w:rPr>
          <w:rFonts w:ascii="Arial" w:cs="Arial" w:eastAsia="Arial" w:hAnsi="Arial"/>
          <w:sz w:val="16"/>
          <w:szCs w:val="16"/>
          <w:b w:val="1"/>
          <w:bCs w:val="1"/>
          <w:color w:val="D7282F"/>
        </w:rPr>
      </w:pPr>
    </w:p>
    <w:p>
      <w:pPr>
        <w:ind w:left="200" w:right="200" w:hanging="192"/>
        <w:spacing w:after="0" w:line="286" w:lineRule="auto"/>
        <w:tabs>
          <w:tab w:leader="none" w:pos="197" w:val="left"/>
        </w:tabs>
        <w:numPr>
          <w:ilvl w:val="0"/>
          <w:numId w:val="27"/>
        </w:numPr>
        <w:rPr>
          <w:rFonts w:ascii="Arial" w:cs="Arial" w:eastAsia="Arial" w:hAnsi="Arial"/>
          <w:sz w:val="16"/>
          <w:szCs w:val="16"/>
          <w:b w:val="1"/>
          <w:bCs w:val="1"/>
          <w:color w:val="D7282F"/>
        </w:rPr>
      </w:pPr>
      <w:r>
        <w:rPr>
          <w:rFonts w:ascii="Arial" w:cs="Arial" w:eastAsia="Arial" w:hAnsi="Arial"/>
          <w:sz w:val="16"/>
          <w:szCs w:val="16"/>
          <w:color w:val="auto"/>
        </w:rPr>
        <w:t>Honeywell's Board of Directors and its Audit Committee believe that the continued retention of Deloitte as the Company's independent registered public accounting firm is in the best interests of the Company and its shareowners.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003415" cy="7289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003415" cy="728980"/>
                    </a:xfrm>
                    <a:prstGeom prst="rect">
                      <a:avLst/>
                    </a:prstGeom>
                    <a:noFill/>
                  </pic:spPr>
                </pic:pic>
              </a:graphicData>
            </a:graphic>
          </wp:anchor>
        </w:drawing>
      </w:r>
    </w:p>
    <w:p>
      <w:pPr>
        <w:spacing w:after="0" w:line="340" w:lineRule="exact"/>
        <w:rPr>
          <w:sz w:val="20"/>
          <w:szCs w:val="20"/>
          <w:color w:val="auto"/>
        </w:rPr>
      </w:pPr>
    </w:p>
    <w:tbl>
      <w:tblPr>
        <w:tblLayout w:type="fixed"/>
        <w:tblInd w:w="620" w:type="dxa"/>
        <w:tblCellMar>
          <w:top w:w="0" w:type="dxa"/>
          <w:left w:w="0" w:type="dxa"/>
          <w:bottom w:w="0" w:type="dxa"/>
          <w:right w:w="0" w:type="dxa"/>
        </w:tblCellMar>
      </w:tblPr>
      <w:tr>
        <w:trPr>
          <w:trHeight w:val="287"/>
        </w:trPr>
        <w:tc>
          <w:tcPr>
            <w:tcW w:w="1340" w:type="dxa"/>
            <w:vAlign w:val="bottom"/>
          </w:tcPr>
          <w:p>
            <w:pPr>
              <w:spacing w:after="0"/>
              <w:rPr>
                <w:sz w:val="20"/>
                <w:szCs w:val="20"/>
                <w:color w:val="auto"/>
              </w:rPr>
            </w:pPr>
            <w:r>
              <w:rPr>
                <w:rFonts w:ascii="Arial" w:cs="Arial" w:eastAsia="Arial" w:hAnsi="Arial"/>
                <w:sz w:val="17"/>
                <w:szCs w:val="17"/>
                <w:b w:val="1"/>
                <w:bCs w:val="1"/>
                <w:color w:val="FFFFFF"/>
              </w:rPr>
              <w:t>PROPOSAL</w:t>
            </w:r>
          </w:p>
        </w:tc>
        <w:tc>
          <w:tcPr>
            <w:tcW w:w="5940" w:type="dxa"/>
            <w:vAlign w:val="bottom"/>
          </w:tcPr>
          <w:p>
            <w:pPr>
              <w:ind w:left="380"/>
              <w:spacing w:after="0"/>
              <w:rPr>
                <w:sz w:val="20"/>
                <w:szCs w:val="20"/>
                <w:color w:val="auto"/>
              </w:rPr>
            </w:pPr>
            <w:r>
              <w:rPr>
                <w:rFonts w:ascii="Arial" w:cs="Arial" w:eastAsia="Arial" w:hAnsi="Arial"/>
                <w:sz w:val="25"/>
                <w:szCs w:val="25"/>
                <w:b w:val="1"/>
                <w:bCs w:val="1"/>
                <w:color w:val="auto"/>
              </w:rPr>
              <w:t>REVERSE STOCK SPLIT PROPOSAL</w:t>
            </w:r>
          </w:p>
        </w:tc>
        <w:tc>
          <w:tcPr>
            <w:tcW w:w="1660" w:type="dxa"/>
            <w:vAlign w:val="bottom"/>
          </w:tcPr>
          <w:p>
            <w:pPr>
              <w:ind w:left="1120"/>
              <w:spacing w:after="0"/>
              <w:rPr>
                <w:sz w:val="20"/>
                <w:szCs w:val="20"/>
                <w:color w:val="auto"/>
              </w:rPr>
            </w:pPr>
            <w:r>
              <w:rPr>
                <w:rFonts w:ascii="Arial" w:cs="Arial" w:eastAsia="Arial" w:hAnsi="Arial"/>
                <w:sz w:val="25"/>
                <w:szCs w:val="25"/>
                <w:b w:val="1"/>
                <w:bCs w:val="1"/>
                <w:color w:val="D7282F"/>
                <w:w w:val="98"/>
              </w:rPr>
              <w:t>FOR</w:t>
            </w:r>
          </w:p>
        </w:tc>
      </w:tr>
    </w:tbl>
    <w:p>
      <w:pPr>
        <w:ind w:left="940"/>
        <w:spacing w:after="0"/>
        <w:rPr>
          <w:sz w:val="20"/>
          <w:szCs w:val="20"/>
          <w:color w:val="auto"/>
        </w:rPr>
      </w:pPr>
      <w:r>
        <w:rPr>
          <w:rFonts w:ascii="Arial" w:cs="Arial" w:eastAsia="Arial" w:hAnsi="Arial"/>
          <w:sz w:val="58"/>
          <w:szCs w:val="58"/>
          <w:b w:val="1"/>
          <w:bCs w:val="1"/>
          <w:color w:val="FFFFFF"/>
        </w:rPr>
        <w:t>4</w:t>
      </w:r>
    </w:p>
    <w:p>
      <w:pPr>
        <w:spacing w:after="0" w:line="218" w:lineRule="exact"/>
        <w:rPr>
          <w:sz w:val="20"/>
          <w:szCs w:val="20"/>
          <w:color w:val="auto"/>
        </w:rPr>
      </w:pPr>
    </w:p>
    <w:p>
      <w:pPr>
        <w:ind w:left="200" w:right="20" w:hanging="192"/>
        <w:spacing w:after="0" w:line="299" w:lineRule="auto"/>
        <w:tabs>
          <w:tab w:leader="none" w:pos="197" w:val="left"/>
        </w:tabs>
        <w:numPr>
          <w:ilvl w:val="0"/>
          <w:numId w:val="28"/>
        </w:numPr>
        <w:rPr>
          <w:rFonts w:ascii="Arial" w:cs="Arial" w:eastAsia="Arial" w:hAnsi="Arial"/>
          <w:sz w:val="16"/>
          <w:szCs w:val="16"/>
          <w:b w:val="1"/>
          <w:bCs w:val="1"/>
          <w:color w:val="D7282F"/>
        </w:rPr>
      </w:pPr>
      <w:r>
        <w:rPr>
          <w:rFonts w:ascii="Arial" w:cs="Arial" w:eastAsia="Arial" w:hAnsi="Arial"/>
          <w:sz w:val="16"/>
          <w:szCs w:val="16"/>
          <w:color w:val="auto"/>
        </w:rPr>
        <w:t>Approve an amendment to our Amended and Restated Certificate of Incorporation to effect, at the discretion of the Board at any time prior to the one-year anniversary of the 2026 annual meeting, the following:</w:t>
      </w:r>
    </w:p>
    <w:p>
      <w:pPr>
        <w:ind w:left="400" w:hanging="198"/>
        <w:spacing w:after="0"/>
        <w:tabs>
          <w:tab w:leader="none" w:pos="400" w:val="left"/>
        </w:tabs>
        <w:numPr>
          <w:ilvl w:val="1"/>
          <w:numId w:val="28"/>
        </w:numPr>
        <w:rPr>
          <w:rFonts w:ascii="Arial" w:cs="Arial" w:eastAsia="Arial" w:hAnsi="Arial"/>
          <w:sz w:val="16"/>
          <w:szCs w:val="16"/>
          <w:b w:val="1"/>
          <w:bCs w:val="1"/>
          <w:color w:val="D7282F"/>
        </w:rPr>
      </w:pPr>
      <w:r>
        <w:rPr>
          <w:rFonts w:ascii="Arial" w:cs="Arial" w:eastAsia="Arial" w:hAnsi="Arial"/>
          <w:sz w:val="16"/>
          <w:szCs w:val="16"/>
          <w:color w:val="auto"/>
        </w:rPr>
        <w:t>a reverse stock split at a ratio of 1-for-2 and</w:t>
      </w:r>
    </w:p>
    <w:p>
      <w:pPr>
        <w:spacing w:after="0" w:line="86" w:lineRule="exact"/>
        <w:rPr>
          <w:rFonts w:ascii="Arial" w:cs="Arial" w:eastAsia="Arial" w:hAnsi="Arial"/>
          <w:sz w:val="16"/>
          <w:szCs w:val="16"/>
          <w:b w:val="1"/>
          <w:bCs w:val="1"/>
          <w:color w:val="D7282F"/>
        </w:rPr>
      </w:pPr>
    </w:p>
    <w:p>
      <w:pPr>
        <w:ind w:left="400" w:right="340" w:hanging="198"/>
        <w:spacing w:after="0" w:line="286" w:lineRule="auto"/>
        <w:tabs>
          <w:tab w:leader="none" w:pos="397" w:val="left"/>
        </w:tabs>
        <w:numPr>
          <w:ilvl w:val="1"/>
          <w:numId w:val="28"/>
        </w:numPr>
        <w:rPr>
          <w:rFonts w:ascii="Arial" w:cs="Arial" w:eastAsia="Arial" w:hAnsi="Arial"/>
          <w:sz w:val="16"/>
          <w:szCs w:val="16"/>
          <w:b w:val="1"/>
          <w:bCs w:val="1"/>
          <w:color w:val="D7282F"/>
        </w:rPr>
      </w:pPr>
      <w:r>
        <w:rPr>
          <w:rFonts w:ascii="Arial" w:cs="Arial" w:eastAsia="Arial" w:hAnsi="Arial"/>
          <w:sz w:val="16"/>
          <w:szCs w:val="16"/>
          <w:color w:val="auto"/>
        </w:rPr>
        <w:t>contemporaneously with the reverse stock split, a corresponding proportionate reduction in the total number of shares of Honeywell common stock authorized for issuance under our Amended and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003415" cy="7289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003415" cy="728980"/>
                    </a:xfrm>
                    <a:prstGeom prst="rect">
                      <a:avLst/>
                    </a:prstGeom>
                    <a:noFill/>
                  </pic:spPr>
                </pic:pic>
              </a:graphicData>
            </a:graphic>
          </wp:anchor>
        </w:drawing>
      </w:r>
    </w:p>
    <w:p>
      <w:pPr>
        <w:spacing w:after="0" w:line="353" w:lineRule="exact"/>
        <w:rPr>
          <w:sz w:val="20"/>
          <w:szCs w:val="20"/>
          <w:color w:val="auto"/>
        </w:rPr>
      </w:pPr>
    </w:p>
    <w:tbl>
      <w:tblPr>
        <w:tblLayout w:type="fixed"/>
        <w:tblInd w:w="620" w:type="dxa"/>
        <w:tblCellMar>
          <w:top w:w="0" w:type="dxa"/>
          <w:left w:w="0" w:type="dxa"/>
          <w:bottom w:w="0" w:type="dxa"/>
          <w:right w:w="0" w:type="dxa"/>
        </w:tblCellMar>
      </w:tblPr>
      <w:tr>
        <w:trPr>
          <w:trHeight w:val="287"/>
        </w:trPr>
        <w:tc>
          <w:tcPr>
            <w:tcW w:w="1340" w:type="dxa"/>
            <w:vAlign w:val="bottom"/>
          </w:tcPr>
          <w:p>
            <w:pPr>
              <w:spacing w:after="0"/>
              <w:rPr>
                <w:sz w:val="20"/>
                <w:szCs w:val="20"/>
                <w:color w:val="auto"/>
              </w:rPr>
            </w:pPr>
            <w:r>
              <w:rPr>
                <w:rFonts w:ascii="Arial" w:cs="Arial" w:eastAsia="Arial" w:hAnsi="Arial"/>
                <w:sz w:val="17"/>
                <w:szCs w:val="17"/>
                <w:b w:val="1"/>
                <w:bCs w:val="1"/>
                <w:color w:val="FFFFFF"/>
              </w:rPr>
              <w:t>PROPOSAL</w:t>
            </w:r>
          </w:p>
        </w:tc>
        <w:tc>
          <w:tcPr>
            <w:tcW w:w="6560" w:type="dxa"/>
            <w:vAlign w:val="bottom"/>
          </w:tcPr>
          <w:p>
            <w:pPr>
              <w:ind w:left="380"/>
              <w:spacing w:after="0"/>
              <w:rPr>
                <w:sz w:val="20"/>
                <w:szCs w:val="20"/>
                <w:color w:val="auto"/>
              </w:rPr>
            </w:pPr>
            <w:r>
              <w:rPr>
                <w:rFonts w:ascii="Arial" w:cs="Arial" w:eastAsia="Arial" w:hAnsi="Arial"/>
                <w:sz w:val="25"/>
                <w:szCs w:val="25"/>
                <w:b w:val="1"/>
                <w:bCs w:val="1"/>
                <w:color w:val="auto"/>
              </w:rPr>
              <w:t>SHAREOWNER PROPOSAL — SHAREHOLDER</w:t>
            </w:r>
          </w:p>
        </w:tc>
        <w:tc>
          <w:tcPr>
            <w:tcW w:w="1640" w:type="dxa"/>
            <w:vAlign w:val="bottom"/>
          </w:tcPr>
          <w:p>
            <w:pPr>
              <w:ind w:left="500"/>
              <w:spacing w:after="0"/>
              <w:rPr>
                <w:sz w:val="20"/>
                <w:szCs w:val="20"/>
                <w:color w:val="auto"/>
              </w:rPr>
            </w:pPr>
            <w:r>
              <w:rPr>
                <w:rFonts w:ascii="Arial" w:cs="Arial" w:eastAsia="Arial" w:hAnsi="Arial"/>
                <w:sz w:val="25"/>
                <w:szCs w:val="25"/>
                <w:b w:val="1"/>
                <w:bCs w:val="1"/>
                <w:color w:val="939598"/>
                <w:w w:val="99"/>
              </w:rPr>
              <w:t>AGAINST</w:t>
            </w:r>
          </w:p>
        </w:tc>
      </w:tr>
    </w:tbl>
    <w:p>
      <w:pPr>
        <w:ind w:left="2340" w:hanging="1399"/>
        <w:spacing w:after="0" w:line="182" w:lineRule="auto"/>
        <w:tabs>
          <w:tab w:leader="none" w:pos="2340" w:val="left"/>
        </w:tabs>
        <w:numPr>
          <w:ilvl w:val="0"/>
          <w:numId w:val="29"/>
        </w:numPr>
        <w:rPr>
          <w:rFonts w:ascii="Arial" w:cs="Arial" w:eastAsia="Arial" w:hAnsi="Arial"/>
          <w:sz w:val="41"/>
          <w:szCs w:val="41"/>
          <w:b w:val="1"/>
          <w:bCs w:val="1"/>
          <w:color w:val="FFFFFF"/>
        </w:rPr>
      </w:pPr>
      <w:r>
        <w:rPr>
          <w:rFonts w:ascii="Arial" w:cs="Arial" w:eastAsia="Arial" w:hAnsi="Arial"/>
          <w:sz w:val="21"/>
          <w:szCs w:val="21"/>
          <w:b w:val="1"/>
          <w:bCs w:val="1"/>
          <w:color w:val="auto"/>
        </w:rPr>
        <w:t>RIGHT TO ACT BY WRITTEN CONSENT</w:t>
      </w:r>
    </w:p>
    <w:p>
      <w:pPr>
        <w:spacing w:after="0" w:line="200" w:lineRule="exact"/>
        <w:rPr>
          <w:sz w:val="20"/>
          <w:szCs w:val="20"/>
          <w:color w:val="auto"/>
        </w:rPr>
      </w:pPr>
    </w:p>
    <w:p>
      <w:pPr>
        <w:spacing w:after="0" w:line="314"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Shareowner proposal requests that the Board take the necessary steps to permit written consent by the shareowners entitled to cast the minimum number of votes that would be necessary to authorize an action at a meeting at which all shareowners entitled to vote thereon were present and voting (without any unnecessary restriction based on length of stock ownership or the method by which shareowners hold their shares). This includes shareowner ability to initiate any appropriate topic for written consent.</w:t>
      </w:r>
    </w:p>
    <w:p>
      <w:pPr>
        <w:spacing w:after="0" w:line="60" w:lineRule="exact"/>
        <w:rPr>
          <w:sz w:val="20"/>
          <w:szCs w:val="20"/>
          <w:color w:val="auto"/>
        </w:rPr>
      </w:pPr>
    </w:p>
    <w:p>
      <w:pPr>
        <w:ind w:left="200" w:hanging="192"/>
        <w:spacing w:after="0"/>
        <w:tabs>
          <w:tab w:leader="none" w:pos="200" w:val="left"/>
        </w:tabs>
        <w:numPr>
          <w:ilvl w:val="0"/>
          <w:numId w:val="30"/>
        </w:numPr>
        <w:rPr>
          <w:rFonts w:ascii="Arial" w:cs="Arial" w:eastAsia="Arial" w:hAnsi="Arial"/>
          <w:sz w:val="16"/>
          <w:szCs w:val="16"/>
          <w:b w:val="1"/>
          <w:bCs w:val="1"/>
          <w:color w:val="D7282F"/>
        </w:rPr>
      </w:pPr>
      <w:r>
        <w:rPr>
          <w:rFonts w:ascii="Arial" w:cs="Arial" w:eastAsia="Arial" w:hAnsi="Arial"/>
          <w:sz w:val="16"/>
          <w:szCs w:val="16"/>
          <w:color w:val="auto"/>
        </w:rPr>
        <w:t xml:space="preserve">Honeywell's Board recommends </w:t>
      </w:r>
      <w:r>
        <w:rPr>
          <w:rFonts w:ascii="Arial" w:cs="Arial" w:eastAsia="Arial" w:hAnsi="Arial"/>
          <w:sz w:val="16"/>
          <w:szCs w:val="16"/>
          <w:b w:val="1"/>
          <w:bCs w:val="1"/>
          <w:color w:val="D7282F"/>
        </w:rPr>
        <w:t>“AGAINST”</w:t>
      </w:r>
      <w:r>
        <w:rPr>
          <w:rFonts w:ascii="Arial" w:cs="Arial" w:eastAsia="Arial" w:hAnsi="Arial"/>
          <w:sz w:val="16"/>
          <w:szCs w:val="16"/>
          <w:color w:val="auto"/>
        </w:rPr>
        <w:t xml:space="preserve"> this proposal.</w:t>
      </w:r>
    </w:p>
    <w:p>
      <w:pPr>
        <w:spacing w:after="0" w:line="86" w:lineRule="exact"/>
        <w:rPr>
          <w:rFonts w:ascii="Arial" w:cs="Arial" w:eastAsia="Arial" w:hAnsi="Arial"/>
          <w:sz w:val="16"/>
          <w:szCs w:val="16"/>
          <w:b w:val="1"/>
          <w:bCs w:val="1"/>
          <w:color w:val="D7282F"/>
        </w:rPr>
      </w:pPr>
    </w:p>
    <w:p>
      <w:pPr>
        <w:ind w:left="200" w:hanging="192"/>
        <w:spacing w:after="0"/>
        <w:tabs>
          <w:tab w:leader="none" w:pos="200" w:val="left"/>
        </w:tabs>
        <w:numPr>
          <w:ilvl w:val="0"/>
          <w:numId w:val="30"/>
        </w:numPr>
        <w:rPr>
          <w:rFonts w:ascii="Arial" w:cs="Arial" w:eastAsia="Arial" w:hAnsi="Arial"/>
          <w:sz w:val="16"/>
          <w:szCs w:val="16"/>
          <w:b w:val="1"/>
          <w:bCs w:val="1"/>
          <w:color w:val="D7282F"/>
        </w:rPr>
      </w:pPr>
      <w:r>
        <w:rPr>
          <w:rFonts w:ascii="Arial" w:cs="Arial" w:eastAsia="Arial" w:hAnsi="Arial"/>
          <w:sz w:val="16"/>
          <w:szCs w:val="16"/>
          <w:color w:val="auto"/>
        </w:rPr>
        <w:t>Matters requiring shareowner approval should be presented to, and voted on, by shareowners at a meeting where all shareowners can participate.</w:t>
      </w:r>
    </w:p>
    <w:p>
      <w:pPr>
        <w:spacing w:after="0" w:line="72" w:lineRule="exact"/>
        <w:rPr>
          <w:rFonts w:ascii="Arial" w:cs="Arial" w:eastAsia="Arial" w:hAnsi="Arial"/>
          <w:sz w:val="16"/>
          <w:szCs w:val="16"/>
          <w:b w:val="1"/>
          <w:bCs w:val="1"/>
          <w:color w:val="D7282F"/>
        </w:rPr>
      </w:pPr>
    </w:p>
    <w:p>
      <w:pPr>
        <w:ind w:left="200" w:hanging="192"/>
        <w:spacing w:after="0"/>
        <w:tabs>
          <w:tab w:leader="none" w:pos="200" w:val="left"/>
        </w:tabs>
        <w:numPr>
          <w:ilvl w:val="0"/>
          <w:numId w:val="30"/>
        </w:numPr>
        <w:rPr>
          <w:rFonts w:ascii="Arial" w:cs="Arial" w:eastAsia="Arial" w:hAnsi="Arial"/>
          <w:sz w:val="16"/>
          <w:szCs w:val="16"/>
          <w:b w:val="1"/>
          <w:bCs w:val="1"/>
          <w:color w:val="D7282F"/>
        </w:rPr>
      </w:pPr>
      <w:r>
        <w:rPr>
          <w:rFonts w:ascii="Arial" w:cs="Arial" w:eastAsia="Arial" w:hAnsi="Arial"/>
          <w:sz w:val="16"/>
          <w:szCs w:val="16"/>
          <w:color w:val="auto"/>
        </w:rPr>
        <w:t>Shareowners holding 15% of our outstanding shares already have the right to call a special meeting.</w:t>
      </w:r>
    </w:p>
    <w:p>
      <w:pPr>
        <w:spacing w:after="0" w:line="86" w:lineRule="exact"/>
        <w:rPr>
          <w:rFonts w:ascii="Arial" w:cs="Arial" w:eastAsia="Arial" w:hAnsi="Arial"/>
          <w:sz w:val="16"/>
          <w:szCs w:val="16"/>
          <w:b w:val="1"/>
          <w:bCs w:val="1"/>
          <w:color w:val="D7282F"/>
        </w:rPr>
      </w:pPr>
    </w:p>
    <w:p>
      <w:pPr>
        <w:ind w:left="200" w:right="180" w:hanging="192"/>
        <w:spacing w:after="0" w:line="299" w:lineRule="auto"/>
        <w:tabs>
          <w:tab w:leader="none" w:pos="197" w:val="left"/>
        </w:tabs>
        <w:numPr>
          <w:ilvl w:val="0"/>
          <w:numId w:val="30"/>
        </w:numPr>
        <w:rPr>
          <w:rFonts w:ascii="Arial" w:cs="Arial" w:eastAsia="Arial" w:hAnsi="Arial"/>
          <w:sz w:val="16"/>
          <w:szCs w:val="16"/>
          <w:b w:val="1"/>
          <w:bCs w:val="1"/>
          <w:color w:val="D7282F"/>
        </w:rPr>
      </w:pPr>
      <w:r>
        <w:rPr>
          <w:rFonts w:ascii="Arial" w:cs="Arial" w:eastAsia="Arial" w:hAnsi="Arial"/>
          <w:sz w:val="16"/>
          <w:szCs w:val="16"/>
          <w:color w:val="auto"/>
        </w:rPr>
        <w:t>The majority of shareowners with whom we have previously discussed this matter believe that the right to act by written consent is not necessary where shareowners already have the right to call a special meeting.</w:t>
      </w:r>
    </w:p>
    <w:p>
      <w:pPr>
        <w:ind w:left="200" w:hanging="192"/>
        <w:spacing w:after="0"/>
        <w:tabs>
          <w:tab w:leader="none" w:pos="200" w:val="left"/>
        </w:tabs>
        <w:numPr>
          <w:ilvl w:val="0"/>
          <w:numId w:val="30"/>
        </w:numPr>
        <w:rPr>
          <w:rFonts w:ascii="Arial" w:cs="Arial" w:eastAsia="Arial" w:hAnsi="Arial"/>
          <w:sz w:val="16"/>
          <w:szCs w:val="16"/>
          <w:b w:val="1"/>
          <w:bCs w:val="1"/>
          <w:color w:val="D7282F"/>
        </w:rPr>
      </w:pPr>
      <w:r>
        <w:rPr>
          <w:rFonts w:ascii="Arial" w:cs="Arial" w:eastAsia="Arial" w:hAnsi="Arial"/>
          <w:sz w:val="16"/>
          <w:szCs w:val="16"/>
          <w:color w:val="auto"/>
        </w:rPr>
        <w:t>The right to act by written consent is unnecessary given Honeywell's strong corporate governance practices.</w:t>
      </w:r>
    </w:p>
    <w:p>
      <w:pPr>
        <w:spacing w:after="0" w:line="86" w:lineRule="exact"/>
        <w:rPr>
          <w:rFonts w:ascii="Arial" w:cs="Arial" w:eastAsia="Arial" w:hAnsi="Arial"/>
          <w:sz w:val="16"/>
          <w:szCs w:val="16"/>
          <w:b w:val="1"/>
          <w:bCs w:val="1"/>
          <w:color w:val="D7282F"/>
        </w:rPr>
      </w:pPr>
    </w:p>
    <w:p>
      <w:pPr>
        <w:ind w:left="200" w:hanging="192"/>
        <w:spacing w:after="0"/>
        <w:tabs>
          <w:tab w:leader="none" w:pos="200" w:val="left"/>
        </w:tabs>
        <w:numPr>
          <w:ilvl w:val="0"/>
          <w:numId w:val="30"/>
        </w:numPr>
        <w:rPr>
          <w:rFonts w:ascii="Arial" w:cs="Arial" w:eastAsia="Arial" w:hAnsi="Arial"/>
          <w:sz w:val="16"/>
          <w:szCs w:val="16"/>
          <w:b w:val="1"/>
          <w:bCs w:val="1"/>
          <w:color w:val="D7282F"/>
        </w:rPr>
      </w:pPr>
      <w:r>
        <w:rPr>
          <w:rFonts w:ascii="Arial" w:cs="Arial" w:eastAsia="Arial" w:hAnsi="Arial"/>
          <w:sz w:val="16"/>
          <w:szCs w:val="16"/>
          <w:color w:val="auto"/>
        </w:rPr>
        <w:t>Honeywell shareowners have rejected similar proposals six times since 2013.</w:t>
      </w:r>
    </w:p>
    <w:p>
      <w:pPr>
        <w:spacing w:after="0" w:line="222"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sz w:val="1"/>
          <w:szCs w:val="1"/>
          <w:color w:val="auto"/>
        </w:rPr>
        <w:drawing>
          <wp:inline distT="0" distB="0" distL="0" distR="0">
            <wp:extent cx="548640" cy="102870"/>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2026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sectPr>
      </w:pPr>
    </w:p>
    <w:bookmarkStart w:id="20" w:name="page21"/>
    <w:bookmarkEnd w:id="20"/>
    <w:p>
      <w:pPr>
        <w:spacing w:after="0"/>
        <w:rPr>
          <w:sz w:val="20"/>
          <w:szCs w:val="20"/>
          <w:color w:val="auto"/>
        </w:rPr>
      </w:pPr>
      <w:r>
        <w:rPr>
          <w:rFonts w:ascii="Arial" w:cs="Arial" w:eastAsia="Arial" w:hAnsi="Arial"/>
          <w:sz w:val="45"/>
          <w:szCs w:val="45"/>
          <w:b w:val="1"/>
          <w:bCs w:val="1"/>
          <w:color w:val="auto"/>
        </w:rPr>
        <w:t>PROPOSAL 1:</w:t>
      </w:r>
    </w:p>
    <w:p>
      <w:pPr>
        <w:spacing w:after="0" w:line="69" w:lineRule="exact"/>
        <w:rPr>
          <w:sz w:val="20"/>
          <w:szCs w:val="20"/>
          <w:color w:val="auto"/>
        </w:rPr>
      </w:pPr>
    </w:p>
    <w:p>
      <w:pPr>
        <w:spacing w:after="0"/>
        <w:rPr>
          <w:sz w:val="20"/>
          <w:szCs w:val="20"/>
          <w:color w:val="auto"/>
        </w:rPr>
      </w:pPr>
      <w:r>
        <w:rPr>
          <w:rFonts w:ascii="Arial" w:cs="Arial" w:eastAsia="Arial" w:hAnsi="Arial"/>
          <w:sz w:val="45"/>
          <w:szCs w:val="45"/>
          <w:b w:val="1"/>
          <w:bCs w:val="1"/>
          <w:color w:val="auto"/>
        </w:rPr>
        <w:t>ELECTION OF DIRECTORS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Honeywell’s Corporate Governance Guidelines set forth a clear vision statement for the composition of the Board:</w:t>
      </w:r>
    </w:p>
    <w:p>
      <w:pPr>
        <w:spacing w:after="0" w:line="113" w:lineRule="exact"/>
        <w:rPr>
          <w:sz w:val="20"/>
          <w:szCs w:val="20"/>
          <w:color w:val="auto"/>
        </w:rPr>
      </w:pPr>
    </w:p>
    <w:p>
      <w:pPr>
        <w:ind w:left="140" w:right="320"/>
        <w:spacing w:after="0" w:line="271" w:lineRule="auto"/>
        <w:rPr>
          <w:sz w:val="20"/>
          <w:szCs w:val="20"/>
          <w:color w:val="auto"/>
        </w:rPr>
      </w:pPr>
      <w:r>
        <w:rPr>
          <w:rFonts w:ascii="Arial" w:cs="Arial" w:eastAsia="Arial" w:hAnsi="Arial"/>
          <w:sz w:val="16"/>
          <w:szCs w:val="16"/>
          <w:color w:val="auto"/>
        </w:rPr>
        <w:t>“The composition of Honeywell’s Board, as well as the perspective and skills of its individual members, needs to effectively support Honeywell’s growth and commercial strategy. Collectively, the Board must also be capable of overseeing risk management, capital allocation, and leadership succession. Board composition and the members’ perspective and skills should evolve at an appropriate pace to meet the challenges of Honeywell’s changing commercial and strategic goals.”</w:t>
      </w:r>
    </w:p>
    <w:p>
      <w:pPr>
        <w:spacing w:after="0" w:line="60"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Consistent with this vision, the Corporate Governance and Responsibility Committee (CGRC) has responsibility for identifying a slate of director nominees who collectively have the complementary experience, qualifications, skills, and attributes to guide the Company and function effectively as a Board.</w:t>
      </w:r>
    </w:p>
    <w:p>
      <w:pPr>
        <w:spacing w:after="0" w:line="61"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The CGRC believes that each of the nominees presented in this Proxy Statement has key personal attributes that are important to an effective Board: integrity, candor, analytical skills, willingness to engage management and each other in a constructive and collaborative fashion, and ability and commitment to devote significant time and energy to service on the Board and its committees. The CGRC also considered specific experiences, qualifications, and skills that Honeywell believes are critical in light of its strategic priorities, business objectives, operations, and structure.</w:t>
      </w:r>
    </w:p>
    <w:p>
      <w:pPr>
        <w:spacing w:after="0" w:line="65"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Honeywell’s directors are elected at each Annual Meeting of Shareowners and hold office for one-year terms until the next Annual Meeting of Shareowners and until their successors have been duly elected and qualified. Honeywell’s By-laws provide that in any uncontested election of directors (an election in which the number of nominees does not exceed the number of directors to be elected), any nominee who receives a greater number of votes cast “FOR” his or her election than votes cast “AGAINST” his or her election (excluding abstentions) will be elected to the Board of Directors. The By-laws also provide that any incumbent nominee who does not receive a majority of votes cast in an uncontested election is expected to promptly tender his or her resignation to the Chairman of the Board following the certification of the shareowner vote. This resignation will be promptly considered through a process managed by the CGRC, excluding any director nominees who did not receive a majority of votes cast to elect him or her to the Board.</w:t>
      </w:r>
    </w:p>
    <w:p>
      <w:pPr>
        <w:spacing w:after="0" w:line="66"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Since the 2025 Annual Meeting of Shareowners, there have been several changes to the composition of our Board. On May 28, 2025, Honeywell entered into a cooperation agreement with Elliott Investment Management L.P. and certain affiliates pursuant to which the Board agreed to increase its size to 12 members and appoint Marc Steinberg as an independent director, effective May 31, 2025, with an initial term expiring at this Annual Meeting. On October 30, 2025, in connection with the completion of the spin-off of the Advanced Materials business into Solstice Advanced Materials, Rose Lee resigned from the Honeywell Board and joined the Solstice Board of Directors. On November 3, 2025, Honeywell announced that Craig Arnold had been selected to serve as the non-executive Chairman of the Honeywell Aerospace Board upon the completion of Honeywell Aerospace's planned separation and, in the interim, that he would serve on Honeywell's Board as an independent director, effective as of November 3, 2025. On December 10, 2025, the Board appointed Ms. Indra K. Nooyi as an independent director effective January 1, 2026. In addition, Kevin Burke is not standing for re-election at this Annual Meeting because he has reached mandatory retirement age. As such, following the Annual Meeting, the size of our Board will consist of 12 members.</w:t>
      </w:r>
    </w:p>
    <w:p>
      <w:pPr>
        <w:spacing w:after="0" w:line="83"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As described on page 12, we anticipate that Messrs. Arnold, Ayer and Davis and Ms. Flint will leave the Honeywell Board in connection with the spin-off of the Company’s Aerospace business, which is currently expected to occur in the third quarter of 2026, and become directors of Honeywell Aerospace, and that the remaining directors will continue as directors of the Company. The Board believes that the resulting board of directors of each company will possess collective and complementary experiences, qualifications, and skills that are well-aligned to each company’s strategic priorities, business objectives, operations, and structure.</w:t>
      </w:r>
    </w:p>
    <w:p>
      <w:pPr>
        <w:spacing w:after="0" w:line="70"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The Board has nominated 12 candidates for election as directors, each of whom currently serves as a director. If any nominee should become unavailable to serve prior to the Annual Meeting, the shares represented by a properly signed and returned proxy card or voted by telephone, via the Internet, or by scanning the QR code will be voted for the election of such other person as may be designated by the Board. The Board may also determine to leave the vacancy temporarily unfilled or reduce the authorized number of directors in accordance with the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158750</wp:posOffset>
            </wp:positionV>
            <wp:extent cx="34290" cy="419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419735"/>
                    </a:xfrm>
                    <a:prstGeom prst="rect">
                      <a:avLst/>
                    </a:prstGeom>
                    <a:noFill/>
                  </pic:spPr>
                </pic:pic>
              </a:graphicData>
            </a:graphic>
          </wp:anchor>
        </w:drawing>
      </w:r>
    </w:p>
    <w:p>
      <w:pPr>
        <w:spacing w:after="0" w:line="232" w:lineRule="exact"/>
        <w:rPr>
          <w:sz w:val="20"/>
          <w:szCs w:val="20"/>
          <w:color w:val="auto"/>
        </w:rPr>
      </w:pPr>
    </w:p>
    <w:p>
      <w:pPr>
        <w:ind w:left="160" w:right="240"/>
        <w:spacing w:after="0" w:line="298" w:lineRule="auto"/>
        <w:rPr>
          <w:sz w:val="20"/>
          <w:szCs w:val="20"/>
          <w:color w:val="auto"/>
        </w:rPr>
      </w:pPr>
      <w:r>
        <w:rPr>
          <w:rFonts w:ascii="Arial" w:cs="Arial" w:eastAsia="Arial" w:hAnsi="Arial"/>
          <w:sz w:val="25"/>
          <w:szCs w:val="25"/>
          <w:b w:val="1"/>
          <w:bCs w:val="1"/>
          <w:color w:val="auto"/>
        </w:rPr>
        <w:t xml:space="preserve">THE BOARD OF DIRECTORS UNANIMOUSLY RECOMMENDS A VOTE </w:t>
      </w:r>
      <w:r>
        <w:rPr>
          <w:rFonts w:ascii="Arial" w:cs="Arial" w:eastAsia="Arial" w:hAnsi="Arial"/>
          <w:sz w:val="25"/>
          <w:szCs w:val="25"/>
          <w:b w:val="1"/>
          <w:bCs w:val="1"/>
          <w:color w:val="D7282F"/>
        </w:rPr>
        <w:t>FOR</w:t>
      </w:r>
      <w:r>
        <w:rPr>
          <w:rFonts w:ascii="Arial" w:cs="Arial" w:eastAsia="Arial" w:hAnsi="Arial"/>
          <w:sz w:val="25"/>
          <w:szCs w:val="25"/>
          <w:b w:val="1"/>
          <w:bCs w:val="1"/>
          <w:color w:val="auto"/>
        </w:rPr>
        <w:t xml:space="preserve"> THE ELECTION OF EACH NOMINEE.</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2026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17</w:t>
            </w:r>
          </w:p>
        </w:tc>
      </w:tr>
      <w:tr>
        <w:trPr>
          <w:trHeight w:val="359"/>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-368300</wp:posOffset>
            </wp:positionV>
            <wp:extent cx="548640" cy="1028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1293" w:right="339" w:bottom="1440" w:gutter="0" w:footer="0" w:header="0"/>
        </w:sectPr>
      </w:pPr>
    </w:p>
    <w:bookmarkStart w:id="21" w:name="page22"/>
    <w:bookmarkEnd w:id="21"/>
    <w:p>
      <w:pPr>
        <w:spacing w:after="0"/>
        <w:rPr>
          <w:sz w:val="20"/>
          <w:szCs w:val="20"/>
          <w:color w:val="auto"/>
        </w:rPr>
      </w:pPr>
      <w:r>
        <w:rPr>
          <w:rFonts w:ascii="Arial" w:cs="Arial" w:eastAsia="Arial" w:hAnsi="Arial"/>
          <w:sz w:val="13"/>
          <w:szCs w:val="13"/>
          <w:b w:val="1"/>
          <w:bCs w:val="1"/>
          <w:color w:val="6D6E71"/>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DIRECTOR SKILLS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132715</wp:posOffset>
            </wp:positionV>
            <wp:extent cx="342900" cy="45173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0" cy="4517390"/>
                    </a:xfrm>
                    <a:prstGeom prst="rect">
                      <a:avLst/>
                    </a:prstGeom>
                    <a:noFill/>
                  </pic:spPr>
                </pic:pic>
              </a:graphicData>
            </a:graphic>
          </wp:anchor>
        </w:drawing>
      </w:r>
    </w:p>
    <w:p>
      <w:pPr>
        <w:spacing w:after="0" w:line="207" w:lineRule="exact"/>
        <w:rPr>
          <w:sz w:val="20"/>
          <w:szCs w:val="20"/>
          <w:color w:val="auto"/>
        </w:rPr>
      </w:pPr>
    </w:p>
    <w:p>
      <w:pPr>
        <w:ind w:left="3100" w:right="40"/>
        <w:spacing w:after="0" w:line="261" w:lineRule="auto"/>
        <w:rPr>
          <w:sz w:val="20"/>
          <w:szCs w:val="20"/>
          <w:color w:val="auto"/>
        </w:rPr>
      </w:pPr>
      <w:r>
        <w:rPr>
          <w:rFonts w:ascii="Arial" w:cs="Arial" w:eastAsia="Arial" w:hAnsi="Arial"/>
          <w:sz w:val="14"/>
          <w:szCs w:val="14"/>
          <w:color w:val="auto"/>
        </w:rPr>
        <w:t>Growing sales outside of the United States, particularly in what we consider high-growth regions (HGRs), is a central part of our long-term strategy for growth. Hence, exposure to markets and economies outside of the United States is an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-215900</wp:posOffset>
            </wp:positionV>
            <wp:extent cx="171450" cy="1714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3100" w:right="560" w:hanging="2159"/>
        <w:spacing w:after="0" w:line="284" w:lineRule="auto"/>
        <w:tabs>
          <w:tab w:leader="none" w:pos="3080" w:val="left"/>
        </w:tabs>
        <w:rPr>
          <w:sz w:val="20"/>
          <w:szCs w:val="20"/>
          <w:color w:val="auto"/>
        </w:rPr>
      </w:pPr>
      <w:r>
        <w:rPr>
          <w:rFonts w:ascii="Arial" w:cs="Arial" w:eastAsia="Arial" w:hAnsi="Arial"/>
          <w:sz w:val="14"/>
          <w:szCs w:val="14"/>
          <w:b w:val="1"/>
          <w:bCs w:val="1"/>
          <w:color w:val="auto"/>
        </w:rPr>
        <w:t>GLOBAL EXPERIENCE</w:t>
      </w:r>
      <w:r>
        <w:rPr>
          <w:sz w:val="20"/>
          <w:szCs w:val="20"/>
          <w:color w:val="auto"/>
        </w:rPr>
        <w:tab/>
      </w:r>
      <w:r>
        <w:rPr>
          <w:rFonts w:ascii="Arial" w:cs="Arial" w:eastAsia="Arial" w:hAnsi="Arial"/>
          <w:sz w:val="14"/>
          <w:szCs w:val="14"/>
          <w:color w:val="auto"/>
        </w:rPr>
        <w:t>qualification for our directors. This exposure can take many forms, including government affairs, regulatory, managerial, or commercial.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149225</wp:posOffset>
            </wp:positionV>
            <wp:extent cx="65493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549390" cy="8255"/>
                    </a:xfrm>
                    <a:prstGeom prst="rect">
                      <a:avLst/>
                    </a:prstGeom>
                    <a:noFill/>
                  </pic:spPr>
                </pic:pic>
              </a:graphicData>
            </a:graphic>
          </wp:anchor>
        </w:drawing>
      </w:r>
    </w:p>
    <w:p>
      <w:pPr>
        <w:sectPr>
          <w:pgSz w:w="11900" w:h="16838" w:orient="portrait"/>
          <w:cols w:equalWidth="0" w:num="1">
            <w:col w:w="11240"/>
          </w:cols>
          <w:pgMar w:left="320" w:top="230" w:right="339" w:bottom="83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940"/>
        <w:spacing w:after="0" w:line="287" w:lineRule="auto"/>
        <w:rPr>
          <w:sz w:val="20"/>
          <w:szCs w:val="20"/>
          <w:color w:val="auto"/>
        </w:rPr>
      </w:pPr>
      <w:r>
        <w:rPr>
          <w:rFonts w:ascii="Arial" w:cs="Arial" w:eastAsia="Arial" w:hAnsi="Arial"/>
          <w:sz w:val="14"/>
          <w:szCs w:val="14"/>
          <w:b w:val="1"/>
          <w:bCs w:val="1"/>
          <w:color w:val="auto"/>
        </w:rPr>
        <w:t>REGULATED INDUSTRIES /GOVERNMENT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-591820</wp:posOffset>
            </wp:positionV>
            <wp:extent cx="171450" cy="1797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7145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ind w:right="60"/>
        <w:spacing w:after="0" w:line="269" w:lineRule="auto"/>
        <w:rPr>
          <w:sz w:val="20"/>
          <w:szCs w:val="20"/>
          <w:color w:val="auto"/>
        </w:rPr>
      </w:pPr>
      <w:r>
        <w:rPr>
          <w:rFonts w:ascii="Arial" w:cs="Arial" w:eastAsia="Arial" w:hAnsi="Arial"/>
          <w:sz w:val="14"/>
          <w:szCs w:val="14"/>
          <w:color w:val="auto"/>
        </w:rPr>
        <w:t>Honeywell is subject to a broad array of government regulations, and demand for our products and services can be impacted by changes in law or regulation in areas such as aviation safety, security, and energy efficiency. It is important to have directors with experience in government and regulated industries that provide them with insight and perspective in working constructively and proactively with governments and agencies globally.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-1379855</wp:posOffset>
            </wp:positionH>
            <wp:positionV relativeFrom="paragraph">
              <wp:posOffset>310515</wp:posOffset>
            </wp:positionV>
            <wp:extent cx="654939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549390" cy="8890"/>
                    </a:xfrm>
                    <a:prstGeom prst="rect">
                      <a:avLst/>
                    </a:prstGeom>
                    <a:noFill/>
                  </pic:spPr>
                </pic:pic>
              </a:graphicData>
            </a:graphic>
          </wp:anchor>
        </w:drawing>
      </w:r>
    </w:p>
    <w:p>
      <w:pPr>
        <w:spacing w:after="0" w:line="420" w:lineRule="exact"/>
        <w:rPr>
          <w:sz w:val="20"/>
          <w:szCs w:val="20"/>
          <w:color w:val="auto"/>
        </w:rPr>
      </w:pPr>
    </w:p>
    <w:p>
      <w:pPr>
        <w:sectPr>
          <w:pgSz w:w="11900" w:h="16838" w:orient="portrait"/>
          <w:cols w:equalWidth="0" w:num="2">
            <w:col w:w="2740" w:space="360"/>
            <w:col w:w="8140"/>
          </w:cols>
          <w:pgMar w:left="320" w:top="230" w:right="339" w:bottom="838" w:gutter="0" w:footer="0" w:header="0"/>
          <w:type w:val="continuous"/>
        </w:sectPr>
      </w:pP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280" w:type="dxa"/>
            <w:vAlign w:val="bottom"/>
          </w:tcPr>
          <w:p>
            <w:pPr>
              <w:ind w:left="140"/>
              <w:spacing w:after="0"/>
              <w:rPr>
                <w:sz w:val="20"/>
                <w:szCs w:val="20"/>
                <w:color w:val="auto"/>
              </w:rPr>
            </w:pPr>
            <w:r>
              <w:rPr>
                <w:rFonts w:ascii="Arial" w:cs="Arial" w:eastAsia="Arial" w:hAnsi="Arial"/>
                <w:sz w:val="14"/>
                <w:szCs w:val="14"/>
                <w:color w:val="auto"/>
              </w:rPr>
              <w:t>With Honeywell’s transformation to a software-industrial company in the digital age, expertise in combining software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8280" w:type="dxa"/>
            <w:vAlign w:val="bottom"/>
          </w:tcPr>
          <w:p>
            <w:pPr>
              <w:ind w:left="140"/>
              <w:spacing w:after="0"/>
              <w:rPr>
                <w:sz w:val="20"/>
                <w:szCs w:val="20"/>
                <w:color w:val="auto"/>
              </w:rPr>
            </w:pPr>
            <w:r>
              <w:rPr>
                <w:rFonts w:ascii="Arial" w:cs="Arial" w:eastAsia="Arial" w:hAnsi="Arial"/>
                <w:sz w:val="14"/>
                <w:szCs w:val="14"/>
                <w:color w:val="auto"/>
              </w:rPr>
              <w:t>programming capabilities with leading-edge physical products and domain knowledge is critical to opening and securing new</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40" w:type="dxa"/>
            <w:vAlign w:val="bottom"/>
          </w:tcPr>
          <w:p>
            <w:pPr>
              <w:ind w:left="20"/>
              <w:spacing w:after="0"/>
              <w:rPr>
                <w:sz w:val="20"/>
                <w:szCs w:val="20"/>
                <w:color w:val="auto"/>
              </w:rPr>
            </w:pPr>
            <w:r>
              <w:rPr>
                <w:rFonts w:ascii="Arial" w:cs="Arial" w:eastAsia="Arial" w:hAnsi="Arial"/>
                <w:sz w:val="14"/>
                <w:szCs w:val="14"/>
                <w:b w:val="1"/>
                <w:bCs w:val="1"/>
                <w:color w:val="auto"/>
              </w:rPr>
              <w:t>INNOVATION AND</w:t>
            </w:r>
          </w:p>
        </w:tc>
        <w:tc>
          <w:tcPr>
            <w:tcW w:w="8280" w:type="dxa"/>
            <w:vAlign w:val="bottom"/>
          </w:tcPr>
          <w:p>
            <w:pPr>
              <w:ind w:left="140"/>
              <w:spacing w:after="0"/>
              <w:rPr>
                <w:sz w:val="20"/>
                <w:szCs w:val="20"/>
                <w:color w:val="auto"/>
              </w:rPr>
            </w:pPr>
            <w:r>
              <w:rPr>
                <w:rFonts w:ascii="Arial" w:cs="Arial" w:eastAsia="Arial" w:hAnsi="Arial"/>
                <w:sz w:val="14"/>
                <w:szCs w:val="14"/>
                <w:color w:val="auto"/>
              </w:rPr>
              <w:t>growth paths for all of our businesses.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40" w:type="dxa"/>
            <w:vAlign w:val="bottom"/>
          </w:tcPr>
          <w:p>
            <w:pPr>
              <w:ind w:left="20"/>
              <w:spacing w:after="0"/>
              <w:rPr>
                <w:sz w:val="20"/>
                <w:szCs w:val="20"/>
                <w:color w:val="auto"/>
              </w:rPr>
            </w:pPr>
            <w:r>
              <w:rPr>
                <w:rFonts w:ascii="Arial" w:cs="Arial" w:eastAsia="Arial" w:hAnsi="Arial"/>
                <w:sz w:val="14"/>
                <w:szCs w:val="14"/>
                <w:b w:val="1"/>
                <w:bCs w:val="1"/>
                <w:color w:val="auto"/>
              </w:rPr>
              <w:t>TECHNOLOGY</w:t>
            </w:r>
          </w:p>
        </w:tc>
        <w:tc>
          <w:tcPr>
            <w:tcW w:w="8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40" w:type="dxa"/>
            <w:vAlign w:val="bottom"/>
            <w:tcBorders>
              <w:bottom w:val="single" w:sz="8" w:color="D7282F"/>
            </w:tcBorders>
          </w:tcPr>
          <w:p>
            <w:pPr>
              <w:spacing w:after="0"/>
              <w:rPr>
                <w:sz w:val="10"/>
                <w:szCs w:val="10"/>
                <w:color w:val="auto"/>
              </w:rPr>
            </w:pPr>
          </w:p>
        </w:tc>
        <w:tc>
          <w:tcPr>
            <w:tcW w:w="8280" w:type="dxa"/>
            <w:vAlign w:val="bottom"/>
            <w:tcBorders>
              <w:bottom w:val="single" w:sz="8" w:color="D7282F"/>
            </w:tcBorders>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8280" w:type="dxa"/>
            <w:vAlign w:val="bottom"/>
          </w:tcPr>
          <w:p>
            <w:pPr>
              <w:ind w:left="140"/>
              <w:spacing w:after="0"/>
              <w:rPr>
                <w:sz w:val="20"/>
                <w:szCs w:val="20"/>
                <w:color w:val="auto"/>
              </w:rPr>
            </w:pPr>
            <w:r>
              <w:rPr>
                <w:rFonts w:ascii="Arial" w:cs="Arial" w:eastAsia="Arial" w:hAnsi="Arial"/>
                <w:sz w:val="14"/>
                <w:szCs w:val="14"/>
                <w:color w:val="auto"/>
              </w:rPr>
              <w:t>Developing new markets for products and services is critical for driving growth. Honeywell directors who have that expertise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8280" w:type="dxa"/>
            <w:vAlign w:val="bottom"/>
          </w:tcPr>
          <w:p>
            <w:pPr>
              <w:ind w:left="140"/>
              <w:spacing w:after="0"/>
              <w:rPr>
                <w:sz w:val="20"/>
                <w:szCs w:val="20"/>
                <w:color w:val="auto"/>
              </w:rPr>
            </w:pPr>
            <w:r>
              <w:rPr>
                <w:rFonts w:ascii="Arial" w:cs="Arial" w:eastAsia="Arial" w:hAnsi="Arial"/>
                <w:sz w:val="14"/>
                <w:szCs w:val="14"/>
                <w:color w:val="auto"/>
              </w:rPr>
              <w:t>provide a much-desired perspective on how to better market and brand our products and services.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ind w:left="20"/>
              <w:spacing w:after="0"/>
              <w:rPr>
                <w:sz w:val="20"/>
                <w:szCs w:val="20"/>
                <w:color w:val="auto"/>
              </w:rPr>
            </w:pPr>
            <w:r>
              <w:rPr>
                <w:rFonts w:ascii="Arial" w:cs="Arial" w:eastAsia="Arial" w:hAnsi="Arial"/>
                <w:sz w:val="14"/>
                <w:szCs w:val="14"/>
                <w:b w:val="1"/>
                <w:bCs w:val="1"/>
                <w:color w:val="auto"/>
              </w:rPr>
              <w:t>MARKETING</w:t>
            </w:r>
          </w:p>
        </w:tc>
        <w:tc>
          <w:tcPr>
            <w:tcW w:w="8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40" w:type="dxa"/>
            <w:vAlign w:val="bottom"/>
            <w:tcBorders>
              <w:bottom w:val="single" w:sz="8" w:color="D7282F"/>
            </w:tcBorders>
          </w:tcPr>
          <w:p>
            <w:pPr>
              <w:spacing w:after="0"/>
              <w:rPr>
                <w:sz w:val="22"/>
                <w:szCs w:val="22"/>
                <w:color w:val="auto"/>
              </w:rPr>
            </w:pPr>
          </w:p>
        </w:tc>
        <w:tc>
          <w:tcPr>
            <w:tcW w:w="8280" w:type="dxa"/>
            <w:vAlign w:val="bottom"/>
            <w:tcBorders>
              <w:bottom w:val="single" w:sz="8" w:color="D7282F"/>
            </w:tcBorders>
          </w:tcPr>
          <w:p>
            <w:pPr>
              <w:spacing w:after="0"/>
              <w:rPr>
                <w:sz w:val="22"/>
                <w:szCs w:val="22"/>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280" w:type="dxa"/>
            <w:vAlign w:val="bottom"/>
          </w:tcPr>
          <w:p>
            <w:pPr>
              <w:ind w:left="140"/>
              <w:spacing w:after="0"/>
              <w:rPr>
                <w:sz w:val="20"/>
                <w:szCs w:val="20"/>
                <w:color w:val="auto"/>
              </w:rPr>
            </w:pPr>
            <w:r>
              <w:rPr>
                <w:rFonts w:ascii="Arial" w:cs="Arial" w:eastAsia="Arial" w:hAnsi="Arial"/>
                <w:sz w:val="14"/>
                <w:szCs w:val="14"/>
                <w:color w:val="auto"/>
              </w:rPr>
              <w:t>Honeywell is realigning our portfolio to three powerful megatrends: Automation, the Future of Aviation, and the Energy</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8280" w:type="dxa"/>
            <w:vAlign w:val="bottom"/>
          </w:tcPr>
          <w:p>
            <w:pPr>
              <w:ind w:left="140"/>
              <w:spacing w:after="0"/>
              <w:rPr>
                <w:sz w:val="20"/>
                <w:szCs w:val="20"/>
                <w:color w:val="auto"/>
              </w:rPr>
            </w:pPr>
            <w:r>
              <w:rPr>
                <w:rFonts w:ascii="Arial" w:cs="Arial" w:eastAsia="Arial" w:hAnsi="Arial"/>
                <w:sz w:val="14"/>
                <w:szCs w:val="14"/>
                <w:color w:val="auto"/>
              </w:rPr>
              <w:t>Transition, all underpinned by digitalization. Experience in related industries, end markets, and growth areas enables a better</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40" w:type="dxa"/>
            <w:vAlign w:val="bottom"/>
          </w:tcPr>
          <w:p>
            <w:pPr>
              <w:ind w:left="20"/>
              <w:spacing w:after="0"/>
              <w:rPr>
                <w:sz w:val="20"/>
                <w:szCs w:val="20"/>
                <w:color w:val="auto"/>
              </w:rPr>
            </w:pPr>
            <w:r>
              <w:rPr>
                <w:rFonts w:ascii="Arial" w:cs="Arial" w:eastAsia="Arial" w:hAnsi="Arial"/>
                <w:sz w:val="14"/>
                <w:szCs w:val="14"/>
                <w:b w:val="1"/>
                <w:bCs w:val="1"/>
                <w:color w:val="auto"/>
              </w:rPr>
              <w:t>ALIGNMENT TO</w:t>
            </w:r>
          </w:p>
        </w:tc>
        <w:tc>
          <w:tcPr>
            <w:tcW w:w="8280" w:type="dxa"/>
            <w:vAlign w:val="bottom"/>
          </w:tcPr>
          <w:p>
            <w:pPr>
              <w:ind w:left="140"/>
              <w:spacing w:after="0"/>
              <w:rPr>
                <w:sz w:val="20"/>
                <w:szCs w:val="20"/>
                <w:color w:val="auto"/>
              </w:rPr>
            </w:pPr>
            <w:r>
              <w:rPr>
                <w:rFonts w:ascii="Arial" w:cs="Arial" w:eastAsia="Arial" w:hAnsi="Arial"/>
                <w:sz w:val="14"/>
                <w:szCs w:val="14"/>
                <w:color w:val="auto"/>
              </w:rPr>
              <w:t>understanding of the risks and opportunities facing these businesses.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40" w:type="dxa"/>
            <w:vAlign w:val="bottom"/>
          </w:tcPr>
          <w:p>
            <w:pPr>
              <w:ind w:left="20"/>
              <w:spacing w:after="0"/>
              <w:rPr>
                <w:sz w:val="20"/>
                <w:szCs w:val="20"/>
                <w:color w:val="auto"/>
              </w:rPr>
            </w:pPr>
            <w:r>
              <w:rPr>
                <w:rFonts w:ascii="Arial" w:cs="Arial" w:eastAsia="Arial" w:hAnsi="Arial"/>
                <w:sz w:val="14"/>
                <w:szCs w:val="14"/>
                <w:b w:val="1"/>
                <w:bCs w:val="1"/>
                <w:color w:val="auto"/>
              </w:rPr>
              <w:t>MEGATRENDS /</w:t>
            </w:r>
          </w:p>
        </w:tc>
        <w:tc>
          <w:tcPr>
            <w:tcW w:w="8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40" w:type="dxa"/>
            <w:vAlign w:val="bottom"/>
          </w:tcPr>
          <w:p>
            <w:pPr>
              <w:ind w:left="20"/>
              <w:spacing w:after="0"/>
              <w:rPr>
                <w:sz w:val="20"/>
                <w:szCs w:val="20"/>
                <w:color w:val="auto"/>
              </w:rPr>
            </w:pPr>
            <w:r>
              <w:rPr>
                <w:rFonts w:ascii="Arial" w:cs="Arial" w:eastAsia="Arial" w:hAnsi="Arial"/>
                <w:sz w:val="14"/>
                <w:szCs w:val="14"/>
                <w:b w:val="1"/>
                <w:bCs w:val="1"/>
                <w:color w:val="auto"/>
              </w:rPr>
              <w:t>DIGITALIZATION</w:t>
            </w:r>
          </w:p>
        </w:tc>
        <w:tc>
          <w:tcPr>
            <w:tcW w:w="8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40" w:type="dxa"/>
            <w:vAlign w:val="bottom"/>
            <w:tcBorders>
              <w:bottom w:val="single" w:sz="8" w:color="D7282F"/>
            </w:tcBorders>
          </w:tcPr>
          <w:p>
            <w:pPr>
              <w:spacing w:after="0"/>
              <w:rPr>
                <w:sz w:val="22"/>
                <w:szCs w:val="22"/>
                <w:color w:val="auto"/>
              </w:rPr>
            </w:pPr>
          </w:p>
        </w:tc>
        <w:tc>
          <w:tcPr>
            <w:tcW w:w="8280" w:type="dxa"/>
            <w:vAlign w:val="bottom"/>
            <w:tcBorders>
              <w:bottom w:val="single" w:sz="8" w:color="D7282F"/>
            </w:tcBorders>
          </w:tcPr>
          <w:p>
            <w:pPr>
              <w:spacing w:after="0"/>
              <w:rPr>
                <w:sz w:val="22"/>
                <w:szCs w:val="22"/>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280" w:type="dxa"/>
            <w:vAlign w:val="bottom"/>
          </w:tcPr>
          <w:p>
            <w:pPr>
              <w:ind w:left="140"/>
              <w:spacing w:after="0"/>
              <w:rPr>
                <w:sz w:val="20"/>
                <w:szCs w:val="20"/>
                <w:color w:val="auto"/>
              </w:rPr>
            </w:pPr>
            <w:r>
              <w:rPr>
                <w:rFonts w:ascii="Arial" w:cs="Arial" w:eastAsia="Arial" w:hAnsi="Arial"/>
                <w:sz w:val="14"/>
                <w:szCs w:val="14"/>
                <w:color w:val="auto"/>
              </w:rPr>
              <w:t>Experience in environmental, social, and governance matters enables management of associated risks and opportunities as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8280" w:type="dxa"/>
            <w:vAlign w:val="bottom"/>
          </w:tcPr>
          <w:p>
            <w:pPr>
              <w:ind w:left="140"/>
              <w:spacing w:after="0"/>
              <w:rPr>
                <w:sz w:val="20"/>
                <w:szCs w:val="20"/>
                <w:color w:val="auto"/>
              </w:rPr>
            </w:pPr>
            <w:r>
              <w:rPr>
                <w:rFonts w:ascii="Arial" w:cs="Arial" w:eastAsia="Arial" w:hAnsi="Arial"/>
                <w:sz w:val="14"/>
                <w:szCs w:val="14"/>
                <w:color w:val="auto"/>
              </w:rPr>
              <w:t>strategic business imperatives. With sustainability at the forefront of Honeywell’s long-term strategy and a critical part of</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40" w:type="dxa"/>
            <w:vAlign w:val="bottom"/>
          </w:tcPr>
          <w:p>
            <w:pPr>
              <w:ind w:left="20"/>
              <w:spacing w:after="0"/>
              <w:rPr>
                <w:sz w:val="20"/>
                <w:szCs w:val="20"/>
                <w:color w:val="auto"/>
              </w:rPr>
            </w:pPr>
            <w:r>
              <w:rPr>
                <w:rFonts w:ascii="Arial" w:cs="Arial" w:eastAsia="Arial" w:hAnsi="Arial"/>
                <w:sz w:val="14"/>
                <w:szCs w:val="14"/>
                <w:b w:val="1"/>
                <w:bCs w:val="1"/>
                <w:color w:val="auto"/>
              </w:rPr>
              <w:t>CORPORATE</w:t>
            </w:r>
          </w:p>
        </w:tc>
        <w:tc>
          <w:tcPr>
            <w:tcW w:w="8280" w:type="dxa"/>
            <w:vAlign w:val="bottom"/>
          </w:tcPr>
          <w:p>
            <w:pPr>
              <w:ind w:left="140"/>
              <w:spacing w:after="0"/>
              <w:rPr>
                <w:sz w:val="20"/>
                <w:szCs w:val="20"/>
                <w:color w:val="auto"/>
              </w:rPr>
            </w:pPr>
            <w:r>
              <w:rPr>
                <w:rFonts w:ascii="Arial" w:cs="Arial" w:eastAsia="Arial" w:hAnsi="Arial"/>
                <w:sz w:val="14"/>
                <w:szCs w:val="14"/>
                <w:color w:val="auto"/>
              </w:rPr>
              <w:t>Honeywell’s commercial offerings, it is important to have directors with expertise in products and solutions that support more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40" w:type="dxa"/>
            <w:vAlign w:val="bottom"/>
          </w:tcPr>
          <w:p>
            <w:pPr>
              <w:ind w:left="20"/>
              <w:spacing w:after="0"/>
              <w:rPr>
                <w:sz w:val="20"/>
                <w:szCs w:val="20"/>
                <w:color w:val="auto"/>
              </w:rPr>
            </w:pPr>
            <w:r>
              <w:rPr>
                <w:rFonts w:ascii="Arial" w:cs="Arial" w:eastAsia="Arial" w:hAnsi="Arial"/>
                <w:sz w:val="14"/>
                <w:szCs w:val="14"/>
                <w:b w:val="1"/>
                <w:bCs w:val="1"/>
                <w:color w:val="auto"/>
              </w:rPr>
              <w:t>RESPONSIBILITY</w:t>
            </w:r>
          </w:p>
        </w:tc>
        <w:tc>
          <w:tcPr>
            <w:tcW w:w="8280" w:type="dxa"/>
            <w:vAlign w:val="bottom"/>
          </w:tcPr>
          <w:p>
            <w:pPr>
              <w:ind w:left="140"/>
              <w:spacing w:after="0"/>
              <w:rPr>
                <w:sz w:val="20"/>
                <w:szCs w:val="20"/>
                <w:color w:val="auto"/>
              </w:rPr>
            </w:pPr>
            <w:r>
              <w:rPr>
                <w:rFonts w:ascii="Arial" w:cs="Arial" w:eastAsia="Arial" w:hAnsi="Arial"/>
                <w:sz w:val="14"/>
                <w:szCs w:val="14"/>
                <w:color w:val="auto"/>
              </w:rPr>
              <w:t>sustainable outcomes, climate change drivers and impacts, corporate social responsibility, human capital management, and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8280" w:type="dxa"/>
            <w:vAlign w:val="bottom"/>
          </w:tcPr>
          <w:p>
            <w:pPr>
              <w:ind w:left="140"/>
              <w:spacing w:after="0"/>
              <w:rPr>
                <w:sz w:val="20"/>
                <w:szCs w:val="20"/>
                <w:color w:val="auto"/>
              </w:rPr>
            </w:pPr>
            <w:r>
              <w:rPr>
                <w:rFonts w:ascii="Arial" w:cs="Arial" w:eastAsia="Arial" w:hAnsi="Arial"/>
                <w:sz w:val="14"/>
                <w:szCs w:val="14"/>
                <w:color w:val="auto"/>
              </w:rPr>
              <w:t>corporate ethics.</w:t>
            </w: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40" w:type="dxa"/>
            <w:vAlign w:val="bottom"/>
            <w:tcBorders>
              <w:bottom w:val="single" w:sz="8" w:color="D7282F"/>
            </w:tcBorders>
          </w:tcPr>
          <w:p>
            <w:pPr>
              <w:spacing w:after="0"/>
              <w:rPr>
                <w:sz w:val="24"/>
                <w:szCs w:val="24"/>
                <w:color w:val="auto"/>
              </w:rPr>
            </w:pPr>
          </w:p>
        </w:tc>
        <w:tc>
          <w:tcPr>
            <w:tcW w:w="8280" w:type="dxa"/>
            <w:vAlign w:val="bottom"/>
            <w:tcBorders>
              <w:bottom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8280" w:type="dxa"/>
            <w:vAlign w:val="bottom"/>
            <w:vMerge w:val="restart"/>
          </w:tcPr>
          <w:p>
            <w:pPr>
              <w:ind w:left="140"/>
              <w:spacing w:after="0"/>
              <w:rPr>
                <w:sz w:val="20"/>
                <w:szCs w:val="20"/>
                <w:color w:val="auto"/>
              </w:rPr>
            </w:pPr>
            <w:r>
              <w:rPr>
                <w:rFonts w:ascii="Arial" w:cs="Arial" w:eastAsia="Arial" w:hAnsi="Arial"/>
                <w:sz w:val="14"/>
                <w:szCs w:val="14"/>
                <w:color w:val="auto"/>
              </w:rPr>
              <w:t>Experience serving as CEO or a senior executive as well as hands-on leadership experience in core management areas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40" w:type="dxa"/>
            <w:vAlign w:val="bottom"/>
            <w:shd w:val="clear" w:color="auto" w:fill="D7282F"/>
          </w:tcPr>
          <w:p>
            <w:pPr>
              <w:spacing w:after="0"/>
              <w:rPr>
                <w:sz w:val="15"/>
                <w:szCs w:val="15"/>
                <w:color w:val="auto"/>
              </w:rPr>
            </w:pPr>
          </w:p>
        </w:tc>
        <w:tc>
          <w:tcPr>
            <w:tcW w:w="3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8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40" w:type="dxa"/>
            <w:vAlign w:val="bottom"/>
            <w:shd w:val="clear" w:color="auto" w:fill="D7282F"/>
          </w:tcPr>
          <w:p>
            <w:pPr>
              <w:spacing w:after="0"/>
              <w:rPr>
                <w:sz w:val="15"/>
                <w:szCs w:val="15"/>
                <w:color w:val="auto"/>
              </w:rPr>
            </w:pPr>
          </w:p>
        </w:tc>
        <w:tc>
          <w:tcPr>
            <w:tcW w:w="3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8280" w:type="dxa"/>
            <w:vAlign w:val="bottom"/>
          </w:tcPr>
          <w:p>
            <w:pPr>
              <w:ind w:left="140"/>
              <w:spacing w:after="0"/>
              <w:rPr>
                <w:sz w:val="20"/>
                <w:szCs w:val="20"/>
                <w:color w:val="auto"/>
              </w:rPr>
            </w:pPr>
            <w:r>
              <w:rPr>
                <w:rFonts w:ascii="Arial" w:cs="Arial" w:eastAsia="Arial" w:hAnsi="Arial"/>
                <w:sz w:val="14"/>
                <w:szCs w:val="14"/>
                <w:color w:val="auto"/>
              </w:rPr>
              <w:t>such as strategic and operational planning, financial reporting, compliance, risk management, and leadership development —</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40" w:type="dxa"/>
            <w:vAlign w:val="bottom"/>
            <w:shd w:val="clear" w:color="auto" w:fill="D7282F"/>
          </w:tcPr>
          <w:p>
            <w:pPr>
              <w:spacing w:after="0"/>
              <w:rPr>
                <w:sz w:val="15"/>
                <w:szCs w:val="15"/>
                <w:color w:val="auto"/>
              </w:rPr>
            </w:pPr>
          </w:p>
        </w:tc>
        <w:tc>
          <w:tcPr>
            <w:tcW w:w="360" w:type="dxa"/>
            <w:vAlign w:val="bottom"/>
          </w:tcPr>
          <w:p>
            <w:pPr>
              <w:spacing w:after="0"/>
              <w:rPr>
                <w:sz w:val="15"/>
                <w:szCs w:val="15"/>
                <w:color w:val="auto"/>
              </w:rPr>
            </w:pPr>
          </w:p>
        </w:tc>
        <w:tc>
          <w:tcPr>
            <w:tcW w:w="2040" w:type="dxa"/>
            <w:vAlign w:val="bottom"/>
          </w:tcPr>
          <w:p>
            <w:pPr>
              <w:ind w:left="20"/>
              <w:spacing w:after="0"/>
              <w:rPr>
                <w:sz w:val="20"/>
                <w:szCs w:val="20"/>
                <w:color w:val="auto"/>
              </w:rPr>
            </w:pPr>
            <w:r>
              <w:rPr>
                <w:rFonts w:ascii="Arial" w:cs="Arial" w:eastAsia="Arial" w:hAnsi="Arial"/>
                <w:sz w:val="14"/>
                <w:szCs w:val="14"/>
                <w:b w:val="1"/>
                <w:bCs w:val="1"/>
                <w:color w:val="D7282F"/>
              </w:rPr>
              <w:t>SENIOR LEADERSHIP</w:t>
            </w:r>
          </w:p>
        </w:tc>
        <w:tc>
          <w:tcPr>
            <w:tcW w:w="8280" w:type="dxa"/>
            <w:vAlign w:val="bottom"/>
          </w:tcPr>
          <w:p>
            <w:pPr>
              <w:ind w:left="140"/>
              <w:spacing w:after="0"/>
              <w:rPr>
                <w:sz w:val="20"/>
                <w:szCs w:val="20"/>
                <w:color w:val="auto"/>
              </w:rPr>
            </w:pPr>
            <w:r>
              <w:rPr>
                <w:rFonts w:ascii="Arial" w:cs="Arial" w:eastAsia="Arial" w:hAnsi="Arial"/>
                <w:sz w:val="14"/>
                <w:szCs w:val="14"/>
                <w:color w:val="auto"/>
              </w:rPr>
              <w:t>provide a practical understanding of complex organizations like Honeywell.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0" w:type="dxa"/>
            <w:vAlign w:val="bottom"/>
            <w:shd w:val="clear" w:color="auto" w:fill="D7282F"/>
          </w:tcPr>
          <w:p>
            <w:pPr>
              <w:spacing w:after="0"/>
              <w:rPr>
                <w:sz w:val="17"/>
                <w:szCs w:val="17"/>
                <w:color w:val="auto"/>
              </w:rPr>
            </w:pPr>
          </w:p>
        </w:tc>
        <w:tc>
          <w:tcPr>
            <w:tcW w:w="360" w:type="dxa"/>
            <w:vAlign w:val="bottom"/>
          </w:tcPr>
          <w:p>
            <w:pPr>
              <w:spacing w:after="0"/>
              <w:rPr>
                <w:sz w:val="17"/>
                <w:szCs w:val="17"/>
                <w:color w:val="auto"/>
              </w:rPr>
            </w:pPr>
          </w:p>
        </w:tc>
        <w:tc>
          <w:tcPr>
            <w:tcW w:w="2040" w:type="dxa"/>
            <w:vAlign w:val="bottom"/>
          </w:tcPr>
          <w:p>
            <w:pPr>
              <w:ind w:left="20"/>
              <w:spacing w:after="0"/>
              <w:rPr>
                <w:sz w:val="20"/>
                <w:szCs w:val="20"/>
                <w:color w:val="auto"/>
              </w:rPr>
            </w:pPr>
            <w:r>
              <w:rPr>
                <w:rFonts w:ascii="Arial" w:cs="Arial" w:eastAsia="Arial" w:hAnsi="Arial"/>
                <w:sz w:val="14"/>
                <w:szCs w:val="14"/>
                <w:b w:val="1"/>
                <w:bCs w:val="1"/>
                <w:color w:val="D7282F"/>
              </w:rPr>
              <w:t>EXPERIENCE</w:t>
            </w:r>
          </w:p>
        </w:tc>
        <w:tc>
          <w:tcPr>
            <w:tcW w:w="8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540" w:type="dxa"/>
            <w:vAlign w:val="bottom"/>
            <w:tcBorders>
              <w:bottom w:val="single" w:sz="8" w:color="D7282F"/>
            </w:tcBorders>
            <w:shd w:val="clear" w:color="auto" w:fill="D7282F"/>
          </w:tcPr>
          <w:p>
            <w:pPr>
              <w:spacing w:after="0"/>
              <w:rPr>
                <w:sz w:val="24"/>
                <w:szCs w:val="24"/>
                <w:color w:val="auto"/>
              </w:rPr>
            </w:pPr>
          </w:p>
        </w:tc>
        <w:tc>
          <w:tcPr>
            <w:tcW w:w="360" w:type="dxa"/>
            <w:vAlign w:val="bottom"/>
          </w:tcPr>
          <w:p>
            <w:pPr>
              <w:spacing w:after="0"/>
              <w:rPr>
                <w:sz w:val="24"/>
                <w:szCs w:val="24"/>
                <w:color w:val="auto"/>
              </w:rPr>
            </w:pPr>
          </w:p>
        </w:tc>
        <w:tc>
          <w:tcPr>
            <w:tcW w:w="2040" w:type="dxa"/>
            <w:vAlign w:val="bottom"/>
            <w:tcBorders>
              <w:bottom w:val="single" w:sz="8" w:color="D7282F"/>
            </w:tcBorders>
          </w:tcPr>
          <w:p>
            <w:pPr>
              <w:spacing w:after="0"/>
              <w:rPr>
                <w:sz w:val="24"/>
                <w:szCs w:val="24"/>
                <w:color w:val="auto"/>
              </w:rPr>
            </w:pPr>
          </w:p>
        </w:tc>
        <w:tc>
          <w:tcPr>
            <w:tcW w:w="8280" w:type="dxa"/>
            <w:vAlign w:val="bottom"/>
            <w:tcBorders>
              <w:bottom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540" w:type="dxa"/>
            <w:vAlign w:val="bottom"/>
            <w:shd w:val="clear" w:color="auto" w:fill="D7282F"/>
          </w:tcPr>
          <w:p>
            <w:pPr>
              <w:spacing w:after="0"/>
              <w:rPr>
                <w:sz w:val="24"/>
                <w:szCs w:val="24"/>
                <w:color w:val="auto"/>
              </w:rPr>
            </w:pPr>
          </w:p>
        </w:tc>
        <w:tc>
          <w:tcPr>
            <w:tcW w:w="3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280" w:type="dxa"/>
            <w:vAlign w:val="bottom"/>
          </w:tcPr>
          <w:p>
            <w:pPr>
              <w:ind w:left="140"/>
              <w:spacing w:after="0"/>
              <w:rPr>
                <w:sz w:val="20"/>
                <w:szCs w:val="20"/>
                <w:color w:val="auto"/>
              </w:rPr>
            </w:pPr>
            <w:r>
              <w:rPr>
                <w:rFonts w:ascii="Arial" w:cs="Arial" w:eastAsia="Arial" w:hAnsi="Arial"/>
                <w:sz w:val="14"/>
                <w:szCs w:val="14"/>
                <w:color w:val="auto"/>
              </w:rPr>
              <w:t>Service on the boards and board committees of other public companies provides an understanding of corporate governance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40" w:type="dxa"/>
            <w:vAlign w:val="bottom"/>
            <w:shd w:val="clear" w:color="auto" w:fill="D7282F"/>
          </w:tcPr>
          <w:p>
            <w:pPr>
              <w:spacing w:after="0"/>
              <w:rPr>
                <w:sz w:val="15"/>
                <w:szCs w:val="15"/>
                <w:color w:val="auto"/>
              </w:rPr>
            </w:pPr>
          </w:p>
        </w:tc>
        <w:tc>
          <w:tcPr>
            <w:tcW w:w="3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8280" w:type="dxa"/>
            <w:vAlign w:val="bottom"/>
          </w:tcPr>
          <w:p>
            <w:pPr>
              <w:ind w:left="140"/>
              <w:spacing w:after="0"/>
              <w:rPr>
                <w:sz w:val="20"/>
                <w:szCs w:val="20"/>
                <w:color w:val="auto"/>
              </w:rPr>
            </w:pPr>
            <w:r>
              <w:rPr>
                <w:rFonts w:ascii="Arial" w:cs="Arial" w:eastAsia="Arial" w:hAnsi="Arial"/>
                <w:sz w:val="14"/>
                <w:szCs w:val="14"/>
                <w:color w:val="auto"/>
              </w:rPr>
              <w:t>practices and trends and insights into board management, relations between the board, the CEO, and senior management,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D7282F"/>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ind w:left="20"/>
              <w:spacing w:after="0"/>
              <w:rPr>
                <w:sz w:val="20"/>
                <w:szCs w:val="20"/>
                <w:color w:val="auto"/>
              </w:rPr>
            </w:pPr>
            <w:r>
              <w:rPr>
                <w:rFonts w:ascii="Arial" w:cs="Arial" w:eastAsia="Arial" w:hAnsi="Arial"/>
                <w:sz w:val="14"/>
                <w:szCs w:val="14"/>
                <w:b w:val="1"/>
                <w:bCs w:val="1"/>
                <w:color w:val="D7282F"/>
              </w:rPr>
              <w:t>PUBLIC COMPANY BOARD</w:t>
            </w:r>
          </w:p>
        </w:tc>
        <w:tc>
          <w:tcPr>
            <w:tcW w:w="8280" w:type="dxa"/>
            <w:vAlign w:val="bottom"/>
          </w:tcPr>
          <w:p>
            <w:pPr>
              <w:ind w:left="140"/>
              <w:spacing w:after="0"/>
              <w:rPr>
                <w:sz w:val="20"/>
                <w:szCs w:val="20"/>
                <w:color w:val="auto"/>
              </w:rPr>
            </w:pPr>
            <w:r>
              <w:rPr>
                <w:rFonts w:ascii="Arial" w:cs="Arial" w:eastAsia="Arial" w:hAnsi="Arial"/>
                <w:sz w:val="14"/>
                <w:szCs w:val="14"/>
                <w:color w:val="auto"/>
              </w:rPr>
              <w:t>agenda setting, and succession planning.</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0" w:type="dxa"/>
            <w:vAlign w:val="bottom"/>
            <w:shd w:val="clear" w:color="auto" w:fill="D7282F"/>
          </w:tcPr>
          <w:p>
            <w:pPr>
              <w:spacing w:after="0"/>
              <w:rPr>
                <w:sz w:val="17"/>
                <w:szCs w:val="17"/>
                <w:color w:val="auto"/>
              </w:rPr>
            </w:pPr>
          </w:p>
        </w:tc>
        <w:tc>
          <w:tcPr>
            <w:tcW w:w="360" w:type="dxa"/>
            <w:vAlign w:val="bottom"/>
          </w:tcPr>
          <w:p>
            <w:pPr>
              <w:spacing w:after="0"/>
              <w:rPr>
                <w:sz w:val="17"/>
                <w:szCs w:val="17"/>
                <w:color w:val="auto"/>
              </w:rPr>
            </w:pPr>
          </w:p>
        </w:tc>
        <w:tc>
          <w:tcPr>
            <w:tcW w:w="2040" w:type="dxa"/>
            <w:vAlign w:val="bottom"/>
          </w:tcPr>
          <w:p>
            <w:pPr>
              <w:ind w:left="20"/>
              <w:spacing w:after="0"/>
              <w:rPr>
                <w:sz w:val="20"/>
                <w:szCs w:val="20"/>
                <w:color w:val="auto"/>
              </w:rPr>
            </w:pPr>
            <w:r>
              <w:rPr>
                <w:rFonts w:ascii="Arial" w:cs="Arial" w:eastAsia="Arial" w:hAnsi="Arial"/>
                <w:sz w:val="14"/>
                <w:szCs w:val="14"/>
                <w:b w:val="1"/>
                <w:bCs w:val="1"/>
                <w:color w:val="D7282F"/>
              </w:rPr>
              <w:t>EXPERIENCE</w:t>
            </w:r>
          </w:p>
        </w:tc>
        <w:tc>
          <w:tcPr>
            <w:tcW w:w="8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540" w:type="dxa"/>
            <w:vAlign w:val="bottom"/>
            <w:tcBorders>
              <w:bottom w:val="single" w:sz="8" w:color="D7282F"/>
            </w:tcBorders>
            <w:shd w:val="clear" w:color="auto" w:fill="D7282F"/>
          </w:tcPr>
          <w:p>
            <w:pPr>
              <w:spacing w:after="0"/>
              <w:rPr>
                <w:sz w:val="22"/>
                <w:szCs w:val="22"/>
                <w:color w:val="auto"/>
              </w:rPr>
            </w:pPr>
          </w:p>
        </w:tc>
        <w:tc>
          <w:tcPr>
            <w:tcW w:w="360" w:type="dxa"/>
            <w:vAlign w:val="bottom"/>
          </w:tcPr>
          <w:p>
            <w:pPr>
              <w:spacing w:after="0"/>
              <w:rPr>
                <w:sz w:val="22"/>
                <w:szCs w:val="22"/>
                <w:color w:val="auto"/>
              </w:rPr>
            </w:pPr>
          </w:p>
        </w:tc>
        <w:tc>
          <w:tcPr>
            <w:tcW w:w="2040" w:type="dxa"/>
            <w:vAlign w:val="bottom"/>
            <w:tcBorders>
              <w:bottom w:val="single" w:sz="8" w:color="D7282F"/>
            </w:tcBorders>
          </w:tcPr>
          <w:p>
            <w:pPr>
              <w:spacing w:after="0"/>
              <w:rPr>
                <w:sz w:val="22"/>
                <w:szCs w:val="22"/>
                <w:color w:val="auto"/>
              </w:rPr>
            </w:pPr>
          </w:p>
        </w:tc>
        <w:tc>
          <w:tcPr>
            <w:tcW w:w="8280" w:type="dxa"/>
            <w:vAlign w:val="bottom"/>
            <w:tcBorders>
              <w:bottom w:val="single" w:sz="8" w:color="D7282F"/>
            </w:tcBorders>
          </w:tcPr>
          <w:p>
            <w:pPr>
              <w:spacing w:after="0"/>
              <w:rPr>
                <w:sz w:val="22"/>
                <w:szCs w:val="22"/>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540" w:type="dxa"/>
            <w:vAlign w:val="bottom"/>
            <w:shd w:val="clear" w:color="auto" w:fill="D7282F"/>
          </w:tcPr>
          <w:p>
            <w:pPr>
              <w:spacing w:after="0"/>
              <w:rPr>
                <w:sz w:val="24"/>
                <w:szCs w:val="24"/>
                <w:color w:val="auto"/>
              </w:rPr>
            </w:pPr>
          </w:p>
        </w:tc>
        <w:tc>
          <w:tcPr>
            <w:tcW w:w="3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280" w:type="dxa"/>
            <w:vAlign w:val="bottom"/>
          </w:tcPr>
          <w:p>
            <w:pPr>
              <w:ind w:left="140"/>
              <w:spacing w:after="0"/>
              <w:rPr>
                <w:sz w:val="20"/>
                <w:szCs w:val="20"/>
                <w:color w:val="auto"/>
              </w:rPr>
            </w:pPr>
            <w:r>
              <w:rPr>
                <w:rFonts w:ascii="Arial" w:cs="Arial" w:eastAsia="Arial" w:hAnsi="Arial"/>
                <w:sz w:val="14"/>
                <w:szCs w:val="14"/>
                <w:color w:val="auto"/>
              </w:rPr>
              <w:t>In light of the Board’s role in risk oversight and the Company’s robust Enterprise Risk Management (ERM) program,</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0" w:type="dxa"/>
            <w:vAlign w:val="bottom"/>
            <w:shd w:val="clear" w:color="auto" w:fill="D7282F"/>
          </w:tcPr>
          <w:p>
            <w:pPr>
              <w:spacing w:after="0"/>
              <w:rPr>
                <w:sz w:val="15"/>
                <w:szCs w:val="15"/>
                <w:color w:val="auto"/>
              </w:rPr>
            </w:pPr>
          </w:p>
        </w:tc>
        <w:tc>
          <w:tcPr>
            <w:tcW w:w="3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8280" w:type="dxa"/>
            <w:vAlign w:val="bottom"/>
          </w:tcPr>
          <w:p>
            <w:pPr>
              <w:ind w:left="140"/>
              <w:spacing w:after="0"/>
              <w:rPr>
                <w:sz w:val="20"/>
                <w:szCs w:val="20"/>
                <w:color w:val="auto"/>
              </w:rPr>
            </w:pPr>
            <w:r>
              <w:rPr>
                <w:rFonts w:ascii="Arial" w:cs="Arial" w:eastAsia="Arial" w:hAnsi="Arial"/>
                <w:sz w:val="14"/>
                <w:szCs w:val="14"/>
                <w:color w:val="auto"/>
              </w:rPr>
              <w:t>Honeywell seeks directors who can help identify, manage, and mitigate key risks, including cybersecurity, regulatory</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0" w:type="dxa"/>
            <w:vAlign w:val="bottom"/>
            <w:shd w:val="clear" w:color="auto" w:fill="D7282F"/>
          </w:tcPr>
          <w:p>
            <w:pPr>
              <w:spacing w:after="0"/>
              <w:rPr>
                <w:sz w:val="20"/>
                <w:szCs w:val="20"/>
                <w:color w:val="auto"/>
              </w:rPr>
            </w:pPr>
          </w:p>
        </w:tc>
        <w:tc>
          <w:tcPr>
            <w:tcW w:w="360" w:type="dxa"/>
            <w:vAlign w:val="bottom"/>
          </w:tcPr>
          <w:p>
            <w:pPr>
              <w:spacing w:after="0"/>
              <w:rPr>
                <w:sz w:val="20"/>
                <w:szCs w:val="20"/>
                <w:color w:val="auto"/>
              </w:rPr>
            </w:pPr>
          </w:p>
        </w:tc>
        <w:tc>
          <w:tcPr>
            <w:tcW w:w="2040" w:type="dxa"/>
            <w:vAlign w:val="bottom"/>
          </w:tcPr>
          <w:p>
            <w:pPr>
              <w:ind w:left="20"/>
              <w:spacing w:after="0"/>
              <w:rPr>
                <w:sz w:val="20"/>
                <w:szCs w:val="20"/>
                <w:color w:val="auto"/>
              </w:rPr>
            </w:pPr>
            <w:r>
              <w:rPr>
                <w:rFonts w:ascii="Arial" w:cs="Arial" w:eastAsia="Arial" w:hAnsi="Arial"/>
                <w:sz w:val="14"/>
                <w:szCs w:val="14"/>
                <w:b w:val="1"/>
                <w:bCs w:val="1"/>
                <w:color w:val="D7282F"/>
              </w:rPr>
              <w:t>RISK MANAGEMENT</w:t>
            </w:r>
          </w:p>
        </w:tc>
        <w:tc>
          <w:tcPr>
            <w:tcW w:w="8280" w:type="dxa"/>
            <w:vAlign w:val="bottom"/>
          </w:tcPr>
          <w:p>
            <w:pPr>
              <w:ind w:left="140"/>
              <w:spacing w:after="0"/>
              <w:rPr>
                <w:sz w:val="20"/>
                <w:szCs w:val="20"/>
                <w:color w:val="auto"/>
              </w:rPr>
            </w:pPr>
            <w:r>
              <w:rPr>
                <w:rFonts w:ascii="Arial" w:cs="Arial" w:eastAsia="Arial" w:hAnsi="Arial"/>
                <w:sz w:val="14"/>
                <w:szCs w:val="14"/>
                <w:color w:val="auto"/>
              </w:rPr>
              <w:t>compliance, competition, brand integrity, human capital, sustainability, and intellectual property.</w:t>
            </w: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540" w:type="dxa"/>
            <w:vAlign w:val="bottom"/>
            <w:tcBorders>
              <w:bottom w:val="single" w:sz="8" w:color="D7282F"/>
            </w:tcBorders>
            <w:shd w:val="clear" w:color="auto" w:fill="D7282F"/>
          </w:tcPr>
          <w:p>
            <w:pPr>
              <w:spacing w:after="0"/>
              <w:rPr>
                <w:sz w:val="24"/>
                <w:szCs w:val="24"/>
                <w:color w:val="auto"/>
              </w:rPr>
            </w:pPr>
          </w:p>
        </w:tc>
        <w:tc>
          <w:tcPr>
            <w:tcW w:w="360" w:type="dxa"/>
            <w:vAlign w:val="bottom"/>
          </w:tcPr>
          <w:p>
            <w:pPr>
              <w:spacing w:after="0"/>
              <w:rPr>
                <w:sz w:val="24"/>
                <w:szCs w:val="24"/>
                <w:color w:val="auto"/>
              </w:rPr>
            </w:pPr>
          </w:p>
        </w:tc>
        <w:tc>
          <w:tcPr>
            <w:tcW w:w="2040" w:type="dxa"/>
            <w:vAlign w:val="bottom"/>
            <w:tcBorders>
              <w:bottom w:val="single" w:sz="8" w:color="D7282F"/>
            </w:tcBorders>
          </w:tcPr>
          <w:p>
            <w:pPr>
              <w:spacing w:after="0"/>
              <w:rPr>
                <w:sz w:val="24"/>
                <w:szCs w:val="24"/>
                <w:color w:val="auto"/>
              </w:rPr>
            </w:pPr>
          </w:p>
        </w:tc>
        <w:tc>
          <w:tcPr>
            <w:tcW w:w="8280" w:type="dxa"/>
            <w:vAlign w:val="bottom"/>
            <w:tcBorders>
              <w:bottom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540" w:type="dxa"/>
            <w:vAlign w:val="bottom"/>
            <w:shd w:val="clear" w:color="auto" w:fill="D7282F"/>
          </w:tcPr>
          <w:p>
            <w:pPr>
              <w:spacing w:after="0"/>
              <w:rPr>
                <w:sz w:val="24"/>
                <w:szCs w:val="24"/>
                <w:color w:val="auto"/>
              </w:rPr>
            </w:pPr>
          </w:p>
        </w:tc>
        <w:tc>
          <w:tcPr>
            <w:tcW w:w="3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280" w:type="dxa"/>
            <w:vAlign w:val="bottom"/>
          </w:tcPr>
          <w:p>
            <w:pPr>
              <w:ind w:left="140"/>
              <w:spacing w:after="0"/>
              <w:rPr>
                <w:sz w:val="20"/>
                <w:szCs w:val="20"/>
                <w:color w:val="auto"/>
              </w:rPr>
            </w:pPr>
            <w:r>
              <w:rPr>
                <w:rFonts w:ascii="Arial" w:cs="Arial" w:eastAsia="Arial" w:hAnsi="Arial"/>
                <w:sz w:val="14"/>
                <w:szCs w:val="14"/>
                <w:color w:val="auto"/>
              </w:rPr>
              <w:t>The Company believes an understanding of finance, investment, mergers and acquisitions, and financial reporting processes is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40" w:type="dxa"/>
            <w:vAlign w:val="bottom"/>
            <w:shd w:val="clear" w:color="auto" w:fill="D7282F"/>
          </w:tcPr>
          <w:p>
            <w:pPr>
              <w:spacing w:after="0"/>
              <w:rPr>
                <w:sz w:val="15"/>
                <w:szCs w:val="15"/>
                <w:color w:val="auto"/>
              </w:rPr>
            </w:pPr>
          </w:p>
        </w:tc>
        <w:tc>
          <w:tcPr>
            <w:tcW w:w="3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8280" w:type="dxa"/>
            <w:vAlign w:val="bottom"/>
          </w:tcPr>
          <w:p>
            <w:pPr>
              <w:ind w:left="140"/>
              <w:spacing w:after="0"/>
              <w:rPr>
                <w:sz w:val="20"/>
                <w:szCs w:val="20"/>
                <w:color w:val="auto"/>
              </w:rPr>
            </w:pPr>
            <w:r>
              <w:rPr>
                <w:rFonts w:ascii="Arial" w:cs="Arial" w:eastAsia="Arial" w:hAnsi="Arial"/>
                <w:sz w:val="14"/>
                <w:szCs w:val="14"/>
                <w:color w:val="auto"/>
              </w:rPr>
              <w:t>important for its directors to enable them to monitor and assess the Company’s operating and strategic performance and to</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40" w:type="dxa"/>
            <w:vAlign w:val="bottom"/>
            <w:shd w:val="clear" w:color="auto" w:fill="D7282F"/>
          </w:tcPr>
          <w:p>
            <w:pPr>
              <w:spacing w:after="0"/>
              <w:rPr>
                <w:sz w:val="15"/>
                <w:szCs w:val="15"/>
                <w:color w:val="auto"/>
              </w:rPr>
            </w:pPr>
          </w:p>
        </w:tc>
        <w:tc>
          <w:tcPr>
            <w:tcW w:w="360" w:type="dxa"/>
            <w:vAlign w:val="bottom"/>
          </w:tcPr>
          <w:p>
            <w:pPr>
              <w:spacing w:after="0"/>
              <w:rPr>
                <w:sz w:val="15"/>
                <w:szCs w:val="15"/>
                <w:color w:val="auto"/>
              </w:rPr>
            </w:pPr>
          </w:p>
        </w:tc>
        <w:tc>
          <w:tcPr>
            <w:tcW w:w="2040" w:type="dxa"/>
            <w:vAlign w:val="bottom"/>
            <w:vMerge w:val="restart"/>
          </w:tcPr>
          <w:p>
            <w:pPr>
              <w:ind w:left="20"/>
              <w:spacing w:after="0"/>
              <w:rPr>
                <w:sz w:val="20"/>
                <w:szCs w:val="20"/>
                <w:color w:val="auto"/>
              </w:rPr>
            </w:pPr>
            <w:r>
              <w:rPr>
                <w:rFonts w:ascii="Arial" w:cs="Arial" w:eastAsia="Arial" w:hAnsi="Arial"/>
                <w:sz w:val="14"/>
                <w:szCs w:val="14"/>
                <w:b w:val="1"/>
                <w:bCs w:val="1"/>
                <w:color w:val="D7282F"/>
              </w:rPr>
              <w:t>FINANCIAL EXPERTISE</w:t>
            </w:r>
          </w:p>
        </w:tc>
        <w:tc>
          <w:tcPr>
            <w:tcW w:w="8280" w:type="dxa"/>
            <w:vAlign w:val="bottom"/>
          </w:tcPr>
          <w:p>
            <w:pPr>
              <w:ind w:left="140"/>
              <w:spacing w:after="0"/>
              <w:rPr>
                <w:sz w:val="20"/>
                <w:szCs w:val="20"/>
                <w:color w:val="auto"/>
              </w:rPr>
            </w:pPr>
            <w:r>
              <w:rPr>
                <w:rFonts w:ascii="Arial" w:cs="Arial" w:eastAsia="Arial" w:hAnsi="Arial"/>
                <w:sz w:val="14"/>
                <w:szCs w:val="14"/>
                <w:color w:val="auto"/>
              </w:rPr>
              <w:t>ensure accurate financial reporting and robust controls. Honeywell seeks directors with background and experience in</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40" w:type="dxa"/>
            <w:vAlign w:val="bottom"/>
            <w:shd w:val="clear" w:color="auto" w:fill="D7282F"/>
          </w:tcPr>
          <w:p>
            <w:pPr>
              <w:spacing w:after="0"/>
              <w:rPr>
                <w:sz w:val="6"/>
                <w:szCs w:val="6"/>
                <w:color w:val="auto"/>
              </w:rPr>
            </w:pPr>
          </w:p>
        </w:tc>
        <w:tc>
          <w:tcPr>
            <w:tcW w:w="360" w:type="dxa"/>
            <w:vAlign w:val="bottom"/>
          </w:tcPr>
          <w:p>
            <w:pPr>
              <w:spacing w:after="0"/>
              <w:rPr>
                <w:sz w:val="6"/>
                <w:szCs w:val="6"/>
                <w:color w:val="auto"/>
              </w:rPr>
            </w:pPr>
          </w:p>
        </w:tc>
        <w:tc>
          <w:tcPr>
            <w:tcW w:w="2040" w:type="dxa"/>
            <w:vAlign w:val="bottom"/>
            <w:vMerge w:val="continue"/>
          </w:tcPr>
          <w:p>
            <w:pPr>
              <w:spacing w:after="0"/>
              <w:rPr>
                <w:sz w:val="6"/>
                <w:szCs w:val="6"/>
                <w:color w:val="auto"/>
              </w:rPr>
            </w:pPr>
          </w:p>
        </w:tc>
        <w:tc>
          <w:tcPr>
            <w:tcW w:w="8280" w:type="dxa"/>
            <w:vAlign w:val="bottom"/>
            <w:vMerge w:val="restart"/>
          </w:tcPr>
          <w:p>
            <w:pPr>
              <w:ind w:left="140"/>
              <w:spacing w:after="0"/>
              <w:rPr>
                <w:sz w:val="20"/>
                <w:szCs w:val="20"/>
                <w:color w:val="auto"/>
              </w:rPr>
            </w:pPr>
            <w:r>
              <w:rPr>
                <w:rFonts w:ascii="Arial" w:cs="Arial" w:eastAsia="Arial" w:hAnsi="Arial"/>
                <w:sz w:val="14"/>
                <w:szCs w:val="14"/>
                <w:color w:val="auto"/>
              </w:rPr>
              <w:t>institutional investing, private equity, M&amp;A, capital markets, corporate finance, accounting, and financial reporting.</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40" w:type="dxa"/>
            <w:vAlign w:val="bottom"/>
            <w:shd w:val="clear" w:color="auto" w:fill="D7282F"/>
          </w:tcPr>
          <w:p>
            <w:pPr>
              <w:spacing w:after="0"/>
              <w:rPr>
                <w:sz w:val="10"/>
                <w:szCs w:val="10"/>
                <w:color w:val="auto"/>
              </w:rPr>
            </w:pPr>
          </w:p>
        </w:tc>
        <w:tc>
          <w:tcPr>
            <w:tcW w:w="36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8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shd w:val="clear" w:color="auto" w:fill="D7282F"/>
          </w:tcPr>
          <w:p>
            <w:pPr>
              <w:spacing w:after="0"/>
              <w:rPr>
                <w:sz w:val="15"/>
                <w:szCs w:val="15"/>
                <w:color w:val="auto"/>
              </w:rPr>
            </w:pPr>
          </w:p>
        </w:tc>
        <w:tc>
          <w:tcPr>
            <w:tcW w:w="360" w:type="dxa"/>
            <w:vAlign w:val="bottom"/>
          </w:tcPr>
          <w:p>
            <w:pPr>
              <w:spacing w:after="0"/>
              <w:rPr>
                <w:sz w:val="15"/>
                <w:szCs w:val="15"/>
                <w:color w:val="auto"/>
              </w:rPr>
            </w:pPr>
          </w:p>
        </w:tc>
        <w:tc>
          <w:tcPr>
            <w:tcW w:w="103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593"/>
        </w:trPr>
        <w:tc>
          <w:tcPr>
            <w:tcW w:w="5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9"/>
              </w:rPr>
              <w:t>18</w:t>
            </w:r>
          </w:p>
        </w:tc>
        <w:tc>
          <w:tcPr>
            <w:tcW w:w="360" w:type="dxa"/>
            <w:vAlign w:val="bottom"/>
          </w:tcPr>
          <w:p>
            <w:pPr>
              <w:spacing w:after="0"/>
              <w:rPr>
                <w:sz w:val="24"/>
                <w:szCs w:val="24"/>
                <w:color w:val="auto"/>
              </w:rPr>
            </w:pPr>
          </w:p>
        </w:tc>
        <w:tc>
          <w:tcPr>
            <w:tcW w:w="10320" w:type="dxa"/>
            <w:vAlign w:val="bottom"/>
            <w:gridSpan w:val="2"/>
          </w:tcPr>
          <w:p>
            <w:pPr>
              <w:ind w:left="720"/>
              <w:spacing w:after="0"/>
              <w:rPr>
                <w:sz w:val="20"/>
                <w:szCs w:val="20"/>
                <w:color w:val="auto"/>
              </w:rPr>
            </w:pPr>
            <w:r>
              <w:rPr>
                <w:rFonts w:ascii="Arial" w:cs="Arial" w:eastAsia="Arial" w:hAnsi="Arial"/>
                <w:sz w:val="13"/>
                <w:szCs w:val="13"/>
                <w:b w:val="1"/>
                <w:bCs w:val="1"/>
                <w:color w:val="6D6E71"/>
              </w:rPr>
              <w:t>|   2026 NOTICE AND PROXY STATEMENT</w:t>
            </w:r>
          </w:p>
        </w:tc>
        <w:tc>
          <w:tcPr>
            <w:tcW w:w="0" w:type="dxa"/>
            <w:vAlign w:val="bottom"/>
          </w:tcPr>
          <w:p>
            <w:pPr>
              <w:spacing w:after="0"/>
              <w:rPr>
                <w:sz w:val="1"/>
                <w:szCs w:val="1"/>
                <w:color w:val="auto"/>
              </w:rPr>
            </w:pPr>
          </w:p>
        </w:tc>
      </w:tr>
      <w:tr>
        <w:trPr>
          <w:trHeight w:val="359"/>
        </w:trPr>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8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596265</wp:posOffset>
            </wp:positionH>
            <wp:positionV relativeFrom="paragraph">
              <wp:posOffset>-6840220</wp:posOffset>
            </wp:positionV>
            <wp:extent cx="171450" cy="1714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596265</wp:posOffset>
            </wp:positionH>
            <wp:positionV relativeFrom="paragraph">
              <wp:posOffset>-6223000</wp:posOffset>
            </wp:positionV>
            <wp:extent cx="197485" cy="1797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97485" cy="179705"/>
                    </a:xfrm>
                    <a:prstGeom prst="rect">
                      <a:avLst/>
                    </a:prstGeom>
                    <a:noFill/>
                  </pic:spPr>
                </pic:pic>
              </a:graphicData>
            </a:graphic>
          </wp:anchor>
        </w:drawing>
        <w:drawing>
          <wp:anchor simplePos="0" relativeHeight="251657728" behindDoc="1" locked="0" layoutInCell="0" allowOverlap="1">
            <wp:simplePos x="0" y="0"/>
            <wp:positionH relativeFrom="column">
              <wp:posOffset>596265</wp:posOffset>
            </wp:positionH>
            <wp:positionV relativeFrom="paragraph">
              <wp:posOffset>-5537200</wp:posOffset>
            </wp:positionV>
            <wp:extent cx="171450" cy="1714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596265</wp:posOffset>
            </wp:positionH>
            <wp:positionV relativeFrom="paragraph">
              <wp:posOffset>-4637405</wp:posOffset>
            </wp:positionV>
            <wp:extent cx="171450" cy="1714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-2785745</wp:posOffset>
            </wp:positionV>
            <wp:extent cx="111125" cy="12255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11125" cy="1225550"/>
                    </a:xfrm>
                    <a:prstGeom prst="rect">
                      <a:avLst/>
                    </a:prstGeom>
                    <a:noFill/>
                  </pic:spPr>
                </pic:pic>
              </a:graphicData>
            </a:graphic>
          </wp:anchor>
        </w:drawing>
        <w:drawing>
          <wp:anchor simplePos="0" relativeHeight="251657728" behindDoc="1" locked="0" layoutInCell="0" allowOverlap="1">
            <wp:simplePos x="0" y="0"/>
            <wp:positionH relativeFrom="column">
              <wp:posOffset>596265</wp:posOffset>
            </wp:positionH>
            <wp:positionV relativeFrom="paragraph">
              <wp:posOffset>-3642995</wp:posOffset>
            </wp:positionV>
            <wp:extent cx="171450" cy="1631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71450" cy="163195"/>
                    </a:xfrm>
                    <a:prstGeom prst="rect">
                      <a:avLst/>
                    </a:prstGeom>
                    <a:noFill/>
                  </pic:spPr>
                </pic:pic>
              </a:graphicData>
            </a:graphic>
          </wp:anchor>
        </w:drawing>
        <w:drawing>
          <wp:anchor simplePos="0" relativeHeight="251657728" behindDoc="1" locked="0" layoutInCell="0" allowOverlap="1">
            <wp:simplePos x="0" y="0"/>
            <wp:positionH relativeFrom="column">
              <wp:posOffset>596265</wp:posOffset>
            </wp:positionH>
            <wp:positionV relativeFrom="paragraph">
              <wp:posOffset>-2759710</wp:posOffset>
            </wp:positionV>
            <wp:extent cx="171450" cy="1885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71450" cy="188595"/>
                    </a:xfrm>
                    <a:prstGeom prst="rect">
                      <a:avLst/>
                    </a:prstGeom>
                    <a:noFill/>
                  </pic:spPr>
                </pic:pic>
              </a:graphicData>
            </a:graphic>
          </wp:anchor>
        </w:drawing>
        <w:drawing>
          <wp:anchor simplePos="0" relativeHeight="251657728" behindDoc="1" locked="0" layoutInCell="0" allowOverlap="1">
            <wp:simplePos x="0" y="0"/>
            <wp:positionH relativeFrom="column">
              <wp:posOffset>596265</wp:posOffset>
            </wp:positionH>
            <wp:positionV relativeFrom="paragraph">
              <wp:posOffset>-1953895</wp:posOffset>
            </wp:positionV>
            <wp:extent cx="188595" cy="1885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596265</wp:posOffset>
            </wp:positionH>
            <wp:positionV relativeFrom="paragraph">
              <wp:posOffset>-1174115</wp:posOffset>
            </wp:positionV>
            <wp:extent cx="102870" cy="1968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02870" cy="19685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-368300</wp:posOffset>
            </wp:positionV>
            <wp:extent cx="548640" cy="1028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838" w:gutter="0" w:footer="0" w:header="0"/>
          <w:type w:val="continuous"/>
        </w:sectPr>
      </w:pPr>
    </w:p>
    <w:bookmarkStart w:id="22" w:name="page23"/>
    <w:bookmarkEnd w:id="22"/>
    <w:p>
      <w:pPr>
        <w:spacing w:after="0" w:line="25"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6D6E71"/>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BOARD SKILLSET MATRIX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23430" cy="73983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23430" cy="7398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Global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238125</wp:posOffset>
            </wp:positionV>
            <wp:extent cx="687514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314960</wp:posOffset>
            </wp:positionV>
            <wp:extent cx="222885" cy="2146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314960</wp:posOffset>
            </wp:positionV>
            <wp:extent cx="222885" cy="2146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383540</wp:posOffset>
            </wp:positionV>
            <wp:extent cx="222885" cy="2146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383540</wp:posOffset>
            </wp:positionV>
            <wp:extent cx="222885" cy="2146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383540</wp:posOffset>
            </wp:positionV>
            <wp:extent cx="222885" cy="2146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383540</wp:posOffset>
            </wp:positionV>
            <wp:extent cx="222885" cy="2146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314960</wp:posOffset>
            </wp:positionV>
            <wp:extent cx="222885" cy="2146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314960</wp:posOffset>
            </wp:positionV>
            <wp:extent cx="222885" cy="2146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383540</wp:posOffset>
            </wp:positionV>
            <wp:extent cx="222885" cy="2146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383540</wp:posOffset>
            </wp:positionV>
            <wp:extent cx="222885" cy="2146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383540</wp:posOffset>
            </wp:positionV>
            <wp:extent cx="222885" cy="2146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383540</wp:posOffset>
            </wp:positionV>
            <wp:extent cx="222885" cy="2146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383540</wp:posOffset>
            </wp:positionV>
            <wp:extent cx="222885" cy="2146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383540</wp:posOffset>
            </wp:positionV>
            <wp:extent cx="222885" cy="2146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383540</wp:posOffset>
            </wp:positionV>
            <wp:extent cx="222885" cy="2146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383540</wp:posOffset>
            </wp:positionV>
            <wp:extent cx="222885" cy="2146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383540</wp:posOffset>
            </wp:positionV>
            <wp:extent cx="222885" cy="2146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383540</wp:posOffset>
            </wp:positionV>
            <wp:extent cx="222885" cy="2146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383540</wp:posOffset>
            </wp:positionV>
            <wp:extent cx="222885" cy="2146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383540</wp:posOffset>
            </wp:positionV>
            <wp:extent cx="222885" cy="2146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383540</wp:posOffset>
            </wp:positionV>
            <wp:extent cx="222885" cy="2146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383540</wp:posOffset>
            </wp:positionV>
            <wp:extent cx="222885" cy="2146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6819900</wp:posOffset>
            </wp:positionH>
            <wp:positionV relativeFrom="paragraph">
              <wp:posOffset>383540</wp:posOffset>
            </wp:positionV>
            <wp:extent cx="222885" cy="2146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6819900</wp:posOffset>
            </wp:positionH>
            <wp:positionV relativeFrom="paragraph">
              <wp:posOffset>383540</wp:posOffset>
            </wp:positionV>
            <wp:extent cx="222885" cy="2146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60" w:right="8480"/>
        <w:spacing w:after="0" w:line="314" w:lineRule="auto"/>
        <w:rPr>
          <w:sz w:val="20"/>
          <w:szCs w:val="20"/>
          <w:color w:val="auto"/>
        </w:rPr>
      </w:pPr>
      <w:r>
        <w:rPr>
          <w:rFonts w:ascii="Arial" w:cs="Arial" w:eastAsia="Arial" w:hAnsi="Arial"/>
          <w:sz w:val="14"/>
          <w:szCs w:val="14"/>
          <w:b w:val="1"/>
          <w:bCs w:val="1"/>
          <w:color w:val="auto"/>
        </w:rPr>
        <w:t>Regulated Industries/Government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123825</wp:posOffset>
            </wp:positionV>
            <wp:extent cx="687514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201295</wp:posOffset>
            </wp:positionV>
            <wp:extent cx="222885" cy="2146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201295</wp:posOffset>
            </wp:positionV>
            <wp:extent cx="222885" cy="2146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269875</wp:posOffset>
            </wp:positionV>
            <wp:extent cx="222885" cy="2146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269875</wp:posOffset>
            </wp:positionV>
            <wp:extent cx="222885" cy="2146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269875</wp:posOffset>
            </wp:positionV>
            <wp:extent cx="222885" cy="2146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269875</wp:posOffset>
            </wp:positionV>
            <wp:extent cx="222885" cy="2146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269875</wp:posOffset>
            </wp:positionV>
            <wp:extent cx="222885" cy="2146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269875</wp:posOffset>
            </wp:positionV>
            <wp:extent cx="222885" cy="2146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269875</wp:posOffset>
            </wp:positionV>
            <wp:extent cx="222885" cy="2146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269875</wp:posOffset>
            </wp:positionV>
            <wp:extent cx="222885" cy="2146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269875</wp:posOffset>
            </wp:positionV>
            <wp:extent cx="222885" cy="2146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269875</wp:posOffset>
            </wp:positionV>
            <wp:extent cx="222885" cy="2146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269875</wp:posOffset>
            </wp:positionV>
            <wp:extent cx="222885" cy="2146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269875</wp:posOffset>
            </wp:positionV>
            <wp:extent cx="222885" cy="2146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269875</wp:posOffset>
            </wp:positionV>
            <wp:extent cx="222885" cy="2146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269875</wp:posOffset>
            </wp:positionV>
            <wp:extent cx="222885" cy="2146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269875</wp:posOffset>
            </wp:positionV>
            <wp:extent cx="222885" cy="2146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269875</wp:posOffset>
            </wp:positionV>
            <wp:extent cx="222885" cy="2146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269875</wp:posOffset>
            </wp:positionV>
            <wp:extent cx="222885" cy="2146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269875</wp:posOffset>
            </wp:positionV>
            <wp:extent cx="222885" cy="2146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269875</wp:posOffset>
            </wp:positionV>
            <wp:extent cx="222885" cy="2146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269875</wp:posOffset>
            </wp:positionV>
            <wp:extent cx="222885" cy="2146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6819900</wp:posOffset>
            </wp:positionH>
            <wp:positionV relativeFrom="paragraph">
              <wp:posOffset>269875</wp:posOffset>
            </wp:positionV>
            <wp:extent cx="222885" cy="2146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6819900</wp:posOffset>
            </wp:positionH>
            <wp:positionV relativeFrom="paragraph">
              <wp:posOffset>269875</wp:posOffset>
            </wp:positionV>
            <wp:extent cx="222885" cy="2146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Innovation and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238125</wp:posOffset>
            </wp:positionV>
            <wp:extent cx="687514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314960</wp:posOffset>
            </wp:positionV>
            <wp:extent cx="222885" cy="2146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314960</wp:posOffset>
            </wp:positionV>
            <wp:extent cx="222885" cy="2146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383540</wp:posOffset>
            </wp:positionV>
            <wp:extent cx="222885" cy="2146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383540</wp:posOffset>
            </wp:positionV>
            <wp:extent cx="222885" cy="2146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383540</wp:posOffset>
            </wp:positionV>
            <wp:extent cx="222885" cy="2146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383540</wp:posOffset>
            </wp:positionV>
            <wp:extent cx="222885" cy="2146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314960</wp:posOffset>
            </wp:positionV>
            <wp:extent cx="222885" cy="2146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314960</wp:posOffset>
            </wp:positionV>
            <wp:extent cx="222885" cy="2146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383540</wp:posOffset>
            </wp:positionV>
            <wp:extent cx="222885" cy="2146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383540</wp:posOffset>
            </wp:positionV>
            <wp:extent cx="222885" cy="2146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383540</wp:posOffset>
            </wp:positionV>
            <wp:extent cx="222885" cy="2146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383540</wp:posOffset>
            </wp:positionV>
            <wp:extent cx="222885" cy="2146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383540</wp:posOffset>
            </wp:positionV>
            <wp:extent cx="222885" cy="2146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383540</wp:posOffset>
            </wp:positionV>
            <wp:extent cx="222885" cy="2146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383540</wp:posOffset>
            </wp:positionV>
            <wp:extent cx="222885" cy="2146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383540</wp:posOffset>
            </wp:positionV>
            <wp:extent cx="222885" cy="2146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383540</wp:posOffset>
            </wp:positionV>
            <wp:extent cx="222885" cy="2146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383540</wp:posOffset>
            </wp:positionV>
            <wp:extent cx="222885" cy="2146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383540</wp:posOffset>
            </wp:positionV>
            <wp:extent cx="222885" cy="21463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383540</wp:posOffset>
            </wp:positionV>
            <wp:extent cx="222885" cy="2146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238125</wp:posOffset>
            </wp:positionV>
            <wp:extent cx="687514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332105</wp:posOffset>
            </wp:positionV>
            <wp:extent cx="222885" cy="2146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332105</wp:posOffset>
            </wp:positionV>
            <wp:extent cx="222885" cy="2146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332105</wp:posOffset>
            </wp:positionV>
            <wp:extent cx="222885" cy="21463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332105</wp:posOffset>
            </wp:positionV>
            <wp:extent cx="222885" cy="2146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332105</wp:posOffset>
            </wp:positionV>
            <wp:extent cx="222885" cy="2146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332105</wp:posOffset>
            </wp:positionV>
            <wp:extent cx="222885" cy="21463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332105</wp:posOffset>
            </wp:positionV>
            <wp:extent cx="222885" cy="2146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332105</wp:posOffset>
            </wp:positionV>
            <wp:extent cx="222885" cy="21463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332105</wp:posOffset>
            </wp:positionV>
            <wp:extent cx="222885" cy="21463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332105</wp:posOffset>
            </wp:positionV>
            <wp:extent cx="222885" cy="21463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332105</wp:posOffset>
            </wp:positionV>
            <wp:extent cx="222885" cy="21463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332105</wp:posOffset>
            </wp:positionV>
            <wp:extent cx="222885" cy="21463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332105</wp:posOffset>
            </wp:positionV>
            <wp:extent cx="222885" cy="21463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332105</wp:posOffset>
            </wp:positionV>
            <wp:extent cx="222885" cy="21463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332105</wp:posOffset>
            </wp:positionV>
            <wp:extent cx="222885" cy="2228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clrChange>
                        <a:clrFrom>
                          <a:srgbClr val="000000"/>
                        </a:clrFrom>
                        <a:clrTo>
                          <a:srgbClr val="000000">
                            <a:alpha val="0"/>
                          </a:srgbClr>
                        </a:clrTo>
                      </a:clrChange>
                      <a:extLst>
                        <a:ext uri="{28A0092B-C50C-407E-A947-70E740481C1C}"/>
                      </a:extLst>
                    </a:blip>
                    <a:srcRect/>
                    <a:stretch>
                      <a:fillRect/>
                    </a:stretch>
                  </pic:blipFill>
                  <pic:spPr bwMode="auto">
                    <a:xfrm>
                      <a:off x="0" y="0"/>
                      <a:ext cx="222885" cy="22288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332105</wp:posOffset>
            </wp:positionV>
            <wp:extent cx="222885" cy="2228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clrChange>
                        <a:clrFrom>
                          <a:srgbClr val="FFFFFF"/>
                        </a:clrFrom>
                        <a:clrTo>
                          <a:srgbClr val="FFFFFF">
                            <a:alpha val="0"/>
                          </a:srgbClr>
                        </a:clrTo>
                      </a:clrChange>
                      <a:extLst>
                        <a:ext uri="{28A0092B-C50C-407E-A947-70E740481C1C}"/>
                      </a:extLst>
                    </a:blip>
                    <a:srcRect/>
                    <a:stretch>
                      <a:fillRect/>
                    </a:stretch>
                  </pic:blipFill>
                  <pic:spPr bwMode="auto">
                    <a:xfrm>
                      <a:off x="0" y="0"/>
                      <a:ext cx="222885" cy="22288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332105</wp:posOffset>
            </wp:positionV>
            <wp:extent cx="222885" cy="21463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332105</wp:posOffset>
            </wp:positionV>
            <wp:extent cx="222885" cy="21463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332105</wp:posOffset>
            </wp:positionV>
            <wp:extent cx="222885" cy="21463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332105</wp:posOffset>
            </wp:positionV>
            <wp:extent cx="222885" cy="21463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6819900</wp:posOffset>
            </wp:positionH>
            <wp:positionV relativeFrom="paragraph">
              <wp:posOffset>332105</wp:posOffset>
            </wp:positionV>
            <wp:extent cx="222885" cy="21463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6819900</wp:posOffset>
            </wp:positionH>
            <wp:positionV relativeFrom="paragraph">
              <wp:posOffset>332105</wp:posOffset>
            </wp:positionV>
            <wp:extent cx="222885" cy="21463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400" w:type="dxa"/>
        <w:tblCellMar>
          <w:top w:w="0" w:type="dxa"/>
          <w:left w:w="0" w:type="dxa"/>
          <w:bottom w:w="0" w:type="dxa"/>
          <w:right w:w="0" w:type="dxa"/>
        </w:tblCellMar>
      </w:tblPr>
      <w:tr>
        <w:trPr>
          <w:trHeight w:val="173"/>
        </w:trPr>
        <w:tc>
          <w:tcPr>
            <w:tcW w:w="2400" w:type="dxa"/>
            <w:vAlign w:val="bottom"/>
          </w:tcPr>
          <w:p>
            <w:pPr>
              <w:ind w:left="60"/>
              <w:spacing w:after="0"/>
              <w:rPr>
                <w:sz w:val="20"/>
                <w:szCs w:val="20"/>
                <w:color w:val="auto"/>
              </w:rPr>
            </w:pPr>
            <w:r>
              <w:rPr>
                <w:rFonts w:ascii="Arial" w:cs="Arial" w:eastAsia="Arial" w:hAnsi="Arial"/>
                <w:sz w:val="14"/>
                <w:szCs w:val="14"/>
                <w:b w:val="1"/>
                <w:bCs w:val="1"/>
                <w:color w:val="auto"/>
              </w:rPr>
              <w:t>Alignment to Megatrends/</w:t>
            </w: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2400" w:type="dxa"/>
            <w:vAlign w:val="bottom"/>
          </w:tcPr>
          <w:p>
            <w:pPr>
              <w:ind w:left="60"/>
              <w:spacing w:after="0"/>
              <w:rPr>
                <w:sz w:val="20"/>
                <w:szCs w:val="20"/>
                <w:color w:val="auto"/>
              </w:rPr>
            </w:pPr>
            <w:r>
              <w:rPr>
                <w:rFonts w:ascii="Arial" w:cs="Arial" w:eastAsia="Arial" w:hAnsi="Arial"/>
                <w:sz w:val="14"/>
                <w:szCs w:val="14"/>
                <w:b w:val="1"/>
                <w:bCs w:val="1"/>
                <w:color w:val="auto"/>
              </w:rPr>
              <w:t>Digitalization</w:t>
            </w:r>
            <w:r>
              <w:rPr>
                <w:rFonts w:ascii="Arial" w:cs="Arial" w:eastAsia="Arial" w:hAnsi="Arial"/>
                <w:sz w:val="18"/>
                <w:szCs w:val="18"/>
                <w:b w:val="1"/>
                <w:bCs w:val="1"/>
                <w:color w:val="auto"/>
                <w:vertAlign w:val="superscript"/>
              </w:rPr>
              <w:t>(3)</w:t>
            </w:r>
          </w:p>
        </w:tc>
        <w:tc>
          <w:tcPr>
            <w:tcW w:w="860" w:type="dxa"/>
            <w:vAlign w:val="bottom"/>
            <w:vMerge w:val="restart"/>
          </w:tcPr>
          <w:p>
            <w:pPr>
              <w:jc w:val="center"/>
              <w:ind w:left="30"/>
              <w:spacing w:after="0"/>
              <w:rPr>
                <w:sz w:val="20"/>
                <w:szCs w:val="20"/>
                <w:color w:val="auto"/>
              </w:rPr>
            </w:pPr>
            <w:r>
              <w:rPr>
                <w:rFonts w:ascii="Arial" w:cs="Arial" w:eastAsia="Arial" w:hAnsi="Arial"/>
                <w:sz w:val="13"/>
                <w:szCs w:val="13"/>
                <w:color w:val="auto"/>
                <w:w w:val="94"/>
              </w:rPr>
              <w:t>1, 2, 3, 4</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w w:val="99"/>
              </w:rPr>
              <w:t>2, 3, 4</w:t>
            </w:r>
          </w:p>
        </w:tc>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92"/>
              </w:rPr>
              <w:t>2, 4</w:t>
            </w:r>
          </w:p>
        </w:tc>
        <w:tc>
          <w:tcPr>
            <w:tcW w:w="800" w:type="dxa"/>
            <w:vAlign w:val="bottom"/>
            <w:vMerge w:val="restart"/>
          </w:tcPr>
          <w:p>
            <w:pPr>
              <w:jc w:val="center"/>
              <w:spacing w:after="0"/>
              <w:rPr>
                <w:sz w:val="20"/>
                <w:szCs w:val="20"/>
                <w:color w:val="auto"/>
              </w:rPr>
            </w:pPr>
            <w:r>
              <w:rPr>
                <w:rFonts w:ascii="Arial" w:cs="Arial" w:eastAsia="Arial" w:hAnsi="Arial"/>
                <w:sz w:val="13"/>
                <w:szCs w:val="13"/>
                <w:color w:val="auto"/>
                <w:w w:val="98"/>
              </w:rPr>
              <w:t>1, 2, 3, 4</w:t>
            </w:r>
          </w:p>
        </w:tc>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93"/>
              </w:rPr>
              <w:t>1, 3, 4</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9"/>
              </w:rPr>
              <w:t>1, 2, 3</w:t>
            </w: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w w:val="93"/>
              </w:rPr>
              <w:t>1, 3, 4</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92"/>
              </w:rPr>
              <w:t>1, 2</w:t>
            </w:r>
          </w:p>
        </w:tc>
        <w:tc>
          <w:tcPr>
            <w:tcW w:w="800" w:type="dxa"/>
            <w:vAlign w:val="bottom"/>
            <w:vMerge w:val="restart"/>
          </w:tcPr>
          <w:p>
            <w:pPr>
              <w:jc w:val="center"/>
              <w:spacing w:after="0"/>
              <w:rPr>
                <w:sz w:val="20"/>
                <w:szCs w:val="20"/>
                <w:color w:val="auto"/>
              </w:rPr>
            </w:pPr>
            <w:r>
              <w:rPr>
                <w:rFonts w:ascii="Arial" w:cs="Arial" w:eastAsia="Arial" w:hAnsi="Arial"/>
                <w:sz w:val="13"/>
                <w:szCs w:val="13"/>
                <w:color w:val="auto"/>
                <w:w w:val="96"/>
              </w:rPr>
              <w:t>2,3,4</w:t>
            </w:r>
          </w:p>
        </w:tc>
        <w:tc>
          <w:tcPr>
            <w:tcW w:w="700" w:type="dxa"/>
            <w:vAlign w:val="bottom"/>
          </w:tcPr>
          <w:p>
            <w:pPr>
              <w:spacing w:after="0"/>
              <w:rPr>
                <w:sz w:val="22"/>
                <w:szCs w:val="22"/>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w w:val="99"/>
              </w:rPr>
              <w:t>2, 3, 4</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rPr>
              <w:t>3, 4</w:t>
            </w:r>
          </w:p>
        </w:tc>
        <w:tc>
          <w:tcPr>
            <w:tcW w:w="0" w:type="dxa"/>
            <w:vAlign w:val="bottom"/>
          </w:tcPr>
          <w:p>
            <w:pPr>
              <w:spacing w:after="0"/>
              <w:rPr>
                <w:sz w:val="1"/>
                <w:szCs w:val="1"/>
                <w:color w:val="auto"/>
              </w:rPr>
            </w:pPr>
          </w:p>
        </w:tc>
      </w:tr>
      <w:tr>
        <w:trPr>
          <w:trHeight w:val="55"/>
        </w:trPr>
        <w:tc>
          <w:tcPr>
            <w:tcW w:w="240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400" w:type="dxa"/>
            <w:vAlign w:val="bottom"/>
            <w:tcBorders>
              <w:bottom w:val="single" w:sz="8" w:color="939598"/>
            </w:tcBorders>
          </w:tcPr>
          <w:p>
            <w:pPr>
              <w:spacing w:after="0"/>
              <w:rPr>
                <w:sz w:val="11"/>
                <w:szCs w:val="11"/>
                <w:color w:val="auto"/>
              </w:rPr>
            </w:pPr>
          </w:p>
        </w:tc>
        <w:tc>
          <w:tcPr>
            <w:tcW w:w="860" w:type="dxa"/>
            <w:vAlign w:val="bottom"/>
            <w:tcBorders>
              <w:bottom w:val="single" w:sz="8" w:color="939598"/>
            </w:tcBorders>
          </w:tcPr>
          <w:p>
            <w:pPr>
              <w:spacing w:after="0"/>
              <w:rPr>
                <w:sz w:val="11"/>
                <w:szCs w:val="11"/>
                <w:color w:val="auto"/>
              </w:rPr>
            </w:pPr>
          </w:p>
        </w:tc>
        <w:tc>
          <w:tcPr>
            <w:tcW w:w="620" w:type="dxa"/>
            <w:vAlign w:val="bottom"/>
            <w:tcBorders>
              <w:bottom w:val="single" w:sz="8" w:color="939598"/>
            </w:tcBorders>
          </w:tcPr>
          <w:p>
            <w:pPr>
              <w:spacing w:after="0"/>
              <w:rPr>
                <w:sz w:val="11"/>
                <w:szCs w:val="11"/>
                <w:color w:val="auto"/>
              </w:rPr>
            </w:pPr>
          </w:p>
        </w:tc>
        <w:tc>
          <w:tcPr>
            <w:tcW w:w="580" w:type="dxa"/>
            <w:vAlign w:val="bottom"/>
            <w:tcBorders>
              <w:bottom w:val="single" w:sz="8" w:color="939598"/>
            </w:tcBorders>
          </w:tcPr>
          <w:p>
            <w:pPr>
              <w:spacing w:after="0"/>
              <w:rPr>
                <w:sz w:val="11"/>
                <w:szCs w:val="11"/>
                <w:color w:val="auto"/>
              </w:rPr>
            </w:pPr>
          </w:p>
        </w:tc>
        <w:tc>
          <w:tcPr>
            <w:tcW w:w="800" w:type="dxa"/>
            <w:vAlign w:val="bottom"/>
            <w:tcBorders>
              <w:bottom w:val="single" w:sz="8" w:color="939598"/>
            </w:tcBorders>
          </w:tcPr>
          <w:p>
            <w:pPr>
              <w:spacing w:after="0"/>
              <w:rPr>
                <w:sz w:val="11"/>
                <w:szCs w:val="11"/>
                <w:color w:val="auto"/>
              </w:rPr>
            </w:pPr>
          </w:p>
        </w:tc>
        <w:tc>
          <w:tcPr>
            <w:tcW w:w="580" w:type="dxa"/>
            <w:vAlign w:val="bottom"/>
            <w:tcBorders>
              <w:bottom w:val="single" w:sz="8" w:color="939598"/>
            </w:tcBorders>
          </w:tcPr>
          <w:p>
            <w:pPr>
              <w:spacing w:after="0"/>
              <w:rPr>
                <w:sz w:val="11"/>
                <w:szCs w:val="11"/>
                <w:color w:val="auto"/>
              </w:rPr>
            </w:pPr>
          </w:p>
        </w:tc>
        <w:tc>
          <w:tcPr>
            <w:tcW w:w="640" w:type="dxa"/>
            <w:vAlign w:val="bottom"/>
            <w:tcBorders>
              <w:bottom w:val="single" w:sz="8" w:color="939598"/>
            </w:tcBorders>
          </w:tcPr>
          <w:p>
            <w:pPr>
              <w:spacing w:after="0"/>
              <w:rPr>
                <w:sz w:val="11"/>
                <w:szCs w:val="11"/>
                <w:color w:val="auto"/>
              </w:rPr>
            </w:pPr>
          </w:p>
        </w:tc>
        <w:tc>
          <w:tcPr>
            <w:tcW w:w="860" w:type="dxa"/>
            <w:vAlign w:val="bottom"/>
            <w:tcBorders>
              <w:bottom w:val="single" w:sz="8" w:color="939598"/>
            </w:tcBorders>
          </w:tcPr>
          <w:p>
            <w:pPr>
              <w:spacing w:after="0"/>
              <w:rPr>
                <w:sz w:val="11"/>
                <w:szCs w:val="11"/>
                <w:color w:val="auto"/>
              </w:rPr>
            </w:pPr>
          </w:p>
        </w:tc>
        <w:tc>
          <w:tcPr>
            <w:tcW w:w="740" w:type="dxa"/>
            <w:vAlign w:val="bottom"/>
            <w:tcBorders>
              <w:bottom w:val="single" w:sz="8" w:color="939598"/>
            </w:tcBorders>
          </w:tcPr>
          <w:p>
            <w:pPr>
              <w:spacing w:after="0"/>
              <w:rPr>
                <w:sz w:val="11"/>
                <w:szCs w:val="11"/>
                <w:color w:val="auto"/>
              </w:rPr>
            </w:pPr>
          </w:p>
        </w:tc>
        <w:tc>
          <w:tcPr>
            <w:tcW w:w="800" w:type="dxa"/>
            <w:vAlign w:val="bottom"/>
            <w:tcBorders>
              <w:bottom w:val="single" w:sz="8" w:color="939598"/>
            </w:tcBorders>
          </w:tcPr>
          <w:p>
            <w:pPr>
              <w:spacing w:after="0"/>
              <w:rPr>
                <w:sz w:val="11"/>
                <w:szCs w:val="11"/>
                <w:color w:val="auto"/>
              </w:rPr>
            </w:pPr>
          </w:p>
        </w:tc>
        <w:tc>
          <w:tcPr>
            <w:tcW w:w="700" w:type="dxa"/>
            <w:vAlign w:val="bottom"/>
            <w:tcBorders>
              <w:bottom w:val="single" w:sz="8" w:color="939598"/>
            </w:tcBorders>
          </w:tcPr>
          <w:p>
            <w:pPr>
              <w:spacing w:after="0"/>
              <w:rPr>
                <w:sz w:val="11"/>
                <w:szCs w:val="11"/>
                <w:color w:val="auto"/>
              </w:rPr>
            </w:pPr>
          </w:p>
        </w:tc>
        <w:tc>
          <w:tcPr>
            <w:tcW w:w="620" w:type="dxa"/>
            <w:vAlign w:val="bottom"/>
            <w:tcBorders>
              <w:bottom w:val="single" w:sz="8" w:color="939598"/>
            </w:tcBorders>
          </w:tcPr>
          <w:p>
            <w:pPr>
              <w:spacing w:after="0"/>
              <w:rPr>
                <w:sz w:val="11"/>
                <w:szCs w:val="11"/>
                <w:color w:val="auto"/>
              </w:rPr>
            </w:pPr>
          </w:p>
        </w:tc>
        <w:tc>
          <w:tcPr>
            <w:tcW w:w="62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531"/>
        </w:trPr>
        <w:tc>
          <w:tcPr>
            <w:tcW w:w="2400" w:type="dxa"/>
            <w:vAlign w:val="bottom"/>
          </w:tcPr>
          <w:p>
            <w:pPr>
              <w:ind w:left="100"/>
              <w:spacing w:after="0"/>
              <w:rPr>
                <w:sz w:val="20"/>
                <w:szCs w:val="20"/>
                <w:color w:val="auto"/>
              </w:rPr>
            </w:pPr>
            <w:r>
              <w:rPr>
                <w:rFonts w:ascii="Arial" w:cs="Arial" w:eastAsia="Arial" w:hAnsi="Arial"/>
                <w:sz w:val="14"/>
                <w:szCs w:val="14"/>
                <w:b w:val="1"/>
                <w:bCs w:val="1"/>
                <w:color w:val="auto"/>
              </w:rPr>
              <w:t>Corporate Responsibility</w:t>
            </w: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400" w:type="dxa"/>
            <w:vAlign w:val="bottom"/>
            <w:tcBorders>
              <w:bottom w:val="single" w:sz="8" w:color="939598"/>
            </w:tcBorders>
          </w:tcPr>
          <w:p>
            <w:pPr>
              <w:spacing w:after="0"/>
              <w:rPr>
                <w:sz w:val="24"/>
                <w:szCs w:val="24"/>
                <w:color w:val="auto"/>
              </w:rPr>
            </w:pPr>
          </w:p>
        </w:tc>
        <w:tc>
          <w:tcPr>
            <w:tcW w:w="860" w:type="dxa"/>
            <w:vAlign w:val="bottom"/>
            <w:tcBorders>
              <w:bottom w:val="single" w:sz="8" w:color="939598"/>
            </w:tcBorders>
          </w:tcPr>
          <w:p>
            <w:pPr>
              <w:spacing w:after="0"/>
              <w:rPr>
                <w:sz w:val="24"/>
                <w:szCs w:val="24"/>
                <w:color w:val="auto"/>
              </w:rPr>
            </w:pPr>
          </w:p>
        </w:tc>
        <w:tc>
          <w:tcPr>
            <w:tcW w:w="620" w:type="dxa"/>
            <w:vAlign w:val="bottom"/>
            <w:tcBorders>
              <w:bottom w:val="single" w:sz="8" w:color="939598"/>
            </w:tcBorders>
          </w:tcPr>
          <w:p>
            <w:pPr>
              <w:spacing w:after="0"/>
              <w:rPr>
                <w:sz w:val="24"/>
                <w:szCs w:val="24"/>
                <w:color w:val="auto"/>
              </w:rPr>
            </w:pPr>
          </w:p>
        </w:tc>
        <w:tc>
          <w:tcPr>
            <w:tcW w:w="580" w:type="dxa"/>
            <w:vAlign w:val="bottom"/>
            <w:tcBorders>
              <w:bottom w:val="single" w:sz="8" w:color="939598"/>
            </w:tcBorders>
          </w:tcPr>
          <w:p>
            <w:pPr>
              <w:spacing w:after="0"/>
              <w:rPr>
                <w:sz w:val="24"/>
                <w:szCs w:val="24"/>
                <w:color w:val="auto"/>
              </w:rPr>
            </w:pPr>
          </w:p>
        </w:tc>
        <w:tc>
          <w:tcPr>
            <w:tcW w:w="800" w:type="dxa"/>
            <w:vAlign w:val="bottom"/>
            <w:tcBorders>
              <w:bottom w:val="single" w:sz="8" w:color="939598"/>
            </w:tcBorders>
          </w:tcPr>
          <w:p>
            <w:pPr>
              <w:spacing w:after="0"/>
              <w:rPr>
                <w:sz w:val="24"/>
                <w:szCs w:val="24"/>
                <w:color w:val="auto"/>
              </w:rPr>
            </w:pPr>
          </w:p>
        </w:tc>
        <w:tc>
          <w:tcPr>
            <w:tcW w:w="580" w:type="dxa"/>
            <w:vAlign w:val="bottom"/>
            <w:tcBorders>
              <w:bottom w:val="single" w:sz="8" w:color="939598"/>
            </w:tcBorders>
          </w:tcPr>
          <w:p>
            <w:pPr>
              <w:spacing w:after="0"/>
              <w:rPr>
                <w:sz w:val="24"/>
                <w:szCs w:val="24"/>
                <w:color w:val="auto"/>
              </w:rPr>
            </w:pPr>
          </w:p>
        </w:tc>
        <w:tc>
          <w:tcPr>
            <w:tcW w:w="640" w:type="dxa"/>
            <w:vAlign w:val="bottom"/>
            <w:tcBorders>
              <w:bottom w:val="single" w:sz="8" w:color="939598"/>
            </w:tcBorders>
          </w:tcPr>
          <w:p>
            <w:pPr>
              <w:spacing w:after="0"/>
              <w:rPr>
                <w:sz w:val="24"/>
                <w:szCs w:val="24"/>
                <w:color w:val="auto"/>
              </w:rPr>
            </w:pPr>
          </w:p>
        </w:tc>
        <w:tc>
          <w:tcPr>
            <w:tcW w:w="860" w:type="dxa"/>
            <w:vAlign w:val="bottom"/>
            <w:tcBorders>
              <w:bottom w:val="single" w:sz="8" w:color="939598"/>
            </w:tcBorders>
          </w:tcPr>
          <w:p>
            <w:pPr>
              <w:spacing w:after="0"/>
              <w:rPr>
                <w:sz w:val="24"/>
                <w:szCs w:val="24"/>
                <w:color w:val="auto"/>
              </w:rPr>
            </w:pPr>
          </w:p>
        </w:tc>
        <w:tc>
          <w:tcPr>
            <w:tcW w:w="740" w:type="dxa"/>
            <w:vAlign w:val="bottom"/>
            <w:tcBorders>
              <w:bottom w:val="single" w:sz="8" w:color="939598"/>
            </w:tcBorders>
          </w:tcPr>
          <w:p>
            <w:pPr>
              <w:spacing w:after="0"/>
              <w:rPr>
                <w:sz w:val="24"/>
                <w:szCs w:val="24"/>
                <w:color w:val="auto"/>
              </w:rPr>
            </w:pPr>
          </w:p>
        </w:tc>
        <w:tc>
          <w:tcPr>
            <w:tcW w:w="800" w:type="dxa"/>
            <w:vAlign w:val="bottom"/>
            <w:tcBorders>
              <w:bottom w:val="single" w:sz="8" w:color="939598"/>
            </w:tcBorders>
          </w:tcPr>
          <w:p>
            <w:pPr>
              <w:spacing w:after="0"/>
              <w:rPr>
                <w:sz w:val="24"/>
                <w:szCs w:val="24"/>
                <w:color w:val="auto"/>
              </w:rPr>
            </w:pPr>
          </w:p>
        </w:tc>
        <w:tc>
          <w:tcPr>
            <w:tcW w:w="700" w:type="dxa"/>
            <w:vAlign w:val="bottom"/>
            <w:tcBorders>
              <w:bottom w:val="single" w:sz="8" w:color="939598"/>
            </w:tcBorders>
          </w:tcPr>
          <w:p>
            <w:pPr>
              <w:spacing w:after="0"/>
              <w:rPr>
                <w:sz w:val="24"/>
                <w:szCs w:val="24"/>
                <w:color w:val="auto"/>
              </w:rPr>
            </w:pPr>
          </w:p>
        </w:tc>
        <w:tc>
          <w:tcPr>
            <w:tcW w:w="620" w:type="dxa"/>
            <w:vAlign w:val="bottom"/>
            <w:tcBorders>
              <w:bottom w:val="single" w:sz="8" w:color="939598"/>
            </w:tcBorders>
          </w:tcPr>
          <w:p>
            <w:pPr>
              <w:spacing w:after="0"/>
              <w:rPr>
                <w:sz w:val="24"/>
                <w:szCs w:val="24"/>
                <w:color w:val="auto"/>
              </w:rPr>
            </w:pPr>
          </w:p>
        </w:tc>
        <w:tc>
          <w:tcPr>
            <w:tcW w:w="620" w:type="dxa"/>
            <w:vAlign w:val="bottom"/>
            <w:tcBorders>
              <w:bottom w:val="single" w:sz="8" w:color="939598"/>
            </w:tcBorders>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24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Senior Leadership Experience</w:t>
            </w:r>
          </w:p>
        </w:tc>
        <w:tc>
          <w:tcPr>
            <w:tcW w:w="860" w:type="dxa"/>
            <w:vAlign w:val="bottom"/>
            <w:vMerge w:val="restart"/>
          </w:tcPr>
          <w:p>
            <w:pPr>
              <w:jc w:val="center"/>
              <w:ind w:left="30"/>
              <w:spacing w:after="0"/>
              <w:rPr>
                <w:sz w:val="20"/>
                <w:szCs w:val="20"/>
                <w:color w:val="auto"/>
              </w:rPr>
            </w:pPr>
            <w:r>
              <w:rPr>
                <w:rFonts w:ascii="Arial" w:cs="Arial" w:eastAsia="Arial" w:hAnsi="Arial"/>
                <w:sz w:val="14"/>
                <w:szCs w:val="14"/>
                <w:color w:val="auto"/>
              </w:rPr>
              <w:t>CEO</w:t>
            </w:r>
          </w:p>
        </w:tc>
        <w:tc>
          <w:tcPr>
            <w:tcW w:w="620" w:type="dxa"/>
            <w:vAlign w:val="bottom"/>
          </w:tcPr>
          <w:p>
            <w:pPr>
              <w:jc w:val="center"/>
              <w:spacing w:after="0"/>
              <w:rPr>
                <w:sz w:val="20"/>
                <w:szCs w:val="20"/>
                <w:color w:val="auto"/>
              </w:rPr>
            </w:pPr>
            <w:r>
              <w:rPr>
                <w:rFonts w:ascii="Arial" w:cs="Arial" w:eastAsia="Arial" w:hAnsi="Arial"/>
                <w:sz w:val="14"/>
                <w:szCs w:val="14"/>
                <w:color w:val="auto"/>
              </w:rPr>
              <w:t>Chair</w:t>
            </w:r>
          </w:p>
        </w:tc>
        <w:tc>
          <w:tcPr>
            <w:tcW w:w="580" w:type="dxa"/>
            <w:vAlign w:val="bottom"/>
            <w:vMerge w:val="restart"/>
          </w:tcPr>
          <w:p>
            <w:pPr>
              <w:jc w:val="center"/>
              <w:spacing w:after="0"/>
              <w:rPr>
                <w:sz w:val="20"/>
                <w:szCs w:val="20"/>
                <w:color w:val="auto"/>
              </w:rPr>
            </w:pPr>
            <w:r>
              <w:rPr>
                <w:rFonts w:ascii="Arial" w:cs="Arial" w:eastAsia="Arial" w:hAnsi="Arial"/>
                <w:sz w:val="14"/>
                <w:szCs w:val="14"/>
                <w:color w:val="auto"/>
              </w:rPr>
              <w:t>CEO</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rPr>
              <w:t>Chair and</w:t>
            </w:r>
          </w:p>
        </w:tc>
        <w:tc>
          <w:tcPr>
            <w:tcW w:w="580" w:type="dxa"/>
            <w:vAlign w:val="bottom"/>
          </w:tcPr>
          <w:p>
            <w:pPr>
              <w:jc w:val="center"/>
              <w:spacing w:after="0"/>
              <w:rPr>
                <w:sz w:val="20"/>
                <w:szCs w:val="20"/>
                <w:color w:val="auto"/>
              </w:rPr>
            </w:pPr>
            <w:r>
              <w:rPr>
                <w:rFonts w:ascii="Arial" w:cs="Arial" w:eastAsia="Arial" w:hAnsi="Arial"/>
                <w:sz w:val="14"/>
                <w:szCs w:val="14"/>
                <w:color w:val="auto"/>
              </w:rPr>
              <w:t>Chair</w:t>
            </w:r>
          </w:p>
        </w:tc>
        <w:tc>
          <w:tcPr>
            <w:tcW w:w="640" w:type="dxa"/>
            <w:vAlign w:val="bottom"/>
          </w:tcPr>
          <w:p>
            <w:pPr>
              <w:jc w:val="center"/>
              <w:spacing w:after="0"/>
              <w:rPr>
                <w:sz w:val="20"/>
                <w:szCs w:val="20"/>
                <w:color w:val="auto"/>
              </w:rPr>
            </w:pPr>
            <w:r>
              <w:rPr>
                <w:rFonts w:ascii="Arial" w:cs="Arial" w:eastAsia="Arial" w:hAnsi="Arial"/>
                <w:sz w:val="14"/>
                <w:szCs w:val="14"/>
                <w:color w:val="auto"/>
              </w:rPr>
              <w:t>Chair</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President</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rPr>
              <w:t>VP</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rPr>
              <w:t>Chair and</w:t>
            </w:r>
          </w:p>
        </w:tc>
        <w:tc>
          <w:tcPr>
            <w:tcW w:w="700" w:type="dxa"/>
            <w:vAlign w:val="bottom"/>
            <w:vMerge w:val="restart"/>
          </w:tcPr>
          <w:p>
            <w:pPr>
              <w:jc w:val="center"/>
              <w:spacing w:after="0"/>
              <w:rPr>
                <w:sz w:val="20"/>
                <w:szCs w:val="20"/>
                <w:color w:val="auto"/>
              </w:rPr>
            </w:pPr>
            <w:r>
              <w:rPr>
                <w:rFonts w:ascii="Arial" w:cs="Arial" w:eastAsia="Arial" w:hAnsi="Arial"/>
                <w:sz w:val="14"/>
                <w:szCs w:val="14"/>
                <w:color w:val="auto"/>
              </w:rPr>
              <w:t>Partner</w:t>
            </w:r>
          </w:p>
        </w:tc>
        <w:tc>
          <w:tcPr>
            <w:tcW w:w="620" w:type="dxa"/>
            <w:vAlign w:val="bottom"/>
            <w:vMerge w:val="restart"/>
          </w:tcPr>
          <w:p>
            <w:pPr>
              <w:jc w:val="center"/>
              <w:spacing w:after="0"/>
              <w:rPr>
                <w:sz w:val="20"/>
                <w:szCs w:val="20"/>
                <w:color w:val="auto"/>
              </w:rPr>
            </w:pPr>
            <w:r>
              <w:rPr>
                <w:rFonts w:ascii="Arial" w:cs="Arial" w:eastAsia="Arial" w:hAnsi="Arial"/>
                <w:sz w:val="14"/>
                <w:szCs w:val="14"/>
                <w:color w:val="auto"/>
              </w:rPr>
              <w:t>CEO</w:t>
            </w:r>
          </w:p>
        </w:tc>
        <w:tc>
          <w:tcPr>
            <w:tcW w:w="620" w:type="dxa"/>
            <w:vAlign w:val="bottom"/>
            <w:vMerge w:val="restart"/>
          </w:tcPr>
          <w:p>
            <w:pPr>
              <w:jc w:val="center"/>
              <w:spacing w:after="0"/>
              <w:rPr>
                <w:sz w:val="20"/>
                <w:szCs w:val="20"/>
                <w:color w:val="auto"/>
              </w:rPr>
            </w:pPr>
            <w:r>
              <w:rPr>
                <w:rFonts w:ascii="Arial" w:cs="Arial" w:eastAsia="Arial" w:hAnsi="Arial"/>
                <w:sz w:val="14"/>
                <w:szCs w:val="14"/>
                <w:color w:val="auto"/>
              </w:rPr>
              <w:t>CFO</w:t>
            </w:r>
          </w:p>
        </w:tc>
        <w:tc>
          <w:tcPr>
            <w:tcW w:w="0" w:type="dxa"/>
            <w:vAlign w:val="bottom"/>
          </w:tcPr>
          <w:p>
            <w:pPr>
              <w:spacing w:after="0"/>
              <w:rPr>
                <w:sz w:val="1"/>
                <w:szCs w:val="1"/>
                <w:color w:val="auto"/>
              </w:rPr>
            </w:pPr>
          </w:p>
        </w:tc>
      </w:tr>
      <w:tr>
        <w:trPr>
          <w:trHeight w:val="81"/>
        </w:trPr>
        <w:tc>
          <w:tcPr>
            <w:tcW w:w="240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color w:val="auto"/>
              </w:rPr>
              <w:t>and</w:t>
            </w:r>
          </w:p>
        </w:tc>
        <w:tc>
          <w:tcPr>
            <w:tcW w:w="58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color w:val="auto"/>
              </w:rPr>
              <w:t>and</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rPr>
              <w:t>and</w:t>
            </w:r>
          </w:p>
        </w:tc>
        <w:tc>
          <w:tcPr>
            <w:tcW w:w="8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4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(most senior position held)</w:t>
            </w:r>
          </w:p>
        </w:tc>
        <w:tc>
          <w:tcPr>
            <w:tcW w:w="86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8"/>
              </w:rPr>
              <w:t>CEO</w:t>
            </w:r>
          </w:p>
        </w:tc>
        <w:tc>
          <w:tcPr>
            <w:tcW w:w="58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and CEO</w:t>
            </w:r>
          </w:p>
        </w:tc>
        <w:tc>
          <w:tcPr>
            <w:tcW w:w="740" w:type="dxa"/>
            <w:vAlign w:val="bottom"/>
            <w:vMerge w:val="continue"/>
          </w:tcPr>
          <w:p>
            <w:pPr>
              <w:spacing w:after="0"/>
              <w:rPr>
                <w:sz w:val="7"/>
                <w:szCs w:val="7"/>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rPr>
              <w:t>CEO</w:t>
            </w:r>
          </w:p>
        </w:tc>
        <w:tc>
          <w:tcPr>
            <w:tcW w:w="7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240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color w:val="auto"/>
              </w:rPr>
              <w:t>CEO</w:t>
            </w:r>
          </w:p>
        </w:tc>
        <w:tc>
          <w:tcPr>
            <w:tcW w:w="5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color w:val="auto"/>
              </w:rPr>
              <w:t>CEO</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rPr>
              <w:t>CEO</w:t>
            </w:r>
          </w:p>
        </w:tc>
        <w:tc>
          <w:tcPr>
            <w:tcW w:w="86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4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8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2400" w:type="dxa"/>
            <w:vAlign w:val="bottom"/>
            <w:tcBorders>
              <w:bottom w:val="single" w:sz="8" w:color="939598"/>
            </w:tcBorders>
          </w:tcPr>
          <w:p>
            <w:pPr>
              <w:spacing w:after="0"/>
              <w:rPr>
                <w:sz w:val="20"/>
                <w:szCs w:val="20"/>
                <w:color w:val="auto"/>
              </w:rPr>
            </w:pPr>
          </w:p>
        </w:tc>
        <w:tc>
          <w:tcPr>
            <w:tcW w:w="860" w:type="dxa"/>
            <w:vAlign w:val="bottom"/>
            <w:tcBorders>
              <w:bottom w:val="single" w:sz="8" w:color="939598"/>
            </w:tcBorders>
          </w:tcPr>
          <w:p>
            <w:pPr>
              <w:spacing w:after="0"/>
              <w:rPr>
                <w:sz w:val="20"/>
                <w:szCs w:val="20"/>
                <w:color w:val="auto"/>
              </w:rPr>
            </w:pPr>
          </w:p>
        </w:tc>
        <w:tc>
          <w:tcPr>
            <w:tcW w:w="620" w:type="dxa"/>
            <w:vAlign w:val="bottom"/>
            <w:tcBorders>
              <w:bottom w:val="single" w:sz="8" w:color="939598"/>
            </w:tcBorders>
          </w:tcPr>
          <w:p>
            <w:pPr>
              <w:spacing w:after="0"/>
              <w:rPr>
                <w:sz w:val="20"/>
                <w:szCs w:val="20"/>
                <w:color w:val="auto"/>
              </w:rPr>
            </w:pPr>
          </w:p>
        </w:tc>
        <w:tc>
          <w:tcPr>
            <w:tcW w:w="580" w:type="dxa"/>
            <w:vAlign w:val="bottom"/>
            <w:tcBorders>
              <w:bottom w:val="single" w:sz="8" w:color="939598"/>
            </w:tcBorders>
          </w:tcPr>
          <w:p>
            <w:pPr>
              <w:spacing w:after="0"/>
              <w:rPr>
                <w:sz w:val="20"/>
                <w:szCs w:val="20"/>
                <w:color w:val="auto"/>
              </w:rPr>
            </w:pPr>
          </w:p>
        </w:tc>
        <w:tc>
          <w:tcPr>
            <w:tcW w:w="800" w:type="dxa"/>
            <w:vAlign w:val="bottom"/>
            <w:tcBorders>
              <w:bottom w:val="single" w:sz="8" w:color="939598"/>
            </w:tcBorders>
          </w:tcPr>
          <w:p>
            <w:pPr>
              <w:spacing w:after="0"/>
              <w:rPr>
                <w:sz w:val="20"/>
                <w:szCs w:val="20"/>
                <w:color w:val="auto"/>
              </w:rPr>
            </w:pPr>
          </w:p>
        </w:tc>
        <w:tc>
          <w:tcPr>
            <w:tcW w:w="580" w:type="dxa"/>
            <w:vAlign w:val="bottom"/>
            <w:tcBorders>
              <w:bottom w:val="single" w:sz="8" w:color="939598"/>
            </w:tcBorders>
          </w:tcPr>
          <w:p>
            <w:pPr>
              <w:spacing w:after="0"/>
              <w:rPr>
                <w:sz w:val="20"/>
                <w:szCs w:val="20"/>
                <w:color w:val="auto"/>
              </w:rPr>
            </w:pPr>
          </w:p>
        </w:tc>
        <w:tc>
          <w:tcPr>
            <w:tcW w:w="640" w:type="dxa"/>
            <w:vAlign w:val="bottom"/>
            <w:tcBorders>
              <w:bottom w:val="single" w:sz="8" w:color="939598"/>
            </w:tcBorders>
          </w:tcPr>
          <w:p>
            <w:pPr>
              <w:spacing w:after="0"/>
              <w:rPr>
                <w:sz w:val="20"/>
                <w:szCs w:val="20"/>
                <w:color w:val="auto"/>
              </w:rPr>
            </w:pPr>
          </w:p>
        </w:tc>
        <w:tc>
          <w:tcPr>
            <w:tcW w:w="860" w:type="dxa"/>
            <w:vAlign w:val="bottom"/>
            <w:tcBorders>
              <w:bottom w:val="single" w:sz="8" w:color="939598"/>
            </w:tcBorders>
          </w:tcPr>
          <w:p>
            <w:pPr>
              <w:spacing w:after="0"/>
              <w:rPr>
                <w:sz w:val="20"/>
                <w:szCs w:val="20"/>
                <w:color w:val="auto"/>
              </w:rPr>
            </w:pPr>
          </w:p>
        </w:tc>
        <w:tc>
          <w:tcPr>
            <w:tcW w:w="740" w:type="dxa"/>
            <w:vAlign w:val="bottom"/>
            <w:tcBorders>
              <w:bottom w:val="single" w:sz="8" w:color="939598"/>
            </w:tcBorders>
          </w:tcPr>
          <w:p>
            <w:pPr>
              <w:spacing w:after="0"/>
              <w:rPr>
                <w:sz w:val="20"/>
                <w:szCs w:val="20"/>
                <w:color w:val="auto"/>
              </w:rPr>
            </w:pPr>
          </w:p>
        </w:tc>
        <w:tc>
          <w:tcPr>
            <w:tcW w:w="800" w:type="dxa"/>
            <w:vAlign w:val="bottom"/>
            <w:tcBorders>
              <w:bottom w:val="single" w:sz="8" w:color="939598"/>
            </w:tcBorders>
          </w:tcPr>
          <w:p>
            <w:pPr>
              <w:spacing w:after="0"/>
              <w:rPr>
                <w:sz w:val="20"/>
                <w:szCs w:val="20"/>
                <w:color w:val="auto"/>
              </w:rPr>
            </w:pPr>
          </w:p>
        </w:tc>
        <w:tc>
          <w:tcPr>
            <w:tcW w:w="700" w:type="dxa"/>
            <w:vAlign w:val="bottom"/>
            <w:tcBorders>
              <w:bottom w:val="single" w:sz="8" w:color="939598"/>
            </w:tcBorders>
          </w:tcPr>
          <w:p>
            <w:pPr>
              <w:spacing w:after="0"/>
              <w:rPr>
                <w:sz w:val="20"/>
                <w:szCs w:val="20"/>
                <w:color w:val="auto"/>
              </w:rPr>
            </w:pPr>
          </w:p>
        </w:tc>
        <w:tc>
          <w:tcPr>
            <w:tcW w:w="620" w:type="dxa"/>
            <w:vAlign w:val="bottom"/>
            <w:tcBorders>
              <w:bottom w:val="single" w:sz="8" w:color="939598"/>
            </w:tcBorders>
          </w:tcPr>
          <w:p>
            <w:pPr>
              <w:spacing w:after="0"/>
              <w:rPr>
                <w:sz w:val="20"/>
                <w:szCs w:val="20"/>
                <w:color w:val="auto"/>
              </w:rPr>
            </w:pPr>
          </w:p>
        </w:tc>
        <w:tc>
          <w:tcPr>
            <w:tcW w:w="620" w:type="dxa"/>
            <w:vAlign w:val="bottom"/>
            <w:tcBorders>
              <w:bottom w:val="single" w:sz="8" w:color="939598"/>
            </w:tcBorders>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2400" w:type="dxa"/>
            <w:vAlign w:val="bottom"/>
          </w:tcPr>
          <w:p>
            <w:pPr>
              <w:ind w:left="60"/>
              <w:spacing w:after="0"/>
              <w:rPr>
                <w:sz w:val="20"/>
                <w:szCs w:val="20"/>
                <w:color w:val="auto"/>
              </w:rPr>
            </w:pPr>
            <w:r>
              <w:rPr>
                <w:rFonts w:ascii="Arial" w:cs="Arial" w:eastAsia="Arial" w:hAnsi="Arial"/>
                <w:sz w:val="14"/>
                <w:szCs w:val="14"/>
                <w:b w:val="1"/>
                <w:bCs w:val="1"/>
                <w:color w:val="auto"/>
              </w:rPr>
              <w:t>No. of Public Company Boards</w:t>
            </w:r>
          </w:p>
        </w:tc>
        <w:tc>
          <w:tcPr>
            <w:tcW w:w="860" w:type="dxa"/>
            <w:vAlign w:val="bottom"/>
            <w:vMerge w:val="restart"/>
          </w:tcPr>
          <w:p>
            <w:pPr>
              <w:jc w:val="center"/>
              <w:ind w:left="30"/>
              <w:spacing w:after="0"/>
              <w:rPr>
                <w:sz w:val="20"/>
                <w:szCs w:val="20"/>
                <w:color w:val="auto"/>
              </w:rPr>
            </w:pPr>
            <w:r>
              <w:rPr>
                <w:rFonts w:ascii="Arial" w:cs="Arial" w:eastAsia="Arial" w:hAnsi="Arial"/>
                <w:sz w:val="14"/>
                <w:szCs w:val="14"/>
                <w:b w:val="1"/>
                <w:bCs w:val="1"/>
                <w:color w:val="D7282F"/>
              </w:rPr>
              <w:t xml:space="preserve">1 </w:t>
            </w:r>
            <w:r>
              <w:rPr>
                <w:rFonts w:ascii="Arial" w:cs="Arial" w:eastAsia="Arial" w:hAnsi="Arial"/>
                <w:sz w:val="14"/>
                <w:szCs w:val="14"/>
                <w:color w:val="000000"/>
              </w:rPr>
              <w:t>I 0</w:t>
            </w: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D7282F"/>
              </w:rPr>
              <w:t xml:space="preserve">4 </w:t>
            </w:r>
            <w:r>
              <w:rPr>
                <w:rFonts w:ascii="Arial" w:cs="Arial" w:eastAsia="Arial" w:hAnsi="Arial"/>
                <w:sz w:val="14"/>
                <w:szCs w:val="14"/>
                <w:color w:val="000000"/>
              </w:rPr>
              <w:t>I 3</w:t>
            </w: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D7282F"/>
              </w:rPr>
              <w:t xml:space="preserve">1 </w:t>
            </w:r>
            <w:r>
              <w:rPr>
                <w:rFonts w:ascii="Arial" w:cs="Arial" w:eastAsia="Arial" w:hAnsi="Arial"/>
                <w:sz w:val="14"/>
                <w:szCs w:val="14"/>
                <w:color w:val="000000"/>
              </w:rPr>
              <w:t>I 0</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D7282F"/>
              </w:rPr>
              <w:t xml:space="preserve">4 </w:t>
            </w:r>
            <w:r>
              <w:rPr>
                <w:rFonts w:ascii="Arial" w:cs="Arial" w:eastAsia="Arial" w:hAnsi="Arial"/>
                <w:sz w:val="14"/>
                <w:szCs w:val="14"/>
                <w:color w:val="000000"/>
              </w:rPr>
              <w:t>I 2</w:t>
            </w: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D7282F"/>
              </w:rPr>
              <w:t xml:space="preserve">1 </w:t>
            </w:r>
            <w:r>
              <w:rPr>
                <w:rFonts w:ascii="Arial" w:cs="Arial" w:eastAsia="Arial" w:hAnsi="Arial"/>
                <w:sz w:val="14"/>
                <w:szCs w:val="14"/>
                <w:color w:val="000000"/>
              </w:rPr>
              <w:t>I 2</w:t>
            </w: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D7282F"/>
              </w:rPr>
              <w:t xml:space="preserve">1 </w:t>
            </w:r>
            <w:r>
              <w:rPr>
                <w:rFonts w:ascii="Arial" w:cs="Arial" w:eastAsia="Arial" w:hAnsi="Arial"/>
                <w:sz w:val="14"/>
                <w:szCs w:val="14"/>
                <w:color w:val="000000"/>
              </w:rPr>
              <w:t>I 3</w:t>
            </w: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D7282F"/>
              </w:rPr>
              <w:t xml:space="preserve">1 </w:t>
            </w:r>
            <w:r>
              <w:rPr>
                <w:rFonts w:ascii="Arial" w:cs="Arial" w:eastAsia="Arial" w:hAnsi="Arial"/>
                <w:sz w:val="14"/>
                <w:szCs w:val="14"/>
                <w:color w:val="000000"/>
              </w:rPr>
              <w:t>I 0</w:t>
            </w: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D7282F"/>
              </w:rPr>
              <w:t xml:space="preserve">2 </w:t>
            </w:r>
            <w:r>
              <w:rPr>
                <w:rFonts w:ascii="Arial" w:cs="Arial" w:eastAsia="Arial" w:hAnsi="Arial"/>
                <w:sz w:val="14"/>
                <w:szCs w:val="14"/>
                <w:color w:val="000000"/>
              </w:rPr>
              <w:t>I 1</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D7282F"/>
              </w:rPr>
              <w:t xml:space="preserve">3 </w:t>
            </w:r>
            <w:r>
              <w:rPr>
                <w:rFonts w:ascii="Arial" w:cs="Arial" w:eastAsia="Arial" w:hAnsi="Arial"/>
                <w:sz w:val="14"/>
                <w:szCs w:val="14"/>
                <w:color w:val="000000"/>
              </w:rPr>
              <w:t>I 3</w:t>
            </w: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D7282F"/>
              </w:rPr>
              <w:t xml:space="preserve">3 </w:t>
            </w:r>
            <w:r>
              <w:rPr>
                <w:rFonts w:ascii="Arial" w:cs="Arial" w:eastAsia="Arial" w:hAnsi="Arial"/>
                <w:sz w:val="14"/>
                <w:szCs w:val="14"/>
                <w:color w:val="000000"/>
              </w:rPr>
              <w:t>I 0</w:t>
            </w: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D7282F"/>
              </w:rPr>
              <w:t xml:space="preserve">1 </w:t>
            </w:r>
            <w:r>
              <w:rPr>
                <w:rFonts w:ascii="Arial" w:cs="Arial" w:eastAsia="Arial" w:hAnsi="Arial"/>
                <w:sz w:val="14"/>
                <w:szCs w:val="14"/>
                <w:color w:val="000000"/>
              </w:rPr>
              <w:t>I 1</w:t>
            </w: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D7282F"/>
              </w:rPr>
              <w:t xml:space="preserve">1 </w:t>
            </w:r>
            <w:r>
              <w:rPr>
                <w:rFonts w:ascii="Arial" w:cs="Arial" w:eastAsia="Arial" w:hAnsi="Arial"/>
                <w:sz w:val="14"/>
                <w:szCs w:val="14"/>
                <w:color w:val="000000"/>
              </w:rPr>
              <w:t>I 1</w:t>
            </w:r>
          </w:p>
        </w:tc>
        <w:tc>
          <w:tcPr>
            <w:tcW w:w="0" w:type="dxa"/>
            <w:vAlign w:val="bottom"/>
          </w:tcPr>
          <w:p>
            <w:pPr>
              <w:spacing w:after="0"/>
              <w:rPr>
                <w:sz w:val="1"/>
                <w:szCs w:val="1"/>
                <w:color w:val="auto"/>
              </w:rPr>
            </w:pPr>
          </w:p>
        </w:tc>
      </w:tr>
      <w:tr>
        <w:trPr>
          <w:trHeight w:val="254"/>
        </w:trPr>
        <w:tc>
          <w:tcPr>
            <w:tcW w:w="2400" w:type="dxa"/>
            <w:vAlign w:val="bottom"/>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b w:val="1"/>
                <w:bCs w:val="1"/>
                <w:color w:val="D7282F"/>
              </w:rPr>
              <w:t>Current</w:t>
            </w:r>
            <w:r>
              <w:rPr>
                <w:rFonts w:ascii="Arial" w:cs="Arial" w:eastAsia="Arial" w:hAnsi="Arial"/>
                <w:sz w:val="18"/>
                <w:szCs w:val="18"/>
                <w:b w:val="1"/>
                <w:bCs w:val="1"/>
                <w:color w:val="D7282F"/>
                <w:vertAlign w:val="superscript"/>
              </w:rPr>
              <w:t>(4)</w:t>
            </w:r>
            <w:r>
              <w:rPr>
                <w:rFonts w:ascii="Arial" w:cs="Arial" w:eastAsia="Arial" w:hAnsi="Arial"/>
                <w:sz w:val="14"/>
                <w:szCs w:val="14"/>
                <w:b w:val="1"/>
                <w:bCs w:val="1"/>
                <w:color w:val="auto"/>
              </w:rPr>
              <w:t xml:space="preserve"> I Past)</w:t>
            </w:r>
          </w:p>
        </w:tc>
        <w:tc>
          <w:tcPr>
            <w:tcW w:w="860" w:type="dxa"/>
            <w:vAlign w:val="bottom"/>
            <w:vMerge w:val="continue"/>
          </w:tcPr>
          <w:p>
            <w:pPr>
              <w:spacing w:after="0"/>
              <w:rPr>
                <w:sz w:val="22"/>
                <w:szCs w:val="22"/>
                <w:color w:val="auto"/>
              </w:rPr>
            </w:pPr>
          </w:p>
        </w:tc>
        <w:tc>
          <w:tcPr>
            <w:tcW w:w="620" w:type="dxa"/>
            <w:vAlign w:val="bottom"/>
            <w:vMerge w:val="continue"/>
          </w:tcPr>
          <w:p>
            <w:pPr>
              <w:spacing w:after="0"/>
              <w:rPr>
                <w:sz w:val="22"/>
                <w:szCs w:val="22"/>
                <w:color w:val="auto"/>
              </w:rPr>
            </w:pPr>
          </w:p>
        </w:tc>
        <w:tc>
          <w:tcPr>
            <w:tcW w:w="580" w:type="dxa"/>
            <w:vAlign w:val="bottom"/>
            <w:vMerge w:val="continue"/>
          </w:tcPr>
          <w:p>
            <w:pPr>
              <w:spacing w:after="0"/>
              <w:rPr>
                <w:sz w:val="22"/>
                <w:szCs w:val="22"/>
                <w:color w:val="auto"/>
              </w:rPr>
            </w:pPr>
          </w:p>
        </w:tc>
        <w:tc>
          <w:tcPr>
            <w:tcW w:w="800" w:type="dxa"/>
            <w:vAlign w:val="bottom"/>
            <w:vMerge w:val="continue"/>
          </w:tcPr>
          <w:p>
            <w:pPr>
              <w:spacing w:after="0"/>
              <w:rPr>
                <w:sz w:val="22"/>
                <w:szCs w:val="22"/>
                <w:color w:val="auto"/>
              </w:rPr>
            </w:pPr>
          </w:p>
        </w:tc>
        <w:tc>
          <w:tcPr>
            <w:tcW w:w="580" w:type="dxa"/>
            <w:vAlign w:val="bottom"/>
            <w:vMerge w:val="continue"/>
          </w:tcPr>
          <w:p>
            <w:pPr>
              <w:spacing w:after="0"/>
              <w:rPr>
                <w:sz w:val="22"/>
                <w:szCs w:val="22"/>
                <w:color w:val="auto"/>
              </w:rPr>
            </w:pPr>
          </w:p>
        </w:tc>
        <w:tc>
          <w:tcPr>
            <w:tcW w:w="640" w:type="dxa"/>
            <w:vAlign w:val="bottom"/>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740" w:type="dxa"/>
            <w:vAlign w:val="bottom"/>
            <w:vMerge w:val="continue"/>
          </w:tcPr>
          <w:p>
            <w:pPr>
              <w:spacing w:after="0"/>
              <w:rPr>
                <w:sz w:val="22"/>
                <w:szCs w:val="22"/>
                <w:color w:val="auto"/>
              </w:rPr>
            </w:pPr>
          </w:p>
        </w:tc>
        <w:tc>
          <w:tcPr>
            <w:tcW w:w="800" w:type="dxa"/>
            <w:vAlign w:val="bottom"/>
            <w:vMerge w:val="continue"/>
          </w:tcPr>
          <w:p>
            <w:pPr>
              <w:spacing w:after="0"/>
              <w:rPr>
                <w:sz w:val="22"/>
                <w:szCs w:val="22"/>
                <w:color w:val="auto"/>
              </w:rPr>
            </w:pPr>
          </w:p>
        </w:tc>
        <w:tc>
          <w:tcPr>
            <w:tcW w:w="700" w:type="dxa"/>
            <w:vAlign w:val="bottom"/>
            <w:vMerge w:val="continue"/>
          </w:tcPr>
          <w:p>
            <w:pPr>
              <w:spacing w:after="0"/>
              <w:rPr>
                <w:sz w:val="22"/>
                <w:szCs w:val="22"/>
                <w:color w:val="auto"/>
              </w:rPr>
            </w:pPr>
          </w:p>
        </w:tc>
        <w:tc>
          <w:tcPr>
            <w:tcW w:w="620" w:type="dxa"/>
            <w:vAlign w:val="bottom"/>
            <w:vMerge w:val="continue"/>
          </w:tcPr>
          <w:p>
            <w:pPr>
              <w:spacing w:after="0"/>
              <w:rPr>
                <w:sz w:val="22"/>
                <w:szCs w:val="22"/>
                <w:color w:val="auto"/>
              </w:rPr>
            </w:pPr>
          </w:p>
        </w:tc>
        <w:tc>
          <w:tcPr>
            <w:tcW w:w="6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400" w:type="dxa"/>
            <w:vAlign w:val="bottom"/>
            <w:tcBorders>
              <w:bottom w:val="single" w:sz="8" w:color="939598"/>
            </w:tcBorders>
          </w:tcPr>
          <w:p>
            <w:pPr>
              <w:spacing w:after="0"/>
              <w:rPr>
                <w:sz w:val="8"/>
                <w:szCs w:val="8"/>
                <w:color w:val="auto"/>
              </w:rPr>
            </w:pPr>
          </w:p>
        </w:tc>
        <w:tc>
          <w:tcPr>
            <w:tcW w:w="860" w:type="dxa"/>
            <w:vAlign w:val="bottom"/>
            <w:tcBorders>
              <w:bottom w:val="single" w:sz="8" w:color="939598"/>
            </w:tcBorders>
          </w:tcPr>
          <w:p>
            <w:pPr>
              <w:spacing w:after="0"/>
              <w:rPr>
                <w:sz w:val="8"/>
                <w:szCs w:val="8"/>
                <w:color w:val="auto"/>
              </w:rPr>
            </w:pPr>
          </w:p>
        </w:tc>
        <w:tc>
          <w:tcPr>
            <w:tcW w:w="620" w:type="dxa"/>
            <w:vAlign w:val="bottom"/>
            <w:tcBorders>
              <w:bottom w:val="single" w:sz="8" w:color="939598"/>
            </w:tcBorders>
          </w:tcPr>
          <w:p>
            <w:pPr>
              <w:spacing w:after="0"/>
              <w:rPr>
                <w:sz w:val="8"/>
                <w:szCs w:val="8"/>
                <w:color w:val="auto"/>
              </w:rPr>
            </w:pPr>
          </w:p>
        </w:tc>
        <w:tc>
          <w:tcPr>
            <w:tcW w:w="580" w:type="dxa"/>
            <w:vAlign w:val="bottom"/>
            <w:tcBorders>
              <w:bottom w:val="single" w:sz="8" w:color="939598"/>
            </w:tcBorders>
          </w:tcPr>
          <w:p>
            <w:pPr>
              <w:spacing w:after="0"/>
              <w:rPr>
                <w:sz w:val="8"/>
                <w:szCs w:val="8"/>
                <w:color w:val="auto"/>
              </w:rPr>
            </w:pPr>
          </w:p>
        </w:tc>
        <w:tc>
          <w:tcPr>
            <w:tcW w:w="800" w:type="dxa"/>
            <w:vAlign w:val="bottom"/>
            <w:tcBorders>
              <w:bottom w:val="single" w:sz="8" w:color="939598"/>
            </w:tcBorders>
          </w:tcPr>
          <w:p>
            <w:pPr>
              <w:spacing w:after="0"/>
              <w:rPr>
                <w:sz w:val="8"/>
                <w:szCs w:val="8"/>
                <w:color w:val="auto"/>
              </w:rPr>
            </w:pPr>
          </w:p>
        </w:tc>
        <w:tc>
          <w:tcPr>
            <w:tcW w:w="580" w:type="dxa"/>
            <w:vAlign w:val="bottom"/>
            <w:tcBorders>
              <w:bottom w:val="single" w:sz="8" w:color="939598"/>
            </w:tcBorders>
          </w:tcPr>
          <w:p>
            <w:pPr>
              <w:spacing w:after="0"/>
              <w:rPr>
                <w:sz w:val="8"/>
                <w:szCs w:val="8"/>
                <w:color w:val="auto"/>
              </w:rPr>
            </w:pPr>
          </w:p>
        </w:tc>
        <w:tc>
          <w:tcPr>
            <w:tcW w:w="640" w:type="dxa"/>
            <w:vAlign w:val="bottom"/>
            <w:tcBorders>
              <w:bottom w:val="single" w:sz="8" w:color="939598"/>
            </w:tcBorders>
          </w:tcPr>
          <w:p>
            <w:pPr>
              <w:spacing w:after="0"/>
              <w:rPr>
                <w:sz w:val="8"/>
                <w:szCs w:val="8"/>
                <w:color w:val="auto"/>
              </w:rPr>
            </w:pPr>
          </w:p>
        </w:tc>
        <w:tc>
          <w:tcPr>
            <w:tcW w:w="860" w:type="dxa"/>
            <w:vAlign w:val="bottom"/>
            <w:tcBorders>
              <w:bottom w:val="single" w:sz="8" w:color="939598"/>
            </w:tcBorders>
          </w:tcPr>
          <w:p>
            <w:pPr>
              <w:spacing w:after="0"/>
              <w:rPr>
                <w:sz w:val="8"/>
                <w:szCs w:val="8"/>
                <w:color w:val="auto"/>
              </w:rPr>
            </w:pPr>
          </w:p>
        </w:tc>
        <w:tc>
          <w:tcPr>
            <w:tcW w:w="740" w:type="dxa"/>
            <w:vAlign w:val="bottom"/>
            <w:tcBorders>
              <w:bottom w:val="single" w:sz="8" w:color="939598"/>
            </w:tcBorders>
          </w:tcPr>
          <w:p>
            <w:pPr>
              <w:spacing w:after="0"/>
              <w:rPr>
                <w:sz w:val="8"/>
                <w:szCs w:val="8"/>
                <w:color w:val="auto"/>
              </w:rPr>
            </w:pPr>
          </w:p>
        </w:tc>
        <w:tc>
          <w:tcPr>
            <w:tcW w:w="800" w:type="dxa"/>
            <w:vAlign w:val="bottom"/>
            <w:tcBorders>
              <w:bottom w:val="single" w:sz="8" w:color="939598"/>
            </w:tcBorders>
          </w:tcPr>
          <w:p>
            <w:pPr>
              <w:spacing w:after="0"/>
              <w:rPr>
                <w:sz w:val="8"/>
                <w:szCs w:val="8"/>
                <w:color w:val="auto"/>
              </w:rPr>
            </w:pPr>
          </w:p>
        </w:tc>
        <w:tc>
          <w:tcPr>
            <w:tcW w:w="700" w:type="dxa"/>
            <w:vAlign w:val="bottom"/>
            <w:tcBorders>
              <w:bottom w:val="single" w:sz="8" w:color="939598"/>
            </w:tcBorders>
          </w:tcPr>
          <w:p>
            <w:pPr>
              <w:spacing w:after="0"/>
              <w:rPr>
                <w:sz w:val="8"/>
                <w:szCs w:val="8"/>
                <w:color w:val="auto"/>
              </w:rPr>
            </w:pPr>
          </w:p>
        </w:tc>
        <w:tc>
          <w:tcPr>
            <w:tcW w:w="620" w:type="dxa"/>
            <w:vAlign w:val="bottom"/>
            <w:tcBorders>
              <w:bottom w:val="single" w:sz="8" w:color="939598"/>
            </w:tcBorders>
          </w:tcPr>
          <w:p>
            <w:pPr>
              <w:spacing w:after="0"/>
              <w:rPr>
                <w:sz w:val="8"/>
                <w:szCs w:val="8"/>
                <w:color w:val="auto"/>
              </w:rPr>
            </w:pPr>
          </w:p>
        </w:tc>
        <w:tc>
          <w:tcPr>
            <w:tcW w:w="620" w:type="dxa"/>
            <w:vAlign w:val="bottom"/>
            <w:tcBorders>
              <w:bottom w:val="single" w:sz="8" w:color="939598"/>
            </w:tcBorders>
          </w:tcPr>
          <w:p>
            <w:pPr>
              <w:spacing w:after="0"/>
              <w:rPr>
                <w:sz w:val="8"/>
                <w:szCs w:val="8"/>
                <w:color w:val="auto"/>
              </w:rPr>
            </w:pPr>
          </w:p>
        </w:tc>
        <w:tc>
          <w:tcPr>
            <w:tcW w:w="0" w:type="dxa"/>
            <w:vAlign w:val="bottom"/>
          </w:tcPr>
          <w:p>
            <w:pPr>
              <w:spacing w:after="0"/>
              <w:rPr>
                <w:sz w:val="1"/>
                <w:szCs w:val="1"/>
                <w:color w:val="auto"/>
              </w:rPr>
            </w:pPr>
          </w:p>
        </w:tc>
      </w:tr>
      <w:tr>
        <w:trPr>
          <w:trHeight w:val="531"/>
        </w:trPr>
        <w:tc>
          <w:tcPr>
            <w:tcW w:w="2400" w:type="dxa"/>
            <w:vAlign w:val="bottom"/>
          </w:tcPr>
          <w:p>
            <w:pPr>
              <w:ind w:left="100"/>
              <w:spacing w:after="0"/>
              <w:rPr>
                <w:sz w:val="20"/>
                <w:szCs w:val="20"/>
                <w:color w:val="auto"/>
              </w:rPr>
            </w:pPr>
            <w:r>
              <w:rPr>
                <w:rFonts w:ascii="Arial" w:cs="Arial" w:eastAsia="Arial" w:hAnsi="Arial"/>
                <w:sz w:val="14"/>
                <w:szCs w:val="14"/>
                <w:b w:val="1"/>
                <w:bCs w:val="1"/>
                <w:color w:val="auto"/>
              </w:rPr>
              <w:t>Risk Management</w:t>
            </w: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400" w:type="dxa"/>
            <w:vAlign w:val="bottom"/>
            <w:tcBorders>
              <w:bottom w:val="single" w:sz="8" w:color="939598"/>
            </w:tcBorders>
          </w:tcPr>
          <w:p>
            <w:pPr>
              <w:spacing w:after="0"/>
              <w:rPr>
                <w:sz w:val="24"/>
                <w:szCs w:val="24"/>
                <w:color w:val="auto"/>
              </w:rPr>
            </w:pPr>
          </w:p>
        </w:tc>
        <w:tc>
          <w:tcPr>
            <w:tcW w:w="860" w:type="dxa"/>
            <w:vAlign w:val="bottom"/>
            <w:tcBorders>
              <w:bottom w:val="single" w:sz="8" w:color="939598"/>
            </w:tcBorders>
          </w:tcPr>
          <w:p>
            <w:pPr>
              <w:spacing w:after="0"/>
              <w:rPr>
                <w:sz w:val="24"/>
                <w:szCs w:val="24"/>
                <w:color w:val="auto"/>
              </w:rPr>
            </w:pPr>
          </w:p>
        </w:tc>
        <w:tc>
          <w:tcPr>
            <w:tcW w:w="620" w:type="dxa"/>
            <w:vAlign w:val="bottom"/>
            <w:tcBorders>
              <w:bottom w:val="single" w:sz="8" w:color="939598"/>
            </w:tcBorders>
          </w:tcPr>
          <w:p>
            <w:pPr>
              <w:spacing w:after="0"/>
              <w:rPr>
                <w:sz w:val="24"/>
                <w:szCs w:val="24"/>
                <w:color w:val="auto"/>
              </w:rPr>
            </w:pPr>
          </w:p>
        </w:tc>
        <w:tc>
          <w:tcPr>
            <w:tcW w:w="580" w:type="dxa"/>
            <w:vAlign w:val="bottom"/>
            <w:tcBorders>
              <w:bottom w:val="single" w:sz="8" w:color="939598"/>
            </w:tcBorders>
          </w:tcPr>
          <w:p>
            <w:pPr>
              <w:spacing w:after="0"/>
              <w:rPr>
                <w:sz w:val="24"/>
                <w:szCs w:val="24"/>
                <w:color w:val="auto"/>
              </w:rPr>
            </w:pPr>
          </w:p>
        </w:tc>
        <w:tc>
          <w:tcPr>
            <w:tcW w:w="800" w:type="dxa"/>
            <w:vAlign w:val="bottom"/>
            <w:tcBorders>
              <w:bottom w:val="single" w:sz="8" w:color="939598"/>
            </w:tcBorders>
          </w:tcPr>
          <w:p>
            <w:pPr>
              <w:spacing w:after="0"/>
              <w:rPr>
                <w:sz w:val="24"/>
                <w:szCs w:val="24"/>
                <w:color w:val="auto"/>
              </w:rPr>
            </w:pPr>
          </w:p>
        </w:tc>
        <w:tc>
          <w:tcPr>
            <w:tcW w:w="580" w:type="dxa"/>
            <w:vAlign w:val="bottom"/>
            <w:tcBorders>
              <w:bottom w:val="single" w:sz="8" w:color="939598"/>
            </w:tcBorders>
          </w:tcPr>
          <w:p>
            <w:pPr>
              <w:spacing w:after="0"/>
              <w:rPr>
                <w:sz w:val="24"/>
                <w:szCs w:val="24"/>
                <w:color w:val="auto"/>
              </w:rPr>
            </w:pPr>
          </w:p>
        </w:tc>
        <w:tc>
          <w:tcPr>
            <w:tcW w:w="640" w:type="dxa"/>
            <w:vAlign w:val="bottom"/>
            <w:tcBorders>
              <w:bottom w:val="single" w:sz="8" w:color="939598"/>
            </w:tcBorders>
          </w:tcPr>
          <w:p>
            <w:pPr>
              <w:spacing w:after="0"/>
              <w:rPr>
                <w:sz w:val="24"/>
                <w:szCs w:val="24"/>
                <w:color w:val="auto"/>
              </w:rPr>
            </w:pPr>
          </w:p>
        </w:tc>
        <w:tc>
          <w:tcPr>
            <w:tcW w:w="860" w:type="dxa"/>
            <w:vAlign w:val="bottom"/>
            <w:tcBorders>
              <w:bottom w:val="single" w:sz="8" w:color="939598"/>
            </w:tcBorders>
          </w:tcPr>
          <w:p>
            <w:pPr>
              <w:spacing w:after="0"/>
              <w:rPr>
                <w:sz w:val="24"/>
                <w:szCs w:val="24"/>
                <w:color w:val="auto"/>
              </w:rPr>
            </w:pPr>
          </w:p>
        </w:tc>
        <w:tc>
          <w:tcPr>
            <w:tcW w:w="740" w:type="dxa"/>
            <w:vAlign w:val="bottom"/>
            <w:tcBorders>
              <w:bottom w:val="single" w:sz="8" w:color="939598"/>
            </w:tcBorders>
          </w:tcPr>
          <w:p>
            <w:pPr>
              <w:spacing w:after="0"/>
              <w:rPr>
                <w:sz w:val="24"/>
                <w:szCs w:val="24"/>
                <w:color w:val="auto"/>
              </w:rPr>
            </w:pPr>
          </w:p>
        </w:tc>
        <w:tc>
          <w:tcPr>
            <w:tcW w:w="800" w:type="dxa"/>
            <w:vAlign w:val="bottom"/>
            <w:tcBorders>
              <w:bottom w:val="single" w:sz="8" w:color="939598"/>
            </w:tcBorders>
          </w:tcPr>
          <w:p>
            <w:pPr>
              <w:spacing w:after="0"/>
              <w:rPr>
                <w:sz w:val="24"/>
                <w:szCs w:val="24"/>
                <w:color w:val="auto"/>
              </w:rPr>
            </w:pPr>
          </w:p>
        </w:tc>
        <w:tc>
          <w:tcPr>
            <w:tcW w:w="700" w:type="dxa"/>
            <w:vAlign w:val="bottom"/>
            <w:tcBorders>
              <w:bottom w:val="single" w:sz="8" w:color="939598"/>
            </w:tcBorders>
          </w:tcPr>
          <w:p>
            <w:pPr>
              <w:spacing w:after="0"/>
              <w:rPr>
                <w:sz w:val="24"/>
                <w:szCs w:val="24"/>
                <w:color w:val="auto"/>
              </w:rPr>
            </w:pPr>
          </w:p>
        </w:tc>
        <w:tc>
          <w:tcPr>
            <w:tcW w:w="620" w:type="dxa"/>
            <w:vAlign w:val="bottom"/>
            <w:tcBorders>
              <w:bottom w:val="single" w:sz="8" w:color="939598"/>
            </w:tcBorders>
          </w:tcPr>
          <w:p>
            <w:pPr>
              <w:spacing w:after="0"/>
              <w:rPr>
                <w:sz w:val="24"/>
                <w:szCs w:val="24"/>
                <w:color w:val="auto"/>
              </w:rPr>
            </w:pPr>
          </w:p>
        </w:tc>
        <w:tc>
          <w:tcPr>
            <w:tcW w:w="620" w:type="dxa"/>
            <w:vAlign w:val="bottom"/>
            <w:tcBorders>
              <w:bottom w:val="single" w:sz="8" w:color="939598"/>
            </w:tcBorders>
          </w:tcPr>
          <w:p>
            <w:pPr>
              <w:spacing w:after="0"/>
              <w:rPr>
                <w:sz w:val="24"/>
                <w:szCs w:val="24"/>
                <w:color w:val="auto"/>
              </w:rPr>
            </w:pPr>
          </w:p>
        </w:tc>
        <w:tc>
          <w:tcPr>
            <w:tcW w:w="0" w:type="dxa"/>
            <w:vAlign w:val="bottom"/>
          </w:tcPr>
          <w:p>
            <w:pPr>
              <w:spacing w:after="0"/>
              <w:rPr>
                <w:sz w:val="1"/>
                <w:szCs w:val="1"/>
                <w:color w:val="auto"/>
              </w:rPr>
            </w:pPr>
          </w:p>
        </w:tc>
      </w:tr>
      <w:tr>
        <w:trPr>
          <w:trHeight w:val="531"/>
        </w:trPr>
        <w:tc>
          <w:tcPr>
            <w:tcW w:w="2400" w:type="dxa"/>
            <w:vAlign w:val="bottom"/>
          </w:tcPr>
          <w:p>
            <w:pPr>
              <w:ind w:left="100"/>
              <w:spacing w:after="0"/>
              <w:rPr>
                <w:sz w:val="20"/>
                <w:szCs w:val="20"/>
                <w:color w:val="auto"/>
              </w:rPr>
            </w:pPr>
            <w:r>
              <w:rPr>
                <w:rFonts w:ascii="Arial" w:cs="Arial" w:eastAsia="Arial" w:hAnsi="Arial"/>
                <w:sz w:val="14"/>
                <w:szCs w:val="14"/>
                <w:b w:val="1"/>
                <w:bCs w:val="1"/>
                <w:color w:val="auto"/>
              </w:rPr>
              <w:t>Financial Expertise</w:t>
            </w: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2400" w:type="dxa"/>
            <w:vAlign w:val="bottom"/>
            <w:tcBorders>
              <w:bottom w:val="single" w:sz="8" w:color="939598"/>
            </w:tcBorders>
          </w:tcPr>
          <w:p>
            <w:pPr>
              <w:spacing w:after="0"/>
              <w:rPr>
                <w:sz w:val="24"/>
                <w:szCs w:val="24"/>
                <w:color w:val="auto"/>
              </w:rPr>
            </w:pPr>
          </w:p>
        </w:tc>
        <w:tc>
          <w:tcPr>
            <w:tcW w:w="860" w:type="dxa"/>
            <w:vAlign w:val="bottom"/>
            <w:tcBorders>
              <w:bottom w:val="single" w:sz="8" w:color="939598"/>
            </w:tcBorders>
          </w:tcPr>
          <w:p>
            <w:pPr>
              <w:spacing w:after="0"/>
              <w:rPr>
                <w:sz w:val="24"/>
                <w:szCs w:val="24"/>
                <w:color w:val="auto"/>
              </w:rPr>
            </w:pPr>
          </w:p>
        </w:tc>
        <w:tc>
          <w:tcPr>
            <w:tcW w:w="620" w:type="dxa"/>
            <w:vAlign w:val="bottom"/>
            <w:tcBorders>
              <w:bottom w:val="single" w:sz="8" w:color="939598"/>
            </w:tcBorders>
          </w:tcPr>
          <w:p>
            <w:pPr>
              <w:spacing w:after="0"/>
              <w:rPr>
                <w:sz w:val="24"/>
                <w:szCs w:val="24"/>
                <w:color w:val="auto"/>
              </w:rPr>
            </w:pPr>
          </w:p>
        </w:tc>
        <w:tc>
          <w:tcPr>
            <w:tcW w:w="580" w:type="dxa"/>
            <w:vAlign w:val="bottom"/>
            <w:tcBorders>
              <w:bottom w:val="single" w:sz="8" w:color="939598"/>
            </w:tcBorders>
          </w:tcPr>
          <w:p>
            <w:pPr>
              <w:spacing w:after="0"/>
              <w:rPr>
                <w:sz w:val="24"/>
                <w:szCs w:val="24"/>
                <w:color w:val="auto"/>
              </w:rPr>
            </w:pPr>
          </w:p>
        </w:tc>
        <w:tc>
          <w:tcPr>
            <w:tcW w:w="800" w:type="dxa"/>
            <w:vAlign w:val="bottom"/>
            <w:tcBorders>
              <w:bottom w:val="single" w:sz="8" w:color="939598"/>
            </w:tcBorders>
          </w:tcPr>
          <w:p>
            <w:pPr>
              <w:spacing w:after="0"/>
              <w:rPr>
                <w:sz w:val="24"/>
                <w:szCs w:val="24"/>
                <w:color w:val="auto"/>
              </w:rPr>
            </w:pPr>
          </w:p>
        </w:tc>
        <w:tc>
          <w:tcPr>
            <w:tcW w:w="580" w:type="dxa"/>
            <w:vAlign w:val="bottom"/>
            <w:tcBorders>
              <w:bottom w:val="single" w:sz="8" w:color="939598"/>
            </w:tcBorders>
          </w:tcPr>
          <w:p>
            <w:pPr>
              <w:spacing w:after="0"/>
              <w:rPr>
                <w:sz w:val="24"/>
                <w:szCs w:val="24"/>
                <w:color w:val="auto"/>
              </w:rPr>
            </w:pPr>
          </w:p>
        </w:tc>
        <w:tc>
          <w:tcPr>
            <w:tcW w:w="640" w:type="dxa"/>
            <w:vAlign w:val="bottom"/>
            <w:tcBorders>
              <w:bottom w:val="single" w:sz="8" w:color="939598"/>
            </w:tcBorders>
          </w:tcPr>
          <w:p>
            <w:pPr>
              <w:spacing w:after="0"/>
              <w:rPr>
                <w:sz w:val="24"/>
                <w:szCs w:val="24"/>
                <w:color w:val="auto"/>
              </w:rPr>
            </w:pPr>
          </w:p>
        </w:tc>
        <w:tc>
          <w:tcPr>
            <w:tcW w:w="860" w:type="dxa"/>
            <w:vAlign w:val="bottom"/>
            <w:tcBorders>
              <w:bottom w:val="single" w:sz="8" w:color="939598"/>
            </w:tcBorders>
          </w:tcPr>
          <w:p>
            <w:pPr>
              <w:spacing w:after="0"/>
              <w:rPr>
                <w:sz w:val="24"/>
                <w:szCs w:val="24"/>
                <w:color w:val="auto"/>
              </w:rPr>
            </w:pPr>
          </w:p>
        </w:tc>
        <w:tc>
          <w:tcPr>
            <w:tcW w:w="740" w:type="dxa"/>
            <w:vAlign w:val="bottom"/>
            <w:tcBorders>
              <w:bottom w:val="single" w:sz="8" w:color="939598"/>
            </w:tcBorders>
          </w:tcPr>
          <w:p>
            <w:pPr>
              <w:spacing w:after="0"/>
              <w:rPr>
                <w:sz w:val="24"/>
                <w:szCs w:val="24"/>
                <w:color w:val="auto"/>
              </w:rPr>
            </w:pPr>
          </w:p>
        </w:tc>
        <w:tc>
          <w:tcPr>
            <w:tcW w:w="800" w:type="dxa"/>
            <w:vAlign w:val="bottom"/>
            <w:tcBorders>
              <w:bottom w:val="single" w:sz="8" w:color="939598"/>
            </w:tcBorders>
          </w:tcPr>
          <w:p>
            <w:pPr>
              <w:spacing w:after="0"/>
              <w:rPr>
                <w:sz w:val="24"/>
                <w:szCs w:val="24"/>
                <w:color w:val="auto"/>
              </w:rPr>
            </w:pPr>
          </w:p>
        </w:tc>
        <w:tc>
          <w:tcPr>
            <w:tcW w:w="700" w:type="dxa"/>
            <w:vAlign w:val="bottom"/>
            <w:tcBorders>
              <w:bottom w:val="single" w:sz="8" w:color="939598"/>
            </w:tcBorders>
          </w:tcPr>
          <w:p>
            <w:pPr>
              <w:spacing w:after="0"/>
              <w:rPr>
                <w:sz w:val="24"/>
                <w:szCs w:val="24"/>
                <w:color w:val="auto"/>
              </w:rPr>
            </w:pPr>
          </w:p>
        </w:tc>
        <w:tc>
          <w:tcPr>
            <w:tcW w:w="620" w:type="dxa"/>
            <w:vAlign w:val="bottom"/>
            <w:tcBorders>
              <w:bottom w:val="single" w:sz="8" w:color="939598"/>
            </w:tcBorders>
          </w:tcPr>
          <w:p>
            <w:pPr>
              <w:spacing w:after="0"/>
              <w:rPr>
                <w:sz w:val="24"/>
                <w:szCs w:val="24"/>
                <w:color w:val="auto"/>
              </w:rPr>
            </w:pPr>
          </w:p>
        </w:tc>
        <w:tc>
          <w:tcPr>
            <w:tcW w:w="620" w:type="dxa"/>
            <w:vAlign w:val="bottom"/>
            <w:tcBorders>
              <w:bottom w:val="single" w:sz="8" w:color="939598"/>
            </w:tcBorders>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2400" w:type="dxa"/>
            <w:vAlign w:val="bottom"/>
          </w:tcPr>
          <w:p>
            <w:pPr>
              <w:ind w:left="100"/>
              <w:spacing w:after="0"/>
              <w:rPr>
                <w:sz w:val="20"/>
                <w:szCs w:val="20"/>
                <w:color w:val="auto"/>
              </w:rPr>
            </w:pPr>
            <w:r>
              <w:rPr>
                <w:rFonts w:ascii="Arial" w:cs="Arial" w:eastAsia="Arial" w:hAnsi="Arial"/>
                <w:sz w:val="14"/>
                <w:szCs w:val="14"/>
                <w:b w:val="1"/>
                <w:bCs w:val="1"/>
                <w:color w:val="auto"/>
              </w:rPr>
              <w:t>Gender</w:t>
            </w:r>
          </w:p>
        </w:tc>
        <w:tc>
          <w:tcPr>
            <w:tcW w:w="860" w:type="dxa"/>
            <w:vAlign w:val="bottom"/>
          </w:tcPr>
          <w:p>
            <w:pPr>
              <w:jc w:val="center"/>
              <w:ind w:left="30"/>
              <w:spacing w:after="0"/>
              <w:rPr>
                <w:sz w:val="20"/>
                <w:szCs w:val="20"/>
                <w:color w:val="auto"/>
              </w:rPr>
            </w:pPr>
            <w:r>
              <w:rPr>
                <w:rFonts w:ascii="Arial" w:cs="Arial" w:eastAsia="Arial" w:hAnsi="Arial"/>
                <w:sz w:val="14"/>
                <w:szCs w:val="14"/>
                <w:color w:val="auto"/>
              </w:rPr>
              <w:t>Male</w:t>
            </w:r>
          </w:p>
        </w:tc>
        <w:tc>
          <w:tcPr>
            <w:tcW w:w="620" w:type="dxa"/>
            <w:vAlign w:val="bottom"/>
          </w:tcPr>
          <w:p>
            <w:pPr>
              <w:jc w:val="center"/>
              <w:spacing w:after="0"/>
              <w:rPr>
                <w:sz w:val="20"/>
                <w:szCs w:val="20"/>
                <w:color w:val="auto"/>
              </w:rPr>
            </w:pPr>
            <w:r>
              <w:rPr>
                <w:rFonts w:ascii="Arial" w:cs="Arial" w:eastAsia="Arial" w:hAnsi="Arial"/>
                <w:sz w:val="14"/>
                <w:szCs w:val="14"/>
                <w:color w:val="auto"/>
              </w:rPr>
              <w:t>Male</w:t>
            </w:r>
          </w:p>
        </w:tc>
        <w:tc>
          <w:tcPr>
            <w:tcW w:w="580" w:type="dxa"/>
            <w:vAlign w:val="bottom"/>
          </w:tcPr>
          <w:p>
            <w:pPr>
              <w:jc w:val="center"/>
              <w:spacing w:after="0"/>
              <w:rPr>
                <w:sz w:val="20"/>
                <w:szCs w:val="20"/>
                <w:color w:val="auto"/>
              </w:rPr>
            </w:pPr>
            <w:r>
              <w:rPr>
                <w:rFonts w:ascii="Arial" w:cs="Arial" w:eastAsia="Arial" w:hAnsi="Arial"/>
                <w:sz w:val="14"/>
                <w:szCs w:val="14"/>
                <w:color w:val="auto"/>
              </w:rPr>
              <w:t>Male</w:t>
            </w:r>
          </w:p>
        </w:tc>
        <w:tc>
          <w:tcPr>
            <w:tcW w:w="800" w:type="dxa"/>
            <w:vAlign w:val="bottom"/>
          </w:tcPr>
          <w:p>
            <w:pPr>
              <w:jc w:val="center"/>
              <w:spacing w:after="0"/>
              <w:rPr>
                <w:sz w:val="20"/>
                <w:szCs w:val="20"/>
                <w:color w:val="auto"/>
              </w:rPr>
            </w:pPr>
            <w:r>
              <w:rPr>
                <w:rFonts w:ascii="Arial" w:cs="Arial" w:eastAsia="Arial" w:hAnsi="Arial"/>
                <w:sz w:val="14"/>
                <w:szCs w:val="14"/>
                <w:color w:val="auto"/>
                <w:w w:val="98"/>
              </w:rPr>
              <w:t>Male</w:t>
            </w:r>
          </w:p>
        </w:tc>
        <w:tc>
          <w:tcPr>
            <w:tcW w:w="580" w:type="dxa"/>
            <w:vAlign w:val="bottom"/>
          </w:tcPr>
          <w:p>
            <w:pPr>
              <w:jc w:val="center"/>
              <w:spacing w:after="0"/>
              <w:rPr>
                <w:sz w:val="20"/>
                <w:szCs w:val="20"/>
                <w:color w:val="auto"/>
              </w:rPr>
            </w:pPr>
            <w:r>
              <w:rPr>
                <w:rFonts w:ascii="Arial" w:cs="Arial" w:eastAsia="Arial" w:hAnsi="Arial"/>
                <w:sz w:val="14"/>
                <w:szCs w:val="14"/>
                <w:color w:val="auto"/>
              </w:rPr>
              <w:t>Male</w:t>
            </w:r>
          </w:p>
        </w:tc>
        <w:tc>
          <w:tcPr>
            <w:tcW w:w="640" w:type="dxa"/>
            <w:vAlign w:val="bottom"/>
          </w:tcPr>
          <w:p>
            <w:pPr>
              <w:jc w:val="center"/>
              <w:spacing w:after="0"/>
              <w:rPr>
                <w:sz w:val="20"/>
                <w:szCs w:val="20"/>
                <w:color w:val="auto"/>
              </w:rPr>
            </w:pPr>
            <w:r>
              <w:rPr>
                <w:rFonts w:ascii="Arial" w:cs="Arial" w:eastAsia="Arial" w:hAnsi="Arial"/>
                <w:sz w:val="14"/>
                <w:szCs w:val="14"/>
                <w:color w:val="auto"/>
              </w:rPr>
              <w:t>Male</w:t>
            </w:r>
          </w:p>
        </w:tc>
        <w:tc>
          <w:tcPr>
            <w:tcW w:w="860" w:type="dxa"/>
            <w:vAlign w:val="bottom"/>
          </w:tcPr>
          <w:p>
            <w:pPr>
              <w:jc w:val="center"/>
              <w:spacing w:after="0"/>
              <w:rPr>
                <w:sz w:val="20"/>
                <w:szCs w:val="20"/>
                <w:color w:val="auto"/>
              </w:rPr>
            </w:pPr>
            <w:r>
              <w:rPr>
                <w:rFonts w:ascii="Arial" w:cs="Arial" w:eastAsia="Arial" w:hAnsi="Arial"/>
                <w:sz w:val="14"/>
                <w:szCs w:val="14"/>
                <w:color w:val="auto"/>
              </w:rPr>
              <w:t>Female</w:t>
            </w:r>
          </w:p>
        </w:tc>
        <w:tc>
          <w:tcPr>
            <w:tcW w:w="740" w:type="dxa"/>
            <w:vAlign w:val="bottom"/>
          </w:tcPr>
          <w:p>
            <w:pPr>
              <w:jc w:val="center"/>
              <w:spacing w:after="0"/>
              <w:rPr>
                <w:sz w:val="20"/>
                <w:szCs w:val="20"/>
                <w:color w:val="auto"/>
              </w:rPr>
            </w:pPr>
            <w:r>
              <w:rPr>
                <w:rFonts w:ascii="Arial" w:cs="Arial" w:eastAsia="Arial" w:hAnsi="Arial"/>
                <w:sz w:val="14"/>
                <w:szCs w:val="14"/>
                <w:color w:val="auto"/>
              </w:rPr>
              <w:t>Female</w:t>
            </w:r>
          </w:p>
        </w:tc>
        <w:tc>
          <w:tcPr>
            <w:tcW w:w="800" w:type="dxa"/>
            <w:vAlign w:val="bottom"/>
          </w:tcPr>
          <w:p>
            <w:pPr>
              <w:jc w:val="center"/>
              <w:spacing w:after="0"/>
              <w:rPr>
                <w:sz w:val="20"/>
                <w:szCs w:val="20"/>
                <w:color w:val="auto"/>
              </w:rPr>
            </w:pPr>
            <w:r>
              <w:rPr>
                <w:rFonts w:ascii="Arial" w:cs="Arial" w:eastAsia="Arial" w:hAnsi="Arial"/>
                <w:sz w:val="14"/>
                <w:szCs w:val="14"/>
                <w:color w:val="auto"/>
              </w:rPr>
              <w:t>Female</w:t>
            </w:r>
          </w:p>
        </w:tc>
        <w:tc>
          <w:tcPr>
            <w:tcW w:w="700" w:type="dxa"/>
            <w:vAlign w:val="bottom"/>
          </w:tcPr>
          <w:p>
            <w:pPr>
              <w:jc w:val="center"/>
              <w:spacing w:after="0"/>
              <w:rPr>
                <w:sz w:val="20"/>
                <w:szCs w:val="20"/>
                <w:color w:val="auto"/>
              </w:rPr>
            </w:pPr>
            <w:r>
              <w:rPr>
                <w:rFonts w:ascii="Arial" w:cs="Arial" w:eastAsia="Arial" w:hAnsi="Arial"/>
                <w:sz w:val="14"/>
                <w:szCs w:val="14"/>
                <w:color w:val="auto"/>
                <w:w w:val="98"/>
              </w:rPr>
              <w:t>Male</w:t>
            </w:r>
          </w:p>
        </w:tc>
        <w:tc>
          <w:tcPr>
            <w:tcW w:w="620" w:type="dxa"/>
            <w:vAlign w:val="bottom"/>
          </w:tcPr>
          <w:p>
            <w:pPr>
              <w:jc w:val="center"/>
              <w:spacing w:after="0"/>
              <w:rPr>
                <w:sz w:val="20"/>
                <w:szCs w:val="20"/>
                <w:color w:val="auto"/>
              </w:rPr>
            </w:pPr>
            <w:r>
              <w:rPr>
                <w:rFonts w:ascii="Arial" w:cs="Arial" w:eastAsia="Arial" w:hAnsi="Arial"/>
                <w:sz w:val="14"/>
                <w:szCs w:val="14"/>
                <w:color w:val="auto"/>
              </w:rPr>
              <w:t>Male</w:t>
            </w:r>
          </w:p>
        </w:tc>
        <w:tc>
          <w:tcPr>
            <w:tcW w:w="620" w:type="dxa"/>
            <w:vAlign w:val="bottom"/>
          </w:tcPr>
          <w:p>
            <w:pPr>
              <w:jc w:val="center"/>
              <w:spacing w:after="0"/>
              <w:rPr>
                <w:sz w:val="20"/>
                <w:szCs w:val="20"/>
                <w:color w:val="auto"/>
              </w:rPr>
            </w:pPr>
            <w:r>
              <w:rPr>
                <w:rFonts w:ascii="Arial" w:cs="Arial" w:eastAsia="Arial" w:hAnsi="Arial"/>
                <w:sz w:val="14"/>
                <w:szCs w:val="14"/>
                <w:color w:val="auto"/>
                <w:w w:val="98"/>
              </w:rPr>
              <w:t>Male</w:t>
            </w:r>
          </w:p>
        </w:tc>
        <w:tc>
          <w:tcPr>
            <w:tcW w:w="0" w:type="dxa"/>
            <w:vAlign w:val="bottom"/>
          </w:tcPr>
          <w:p>
            <w:pPr>
              <w:spacing w:after="0"/>
              <w:rPr>
                <w:sz w:val="1"/>
                <w:szCs w:val="1"/>
                <w:color w:val="auto"/>
              </w:rPr>
            </w:pPr>
          </w:p>
        </w:tc>
      </w:tr>
      <w:tr>
        <w:trPr>
          <w:trHeight w:val="231"/>
        </w:trPr>
        <w:tc>
          <w:tcPr>
            <w:tcW w:w="2400" w:type="dxa"/>
            <w:vAlign w:val="bottom"/>
            <w:tcBorders>
              <w:bottom w:val="single" w:sz="8" w:color="939598"/>
            </w:tcBorders>
          </w:tcPr>
          <w:p>
            <w:pPr>
              <w:spacing w:after="0"/>
              <w:rPr>
                <w:sz w:val="20"/>
                <w:szCs w:val="20"/>
                <w:color w:val="auto"/>
              </w:rPr>
            </w:pPr>
          </w:p>
        </w:tc>
        <w:tc>
          <w:tcPr>
            <w:tcW w:w="860" w:type="dxa"/>
            <w:vAlign w:val="bottom"/>
            <w:tcBorders>
              <w:bottom w:val="single" w:sz="8" w:color="939598"/>
            </w:tcBorders>
          </w:tcPr>
          <w:p>
            <w:pPr>
              <w:spacing w:after="0"/>
              <w:rPr>
                <w:sz w:val="20"/>
                <w:szCs w:val="20"/>
                <w:color w:val="auto"/>
              </w:rPr>
            </w:pPr>
          </w:p>
        </w:tc>
        <w:tc>
          <w:tcPr>
            <w:tcW w:w="620" w:type="dxa"/>
            <w:vAlign w:val="bottom"/>
            <w:tcBorders>
              <w:bottom w:val="single" w:sz="8" w:color="939598"/>
            </w:tcBorders>
          </w:tcPr>
          <w:p>
            <w:pPr>
              <w:spacing w:after="0"/>
              <w:rPr>
                <w:sz w:val="20"/>
                <w:szCs w:val="20"/>
                <w:color w:val="auto"/>
              </w:rPr>
            </w:pPr>
          </w:p>
        </w:tc>
        <w:tc>
          <w:tcPr>
            <w:tcW w:w="580" w:type="dxa"/>
            <w:vAlign w:val="bottom"/>
            <w:tcBorders>
              <w:bottom w:val="single" w:sz="8" w:color="939598"/>
            </w:tcBorders>
          </w:tcPr>
          <w:p>
            <w:pPr>
              <w:spacing w:after="0"/>
              <w:rPr>
                <w:sz w:val="20"/>
                <w:szCs w:val="20"/>
                <w:color w:val="auto"/>
              </w:rPr>
            </w:pPr>
          </w:p>
        </w:tc>
        <w:tc>
          <w:tcPr>
            <w:tcW w:w="800" w:type="dxa"/>
            <w:vAlign w:val="bottom"/>
            <w:tcBorders>
              <w:bottom w:val="single" w:sz="8" w:color="939598"/>
            </w:tcBorders>
          </w:tcPr>
          <w:p>
            <w:pPr>
              <w:spacing w:after="0"/>
              <w:rPr>
                <w:sz w:val="20"/>
                <w:szCs w:val="20"/>
                <w:color w:val="auto"/>
              </w:rPr>
            </w:pPr>
          </w:p>
        </w:tc>
        <w:tc>
          <w:tcPr>
            <w:tcW w:w="580" w:type="dxa"/>
            <w:vAlign w:val="bottom"/>
            <w:tcBorders>
              <w:bottom w:val="single" w:sz="8" w:color="939598"/>
            </w:tcBorders>
          </w:tcPr>
          <w:p>
            <w:pPr>
              <w:spacing w:after="0"/>
              <w:rPr>
                <w:sz w:val="20"/>
                <w:szCs w:val="20"/>
                <w:color w:val="auto"/>
              </w:rPr>
            </w:pPr>
          </w:p>
        </w:tc>
        <w:tc>
          <w:tcPr>
            <w:tcW w:w="640" w:type="dxa"/>
            <w:vAlign w:val="bottom"/>
            <w:tcBorders>
              <w:bottom w:val="single" w:sz="8" w:color="939598"/>
            </w:tcBorders>
          </w:tcPr>
          <w:p>
            <w:pPr>
              <w:spacing w:after="0"/>
              <w:rPr>
                <w:sz w:val="20"/>
                <w:szCs w:val="20"/>
                <w:color w:val="auto"/>
              </w:rPr>
            </w:pPr>
          </w:p>
        </w:tc>
        <w:tc>
          <w:tcPr>
            <w:tcW w:w="860" w:type="dxa"/>
            <w:vAlign w:val="bottom"/>
            <w:tcBorders>
              <w:bottom w:val="single" w:sz="8" w:color="939598"/>
            </w:tcBorders>
          </w:tcPr>
          <w:p>
            <w:pPr>
              <w:spacing w:after="0"/>
              <w:rPr>
                <w:sz w:val="20"/>
                <w:szCs w:val="20"/>
                <w:color w:val="auto"/>
              </w:rPr>
            </w:pPr>
          </w:p>
        </w:tc>
        <w:tc>
          <w:tcPr>
            <w:tcW w:w="740" w:type="dxa"/>
            <w:vAlign w:val="bottom"/>
            <w:tcBorders>
              <w:bottom w:val="single" w:sz="8" w:color="939598"/>
            </w:tcBorders>
          </w:tcPr>
          <w:p>
            <w:pPr>
              <w:spacing w:after="0"/>
              <w:rPr>
                <w:sz w:val="20"/>
                <w:szCs w:val="20"/>
                <w:color w:val="auto"/>
              </w:rPr>
            </w:pPr>
          </w:p>
        </w:tc>
        <w:tc>
          <w:tcPr>
            <w:tcW w:w="800" w:type="dxa"/>
            <w:vAlign w:val="bottom"/>
            <w:tcBorders>
              <w:bottom w:val="single" w:sz="8" w:color="939598"/>
            </w:tcBorders>
          </w:tcPr>
          <w:p>
            <w:pPr>
              <w:spacing w:after="0"/>
              <w:rPr>
                <w:sz w:val="20"/>
                <w:szCs w:val="20"/>
                <w:color w:val="auto"/>
              </w:rPr>
            </w:pPr>
          </w:p>
        </w:tc>
        <w:tc>
          <w:tcPr>
            <w:tcW w:w="700" w:type="dxa"/>
            <w:vAlign w:val="bottom"/>
            <w:tcBorders>
              <w:bottom w:val="single" w:sz="8" w:color="939598"/>
            </w:tcBorders>
          </w:tcPr>
          <w:p>
            <w:pPr>
              <w:spacing w:after="0"/>
              <w:rPr>
                <w:sz w:val="20"/>
                <w:szCs w:val="20"/>
                <w:color w:val="auto"/>
              </w:rPr>
            </w:pPr>
          </w:p>
        </w:tc>
        <w:tc>
          <w:tcPr>
            <w:tcW w:w="620" w:type="dxa"/>
            <w:vAlign w:val="bottom"/>
            <w:tcBorders>
              <w:bottom w:val="single" w:sz="8" w:color="939598"/>
            </w:tcBorders>
          </w:tcPr>
          <w:p>
            <w:pPr>
              <w:spacing w:after="0"/>
              <w:rPr>
                <w:sz w:val="20"/>
                <w:szCs w:val="20"/>
                <w:color w:val="auto"/>
              </w:rPr>
            </w:pPr>
          </w:p>
        </w:tc>
        <w:tc>
          <w:tcPr>
            <w:tcW w:w="620" w:type="dxa"/>
            <w:vAlign w:val="bottom"/>
            <w:tcBorders>
              <w:bottom w:val="single" w:sz="8" w:color="939598"/>
            </w:tcBorders>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2400" w:type="dxa"/>
            <w:vAlign w:val="bottom"/>
          </w:tcPr>
          <w:p>
            <w:pPr>
              <w:ind w:left="100"/>
              <w:spacing w:after="0"/>
              <w:rPr>
                <w:sz w:val="20"/>
                <w:szCs w:val="20"/>
                <w:color w:val="auto"/>
              </w:rPr>
            </w:pPr>
            <w:r>
              <w:rPr>
                <w:rFonts w:ascii="Arial" w:cs="Arial" w:eastAsia="Arial" w:hAnsi="Arial"/>
                <w:sz w:val="14"/>
                <w:szCs w:val="14"/>
                <w:b w:val="1"/>
                <w:bCs w:val="1"/>
                <w:color w:val="auto"/>
              </w:rPr>
              <w:t>Race/Ethnicity</w:t>
            </w:r>
          </w:p>
        </w:tc>
        <w:tc>
          <w:tcPr>
            <w:tcW w:w="860" w:type="dxa"/>
            <w:vAlign w:val="bottom"/>
          </w:tcPr>
          <w:p>
            <w:pPr>
              <w:jc w:val="center"/>
              <w:ind w:left="30"/>
              <w:spacing w:after="0"/>
              <w:rPr>
                <w:sz w:val="20"/>
                <w:szCs w:val="20"/>
                <w:color w:val="auto"/>
              </w:rPr>
            </w:pPr>
            <w:r>
              <w:rPr>
                <w:rFonts w:ascii="Arial" w:cs="Arial" w:eastAsia="Arial" w:hAnsi="Arial"/>
                <w:sz w:val="14"/>
                <w:szCs w:val="14"/>
                <w:color w:val="auto"/>
              </w:rPr>
              <w:t>Asian</w:t>
            </w:r>
          </w:p>
        </w:tc>
        <w:tc>
          <w:tcPr>
            <w:tcW w:w="620" w:type="dxa"/>
            <w:vAlign w:val="bottom"/>
          </w:tcPr>
          <w:p>
            <w:pPr>
              <w:jc w:val="center"/>
              <w:spacing w:after="0"/>
              <w:rPr>
                <w:sz w:val="20"/>
                <w:szCs w:val="20"/>
                <w:color w:val="auto"/>
              </w:rPr>
            </w:pPr>
            <w:r>
              <w:rPr>
                <w:rFonts w:ascii="Arial" w:cs="Arial" w:eastAsia="Arial" w:hAnsi="Arial"/>
                <w:sz w:val="14"/>
                <w:szCs w:val="14"/>
                <w:color w:val="auto"/>
              </w:rPr>
              <w:t>White</w:t>
            </w:r>
          </w:p>
        </w:tc>
        <w:tc>
          <w:tcPr>
            <w:tcW w:w="580" w:type="dxa"/>
            <w:vAlign w:val="bottom"/>
          </w:tcPr>
          <w:p>
            <w:pPr>
              <w:jc w:val="center"/>
              <w:spacing w:after="0"/>
              <w:rPr>
                <w:sz w:val="20"/>
                <w:szCs w:val="20"/>
                <w:color w:val="auto"/>
              </w:rPr>
            </w:pPr>
            <w:r>
              <w:rPr>
                <w:rFonts w:ascii="Arial" w:cs="Arial" w:eastAsia="Arial" w:hAnsi="Arial"/>
                <w:sz w:val="14"/>
                <w:szCs w:val="14"/>
                <w:color w:val="auto"/>
              </w:rPr>
              <w:t>White</w:t>
            </w:r>
          </w:p>
        </w:tc>
        <w:tc>
          <w:tcPr>
            <w:tcW w:w="800" w:type="dxa"/>
            <w:vAlign w:val="bottom"/>
          </w:tcPr>
          <w:p>
            <w:pPr>
              <w:jc w:val="center"/>
              <w:spacing w:after="0"/>
              <w:rPr>
                <w:sz w:val="20"/>
                <w:szCs w:val="20"/>
                <w:color w:val="auto"/>
              </w:rPr>
            </w:pPr>
            <w:r>
              <w:rPr>
                <w:rFonts w:ascii="Arial" w:cs="Arial" w:eastAsia="Arial" w:hAnsi="Arial"/>
                <w:sz w:val="14"/>
                <w:szCs w:val="14"/>
                <w:color w:val="auto"/>
                <w:w w:val="99"/>
              </w:rPr>
              <w:t>Black</w:t>
            </w:r>
          </w:p>
        </w:tc>
        <w:tc>
          <w:tcPr>
            <w:tcW w:w="580" w:type="dxa"/>
            <w:vAlign w:val="bottom"/>
          </w:tcPr>
          <w:p>
            <w:pPr>
              <w:jc w:val="center"/>
              <w:spacing w:after="0"/>
              <w:rPr>
                <w:sz w:val="20"/>
                <w:szCs w:val="20"/>
                <w:color w:val="auto"/>
              </w:rPr>
            </w:pPr>
            <w:r>
              <w:rPr>
                <w:rFonts w:ascii="Arial" w:cs="Arial" w:eastAsia="Arial" w:hAnsi="Arial"/>
                <w:sz w:val="14"/>
                <w:szCs w:val="14"/>
                <w:color w:val="auto"/>
              </w:rPr>
              <w:t>White</w:t>
            </w:r>
          </w:p>
        </w:tc>
        <w:tc>
          <w:tcPr>
            <w:tcW w:w="640" w:type="dxa"/>
            <w:vAlign w:val="bottom"/>
          </w:tcPr>
          <w:p>
            <w:pPr>
              <w:jc w:val="center"/>
              <w:spacing w:after="0"/>
              <w:rPr>
                <w:sz w:val="20"/>
                <w:szCs w:val="20"/>
                <w:color w:val="auto"/>
              </w:rPr>
            </w:pPr>
            <w:r>
              <w:rPr>
                <w:rFonts w:ascii="Arial" w:cs="Arial" w:eastAsia="Arial" w:hAnsi="Arial"/>
                <w:sz w:val="14"/>
                <w:szCs w:val="14"/>
                <w:color w:val="auto"/>
              </w:rPr>
              <w:t>White</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Black</w:t>
            </w:r>
          </w:p>
        </w:tc>
        <w:tc>
          <w:tcPr>
            <w:tcW w:w="740" w:type="dxa"/>
            <w:vAlign w:val="bottom"/>
          </w:tcPr>
          <w:p>
            <w:pPr>
              <w:jc w:val="center"/>
              <w:spacing w:after="0"/>
              <w:rPr>
                <w:sz w:val="20"/>
                <w:szCs w:val="20"/>
                <w:color w:val="auto"/>
              </w:rPr>
            </w:pPr>
            <w:r>
              <w:rPr>
                <w:rFonts w:ascii="Arial" w:cs="Arial" w:eastAsia="Arial" w:hAnsi="Arial"/>
                <w:sz w:val="14"/>
                <w:szCs w:val="14"/>
                <w:color w:val="auto"/>
              </w:rPr>
              <w:t>Hispanic</w:t>
            </w:r>
          </w:p>
        </w:tc>
        <w:tc>
          <w:tcPr>
            <w:tcW w:w="800" w:type="dxa"/>
            <w:vAlign w:val="bottom"/>
          </w:tcPr>
          <w:p>
            <w:pPr>
              <w:jc w:val="center"/>
              <w:spacing w:after="0"/>
              <w:rPr>
                <w:sz w:val="20"/>
                <w:szCs w:val="20"/>
                <w:color w:val="auto"/>
              </w:rPr>
            </w:pPr>
            <w:r>
              <w:rPr>
                <w:rFonts w:ascii="Arial" w:cs="Arial" w:eastAsia="Arial" w:hAnsi="Arial"/>
                <w:sz w:val="14"/>
                <w:szCs w:val="14"/>
                <w:color w:val="auto"/>
              </w:rPr>
              <w:t>Asian</w:t>
            </w:r>
          </w:p>
        </w:tc>
        <w:tc>
          <w:tcPr>
            <w:tcW w:w="700" w:type="dxa"/>
            <w:vAlign w:val="bottom"/>
          </w:tcPr>
          <w:p>
            <w:pPr>
              <w:jc w:val="center"/>
              <w:spacing w:after="0"/>
              <w:rPr>
                <w:sz w:val="20"/>
                <w:szCs w:val="20"/>
                <w:color w:val="auto"/>
              </w:rPr>
            </w:pPr>
            <w:r>
              <w:rPr>
                <w:rFonts w:ascii="Arial" w:cs="Arial" w:eastAsia="Arial" w:hAnsi="Arial"/>
                <w:sz w:val="14"/>
                <w:szCs w:val="14"/>
                <w:color w:val="auto"/>
              </w:rPr>
              <w:t>White</w:t>
            </w:r>
          </w:p>
        </w:tc>
        <w:tc>
          <w:tcPr>
            <w:tcW w:w="620" w:type="dxa"/>
            <w:vAlign w:val="bottom"/>
          </w:tcPr>
          <w:p>
            <w:pPr>
              <w:jc w:val="center"/>
              <w:spacing w:after="0"/>
              <w:rPr>
                <w:sz w:val="20"/>
                <w:szCs w:val="20"/>
                <w:color w:val="auto"/>
              </w:rPr>
            </w:pPr>
            <w:r>
              <w:rPr>
                <w:rFonts w:ascii="Arial" w:cs="Arial" w:eastAsia="Arial" w:hAnsi="Arial"/>
                <w:sz w:val="14"/>
                <w:szCs w:val="14"/>
                <w:color w:val="auto"/>
              </w:rPr>
              <w:t>White</w:t>
            </w:r>
          </w:p>
        </w:tc>
        <w:tc>
          <w:tcPr>
            <w:tcW w:w="620" w:type="dxa"/>
            <w:vAlign w:val="bottom"/>
          </w:tcPr>
          <w:p>
            <w:pPr>
              <w:jc w:val="center"/>
              <w:spacing w:after="0"/>
              <w:rPr>
                <w:sz w:val="20"/>
                <w:szCs w:val="20"/>
                <w:color w:val="auto"/>
              </w:rPr>
            </w:pPr>
            <w:r>
              <w:rPr>
                <w:rFonts w:ascii="Arial" w:cs="Arial" w:eastAsia="Arial" w:hAnsi="Arial"/>
                <w:sz w:val="14"/>
                <w:szCs w:val="14"/>
                <w:color w:val="auto"/>
              </w:rPr>
              <w:t>White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146685</wp:posOffset>
            </wp:positionV>
            <wp:extent cx="687514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-3401695</wp:posOffset>
            </wp:positionV>
            <wp:extent cx="222885" cy="21463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-3401695</wp:posOffset>
            </wp:positionV>
            <wp:extent cx="222885" cy="21463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-3333115</wp:posOffset>
            </wp:positionV>
            <wp:extent cx="222885" cy="21463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-3333115</wp:posOffset>
            </wp:positionV>
            <wp:extent cx="222885" cy="2146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-3333115</wp:posOffset>
            </wp:positionV>
            <wp:extent cx="222885" cy="2228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clrChange>
                        <a:clrFrom>
                          <a:srgbClr val="000000"/>
                        </a:clrFrom>
                        <a:clrTo>
                          <a:srgbClr val="000000">
                            <a:alpha val="0"/>
                          </a:srgbClr>
                        </a:clrTo>
                      </a:clrChange>
                      <a:extLst>
                        <a:ext uri="{28A0092B-C50C-407E-A947-70E740481C1C}"/>
                      </a:extLst>
                    </a:blip>
                    <a:srcRect/>
                    <a:stretch>
                      <a:fillRect/>
                    </a:stretch>
                  </pic:blipFill>
                  <pic:spPr bwMode="auto">
                    <a:xfrm>
                      <a:off x="0" y="0"/>
                      <a:ext cx="222885" cy="22288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-3333115</wp:posOffset>
            </wp:positionV>
            <wp:extent cx="222885" cy="22288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clrChange>
                        <a:clrFrom>
                          <a:srgbClr val="FFFFFF"/>
                        </a:clrFrom>
                        <a:clrTo>
                          <a:srgbClr val="FFFFFF">
                            <a:alpha val="0"/>
                          </a:srgbClr>
                        </a:clrTo>
                      </a:clrChange>
                      <a:extLst>
                        <a:ext uri="{28A0092B-C50C-407E-A947-70E740481C1C}"/>
                      </a:extLst>
                    </a:blip>
                    <a:srcRect/>
                    <a:stretch>
                      <a:fillRect/>
                    </a:stretch>
                  </pic:blipFill>
                  <pic:spPr bwMode="auto">
                    <a:xfrm>
                      <a:off x="0" y="0"/>
                      <a:ext cx="222885" cy="22288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-3333115</wp:posOffset>
            </wp:positionV>
            <wp:extent cx="222885" cy="21463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-3333115</wp:posOffset>
            </wp:positionV>
            <wp:extent cx="222885" cy="21463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-3333115</wp:posOffset>
            </wp:positionV>
            <wp:extent cx="222885" cy="22288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clrChange>
                        <a:clrFrom>
                          <a:srgbClr val="000000"/>
                        </a:clrFrom>
                        <a:clrTo>
                          <a:srgbClr val="000000">
                            <a:alpha val="0"/>
                          </a:srgbClr>
                        </a:clrTo>
                      </a:clrChange>
                      <a:extLst>
                        <a:ext uri="{28A0092B-C50C-407E-A947-70E740481C1C}"/>
                      </a:extLst>
                    </a:blip>
                    <a:srcRect/>
                    <a:stretch>
                      <a:fillRect/>
                    </a:stretch>
                  </pic:blipFill>
                  <pic:spPr bwMode="auto">
                    <a:xfrm>
                      <a:off x="0" y="0"/>
                      <a:ext cx="222885" cy="22288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-3333115</wp:posOffset>
            </wp:positionV>
            <wp:extent cx="222885" cy="22288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clrChange>
                        <a:clrFrom>
                          <a:srgbClr val="FFFFFF"/>
                        </a:clrFrom>
                        <a:clrTo>
                          <a:srgbClr val="FFFFFF">
                            <a:alpha val="0"/>
                          </a:srgbClr>
                        </a:clrTo>
                      </a:clrChange>
                      <a:extLst>
                        <a:ext uri="{28A0092B-C50C-407E-A947-70E740481C1C}"/>
                      </a:extLst>
                    </a:blip>
                    <a:srcRect/>
                    <a:stretch>
                      <a:fillRect/>
                    </a:stretch>
                  </pic:blipFill>
                  <pic:spPr bwMode="auto">
                    <a:xfrm>
                      <a:off x="0" y="0"/>
                      <a:ext cx="222885" cy="22288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-3333115</wp:posOffset>
            </wp:positionV>
            <wp:extent cx="222885" cy="21463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-3333115</wp:posOffset>
            </wp:positionV>
            <wp:extent cx="222885" cy="21463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-3333115</wp:posOffset>
            </wp:positionV>
            <wp:extent cx="222885" cy="22288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clrChange>
                        <a:clrFrom>
                          <a:srgbClr val="000000"/>
                        </a:clrFrom>
                        <a:clrTo>
                          <a:srgbClr val="000000">
                            <a:alpha val="0"/>
                          </a:srgbClr>
                        </a:clrTo>
                      </a:clrChange>
                      <a:extLst>
                        <a:ext uri="{28A0092B-C50C-407E-A947-70E740481C1C}"/>
                      </a:extLst>
                    </a:blip>
                    <a:srcRect/>
                    <a:stretch>
                      <a:fillRect/>
                    </a:stretch>
                  </pic:blipFill>
                  <pic:spPr bwMode="auto">
                    <a:xfrm>
                      <a:off x="0" y="0"/>
                      <a:ext cx="222885" cy="22288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-3333115</wp:posOffset>
            </wp:positionV>
            <wp:extent cx="222885" cy="22288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clrChange>
                        <a:clrFrom>
                          <a:srgbClr val="FFFFFF"/>
                        </a:clrFrom>
                        <a:clrTo>
                          <a:srgbClr val="FFFFFF">
                            <a:alpha val="0"/>
                          </a:srgbClr>
                        </a:clrTo>
                      </a:clrChange>
                      <a:extLst>
                        <a:ext uri="{28A0092B-C50C-407E-A947-70E740481C1C}"/>
                      </a:extLst>
                    </a:blip>
                    <a:srcRect/>
                    <a:stretch>
                      <a:fillRect/>
                    </a:stretch>
                  </pic:blipFill>
                  <pic:spPr bwMode="auto">
                    <a:xfrm>
                      <a:off x="0" y="0"/>
                      <a:ext cx="222885" cy="22288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-3333115</wp:posOffset>
            </wp:positionV>
            <wp:extent cx="222885" cy="21463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-3333115</wp:posOffset>
            </wp:positionV>
            <wp:extent cx="222885" cy="21463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-3333115</wp:posOffset>
            </wp:positionV>
            <wp:extent cx="222885" cy="21463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-3333115</wp:posOffset>
            </wp:positionV>
            <wp:extent cx="222885" cy="21463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-3333115</wp:posOffset>
            </wp:positionV>
            <wp:extent cx="222885" cy="21463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-3333115</wp:posOffset>
            </wp:positionV>
            <wp:extent cx="222885" cy="21463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-3333115</wp:posOffset>
            </wp:positionV>
            <wp:extent cx="222885" cy="21463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-3333115</wp:posOffset>
            </wp:positionV>
            <wp:extent cx="222885" cy="21463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6819900</wp:posOffset>
            </wp:positionH>
            <wp:positionV relativeFrom="paragraph">
              <wp:posOffset>-3333115</wp:posOffset>
            </wp:positionV>
            <wp:extent cx="222885" cy="21463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6819900</wp:posOffset>
            </wp:positionH>
            <wp:positionV relativeFrom="paragraph">
              <wp:posOffset>-3333115</wp:posOffset>
            </wp:positionV>
            <wp:extent cx="222885" cy="21463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-1764030</wp:posOffset>
            </wp:positionV>
            <wp:extent cx="222885" cy="21463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-1764030</wp:posOffset>
            </wp:positionV>
            <wp:extent cx="222885" cy="21463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-1695450</wp:posOffset>
            </wp:positionV>
            <wp:extent cx="222885" cy="21463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-1695450</wp:posOffset>
            </wp:positionV>
            <wp:extent cx="222885" cy="21463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-1695450</wp:posOffset>
            </wp:positionV>
            <wp:extent cx="222885" cy="21463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-1695450</wp:posOffset>
            </wp:positionV>
            <wp:extent cx="222885" cy="21463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-1764030</wp:posOffset>
            </wp:positionV>
            <wp:extent cx="222885" cy="21463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-1764030</wp:posOffset>
            </wp:positionV>
            <wp:extent cx="222885" cy="21463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-1695450</wp:posOffset>
            </wp:positionV>
            <wp:extent cx="222885" cy="21463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-1695450</wp:posOffset>
            </wp:positionV>
            <wp:extent cx="222885" cy="21463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-1695450</wp:posOffset>
            </wp:positionV>
            <wp:extent cx="222885" cy="21463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-1695450</wp:posOffset>
            </wp:positionV>
            <wp:extent cx="222885" cy="21463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-1695450</wp:posOffset>
            </wp:positionV>
            <wp:extent cx="222885" cy="21463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-1695450</wp:posOffset>
            </wp:positionV>
            <wp:extent cx="222885" cy="21463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-1695450</wp:posOffset>
            </wp:positionV>
            <wp:extent cx="222885" cy="22288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clrChange>
                        <a:clrFrom>
                          <a:srgbClr val="000000"/>
                        </a:clrFrom>
                        <a:clrTo>
                          <a:srgbClr val="000000">
                            <a:alpha val="0"/>
                          </a:srgbClr>
                        </a:clrTo>
                      </a:clrChange>
                      <a:extLst>
                        <a:ext uri="{28A0092B-C50C-407E-A947-70E740481C1C}"/>
                      </a:extLst>
                    </a:blip>
                    <a:srcRect/>
                    <a:stretch>
                      <a:fillRect/>
                    </a:stretch>
                  </pic:blipFill>
                  <pic:spPr bwMode="auto">
                    <a:xfrm>
                      <a:off x="0" y="0"/>
                      <a:ext cx="222885" cy="22288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-1695450</wp:posOffset>
            </wp:positionV>
            <wp:extent cx="222885" cy="22288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clrChange>
                        <a:clrFrom>
                          <a:srgbClr val="FFFFFF"/>
                        </a:clrFrom>
                        <a:clrTo>
                          <a:srgbClr val="FFFFFF">
                            <a:alpha val="0"/>
                          </a:srgbClr>
                        </a:clrTo>
                      </a:clrChange>
                      <a:extLst>
                        <a:ext uri="{28A0092B-C50C-407E-A947-70E740481C1C}"/>
                      </a:extLst>
                    </a:blip>
                    <a:srcRect/>
                    <a:stretch>
                      <a:fillRect/>
                    </a:stretch>
                  </pic:blipFill>
                  <pic:spPr bwMode="auto">
                    <a:xfrm>
                      <a:off x="0" y="0"/>
                      <a:ext cx="222885" cy="22288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-1695450</wp:posOffset>
            </wp:positionV>
            <wp:extent cx="222885" cy="21463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-1695450</wp:posOffset>
            </wp:positionV>
            <wp:extent cx="222885" cy="21463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-1695450</wp:posOffset>
            </wp:positionV>
            <wp:extent cx="222885" cy="21463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-1695450</wp:posOffset>
            </wp:positionV>
            <wp:extent cx="222885" cy="21463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-1695450</wp:posOffset>
            </wp:positionV>
            <wp:extent cx="222885" cy="21463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-1695450</wp:posOffset>
            </wp:positionV>
            <wp:extent cx="222885" cy="21463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6819900</wp:posOffset>
            </wp:positionH>
            <wp:positionV relativeFrom="paragraph">
              <wp:posOffset>-1695450</wp:posOffset>
            </wp:positionV>
            <wp:extent cx="222885" cy="21463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6819900</wp:posOffset>
            </wp:positionH>
            <wp:positionV relativeFrom="paragraph">
              <wp:posOffset>-1695450</wp:posOffset>
            </wp:positionV>
            <wp:extent cx="222885" cy="21463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-1198245</wp:posOffset>
            </wp:positionV>
            <wp:extent cx="222885" cy="21463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-1198245</wp:posOffset>
            </wp:positionV>
            <wp:extent cx="222885" cy="21463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-1129665</wp:posOffset>
            </wp:positionV>
            <wp:extent cx="222885" cy="21463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-1129665</wp:posOffset>
            </wp:positionV>
            <wp:extent cx="222885" cy="21463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-1129665</wp:posOffset>
            </wp:positionV>
            <wp:extent cx="222885" cy="21463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-1129665</wp:posOffset>
            </wp:positionV>
            <wp:extent cx="222885" cy="21463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-1198245</wp:posOffset>
            </wp:positionV>
            <wp:extent cx="222885" cy="21463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-1198245</wp:posOffset>
            </wp:positionV>
            <wp:extent cx="222885" cy="21463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-1129665</wp:posOffset>
            </wp:positionV>
            <wp:extent cx="222885" cy="21463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-1129665</wp:posOffset>
            </wp:positionV>
            <wp:extent cx="222885" cy="21463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-1129665</wp:posOffset>
            </wp:positionV>
            <wp:extent cx="222885" cy="21463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-1129665</wp:posOffset>
            </wp:positionV>
            <wp:extent cx="222885" cy="21463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-1129665</wp:posOffset>
            </wp:positionV>
            <wp:extent cx="222885" cy="21463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-1129665</wp:posOffset>
            </wp:positionV>
            <wp:extent cx="222885" cy="21463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-1129665</wp:posOffset>
            </wp:positionV>
            <wp:extent cx="222885" cy="22288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clrChange>
                        <a:clrFrom>
                          <a:srgbClr val="000000"/>
                        </a:clrFrom>
                        <a:clrTo>
                          <a:srgbClr val="000000">
                            <a:alpha val="0"/>
                          </a:srgbClr>
                        </a:clrTo>
                      </a:clrChange>
                      <a:extLst>
                        <a:ext uri="{28A0092B-C50C-407E-A947-70E740481C1C}"/>
                      </a:extLst>
                    </a:blip>
                    <a:srcRect/>
                    <a:stretch>
                      <a:fillRect/>
                    </a:stretch>
                  </pic:blipFill>
                  <pic:spPr bwMode="auto">
                    <a:xfrm>
                      <a:off x="0" y="0"/>
                      <a:ext cx="222885" cy="22288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-1129665</wp:posOffset>
            </wp:positionV>
            <wp:extent cx="222885" cy="22288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clrChange>
                        <a:clrFrom>
                          <a:srgbClr val="FFFFFF"/>
                        </a:clrFrom>
                        <a:clrTo>
                          <a:srgbClr val="FFFFFF">
                            <a:alpha val="0"/>
                          </a:srgbClr>
                        </a:clrTo>
                      </a:clrChange>
                      <a:extLst>
                        <a:ext uri="{28A0092B-C50C-407E-A947-70E740481C1C}"/>
                      </a:extLst>
                    </a:blip>
                    <a:srcRect/>
                    <a:stretch>
                      <a:fillRect/>
                    </a:stretch>
                  </pic:blipFill>
                  <pic:spPr bwMode="auto">
                    <a:xfrm>
                      <a:off x="0" y="0"/>
                      <a:ext cx="222885" cy="22288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-1129665</wp:posOffset>
            </wp:positionV>
            <wp:extent cx="222885" cy="21463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-1129665</wp:posOffset>
            </wp:positionV>
            <wp:extent cx="222885" cy="21463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-1129665</wp:posOffset>
            </wp:positionV>
            <wp:extent cx="222885" cy="21463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-1129665</wp:posOffset>
            </wp:positionV>
            <wp:extent cx="222885" cy="21463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-1129665</wp:posOffset>
            </wp:positionV>
            <wp:extent cx="222885" cy="21463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-1129665</wp:posOffset>
            </wp:positionV>
            <wp:extent cx="222885" cy="21463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6819900</wp:posOffset>
            </wp:positionH>
            <wp:positionV relativeFrom="paragraph">
              <wp:posOffset>-1129665</wp:posOffset>
            </wp:positionV>
            <wp:extent cx="222885" cy="21463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6819900</wp:posOffset>
            </wp:positionH>
            <wp:positionV relativeFrom="paragraph">
              <wp:posOffset>-1129665</wp:posOffset>
            </wp:positionV>
            <wp:extent cx="222885" cy="21463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232410</wp:posOffset>
            </wp:positionV>
            <wp:extent cx="222885" cy="21399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22885" cy="21399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Technical expertise: has direct hands-on experience or was a subject-matter expert during his/her career.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89535</wp:posOffset>
            </wp:positionV>
            <wp:extent cx="222885" cy="21463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22885" cy="214630"/>
                    </a:xfrm>
                    <a:prstGeom prst="rect">
                      <a:avLst/>
                    </a:prstGeom>
                    <a:noFill/>
                  </pic:spPr>
                </pic:pic>
              </a:graphicData>
            </a:graphic>
          </wp:anchor>
        </w:drawing>
      </w:r>
    </w:p>
    <w:p>
      <w:pPr>
        <w:spacing w:after="0" w:line="22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Managerial expertise: expertise derived through direct managerial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89535</wp:posOffset>
            </wp:positionV>
            <wp:extent cx="222885" cy="22288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22885" cy="222885"/>
                    </a:xfrm>
                    <a:prstGeom prst="rect">
                      <a:avLst/>
                    </a:prstGeom>
                    <a:noFill/>
                  </pic:spPr>
                </pic:pic>
              </a:graphicData>
            </a:graphic>
          </wp:anchor>
        </w:drawing>
      </w:r>
    </w:p>
    <w:p>
      <w:pPr>
        <w:spacing w:after="0" w:line="134" w:lineRule="exact"/>
        <w:rPr>
          <w:sz w:val="20"/>
          <w:szCs w:val="20"/>
          <w:color w:val="auto"/>
        </w:rPr>
      </w:pPr>
    </w:p>
    <w:p>
      <w:pPr>
        <w:ind w:left="620" w:right="180"/>
        <w:spacing w:after="0" w:line="286" w:lineRule="auto"/>
        <w:rPr>
          <w:sz w:val="20"/>
          <w:szCs w:val="20"/>
          <w:color w:val="auto"/>
        </w:rPr>
      </w:pPr>
      <w:r>
        <w:rPr>
          <w:rFonts w:ascii="Arial" w:cs="Arial" w:eastAsia="Arial" w:hAnsi="Arial"/>
          <w:sz w:val="16"/>
          <w:szCs w:val="16"/>
          <w:color w:val="auto"/>
        </w:rPr>
        <w:t>Working knowledge: experience derived through investment banking, private equity investing, serving as a member of a relevant board committee at Honeywell or at another public company, or serving as an executive officer or on the board of a public company in the relevant industry.</w:t>
      </w:r>
    </w:p>
    <w:p>
      <w:pPr>
        <w:spacing w:after="0" w:line="107" w:lineRule="exact"/>
        <w:rPr>
          <w:sz w:val="20"/>
          <w:szCs w:val="20"/>
          <w:color w:val="auto"/>
        </w:rPr>
      </w:pPr>
    </w:p>
    <w:p>
      <w:pPr>
        <w:ind w:left="200" w:hanging="192"/>
        <w:spacing w:after="0"/>
        <w:tabs>
          <w:tab w:leader="none" w:pos="200" w:val="left"/>
        </w:tabs>
        <w:numPr>
          <w:ilvl w:val="0"/>
          <w:numId w:val="31"/>
        </w:numPr>
        <w:rPr>
          <w:rFonts w:ascii="Arial" w:cs="Arial" w:eastAsia="Arial" w:hAnsi="Arial"/>
          <w:sz w:val="16"/>
          <w:szCs w:val="16"/>
          <w:color w:val="auto"/>
          <w:vertAlign w:val="superscript"/>
        </w:rPr>
      </w:pPr>
      <w:r>
        <w:rPr>
          <w:rFonts w:ascii="Arial" w:cs="Arial" w:eastAsia="Arial" w:hAnsi="Arial"/>
          <w:sz w:val="13"/>
          <w:szCs w:val="13"/>
          <w:color w:val="auto"/>
        </w:rPr>
        <w:t>Indicates directors anticipated to join the Honeywell Aerospace Board after the spin-off of the Company's Aerospace business.</w:t>
      </w:r>
    </w:p>
    <w:p>
      <w:pPr>
        <w:spacing w:after="0" w:line="56" w:lineRule="exact"/>
        <w:rPr>
          <w:rFonts w:ascii="Arial" w:cs="Arial" w:eastAsia="Arial" w:hAnsi="Arial"/>
          <w:sz w:val="16"/>
          <w:szCs w:val="16"/>
          <w:color w:val="auto"/>
          <w:vertAlign w:val="superscript"/>
        </w:rPr>
      </w:pPr>
    </w:p>
    <w:p>
      <w:pPr>
        <w:ind w:left="200" w:hanging="192"/>
        <w:spacing w:after="0" w:line="225" w:lineRule="auto"/>
        <w:tabs>
          <w:tab w:leader="none" w:pos="200" w:val="left"/>
        </w:tabs>
        <w:numPr>
          <w:ilvl w:val="0"/>
          <w:numId w:val="31"/>
        </w:numPr>
        <w:rPr>
          <w:rFonts w:ascii="Arial" w:cs="Arial" w:eastAsia="Arial" w:hAnsi="Arial"/>
          <w:sz w:val="16"/>
          <w:szCs w:val="16"/>
          <w:color w:val="auto"/>
          <w:vertAlign w:val="superscript"/>
        </w:rPr>
      </w:pPr>
      <w:r>
        <w:rPr>
          <w:rFonts w:ascii="Arial" w:cs="Arial" w:eastAsia="Arial" w:hAnsi="Arial"/>
          <w:sz w:val="13"/>
          <w:szCs w:val="13"/>
          <w:color w:val="auto"/>
        </w:rPr>
        <w:t>Mr. Lamach will become Lead Director, effective following the Annual Meeting.</w:t>
      </w:r>
    </w:p>
    <w:p>
      <w:pPr>
        <w:spacing w:after="0" w:line="57" w:lineRule="exact"/>
        <w:rPr>
          <w:rFonts w:ascii="Arial" w:cs="Arial" w:eastAsia="Arial" w:hAnsi="Arial"/>
          <w:sz w:val="16"/>
          <w:szCs w:val="16"/>
          <w:color w:val="auto"/>
          <w:vertAlign w:val="superscript"/>
        </w:rPr>
      </w:pPr>
    </w:p>
    <w:p>
      <w:pPr>
        <w:ind w:left="200" w:hanging="192"/>
        <w:spacing w:after="0" w:line="225" w:lineRule="auto"/>
        <w:tabs>
          <w:tab w:leader="none" w:pos="200" w:val="left"/>
        </w:tabs>
        <w:numPr>
          <w:ilvl w:val="0"/>
          <w:numId w:val="31"/>
        </w:numPr>
        <w:rPr>
          <w:rFonts w:ascii="Arial" w:cs="Arial" w:eastAsia="Arial" w:hAnsi="Arial"/>
          <w:sz w:val="16"/>
          <w:szCs w:val="16"/>
          <w:color w:val="auto"/>
          <w:vertAlign w:val="superscript"/>
        </w:rPr>
      </w:pPr>
      <w:r>
        <w:rPr>
          <w:rFonts w:ascii="Arial" w:cs="Arial" w:eastAsia="Arial" w:hAnsi="Arial"/>
          <w:sz w:val="13"/>
          <w:szCs w:val="13"/>
          <w:color w:val="D7282F"/>
        </w:rPr>
        <w:t xml:space="preserve">1 – </w:t>
      </w:r>
      <w:r>
        <w:rPr>
          <w:rFonts w:ascii="Arial" w:cs="Arial" w:eastAsia="Arial" w:hAnsi="Arial"/>
          <w:sz w:val="13"/>
          <w:szCs w:val="13"/>
          <w:color w:val="000000"/>
        </w:rPr>
        <w:t>Future of Aviation</w:t>
      </w:r>
    </w:p>
    <w:p>
      <w:pPr>
        <w:spacing w:after="0" w:line="8" w:lineRule="exact"/>
        <w:rPr>
          <w:rFonts w:ascii="Arial" w:cs="Arial" w:eastAsia="Arial" w:hAnsi="Arial"/>
          <w:sz w:val="16"/>
          <w:szCs w:val="16"/>
          <w:color w:val="auto"/>
          <w:vertAlign w:val="superscript"/>
        </w:rPr>
      </w:pPr>
    </w:p>
    <w:p>
      <w:pPr>
        <w:ind w:left="200"/>
        <w:spacing w:after="0"/>
        <w:rPr>
          <w:rFonts w:ascii="Arial" w:cs="Arial" w:eastAsia="Arial" w:hAnsi="Arial"/>
          <w:sz w:val="16"/>
          <w:szCs w:val="16"/>
          <w:color w:val="auto"/>
          <w:vertAlign w:val="superscript"/>
        </w:rPr>
      </w:pPr>
      <w:r>
        <w:rPr>
          <w:rFonts w:ascii="Arial" w:cs="Arial" w:eastAsia="Arial" w:hAnsi="Arial"/>
          <w:sz w:val="13"/>
          <w:szCs w:val="13"/>
          <w:color w:val="D7282F"/>
        </w:rPr>
        <w:t xml:space="preserve">2 – </w:t>
      </w:r>
      <w:r>
        <w:rPr>
          <w:rFonts w:ascii="Arial" w:cs="Arial" w:eastAsia="Arial" w:hAnsi="Arial"/>
          <w:sz w:val="13"/>
          <w:szCs w:val="13"/>
          <w:color w:val="000000"/>
        </w:rPr>
        <w:t>Automation</w:t>
      </w:r>
    </w:p>
    <w:p>
      <w:pPr>
        <w:spacing w:after="0" w:line="14" w:lineRule="exact"/>
        <w:rPr>
          <w:rFonts w:ascii="Arial" w:cs="Arial" w:eastAsia="Arial" w:hAnsi="Arial"/>
          <w:sz w:val="16"/>
          <w:szCs w:val="16"/>
          <w:color w:val="auto"/>
          <w:vertAlign w:val="superscript"/>
        </w:rPr>
      </w:pPr>
    </w:p>
    <w:p>
      <w:pPr>
        <w:ind w:left="200"/>
        <w:spacing w:after="0"/>
        <w:rPr>
          <w:rFonts w:ascii="Arial" w:cs="Arial" w:eastAsia="Arial" w:hAnsi="Arial"/>
          <w:sz w:val="16"/>
          <w:szCs w:val="16"/>
          <w:color w:val="auto"/>
          <w:vertAlign w:val="superscript"/>
        </w:rPr>
      </w:pPr>
      <w:r>
        <w:rPr>
          <w:rFonts w:ascii="Arial" w:cs="Arial" w:eastAsia="Arial" w:hAnsi="Arial"/>
          <w:sz w:val="13"/>
          <w:szCs w:val="13"/>
          <w:color w:val="D7282F"/>
        </w:rPr>
        <w:t xml:space="preserve">3 – </w:t>
      </w:r>
      <w:r>
        <w:rPr>
          <w:rFonts w:ascii="Arial" w:cs="Arial" w:eastAsia="Arial" w:hAnsi="Arial"/>
          <w:sz w:val="13"/>
          <w:szCs w:val="13"/>
          <w:color w:val="000000"/>
        </w:rPr>
        <w:t>Energy Transition</w:t>
      </w:r>
    </w:p>
    <w:p>
      <w:pPr>
        <w:spacing w:after="0" w:line="16" w:lineRule="exact"/>
        <w:rPr>
          <w:rFonts w:ascii="Arial" w:cs="Arial" w:eastAsia="Arial" w:hAnsi="Arial"/>
          <w:sz w:val="16"/>
          <w:szCs w:val="16"/>
          <w:color w:val="auto"/>
          <w:vertAlign w:val="superscript"/>
        </w:rPr>
      </w:pPr>
    </w:p>
    <w:p>
      <w:pPr>
        <w:ind w:left="200"/>
        <w:spacing w:after="0"/>
        <w:rPr>
          <w:rFonts w:ascii="Arial" w:cs="Arial" w:eastAsia="Arial" w:hAnsi="Arial"/>
          <w:sz w:val="16"/>
          <w:szCs w:val="16"/>
          <w:color w:val="auto"/>
          <w:vertAlign w:val="superscript"/>
        </w:rPr>
      </w:pPr>
      <w:r>
        <w:rPr>
          <w:rFonts w:ascii="Arial" w:cs="Arial" w:eastAsia="Arial" w:hAnsi="Arial"/>
          <w:sz w:val="13"/>
          <w:szCs w:val="13"/>
          <w:color w:val="D7282F"/>
        </w:rPr>
        <w:t xml:space="preserve">4 – </w:t>
      </w:r>
      <w:r>
        <w:rPr>
          <w:rFonts w:ascii="Arial" w:cs="Arial" w:eastAsia="Arial" w:hAnsi="Arial"/>
          <w:sz w:val="13"/>
          <w:szCs w:val="13"/>
          <w:color w:val="000000"/>
        </w:rPr>
        <w:t>Digitalization</w:t>
      </w:r>
    </w:p>
    <w:p>
      <w:pPr>
        <w:spacing w:after="0" w:line="58" w:lineRule="exact"/>
        <w:rPr>
          <w:rFonts w:ascii="Arial" w:cs="Arial" w:eastAsia="Arial" w:hAnsi="Arial"/>
          <w:sz w:val="16"/>
          <w:szCs w:val="16"/>
          <w:color w:val="auto"/>
          <w:vertAlign w:val="superscript"/>
        </w:rPr>
      </w:pPr>
    </w:p>
    <w:p>
      <w:pPr>
        <w:ind w:left="200" w:hanging="192"/>
        <w:spacing w:after="0"/>
        <w:tabs>
          <w:tab w:leader="none" w:pos="200" w:val="left"/>
        </w:tabs>
        <w:numPr>
          <w:ilvl w:val="0"/>
          <w:numId w:val="31"/>
        </w:numPr>
        <w:rPr>
          <w:rFonts w:ascii="Arial" w:cs="Arial" w:eastAsia="Arial" w:hAnsi="Arial"/>
          <w:sz w:val="16"/>
          <w:szCs w:val="16"/>
          <w:color w:val="auto"/>
          <w:vertAlign w:val="superscript"/>
        </w:rPr>
      </w:pPr>
      <w:r>
        <w:rPr>
          <w:rFonts w:ascii="Arial" w:cs="Arial" w:eastAsia="Arial" w:hAnsi="Arial"/>
          <w:sz w:val="13"/>
          <w:szCs w:val="13"/>
          <w:color w:val="auto"/>
        </w:rPr>
        <w:t>Excludes the boards of Honeywell's consolidated subsidiaries. Current public company boards includes Honeywell Board.</w:t>
      </w:r>
    </w:p>
    <w:p>
      <w:pPr>
        <w:sectPr>
          <w:pgSz w:w="11900" w:h="16863" w:orient="portrait"/>
          <w:cols w:equalWidth="0" w:num="1">
            <w:col w:w="11240"/>
          </w:cols>
          <w:pgMar w:left="320" w:top="230" w:right="339" w:bottom="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2026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373"/>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4" w:name="page25"/>
    <w:bookmarkEnd w:id="24"/>
    <w:p>
      <w:pPr>
        <w:spacing w:after="0"/>
        <w:rPr>
          <w:sz w:val="20"/>
          <w:szCs w:val="20"/>
          <w:color w:val="auto"/>
        </w:rPr>
      </w:pPr>
      <w:r>
        <w:rPr>
          <w:rFonts w:ascii="Arial" w:cs="Arial" w:eastAsia="Arial" w:hAnsi="Arial"/>
          <w:sz w:val="13"/>
          <w:szCs w:val="13"/>
          <w:b w:val="1"/>
          <w:bCs w:val="1"/>
          <w:color w:val="6D6E71"/>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The Honeywell Board adopted the skills and experience matrix above to facilitate the comparison of its directors’ skills versus those deemed necessary to oversee the Company’s current strategy. The skills included in the matrix are evaluated against the Company’s articulated strategy each year so that the matrix can serve as an up-to-date tool for identifying director nominees who collectively have the complementary experience, qualifications, skills, and attributes to guide the Company. A careful consideration of each director’s skills, experiences and backgrounds – including how they align with Honeywell’s changing commercial and strategic goals as well as the key megatrends shaping Honeywell’s strategic vision – was also incorporated into determining which directors would best serve the respective boards of Honeywell and Honeywell Aerospace following the anticipated separation of the Company’s Aerospace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86880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1868805"/>
                    </a:xfrm>
                    <a:prstGeom prst="rect">
                      <a:avLst/>
                    </a:prstGeom>
                    <a:noFill/>
                  </pic:spPr>
                </pic:pic>
              </a:graphicData>
            </a:graphic>
          </wp:anchor>
        </w:drawing>
      </w:r>
    </w:p>
    <w:p>
      <w:pPr>
        <w:spacing w:after="0" w:line="26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FFFFFF"/>
        </w:rPr>
        <w:t>BOARD COMPOSITION FOLLOWING THE SEPARATION</w:t>
      </w:r>
    </w:p>
    <w:p>
      <w:pPr>
        <w:spacing w:after="0" w:line="338" w:lineRule="exact"/>
        <w:rPr>
          <w:sz w:val="20"/>
          <w:szCs w:val="20"/>
          <w:color w:val="auto"/>
        </w:rPr>
      </w:pPr>
    </w:p>
    <w:p>
      <w:pPr>
        <w:ind w:left="160" w:right="140"/>
        <w:spacing w:after="0" w:line="265" w:lineRule="auto"/>
        <w:rPr>
          <w:sz w:val="20"/>
          <w:szCs w:val="20"/>
          <w:color w:val="auto"/>
        </w:rPr>
      </w:pPr>
      <w:r>
        <w:rPr>
          <w:rFonts w:ascii="Arial" w:cs="Arial" w:eastAsia="Arial" w:hAnsi="Arial"/>
          <w:sz w:val="16"/>
          <w:szCs w:val="16"/>
          <w:color w:val="auto"/>
        </w:rPr>
        <w:t>We anticipate that Messrs. Arnold, Ayer and Davis and Ms. Flint will leave the Honeywell Board and become directors of Honeywell Aerospace upon the spin-off of the Company’s Aerospace business and that the remaining directors will continue as directors of the Company. Mr. Arnold will serve as the independent Chairman of Honeywell Aerospace. Messrs. Kapur, Angove, Lamach, Steinberg, Watson, and Williamson and Mses. Lieblein and Nooyi will remain on the Honeywell Board.</w:t>
      </w:r>
    </w:p>
    <w:p>
      <w:pPr>
        <w:spacing w:after="0" w:line="65" w:lineRule="exact"/>
        <w:rPr>
          <w:sz w:val="20"/>
          <w:szCs w:val="20"/>
          <w:color w:val="auto"/>
        </w:rPr>
      </w:pPr>
    </w:p>
    <w:p>
      <w:pPr>
        <w:ind w:left="160" w:right="220"/>
        <w:spacing w:after="0" w:line="261" w:lineRule="auto"/>
        <w:rPr>
          <w:sz w:val="20"/>
          <w:szCs w:val="20"/>
          <w:color w:val="auto"/>
        </w:rPr>
      </w:pPr>
      <w:r>
        <w:rPr>
          <w:rFonts w:ascii="Arial" w:cs="Arial" w:eastAsia="Arial" w:hAnsi="Arial"/>
          <w:sz w:val="16"/>
          <w:szCs w:val="16"/>
          <w:color w:val="auto"/>
        </w:rPr>
        <w:t>The realignment of directors between these two boards is a natural evolution of the Board’s historic refreshment efforts, including the Board’s focus on recruiting directors whose skills, experiences and backgrounds align with Honeywell’s changing commercial and strategic goals as well as the key megatrends - Automation, the Future of Aviation, and the Energy Transition – shaping Honeywell’s strategic vision. (See the “Board Skillset Matrix” on page 19) The Board’s meticulous consideration of the appropriate board composition for each separated entity was also evidenced by Solstice’s board membership after the spin-off, which included Rose Lee, who served an independent member of the Honeywell Board from 2022 until the Solstice spin-off in October 2025.</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BOARD COMPOSITION</w:t>
      </w:r>
    </w:p>
    <w:p>
      <w:pPr>
        <w:spacing w:after="0" w:line="127"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In addition to ensuring that director nominees possess the requisite skills and qualifications, the CGRC places an emphasis on ensuring that nominees demonstrate the right leadership traits, personality, work ethic, independence, and range of backgrounds to align with the Company’s performance culture and long-term strategic vision. These criteria include:</w:t>
      </w:r>
    </w:p>
    <w:p>
      <w:pPr>
        <w:spacing w:after="0" w:line="56" w:lineRule="exact"/>
        <w:rPr>
          <w:sz w:val="20"/>
          <w:szCs w:val="20"/>
          <w:color w:val="auto"/>
        </w:rPr>
      </w:pPr>
    </w:p>
    <w:p>
      <w:pPr>
        <w:ind w:left="200" w:hanging="192"/>
        <w:spacing w:after="0"/>
        <w:tabs>
          <w:tab w:leader="none" w:pos="200" w:val="left"/>
        </w:tabs>
        <w:numPr>
          <w:ilvl w:val="0"/>
          <w:numId w:val="32"/>
        </w:numPr>
        <w:rPr>
          <w:rFonts w:ascii="Arial" w:cs="Arial" w:eastAsia="Arial" w:hAnsi="Arial"/>
          <w:sz w:val="16"/>
          <w:szCs w:val="16"/>
          <w:b w:val="1"/>
          <w:bCs w:val="1"/>
          <w:color w:val="D7282F"/>
        </w:rPr>
      </w:pPr>
      <w:r>
        <w:rPr>
          <w:rFonts w:ascii="Arial" w:cs="Arial" w:eastAsia="Arial" w:hAnsi="Arial"/>
          <w:sz w:val="16"/>
          <w:szCs w:val="16"/>
          <w:color w:val="auto"/>
        </w:rPr>
        <w:t>Exemplification of the highest standards of personal and professional integrity.</w:t>
      </w:r>
    </w:p>
    <w:p>
      <w:pPr>
        <w:spacing w:after="0" w:line="86" w:lineRule="exact"/>
        <w:rPr>
          <w:rFonts w:ascii="Arial" w:cs="Arial" w:eastAsia="Arial" w:hAnsi="Arial"/>
          <w:sz w:val="16"/>
          <w:szCs w:val="16"/>
          <w:b w:val="1"/>
          <w:bCs w:val="1"/>
          <w:color w:val="D7282F"/>
        </w:rPr>
      </w:pPr>
    </w:p>
    <w:p>
      <w:pPr>
        <w:ind w:left="200" w:hanging="192"/>
        <w:spacing w:after="0"/>
        <w:tabs>
          <w:tab w:leader="none" w:pos="200" w:val="left"/>
        </w:tabs>
        <w:numPr>
          <w:ilvl w:val="0"/>
          <w:numId w:val="32"/>
        </w:numPr>
        <w:rPr>
          <w:rFonts w:ascii="Arial" w:cs="Arial" w:eastAsia="Arial" w:hAnsi="Arial"/>
          <w:sz w:val="16"/>
          <w:szCs w:val="16"/>
          <w:b w:val="1"/>
          <w:bCs w:val="1"/>
          <w:color w:val="D7282F"/>
        </w:rPr>
      </w:pPr>
      <w:r>
        <w:rPr>
          <w:rFonts w:ascii="Arial" w:cs="Arial" w:eastAsia="Arial" w:hAnsi="Arial"/>
          <w:sz w:val="16"/>
          <w:szCs w:val="16"/>
          <w:color w:val="auto"/>
        </w:rPr>
        <w:t>Potential contribution to the culture of the Board, including by virtue of age, educational background, global perspective, gender, ethnicity, and nationality.</w:t>
      </w:r>
    </w:p>
    <w:p>
      <w:pPr>
        <w:spacing w:after="0" w:line="86" w:lineRule="exact"/>
        <w:rPr>
          <w:rFonts w:ascii="Arial" w:cs="Arial" w:eastAsia="Arial" w:hAnsi="Arial"/>
          <w:sz w:val="16"/>
          <w:szCs w:val="16"/>
          <w:b w:val="1"/>
          <w:bCs w:val="1"/>
          <w:color w:val="D7282F"/>
        </w:rPr>
      </w:pPr>
    </w:p>
    <w:p>
      <w:pPr>
        <w:ind w:left="200" w:hanging="192"/>
        <w:spacing w:after="0"/>
        <w:tabs>
          <w:tab w:leader="none" w:pos="200" w:val="left"/>
        </w:tabs>
        <w:numPr>
          <w:ilvl w:val="0"/>
          <w:numId w:val="32"/>
        </w:numPr>
        <w:rPr>
          <w:rFonts w:ascii="Arial" w:cs="Arial" w:eastAsia="Arial" w:hAnsi="Arial"/>
          <w:sz w:val="16"/>
          <w:szCs w:val="16"/>
          <w:b w:val="1"/>
          <w:bCs w:val="1"/>
          <w:color w:val="D7282F"/>
        </w:rPr>
      </w:pPr>
      <w:r>
        <w:rPr>
          <w:rFonts w:ascii="Arial" w:cs="Arial" w:eastAsia="Arial" w:hAnsi="Arial"/>
          <w:sz w:val="16"/>
          <w:szCs w:val="16"/>
          <w:color w:val="auto"/>
        </w:rPr>
        <w:t>Independence from management under applicable securities laws and listing regulations.</w:t>
      </w:r>
    </w:p>
    <w:p>
      <w:pPr>
        <w:spacing w:after="0" w:line="72" w:lineRule="exact"/>
        <w:rPr>
          <w:rFonts w:ascii="Arial" w:cs="Arial" w:eastAsia="Arial" w:hAnsi="Arial"/>
          <w:sz w:val="16"/>
          <w:szCs w:val="16"/>
          <w:b w:val="1"/>
          <w:bCs w:val="1"/>
          <w:color w:val="D7282F"/>
        </w:rPr>
      </w:pPr>
    </w:p>
    <w:p>
      <w:pPr>
        <w:ind w:left="200" w:hanging="192"/>
        <w:spacing w:after="0"/>
        <w:tabs>
          <w:tab w:leader="none" w:pos="200" w:val="left"/>
        </w:tabs>
        <w:numPr>
          <w:ilvl w:val="0"/>
          <w:numId w:val="32"/>
        </w:numPr>
        <w:rPr>
          <w:rFonts w:ascii="Arial" w:cs="Arial" w:eastAsia="Arial" w:hAnsi="Arial"/>
          <w:sz w:val="16"/>
          <w:szCs w:val="16"/>
          <w:b w:val="1"/>
          <w:bCs w:val="1"/>
          <w:color w:val="D7282F"/>
        </w:rPr>
      </w:pPr>
      <w:r>
        <w:rPr>
          <w:rFonts w:ascii="Arial" w:cs="Arial" w:eastAsia="Arial" w:hAnsi="Arial"/>
          <w:sz w:val="16"/>
          <w:szCs w:val="16"/>
          <w:color w:val="auto"/>
        </w:rPr>
        <w:t>Willingness to constructively challenge management through active participation in Board and committee meetings.</w:t>
      </w:r>
    </w:p>
    <w:p>
      <w:pPr>
        <w:spacing w:after="0" w:line="86" w:lineRule="exact"/>
        <w:rPr>
          <w:rFonts w:ascii="Arial" w:cs="Arial" w:eastAsia="Arial" w:hAnsi="Arial"/>
          <w:sz w:val="16"/>
          <w:szCs w:val="16"/>
          <w:b w:val="1"/>
          <w:bCs w:val="1"/>
          <w:color w:val="D7282F"/>
        </w:rPr>
      </w:pPr>
    </w:p>
    <w:p>
      <w:pPr>
        <w:ind w:left="200" w:hanging="192"/>
        <w:spacing w:after="0"/>
        <w:tabs>
          <w:tab w:leader="none" w:pos="200" w:val="left"/>
        </w:tabs>
        <w:numPr>
          <w:ilvl w:val="0"/>
          <w:numId w:val="32"/>
        </w:numPr>
        <w:rPr>
          <w:rFonts w:ascii="Arial" w:cs="Arial" w:eastAsia="Arial" w:hAnsi="Arial"/>
          <w:sz w:val="16"/>
          <w:szCs w:val="16"/>
          <w:b w:val="1"/>
          <w:bCs w:val="1"/>
          <w:color w:val="D7282F"/>
        </w:rPr>
      </w:pPr>
      <w:r>
        <w:rPr>
          <w:rFonts w:ascii="Arial" w:cs="Arial" w:eastAsia="Arial" w:hAnsi="Arial"/>
          <w:sz w:val="16"/>
          <w:szCs w:val="16"/>
          <w:color w:val="auto"/>
        </w:rPr>
        <w:t>Ability to devote sufficient time to performing their Board and committee duties.</w:t>
      </w:r>
    </w:p>
    <w:p>
      <w:pPr>
        <w:spacing w:after="0" w:line="127"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CGRC believes that diversity of service tenures on the Honeywell Board also facilitates effective Board oversight. Directors with many years of service to Honeywell provide the Board with a deep knowledge of the Company, while newer directors lend fresh perspectives.</w:t>
      </w:r>
    </w:p>
    <w:p>
      <w:pPr>
        <w:spacing w:after="0" w:line="156" w:lineRule="exact"/>
        <w:rPr>
          <w:sz w:val="20"/>
          <w:szCs w:val="20"/>
          <w:color w:val="auto"/>
        </w:rPr>
      </w:pPr>
    </w:p>
    <w:p>
      <w:pPr>
        <w:ind w:left="3700"/>
        <w:spacing w:after="0"/>
        <w:rPr>
          <w:sz w:val="20"/>
          <w:szCs w:val="20"/>
          <w:color w:val="auto"/>
        </w:rPr>
      </w:pPr>
      <w:r>
        <w:rPr>
          <w:rFonts w:ascii="Arial" w:cs="Arial" w:eastAsia="Arial" w:hAnsi="Arial"/>
          <w:sz w:val="16"/>
          <w:szCs w:val="16"/>
          <w:b w:val="1"/>
          <w:bCs w:val="1"/>
          <w:color w:val="6D6E71"/>
        </w:rPr>
        <w:t>TENURE OF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106680</wp:posOffset>
            </wp:positionV>
            <wp:extent cx="2408555" cy="133731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408555" cy="133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sz w:val="1"/>
          <w:szCs w:val="1"/>
          <w:color w:val="auto"/>
        </w:rPr>
        <w:drawing>
          <wp:inline distT="0" distB="0" distL="0" distR="0">
            <wp:extent cx="548640" cy="102870"/>
            <wp:effectExtent l="0" t="0" r="0" b="0"/>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2026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sectPr>
      </w:pPr>
    </w:p>
    <w:bookmarkStart w:id="25" w:name="page26"/>
    <w:bookmarkEnd w:id="25"/>
    <w:p>
      <w:pPr>
        <w:jc w:val="right"/>
        <w:spacing w:after="0"/>
        <w:rPr>
          <w:sz w:val="20"/>
          <w:szCs w:val="20"/>
          <w:color w:val="auto"/>
        </w:rPr>
      </w:pPr>
      <w:r>
        <w:rPr>
          <w:rFonts w:ascii="Arial" w:cs="Arial" w:eastAsia="Arial" w:hAnsi="Arial"/>
          <w:sz w:val="13"/>
          <w:szCs w:val="13"/>
          <w:b w:val="1"/>
          <w:bCs w:val="1"/>
          <w:color w:val="6D6E71"/>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NOMINEES FOR ELECTION</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D7282F"/>
        </w:rPr>
        <w:t>VIMAL KAPUR</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CHAIRMAN AND CHIEF EXECUTIVE OFFICER, 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23430" cy="364363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23430" cy="364363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Years of Service: 3</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b w:val="1"/>
          <w:bCs w:val="1"/>
          <w:color w:val="D7282F"/>
        </w:rPr>
        <w:t>60</w:t>
      </w:r>
    </w:p>
    <w:p>
      <w:pPr>
        <w:spacing w:after="0" w:line="118" w:lineRule="exact"/>
        <w:rPr>
          <w:sz w:val="20"/>
          <w:szCs w:val="20"/>
          <w:color w:val="auto"/>
        </w:rPr>
      </w:pPr>
    </w:p>
    <w:p>
      <w:pPr>
        <w:ind w:left="20"/>
        <w:spacing w:after="0" w:line="239" w:lineRule="auto"/>
        <w:rPr>
          <w:sz w:val="20"/>
          <w:szCs w:val="20"/>
          <w:color w:val="auto"/>
        </w:rPr>
      </w:pPr>
      <w:r>
        <w:rPr>
          <w:rFonts w:ascii="Arial" w:cs="Arial" w:eastAsia="Arial" w:hAnsi="Arial"/>
          <w:sz w:val="14"/>
          <w:szCs w:val="14"/>
          <w:b w:val="1"/>
          <w:bCs w:val="1"/>
          <w:color w:val="D7282F"/>
        </w:rPr>
        <w:t>OTHER CURRENT PUBLIC COMPANY BOARDS:</w:t>
      </w:r>
    </w:p>
    <w:p>
      <w:pPr>
        <w:spacing w:after="0" w:line="1" w:lineRule="exact"/>
        <w:rPr>
          <w:sz w:val="20"/>
          <w:szCs w:val="20"/>
          <w:color w:val="auto"/>
        </w:rPr>
      </w:pPr>
    </w:p>
    <w:p>
      <w:pPr>
        <w:ind w:left="220" w:hanging="194"/>
        <w:spacing w:after="0"/>
        <w:tabs>
          <w:tab w:leader="none" w:pos="220" w:val="left"/>
        </w:tabs>
        <w:numPr>
          <w:ilvl w:val="0"/>
          <w:numId w:val="33"/>
        </w:numPr>
        <w:rPr>
          <w:rFonts w:ascii="Arial" w:cs="Arial" w:eastAsia="Arial" w:hAnsi="Arial"/>
          <w:sz w:val="16"/>
          <w:szCs w:val="16"/>
          <w:b w:val="1"/>
          <w:bCs w:val="1"/>
          <w:color w:val="D7282F"/>
        </w:rPr>
      </w:pPr>
      <w:r>
        <w:rPr>
          <w:rFonts w:ascii="Arial" w:cs="Arial" w:eastAsia="Arial" w:hAnsi="Arial"/>
          <w:sz w:val="16"/>
          <w:szCs w:val="16"/>
          <w:color w:val="auto"/>
        </w:rPr>
        <w:t>None</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D7282F"/>
        </w:rPr>
        <w:t>PAST PUBLIC COMPANY BOARDS:</w:t>
      </w:r>
      <w:r>
        <w:rPr>
          <w:rFonts w:ascii="Arial" w:cs="Arial" w:eastAsia="Arial" w:hAnsi="Arial"/>
          <w:sz w:val="18"/>
          <w:szCs w:val="18"/>
          <w:b w:val="1"/>
          <w:bCs w:val="1"/>
          <w:color w:val="D7282F"/>
          <w:vertAlign w:val="superscript"/>
        </w:rPr>
        <w:t>(1)</w:t>
      </w:r>
    </w:p>
    <w:p>
      <w:pPr>
        <w:ind w:left="220" w:hanging="194"/>
        <w:spacing w:after="0"/>
        <w:tabs>
          <w:tab w:leader="none" w:pos="220" w:val="left"/>
        </w:tabs>
        <w:numPr>
          <w:ilvl w:val="0"/>
          <w:numId w:val="34"/>
        </w:numPr>
        <w:rPr>
          <w:rFonts w:ascii="Arial" w:cs="Arial" w:eastAsia="Arial" w:hAnsi="Arial"/>
          <w:sz w:val="16"/>
          <w:szCs w:val="16"/>
          <w:b w:val="1"/>
          <w:bCs w:val="1"/>
          <w:color w:val="D7282F"/>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D7282F"/>
        </w:rPr>
        <w:t>BACKGROUND</w:t>
      </w:r>
    </w:p>
    <w:p>
      <w:pPr>
        <w:spacing w:after="0" w:line="50" w:lineRule="exact"/>
        <w:rPr>
          <w:sz w:val="20"/>
          <w:szCs w:val="20"/>
          <w:color w:val="auto"/>
        </w:rPr>
      </w:pPr>
    </w:p>
    <w:p>
      <w:pPr>
        <w:ind w:left="200" w:right="220" w:hanging="192"/>
        <w:spacing w:after="0" w:line="264" w:lineRule="auto"/>
        <w:tabs>
          <w:tab w:leader="none" w:pos="197" w:val="left"/>
        </w:tabs>
        <w:numPr>
          <w:ilvl w:val="0"/>
          <w:numId w:val="35"/>
        </w:numPr>
        <w:rPr>
          <w:rFonts w:ascii="Arial" w:cs="Arial" w:eastAsia="Arial" w:hAnsi="Arial"/>
          <w:sz w:val="16"/>
          <w:szCs w:val="16"/>
          <w:b w:val="1"/>
          <w:bCs w:val="1"/>
          <w:color w:val="D7282F"/>
        </w:rPr>
      </w:pPr>
      <w:r>
        <w:rPr>
          <w:rFonts w:ascii="Arial" w:cs="Arial" w:eastAsia="Arial" w:hAnsi="Arial"/>
          <w:sz w:val="16"/>
          <w:szCs w:val="16"/>
          <w:color w:val="auto"/>
        </w:rPr>
        <w:t>Chief Executive Officer of Honeywell International Inc. since June 2023 and Chairman of the Board since June 2024. Elected to the Company's Board of Directors in March 2023.</w:t>
      </w:r>
    </w:p>
    <w:p>
      <w:pPr>
        <w:ind w:left="200" w:hanging="192"/>
        <w:spacing w:after="0"/>
        <w:tabs>
          <w:tab w:leader="none" w:pos="200" w:val="left"/>
        </w:tabs>
        <w:numPr>
          <w:ilvl w:val="0"/>
          <w:numId w:val="35"/>
        </w:numPr>
        <w:rPr>
          <w:rFonts w:ascii="Arial" w:cs="Arial" w:eastAsia="Arial" w:hAnsi="Arial"/>
          <w:sz w:val="16"/>
          <w:szCs w:val="16"/>
          <w:b w:val="1"/>
          <w:bCs w:val="1"/>
          <w:color w:val="D7282F"/>
        </w:rPr>
      </w:pPr>
      <w:r>
        <w:rPr>
          <w:rFonts w:ascii="Arial" w:cs="Arial" w:eastAsia="Arial" w:hAnsi="Arial"/>
          <w:sz w:val="16"/>
          <w:szCs w:val="16"/>
          <w:color w:val="auto"/>
        </w:rPr>
        <w:t>Served as President and Chief Operating Officer of the Company from July 2022 until June 2023.</w:t>
      </w:r>
    </w:p>
    <w:p>
      <w:pPr>
        <w:spacing w:after="0" w:line="59" w:lineRule="exact"/>
        <w:rPr>
          <w:rFonts w:ascii="Arial" w:cs="Arial" w:eastAsia="Arial" w:hAnsi="Arial"/>
          <w:sz w:val="16"/>
          <w:szCs w:val="16"/>
          <w:b w:val="1"/>
          <w:bCs w:val="1"/>
          <w:color w:val="D7282F"/>
        </w:rPr>
      </w:pPr>
    </w:p>
    <w:p>
      <w:pPr>
        <w:ind w:left="200" w:right="220" w:hanging="192"/>
        <w:spacing w:after="0" w:line="264" w:lineRule="auto"/>
        <w:tabs>
          <w:tab w:leader="none" w:pos="197" w:val="left"/>
        </w:tabs>
        <w:numPr>
          <w:ilvl w:val="0"/>
          <w:numId w:val="35"/>
        </w:numPr>
        <w:rPr>
          <w:rFonts w:ascii="Arial" w:cs="Arial" w:eastAsia="Arial" w:hAnsi="Arial"/>
          <w:sz w:val="16"/>
          <w:szCs w:val="16"/>
          <w:b w:val="1"/>
          <w:bCs w:val="1"/>
          <w:color w:val="D7282F"/>
        </w:rPr>
      </w:pPr>
      <w:r>
        <w:rPr>
          <w:rFonts w:ascii="Arial" w:cs="Arial" w:eastAsia="Arial" w:hAnsi="Arial"/>
          <w:sz w:val="16"/>
          <w:szCs w:val="16"/>
          <w:color w:val="auto"/>
        </w:rPr>
        <w:t>Served as President and CEO of Honeywell Performance Materials and Technologies (PMT) from July 2021 to October 2022.</w:t>
      </w:r>
    </w:p>
    <w:p>
      <w:pPr>
        <w:ind w:left="200" w:hanging="192"/>
        <w:spacing w:after="0"/>
        <w:tabs>
          <w:tab w:leader="none" w:pos="200" w:val="left"/>
        </w:tabs>
        <w:numPr>
          <w:ilvl w:val="0"/>
          <w:numId w:val="35"/>
        </w:numPr>
        <w:rPr>
          <w:rFonts w:ascii="Arial" w:cs="Arial" w:eastAsia="Arial" w:hAnsi="Arial"/>
          <w:sz w:val="16"/>
          <w:szCs w:val="16"/>
          <w:b w:val="1"/>
          <w:bCs w:val="1"/>
          <w:color w:val="D7282F"/>
        </w:rPr>
      </w:pPr>
      <w:r>
        <w:rPr>
          <w:rFonts w:ascii="Arial" w:cs="Arial" w:eastAsia="Arial" w:hAnsi="Arial"/>
          <w:sz w:val="16"/>
          <w:szCs w:val="16"/>
          <w:color w:val="auto"/>
        </w:rPr>
        <w:t>Served as President and CEO of Honeywell Building Technologies from May 2018 to July 2021.</w:t>
      </w:r>
    </w:p>
    <w:p>
      <w:pPr>
        <w:spacing w:after="0" w:line="45" w:lineRule="exact"/>
        <w:rPr>
          <w:rFonts w:ascii="Arial" w:cs="Arial" w:eastAsia="Arial" w:hAnsi="Arial"/>
          <w:sz w:val="16"/>
          <w:szCs w:val="16"/>
          <w:b w:val="1"/>
          <w:bCs w:val="1"/>
          <w:color w:val="D7282F"/>
        </w:rPr>
      </w:pPr>
    </w:p>
    <w:p>
      <w:pPr>
        <w:ind w:left="200" w:hanging="192"/>
        <w:spacing w:after="0"/>
        <w:tabs>
          <w:tab w:leader="none" w:pos="200" w:val="left"/>
        </w:tabs>
        <w:numPr>
          <w:ilvl w:val="0"/>
          <w:numId w:val="35"/>
        </w:numPr>
        <w:rPr>
          <w:rFonts w:ascii="Arial" w:cs="Arial" w:eastAsia="Arial" w:hAnsi="Arial"/>
          <w:sz w:val="16"/>
          <w:szCs w:val="16"/>
          <w:b w:val="1"/>
          <w:bCs w:val="1"/>
          <w:color w:val="D7282F"/>
        </w:rPr>
      </w:pPr>
      <w:r>
        <w:rPr>
          <w:rFonts w:ascii="Arial" w:cs="Arial" w:eastAsia="Arial" w:hAnsi="Arial"/>
          <w:sz w:val="16"/>
          <w:szCs w:val="16"/>
          <w:color w:val="auto"/>
        </w:rPr>
        <w:t>Served as President of Honeywell Process Solutions (HPS) from May 2014 to May 2018.</w:t>
      </w:r>
    </w:p>
    <w:p>
      <w:pPr>
        <w:spacing w:after="0" w:line="45" w:lineRule="exact"/>
        <w:rPr>
          <w:rFonts w:ascii="Arial" w:cs="Arial" w:eastAsia="Arial" w:hAnsi="Arial"/>
          <w:sz w:val="16"/>
          <w:szCs w:val="16"/>
          <w:b w:val="1"/>
          <w:bCs w:val="1"/>
          <w:color w:val="D7282F"/>
        </w:rPr>
      </w:pPr>
    </w:p>
    <w:p>
      <w:pPr>
        <w:ind w:left="200" w:right="80" w:hanging="192"/>
        <w:spacing w:after="0" w:line="268" w:lineRule="auto"/>
        <w:tabs>
          <w:tab w:leader="none" w:pos="197" w:val="left"/>
        </w:tabs>
        <w:numPr>
          <w:ilvl w:val="0"/>
          <w:numId w:val="35"/>
        </w:numPr>
        <w:rPr>
          <w:rFonts w:ascii="Arial" w:cs="Arial" w:eastAsia="Arial" w:hAnsi="Arial"/>
          <w:sz w:val="16"/>
          <w:szCs w:val="16"/>
          <w:b w:val="1"/>
          <w:bCs w:val="1"/>
          <w:color w:val="D7282F"/>
        </w:rPr>
      </w:pPr>
      <w:r>
        <w:rPr>
          <w:rFonts w:ascii="Arial" w:cs="Arial" w:eastAsia="Arial" w:hAnsi="Arial"/>
          <w:sz w:val="16"/>
          <w:szCs w:val="16"/>
          <w:color w:val="auto"/>
        </w:rPr>
        <w:t>Joined Honeywell in 1989 and has held multiple leadership roles, including Vice President and General Manager of HPS' Advanced Solutions business and Managing Director for Honeywell Automation India Limited.</w:t>
      </w:r>
    </w:p>
    <w:p>
      <w:pPr>
        <w:spacing w:after="0" w:line="200" w:lineRule="exact"/>
        <w:rPr>
          <w:rFonts w:ascii="Arial" w:cs="Arial" w:eastAsia="Arial" w:hAnsi="Arial"/>
          <w:sz w:val="16"/>
          <w:szCs w:val="16"/>
          <w:b w:val="1"/>
          <w:bCs w:val="1"/>
          <w:color w:val="D7282F"/>
        </w:rPr>
      </w:pPr>
    </w:p>
    <w:p>
      <w:pPr>
        <w:spacing w:after="0" w:line="200" w:lineRule="exact"/>
        <w:rPr>
          <w:rFonts w:ascii="Arial" w:cs="Arial" w:eastAsia="Arial" w:hAnsi="Arial"/>
          <w:sz w:val="16"/>
          <w:szCs w:val="16"/>
          <w:b w:val="1"/>
          <w:bCs w:val="1"/>
          <w:color w:val="D7282F"/>
        </w:rPr>
      </w:pPr>
    </w:p>
    <w:p>
      <w:pPr>
        <w:spacing w:after="0" w:line="200" w:lineRule="exact"/>
        <w:rPr>
          <w:rFonts w:ascii="Arial" w:cs="Arial" w:eastAsia="Arial" w:hAnsi="Arial"/>
          <w:sz w:val="16"/>
          <w:szCs w:val="16"/>
          <w:b w:val="1"/>
          <w:bCs w:val="1"/>
          <w:color w:val="D7282F"/>
        </w:rPr>
      </w:pPr>
    </w:p>
    <w:p>
      <w:pPr>
        <w:spacing w:after="0" w:line="330" w:lineRule="exact"/>
        <w:rPr>
          <w:rFonts w:ascii="Arial" w:cs="Arial" w:eastAsia="Arial" w:hAnsi="Arial"/>
          <w:sz w:val="16"/>
          <w:szCs w:val="16"/>
          <w:b w:val="1"/>
          <w:bCs w:val="1"/>
          <w:color w:val="D7282F"/>
        </w:rPr>
      </w:pPr>
    </w:p>
    <w:p>
      <w:pPr>
        <w:ind w:left="200"/>
        <w:spacing w:after="0"/>
        <w:rPr>
          <w:rFonts w:ascii="Arial" w:cs="Arial" w:eastAsia="Arial" w:hAnsi="Arial"/>
          <w:sz w:val="16"/>
          <w:szCs w:val="16"/>
          <w:b w:val="1"/>
          <w:bCs w:val="1"/>
          <w:color w:val="D7282F"/>
        </w:rPr>
      </w:pPr>
      <w:r>
        <w:rPr>
          <w:rFonts w:ascii="Arial" w:cs="Arial" w:eastAsia="Arial" w:hAnsi="Arial"/>
          <w:sz w:val="14"/>
          <w:szCs w:val="14"/>
          <w:b w:val="1"/>
          <w:bCs w:val="1"/>
          <w:color w:val="D7282F"/>
        </w:rPr>
        <w:t>SPECIFIC QUALIFICATIONS, ATTRIBUTES, SKILLS, AND EXPERIENCE</w:t>
      </w:r>
    </w:p>
    <w:p>
      <w:pPr>
        <w:spacing w:after="0" w:line="50" w:lineRule="exact"/>
        <w:rPr>
          <w:rFonts w:ascii="Arial" w:cs="Arial" w:eastAsia="Arial" w:hAnsi="Arial"/>
          <w:sz w:val="16"/>
          <w:szCs w:val="16"/>
          <w:b w:val="1"/>
          <w:bCs w:val="1"/>
          <w:color w:val="D7282F"/>
        </w:rPr>
      </w:pPr>
    </w:p>
    <w:p>
      <w:pPr>
        <w:ind w:left="400" w:right="340" w:hanging="197"/>
        <w:spacing w:after="0" w:line="248" w:lineRule="auto"/>
        <w:tabs>
          <w:tab w:leader="none" w:pos="397" w:val="left"/>
        </w:tabs>
        <w:numPr>
          <w:ilvl w:val="1"/>
          <w:numId w:val="35"/>
        </w:numPr>
        <w:rPr>
          <w:rFonts w:ascii="Arial" w:cs="Arial" w:eastAsia="Arial" w:hAnsi="Arial"/>
          <w:sz w:val="16"/>
          <w:szCs w:val="16"/>
          <w:b w:val="1"/>
          <w:bCs w:val="1"/>
          <w:color w:val="D7282F"/>
        </w:rPr>
      </w:pPr>
      <w:r>
        <w:rPr>
          <w:rFonts w:ascii="Arial" w:cs="Arial" w:eastAsia="Arial" w:hAnsi="Arial"/>
          <w:sz w:val="16"/>
          <w:szCs w:val="16"/>
          <w:color w:val="auto"/>
        </w:rPr>
        <w:t>Deep knowledge of Honeywell's operating system, end markets, and customer needs gained through leadership across multiple business models, industries, regions, and business cycles during his more than 35-year tenure.</w:t>
      </w:r>
    </w:p>
    <w:p>
      <w:pPr>
        <w:spacing w:after="0" w:line="23" w:lineRule="exact"/>
        <w:rPr>
          <w:rFonts w:ascii="Arial" w:cs="Arial" w:eastAsia="Arial" w:hAnsi="Arial"/>
          <w:sz w:val="16"/>
          <w:szCs w:val="16"/>
          <w:b w:val="1"/>
          <w:bCs w:val="1"/>
          <w:color w:val="D7282F"/>
        </w:rPr>
      </w:pPr>
    </w:p>
    <w:p>
      <w:pPr>
        <w:ind w:left="400" w:right="280" w:hanging="197"/>
        <w:spacing w:after="0" w:line="264" w:lineRule="auto"/>
        <w:tabs>
          <w:tab w:leader="none" w:pos="397" w:val="left"/>
        </w:tabs>
        <w:numPr>
          <w:ilvl w:val="1"/>
          <w:numId w:val="35"/>
        </w:numPr>
        <w:rPr>
          <w:rFonts w:ascii="Arial" w:cs="Arial" w:eastAsia="Arial" w:hAnsi="Arial"/>
          <w:sz w:val="16"/>
          <w:szCs w:val="16"/>
          <w:b w:val="1"/>
          <w:bCs w:val="1"/>
          <w:color w:val="D7282F"/>
        </w:rPr>
      </w:pPr>
      <w:r>
        <w:rPr>
          <w:rFonts w:ascii="Arial" w:cs="Arial" w:eastAsia="Arial" w:hAnsi="Arial"/>
          <w:sz w:val="16"/>
          <w:szCs w:val="16"/>
          <w:color w:val="auto"/>
        </w:rPr>
        <w:t>Demonstrated ability to drive key sustainability and digitalization initiatives and operational execution, while advancing the Honeywell Accelerator operating system.</w:t>
      </w:r>
    </w:p>
    <w:p>
      <w:pPr>
        <w:ind w:left="400" w:right="260" w:hanging="197"/>
        <w:spacing w:after="0" w:line="264" w:lineRule="auto"/>
        <w:tabs>
          <w:tab w:leader="none" w:pos="397" w:val="left"/>
        </w:tabs>
        <w:numPr>
          <w:ilvl w:val="1"/>
          <w:numId w:val="35"/>
        </w:numPr>
        <w:rPr>
          <w:rFonts w:ascii="Arial" w:cs="Arial" w:eastAsia="Arial" w:hAnsi="Arial"/>
          <w:sz w:val="16"/>
          <w:szCs w:val="16"/>
          <w:b w:val="1"/>
          <w:bCs w:val="1"/>
          <w:color w:val="D7282F"/>
        </w:rPr>
      </w:pPr>
      <w:r>
        <w:rPr>
          <w:rFonts w:ascii="Arial" w:cs="Arial" w:eastAsia="Arial" w:hAnsi="Arial"/>
          <w:sz w:val="16"/>
          <w:szCs w:val="16"/>
          <w:color w:val="auto"/>
        </w:rPr>
        <w:t>Uniquely capable to drive Honeywell's sustainability-oriented innovation and solidify Honeywell's position to lead in the energy transition.</w:t>
      </w:r>
    </w:p>
    <w:p>
      <w:pPr>
        <w:ind w:left="400" w:right="760" w:hanging="197"/>
        <w:spacing w:after="0" w:line="268" w:lineRule="auto"/>
        <w:tabs>
          <w:tab w:leader="none" w:pos="397" w:val="left"/>
        </w:tabs>
        <w:numPr>
          <w:ilvl w:val="1"/>
          <w:numId w:val="35"/>
        </w:numPr>
        <w:rPr>
          <w:rFonts w:ascii="Arial" w:cs="Arial" w:eastAsia="Arial" w:hAnsi="Arial"/>
          <w:sz w:val="16"/>
          <w:szCs w:val="16"/>
          <w:b w:val="1"/>
          <w:bCs w:val="1"/>
          <w:color w:val="D7282F"/>
        </w:rPr>
      </w:pPr>
      <w:r>
        <w:rPr>
          <w:rFonts w:ascii="Arial" w:cs="Arial" w:eastAsia="Arial" w:hAnsi="Arial"/>
          <w:sz w:val="16"/>
          <w:szCs w:val="16"/>
          <w:color w:val="auto"/>
        </w:rPr>
        <w:t>Demonstrated ability to deliver financial results as a leader across a wide range of business models, technologies, geographies, and customers.</w:t>
      </w:r>
    </w:p>
    <w:p>
      <w:pPr>
        <w:spacing w:after="0" w:line="7" w:lineRule="exact"/>
        <w:rPr>
          <w:rFonts w:ascii="Arial" w:cs="Arial" w:eastAsia="Arial" w:hAnsi="Arial"/>
          <w:sz w:val="16"/>
          <w:szCs w:val="16"/>
          <w:b w:val="1"/>
          <w:bCs w:val="1"/>
          <w:color w:val="D7282F"/>
        </w:rPr>
      </w:pPr>
    </w:p>
    <w:p>
      <w:pPr>
        <w:ind w:left="400" w:right="540" w:hanging="197"/>
        <w:spacing w:after="0" w:line="268" w:lineRule="auto"/>
        <w:tabs>
          <w:tab w:leader="none" w:pos="397" w:val="left"/>
        </w:tabs>
        <w:numPr>
          <w:ilvl w:val="1"/>
          <w:numId w:val="35"/>
        </w:numPr>
        <w:rPr>
          <w:rFonts w:ascii="Arial" w:cs="Arial" w:eastAsia="Arial" w:hAnsi="Arial"/>
          <w:sz w:val="16"/>
          <w:szCs w:val="16"/>
          <w:b w:val="1"/>
          <w:bCs w:val="1"/>
          <w:color w:val="D7282F"/>
        </w:rPr>
      </w:pPr>
      <w:r>
        <w:rPr>
          <w:rFonts w:ascii="Arial" w:cs="Arial" w:eastAsia="Arial" w:hAnsi="Arial"/>
          <w:sz w:val="16"/>
          <w:szCs w:val="16"/>
          <w:color w:val="auto"/>
        </w:rPr>
        <w:t>Strategic leadership skills necessary to evolve business strategies amidst highly dynamic environments across Honeywell's diverse business portfolio.</w:t>
      </w:r>
    </w:p>
    <w:p>
      <w:pPr>
        <w:spacing w:after="0" w:line="200" w:lineRule="exact"/>
        <w:rPr>
          <w:sz w:val="20"/>
          <w:szCs w:val="20"/>
          <w:color w:val="auto"/>
        </w:rPr>
      </w:pPr>
    </w:p>
    <w:p>
      <w:pPr>
        <w:sectPr>
          <w:pgSz w:w="11900" w:h="16838" w:orient="portrait"/>
          <w:cols w:equalWidth="0" w:num="2">
            <w:col w:w="2620" w:space="300"/>
            <w:col w:w="8320"/>
          </w:cols>
          <w:pgMar w:left="320" w:top="230" w:right="339" w:bottom="1440" w:gutter="0" w:footer="0" w:header="0"/>
          <w:type w:val="continuous"/>
        </w:sectPr>
      </w:pPr>
    </w:p>
    <w:p>
      <w:pPr>
        <w:spacing w:after="0" w:line="29" w:lineRule="exact"/>
        <w:rPr>
          <w:sz w:val="20"/>
          <w:szCs w:val="20"/>
          <w:color w:val="auto"/>
        </w:rPr>
      </w:pPr>
    </w:p>
    <w:p>
      <w:pPr>
        <w:ind w:left="200" w:hanging="192"/>
        <w:spacing w:after="0"/>
        <w:tabs>
          <w:tab w:leader="none" w:pos="200" w:val="left"/>
        </w:tabs>
        <w:numPr>
          <w:ilvl w:val="0"/>
          <w:numId w:val="36"/>
        </w:numPr>
        <w:rPr>
          <w:rFonts w:ascii="Arial" w:cs="Arial" w:eastAsia="Arial" w:hAnsi="Arial"/>
          <w:sz w:val="16"/>
          <w:szCs w:val="16"/>
          <w:color w:val="auto"/>
          <w:vertAlign w:val="superscript"/>
        </w:rPr>
      </w:pPr>
      <w:r>
        <w:rPr>
          <w:rFonts w:ascii="Arial" w:cs="Arial" w:eastAsia="Arial" w:hAnsi="Arial"/>
          <w:sz w:val="13"/>
          <w:szCs w:val="13"/>
          <w:color w:val="auto"/>
        </w:rPr>
        <w:t>Excludes the boards of Honeywell's consolidated subsidiaries.</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D7282F"/>
        </w:rPr>
        <w:t>DUNCAN B. ANGOVE</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CHIEF EXECUTIVE OFFICER, BLUE YONDER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23430" cy="307721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23430" cy="30772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Years of Service: 8</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b w:val="1"/>
          <w:bCs w:val="1"/>
          <w:color w:val="D7282F"/>
        </w:rPr>
        <w:t>59</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D7282F"/>
        </w:rPr>
        <w:t>COMMITTEES:</w:t>
      </w:r>
    </w:p>
    <w:p>
      <w:pPr>
        <w:ind w:left="220" w:right="440" w:hanging="194"/>
        <w:spacing w:after="0" w:line="262" w:lineRule="auto"/>
        <w:tabs>
          <w:tab w:leader="none" w:pos="217" w:val="left"/>
        </w:tabs>
        <w:numPr>
          <w:ilvl w:val="0"/>
          <w:numId w:val="37"/>
        </w:numPr>
        <w:rPr>
          <w:rFonts w:ascii="Arial" w:cs="Arial" w:eastAsia="Arial" w:hAnsi="Arial"/>
          <w:sz w:val="16"/>
          <w:szCs w:val="16"/>
          <w:b w:val="1"/>
          <w:bCs w:val="1"/>
          <w:color w:val="D7282F"/>
        </w:rPr>
      </w:pPr>
      <w:r>
        <w:rPr>
          <w:rFonts w:ascii="Arial" w:cs="Arial" w:eastAsia="Arial" w:hAnsi="Arial"/>
          <w:sz w:val="16"/>
          <w:szCs w:val="16"/>
          <w:color w:val="auto"/>
        </w:rPr>
        <w:t>Corporate Governance and Responsibility</w:t>
      </w:r>
    </w:p>
    <w:p>
      <w:pPr>
        <w:ind w:left="220" w:right="140" w:hanging="194"/>
        <w:spacing w:after="0" w:line="268" w:lineRule="auto"/>
        <w:tabs>
          <w:tab w:leader="none" w:pos="217" w:val="left"/>
        </w:tabs>
        <w:numPr>
          <w:ilvl w:val="0"/>
          <w:numId w:val="37"/>
        </w:numPr>
        <w:rPr>
          <w:rFonts w:ascii="Arial" w:cs="Arial" w:eastAsia="Arial" w:hAnsi="Arial"/>
          <w:sz w:val="16"/>
          <w:szCs w:val="16"/>
          <w:b w:val="1"/>
          <w:bCs w:val="1"/>
          <w:color w:val="D7282F"/>
        </w:rPr>
      </w:pPr>
      <w:r>
        <w:rPr>
          <w:rFonts w:ascii="Arial" w:cs="Arial" w:eastAsia="Arial" w:hAnsi="Arial"/>
          <w:sz w:val="16"/>
          <w:szCs w:val="16"/>
          <w:color w:val="auto"/>
        </w:rPr>
        <w:t>Management Development and Compensation</w:t>
      </w:r>
    </w:p>
    <w:p>
      <w:pPr>
        <w:spacing w:after="0" w:line="66" w:lineRule="exact"/>
        <w:rPr>
          <w:sz w:val="20"/>
          <w:szCs w:val="20"/>
          <w:color w:val="auto"/>
        </w:rPr>
      </w:pPr>
    </w:p>
    <w:p>
      <w:pPr>
        <w:ind w:left="20"/>
        <w:spacing w:after="0" w:line="259" w:lineRule="auto"/>
        <w:rPr>
          <w:sz w:val="20"/>
          <w:szCs w:val="20"/>
          <w:color w:val="auto"/>
        </w:rPr>
      </w:pPr>
      <w:r>
        <w:rPr>
          <w:rFonts w:ascii="Arial" w:cs="Arial" w:eastAsia="Arial" w:hAnsi="Arial"/>
          <w:sz w:val="14"/>
          <w:szCs w:val="14"/>
          <w:b w:val="1"/>
          <w:bCs w:val="1"/>
          <w:color w:val="D7282F"/>
        </w:rPr>
        <w:t>OTHER CURRENT PUBLIC COMPANY BOARDS:</w:t>
      </w:r>
    </w:p>
    <w:p>
      <w:pPr>
        <w:spacing w:after="0" w:line="1" w:lineRule="exact"/>
        <w:rPr>
          <w:sz w:val="20"/>
          <w:szCs w:val="20"/>
          <w:color w:val="auto"/>
        </w:rPr>
      </w:pPr>
    </w:p>
    <w:p>
      <w:pPr>
        <w:ind w:left="220" w:hanging="194"/>
        <w:spacing w:after="0"/>
        <w:tabs>
          <w:tab w:leader="none" w:pos="220" w:val="left"/>
        </w:tabs>
        <w:numPr>
          <w:ilvl w:val="0"/>
          <w:numId w:val="38"/>
        </w:numPr>
        <w:rPr>
          <w:rFonts w:ascii="Arial" w:cs="Arial" w:eastAsia="Arial" w:hAnsi="Arial"/>
          <w:sz w:val="16"/>
          <w:szCs w:val="16"/>
          <w:b w:val="1"/>
          <w:bCs w:val="1"/>
          <w:color w:val="D7282F"/>
        </w:rPr>
      </w:pPr>
      <w:r>
        <w:rPr>
          <w:rFonts w:ascii="Arial" w:cs="Arial" w:eastAsia="Arial" w:hAnsi="Arial"/>
          <w:sz w:val="16"/>
          <w:szCs w:val="16"/>
          <w:color w:val="auto"/>
        </w:rPr>
        <w:t>None</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D7282F"/>
        </w:rPr>
        <w:t>PAST PUBLIC COMPANY BOARDS:</w:t>
      </w:r>
    </w:p>
    <w:p>
      <w:pPr>
        <w:spacing w:after="0" w:line="12" w:lineRule="exact"/>
        <w:rPr>
          <w:sz w:val="20"/>
          <w:szCs w:val="20"/>
          <w:color w:val="auto"/>
        </w:rPr>
      </w:pPr>
    </w:p>
    <w:p>
      <w:pPr>
        <w:ind w:left="220" w:hanging="194"/>
        <w:spacing w:after="0"/>
        <w:tabs>
          <w:tab w:leader="none" w:pos="220" w:val="left"/>
        </w:tabs>
        <w:numPr>
          <w:ilvl w:val="0"/>
          <w:numId w:val="39"/>
        </w:numPr>
        <w:rPr>
          <w:rFonts w:ascii="Arial" w:cs="Arial" w:eastAsia="Arial" w:hAnsi="Arial"/>
          <w:sz w:val="16"/>
          <w:szCs w:val="16"/>
          <w:b w:val="1"/>
          <w:bCs w:val="1"/>
          <w:color w:val="D7282F"/>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D7282F"/>
        </w:rPr>
        <w:t>BACKGROUND</w:t>
      </w:r>
    </w:p>
    <w:p>
      <w:pPr>
        <w:spacing w:after="0" w:line="50" w:lineRule="exact"/>
        <w:rPr>
          <w:sz w:val="20"/>
          <w:szCs w:val="20"/>
          <w:color w:val="auto"/>
        </w:rPr>
      </w:pPr>
    </w:p>
    <w:p>
      <w:pPr>
        <w:ind w:left="200" w:right="40" w:hanging="192"/>
        <w:spacing w:after="0" w:line="264" w:lineRule="auto"/>
        <w:tabs>
          <w:tab w:leader="none" w:pos="197" w:val="left"/>
        </w:tabs>
        <w:numPr>
          <w:ilvl w:val="0"/>
          <w:numId w:val="40"/>
        </w:numPr>
        <w:rPr>
          <w:rFonts w:ascii="Arial" w:cs="Arial" w:eastAsia="Arial" w:hAnsi="Arial"/>
          <w:sz w:val="16"/>
          <w:szCs w:val="16"/>
          <w:b w:val="1"/>
          <w:bCs w:val="1"/>
          <w:color w:val="D7282F"/>
        </w:rPr>
      </w:pPr>
      <w:r>
        <w:rPr>
          <w:rFonts w:ascii="Arial" w:cs="Arial" w:eastAsia="Arial" w:hAnsi="Arial"/>
          <w:sz w:val="16"/>
          <w:szCs w:val="16"/>
          <w:color w:val="auto"/>
        </w:rPr>
        <w:t>Chief Executive Officer of Blue Yonder Group, Inc., a provider of digital supply chain and omnichannel commerce fulfillment cloud software, since July 2022.</w:t>
      </w:r>
    </w:p>
    <w:p>
      <w:pPr>
        <w:ind w:left="200" w:right="380" w:hanging="192"/>
        <w:spacing w:after="0" w:line="268" w:lineRule="auto"/>
        <w:tabs>
          <w:tab w:leader="none" w:pos="197" w:val="left"/>
        </w:tabs>
        <w:numPr>
          <w:ilvl w:val="0"/>
          <w:numId w:val="40"/>
        </w:numPr>
        <w:rPr>
          <w:rFonts w:ascii="Arial" w:cs="Arial" w:eastAsia="Arial" w:hAnsi="Arial"/>
          <w:sz w:val="16"/>
          <w:szCs w:val="16"/>
          <w:b w:val="1"/>
          <w:bCs w:val="1"/>
          <w:color w:val="D7282F"/>
        </w:rPr>
      </w:pPr>
      <w:r>
        <w:rPr>
          <w:rFonts w:ascii="Arial" w:cs="Arial" w:eastAsia="Arial" w:hAnsi="Arial"/>
          <w:sz w:val="16"/>
          <w:szCs w:val="16"/>
          <w:color w:val="auto"/>
        </w:rPr>
        <w:t>Served as Managing Partner of Arcspring LLC, a next-generation private equity firm that combines capital, technology, operational expertise, and design-thinking to unlock exponential growth, from 2019 to July 2022.</w:t>
      </w:r>
    </w:p>
    <w:p>
      <w:pPr>
        <w:spacing w:after="0" w:line="7" w:lineRule="exact"/>
        <w:rPr>
          <w:rFonts w:ascii="Arial" w:cs="Arial" w:eastAsia="Arial" w:hAnsi="Arial"/>
          <w:sz w:val="16"/>
          <w:szCs w:val="16"/>
          <w:b w:val="1"/>
          <w:bCs w:val="1"/>
          <w:color w:val="D7282F"/>
        </w:rPr>
      </w:pPr>
    </w:p>
    <w:p>
      <w:pPr>
        <w:ind w:left="200" w:right="220" w:hanging="192"/>
        <w:spacing w:after="0" w:line="264" w:lineRule="auto"/>
        <w:tabs>
          <w:tab w:leader="none" w:pos="197" w:val="left"/>
        </w:tabs>
        <w:numPr>
          <w:ilvl w:val="0"/>
          <w:numId w:val="40"/>
        </w:numPr>
        <w:rPr>
          <w:rFonts w:ascii="Arial" w:cs="Arial" w:eastAsia="Arial" w:hAnsi="Arial"/>
          <w:sz w:val="16"/>
          <w:szCs w:val="16"/>
          <w:b w:val="1"/>
          <w:bCs w:val="1"/>
          <w:color w:val="D7282F"/>
        </w:rPr>
      </w:pPr>
      <w:r>
        <w:rPr>
          <w:rFonts w:ascii="Arial" w:cs="Arial" w:eastAsia="Arial" w:hAnsi="Arial"/>
          <w:sz w:val="16"/>
          <w:szCs w:val="16"/>
          <w:color w:val="auto"/>
        </w:rPr>
        <w:t>Served as President of Infor, Inc., a provider of enterprise software and a strategic technology partner for more than 90,000 organizations worldwide, from 2010 to 2018.</w:t>
      </w:r>
    </w:p>
    <w:p>
      <w:pPr>
        <w:ind w:left="200" w:right="80" w:hanging="192"/>
        <w:spacing w:after="0" w:line="264" w:lineRule="auto"/>
        <w:tabs>
          <w:tab w:leader="none" w:pos="197" w:val="left"/>
        </w:tabs>
        <w:numPr>
          <w:ilvl w:val="0"/>
          <w:numId w:val="40"/>
        </w:numPr>
        <w:rPr>
          <w:rFonts w:ascii="Arial" w:cs="Arial" w:eastAsia="Arial" w:hAnsi="Arial"/>
          <w:sz w:val="16"/>
          <w:szCs w:val="16"/>
          <w:b w:val="1"/>
          <w:bCs w:val="1"/>
          <w:color w:val="D7282F"/>
        </w:rPr>
      </w:pPr>
      <w:r>
        <w:rPr>
          <w:rFonts w:ascii="Arial" w:cs="Arial" w:eastAsia="Arial" w:hAnsi="Arial"/>
          <w:sz w:val="16"/>
          <w:szCs w:val="16"/>
          <w:color w:val="auto"/>
        </w:rPr>
        <w:t>Served as Senior Vice President and General Manager of the Retail Global Business Unit of Oracle Corporation, a global technology provider of enterprise software, hardware, and services, from 2005 to 2010.</w:t>
      </w:r>
    </w:p>
    <w:p>
      <w:pPr>
        <w:ind w:left="200" w:right="140" w:hanging="192"/>
        <w:spacing w:after="0" w:line="286" w:lineRule="auto"/>
        <w:tabs>
          <w:tab w:leader="none" w:pos="197" w:val="left"/>
        </w:tabs>
        <w:numPr>
          <w:ilvl w:val="0"/>
          <w:numId w:val="40"/>
        </w:numPr>
        <w:rPr>
          <w:rFonts w:ascii="Arial" w:cs="Arial" w:eastAsia="Arial" w:hAnsi="Arial"/>
          <w:sz w:val="16"/>
          <w:szCs w:val="16"/>
          <w:b w:val="1"/>
          <w:bCs w:val="1"/>
          <w:color w:val="D7282F"/>
        </w:rPr>
      </w:pPr>
      <w:r>
        <w:rPr>
          <w:rFonts w:ascii="Arial" w:cs="Arial" w:eastAsia="Arial" w:hAnsi="Arial"/>
          <w:sz w:val="16"/>
          <w:szCs w:val="16"/>
          <w:color w:val="auto"/>
        </w:rPr>
        <w:t>Joined Oracle through its acquisition of Retek Inc., then a publicly traded provider of software solutions and services to the retail industry, where he served in various roles of increasing responsibility from 1997 until 2005.</w:t>
      </w:r>
    </w:p>
    <w:p>
      <w:pPr>
        <w:spacing w:after="0" w:line="200" w:lineRule="exact"/>
        <w:rPr>
          <w:rFonts w:ascii="Arial" w:cs="Arial" w:eastAsia="Arial" w:hAnsi="Arial"/>
          <w:sz w:val="16"/>
          <w:szCs w:val="16"/>
          <w:b w:val="1"/>
          <w:bCs w:val="1"/>
          <w:color w:val="D7282F"/>
        </w:rPr>
      </w:pPr>
    </w:p>
    <w:p>
      <w:pPr>
        <w:spacing w:after="0" w:line="200" w:lineRule="exact"/>
        <w:rPr>
          <w:rFonts w:ascii="Arial" w:cs="Arial" w:eastAsia="Arial" w:hAnsi="Arial"/>
          <w:sz w:val="16"/>
          <w:szCs w:val="16"/>
          <w:b w:val="1"/>
          <w:bCs w:val="1"/>
          <w:color w:val="D7282F"/>
        </w:rPr>
      </w:pPr>
    </w:p>
    <w:p>
      <w:pPr>
        <w:spacing w:after="0" w:line="200" w:lineRule="exact"/>
        <w:rPr>
          <w:rFonts w:ascii="Arial" w:cs="Arial" w:eastAsia="Arial" w:hAnsi="Arial"/>
          <w:sz w:val="16"/>
          <w:szCs w:val="16"/>
          <w:b w:val="1"/>
          <w:bCs w:val="1"/>
          <w:color w:val="D7282F"/>
        </w:rPr>
      </w:pPr>
    </w:p>
    <w:p>
      <w:pPr>
        <w:spacing w:after="0" w:line="329" w:lineRule="exact"/>
        <w:rPr>
          <w:rFonts w:ascii="Arial" w:cs="Arial" w:eastAsia="Arial" w:hAnsi="Arial"/>
          <w:sz w:val="16"/>
          <w:szCs w:val="16"/>
          <w:b w:val="1"/>
          <w:bCs w:val="1"/>
          <w:color w:val="D7282F"/>
        </w:rPr>
      </w:pPr>
    </w:p>
    <w:p>
      <w:pPr>
        <w:ind w:left="200"/>
        <w:spacing w:after="0"/>
        <w:rPr>
          <w:rFonts w:ascii="Arial" w:cs="Arial" w:eastAsia="Arial" w:hAnsi="Arial"/>
          <w:sz w:val="16"/>
          <w:szCs w:val="16"/>
          <w:b w:val="1"/>
          <w:bCs w:val="1"/>
          <w:color w:val="D7282F"/>
        </w:rPr>
      </w:pPr>
      <w:r>
        <w:rPr>
          <w:rFonts w:ascii="Arial" w:cs="Arial" w:eastAsia="Arial" w:hAnsi="Arial"/>
          <w:sz w:val="14"/>
          <w:szCs w:val="14"/>
          <w:b w:val="1"/>
          <w:bCs w:val="1"/>
          <w:color w:val="D7282F"/>
        </w:rPr>
        <w:t>SPECIFIC QUALIFICATIONS, ATTRIBUTES, SKILLS, AND EXPERIENCE</w:t>
      </w:r>
    </w:p>
    <w:p>
      <w:pPr>
        <w:spacing w:after="0" w:line="50" w:lineRule="exact"/>
        <w:rPr>
          <w:rFonts w:ascii="Arial" w:cs="Arial" w:eastAsia="Arial" w:hAnsi="Arial"/>
          <w:sz w:val="16"/>
          <w:szCs w:val="16"/>
          <w:b w:val="1"/>
          <w:bCs w:val="1"/>
          <w:color w:val="D7282F"/>
        </w:rPr>
      </w:pPr>
    </w:p>
    <w:p>
      <w:pPr>
        <w:ind w:left="400" w:right="820" w:hanging="197"/>
        <w:spacing w:after="0" w:line="264" w:lineRule="auto"/>
        <w:tabs>
          <w:tab w:leader="none" w:pos="397" w:val="left"/>
        </w:tabs>
        <w:numPr>
          <w:ilvl w:val="1"/>
          <w:numId w:val="40"/>
        </w:numPr>
        <w:rPr>
          <w:rFonts w:ascii="Arial" w:cs="Arial" w:eastAsia="Arial" w:hAnsi="Arial"/>
          <w:sz w:val="16"/>
          <w:szCs w:val="16"/>
          <w:b w:val="1"/>
          <w:bCs w:val="1"/>
          <w:color w:val="D7282F"/>
        </w:rPr>
      </w:pPr>
      <w:r>
        <w:rPr>
          <w:rFonts w:ascii="Arial" w:cs="Arial" w:eastAsia="Arial" w:hAnsi="Arial"/>
          <w:sz w:val="16"/>
          <w:szCs w:val="16"/>
          <w:color w:val="auto"/>
        </w:rPr>
        <w:t>Senior technology industry leader with global operating experience, including in software and digital transformation, and skilled at driving value creation.</w:t>
      </w:r>
    </w:p>
    <w:p>
      <w:pPr>
        <w:ind w:left="400" w:right="200" w:hanging="197"/>
        <w:spacing w:after="0" w:line="264" w:lineRule="auto"/>
        <w:tabs>
          <w:tab w:leader="none" w:pos="397" w:val="left"/>
        </w:tabs>
        <w:numPr>
          <w:ilvl w:val="1"/>
          <w:numId w:val="40"/>
        </w:numPr>
        <w:rPr>
          <w:rFonts w:ascii="Arial" w:cs="Arial" w:eastAsia="Arial" w:hAnsi="Arial"/>
          <w:sz w:val="16"/>
          <w:szCs w:val="16"/>
          <w:b w:val="1"/>
          <w:bCs w:val="1"/>
          <w:color w:val="D7282F"/>
        </w:rPr>
      </w:pPr>
      <w:r>
        <w:rPr>
          <w:rFonts w:ascii="Arial" w:cs="Arial" w:eastAsia="Arial" w:hAnsi="Arial"/>
          <w:sz w:val="16"/>
          <w:szCs w:val="16"/>
          <w:color w:val="auto"/>
        </w:rPr>
        <w:t>Deep understanding of the trends across enterprise cloud, infrastructure software, digital, and the Internet of Things, and the corresponding risks, including cybersecurity and data privacy compliance.</w:t>
      </w:r>
    </w:p>
    <w:p>
      <w:pPr>
        <w:ind w:left="400" w:right="360" w:hanging="197"/>
        <w:spacing w:after="0" w:line="286" w:lineRule="auto"/>
        <w:tabs>
          <w:tab w:leader="none" w:pos="397" w:val="left"/>
        </w:tabs>
        <w:numPr>
          <w:ilvl w:val="1"/>
          <w:numId w:val="40"/>
        </w:numPr>
        <w:rPr>
          <w:rFonts w:ascii="Arial" w:cs="Arial" w:eastAsia="Arial" w:hAnsi="Arial"/>
          <w:sz w:val="16"/>
          <w:szCs w:val="16"/>
          <w:b w:val="1"/>
          <w:bCs w:val="1"/>
          <w:color w:val="D7282F"/>
        </w:rPr>
      </w:pPr>
      <w:r>
        <w:rPr>
          <w:rFonts w:ascii="Arial" w:cs="Arial" w:eastAsia="Arial" w:hAnsi="Arial"/>
          <w:sz w:val="16"/>
          <w:szCs w:val="16"/>
          <w:color w:val="auto"/>
        </w:rPr>
        <w:t>Extensive experience in corporate strategy, mergers and acquisitions, sales, marketing, and business and product development.</w:t>
      </w:r>
    </w:p>
    <w:p>
      <w:pPr>
        <w:spacing w:after="0" w:line="200" w:lineRule="exact"/>
        <w:rPr>
          <w:sz w:val="20"/>
          <w:szCs w:val="20"/>
          <w:color w:val="auto"/>
        </w:rPr>
      </w:pPr>
    </w:p>
    <w:p>
      <w:pPr>
        <w:sectPr>
          <w:pgSz w:w="11900" w:h="16838" w:orient="portrait"/>
          <w:cols w:equalWidth="0" w:num="2">
            <w:col w:w="2620" w:space="300"/>
            <w:col w:w="8320"/>
          </w:cols>
          <w:pgMar w:left="320" w:top="230" w:right="339" w:bottom="1440" w:gutter="0" w:footer="0" w:header="0"/>
          <w:type w:val="continuous"/>
        </w:sect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2026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359"/>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-368300</wp:posOffset>
            </wp:positionV>
            <wp:extent cx="548640" cy="10287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3"/>
          <w:szCs w:val="13"/>
          <w:b w:val="1"/>
          <w:bCs w:val="1"/>
          <w:color w:val="6D6E71"/>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D7282F"/>
        </w:rPr>
        <w:t>CRAIG ARNOLD</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FORMER CHAIRMAN AND CHIEF EXECUTIVE OFFICER, EATON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23430" cy="334327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23430" cy="3343275"/>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Years of Service: 0</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b w:val="1"/>
          <w:bCs w:val="1"/>
          <w:color w:val="D7282F"/>
        </w:rPr>
        <w:t>65</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D7282F"/>
        </w:rPr>
        <w:t>COMMITTEES:</w:t>
      </w:r>
    </w:p>
    <w:p>
      <w:pPr>
        <w:ind w:left="220" w:right="440" w:hanging="194"/>
        <w:spacing w:after="0" w:line="248" w:lineRule="auto"/>
        <w:tabs>
          <w:tab w:leader="none" w:pos="217" w:val="left"/>
        </w:tabs>
        <w:numPr>
          <w:ilvl w:val="0"/>
          <w:numId w:val="41"/>
        </w:numPr>
        <w:rPr>
          <w:rFonts w:ascii="Arial" w:cs="Arial" w:eastAsia="Arial" w:hAnsi="Arial"/>
          <w:sz w:val="16"/>
          <w:szCs w:val="16"/>
          <w:b w:val="1"/>
          <w:bCs w:val="1"/>
          <w:color w:val="D7282F"/>
        </w:rPr>
      </w:pPr>
      <w:r>
        <w:rPr>
          <w:rFonts w:ascii="Arial" w:cs="Arial" w:eastAsia="Arial" w:hAnsi="Arial"/>
          <w:sz w:val="16"/>
          <w:szCs w:val="16"/>
          <w:color w:val="auto"/>
        </w:rPr>
        <w:t>Corporate Governance and Responsibility</w:t>
      </w:r>
    </w:p>
    <w:p>
      <w:pPr>
        <w:spacing w:after="0" w:line="95" w:lineRule="exact"/>
        <w:rPr>
          <w:sz w:val="20"/>
          <w:szCs w:val="20"/>
          <w:color w:val="auto"/>
        </w:rPr>
      </w:pPr>
    </w:p>
    <w:p>
      <w:pPr>
        <w:ind w:left="20"/>
        <w:spacing w:after="0" w:line="249" w:lineRule="auto"/>
        <w:rPr>
          <w:sz w:val="20"/>
          <w:szCs w:val="20"/>
          <w:color w:val="auto"/>
        </w:rPr>
      </w:pPr>
      <w:r>
        <w:rPr>
          <w:rFonts w:ascii="Arial" w:cs="Arial" w:eastAsia="Arial" w:hAnsi="Arial"/>
          <w:sz w:val="14"/>
          <w:szCs w:val="14"/>
          <w:b w:val="1"/>
          <w:bCs w:val="1"/>
          <w:color w:val="D7282F"/>
        </w:rPr>
        <w:t>OTHER CURRENT PUBLIC COMPANY BOARDS:</w:t>
      </w:r>
    </w:p>
    <w:p>
      <w:pPr>
        <w:spacing w:after="0" w:line="1" w:lineRule="exact"/>
        <w:rPr>
          <w:sz w:val="20"/>
          <w:szCs w:val="20"/>
          <w:color w:val="auto"/>
        </w:rPr>
      </w:pPr>
    </w:p>
    <w:p>
      <w:pPr>
        <w:ind w:left="220" w:hanging="194"/>
        <w:spacing w:after="0"/>
        <w:tabs>
          <w:tab w:leader="none" w:pos="220" w:val="left"/>
        </w:tabs>
        <w:numPr>
          <w:ilvl w:val="0"/>
          <w:numId w:val="42"/>
        </w:numPr>
        <w:rPr>
          <w:rFonts w:ascii="Arial" w:cs="Arial" w:eastAsia="Arial" w:hAnsi="Arial"/>
          <w:sz w:val="16"/>
          <w:szCs w:val="16"/>
          <w:b w:val="1"/>
          <w:bCs w:val="1"/>
          <w:color w:val="D7282F"/>
        </w:rPr>
      </w:pPr>
      <w:r>
        <w:rPr>
          <w:rFonts w:ascii="Arial" w:cs="Arial" w:eastAsia="Arial" w:hAnsi="Arial"/>
          <w:sz w:val="16"/>
          <w:szCs w:val="16"/>
          <w:color w:val="auto"/>
        </w:rPr>
        <w:t>Medtronic plc</w:t>
      </w:r>
    </w:p>
    <w:p>
      <w:pPr>
        <w:spacing w:after="0" w:line="29" w:lineRule="exact"/>
        <w:rPr>
          <w:rFonts w:ascii="Arial" w:cs="Arial" w:eastAsia="Arial" w:hAnsi="Arial"/>
          <w:sz w:val="16"/>
          <w:szCs w:val="16"/>
          <w:b w:val="1"/>
          <w:bCs w:val="1"/>
          <w:color w:val="D7282F"/>
        </w:rPr>
      </w:pPr>
    </w:p>
    <w:p>
      <w:pPr>
        <w:ind w:left="220" w:hanging="194"/>
        <w:spacing w:after="0"/>
        <w:tabs>
          <w:tab w:leader="none" w:pos="220" w:val="left"/>
        </w:tabs>
        <w:numPr>
          <w:ilvl w:val="0"/>
          <w:numId w:val="42"/>
        </w:numPr>
        <w:rPr>
          <w:rFonts w:ascii="Arial" w:cs="Arial" w:eastAsia="Arial" w:hAnsi="Arial"/>
          <w:sz w:val="16"/>
          <w:szCs w:val="16"/>
          <w:b w:val="1"/>
          <w:bCs w:val="1"/>
          <w:color w:val="D7282F"/>
        </w:rPr>
      </w:pPr>
      <w:r>
        <w:rPr>
          <w:rFonts w:ascii="Arial" w:cs="Arial" w:eastAsia="Arial" w:hAnsi="Arial"/>
          <w:sz w:val="16"/>
          <w:szCs w:val="16"/>
          <w:color w:val="auto"/>
        </w:rPr>
        <w:t>The Procter &amp; Gamble Company</w:t>
      </w:r>
    </w:p>
    <w:p>
      <w:pPr>
        <w:spacing w:after="0" w:line="59" w:lineRule="exact"/>
        <w:rPr>
          <w:rFonts w:ascii="Arial" w:cs="Arial" w:eastAsia="Arial" w:hAnsi="Arial"/>
          <w:sz w:val="16"/>
          <w:szCs w:val="16"/>
          <w:b w:val="1"/>
          <w:bCs w:val="1"/>
          <w:color w:val="D7282F"/>
        </w:rPr>
      </w:pPr>
    </w:p>
    <w:p>
      <w:pPr>
        <w:ind w:left="220" w:hanging="194"/>
        <w:spacing w:after="0"/>
        <w:tabs>
          <w:tab w:leader="none" w:pos="220" w:val="left"/>
        </w:tabs>
        <w:numPr>
          <w:ilvl w:val="0"/>
          <w:numId w:val="42"/>
        </w:numPr>
        <w:rPr>
          <w:rFonts w:ascii="Arial" w:cs="Arial" w:eastAsia="Arial" w:hAnsi="Arial"/>
          <w:sz w:val="16"/>
          <w:szCs w:val="16"/>
          <w:b w:val="1"/>
          <w:bCs w:val="1"/>
          <w:color w:val="D7282F"/>
        </w:rPr>
      </w:pPr>
      <w:r>
        <w:rPr>
          <w:rFonts w:ascii="Arial" w:cs="Arial" w:eastAsia="Arial" w:hAnsi="Arial"/>
          <w:sz w:val="16"/>
          <w:szCs w:val="16"/>
          <w:color w:val="auto"/>
        </w:rPr>
        <w:t>KKR &amp; Co., Inc.</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D7282F"/>
        </w:rPr>
        <w:t>PAST PUBLIC COMPANY BOARDS:</w:t>
      </w:r>
    </w:p>
    <w:p>
      <w:pPr>
        <w:spacing w:after="0" w:line="12" w:lineRule="exact"/>
        <w:rPr>
          <w:sz w:val="20"/>
          <w:szCs w:val="20"/>
          <w:color w:val="auto"/>
        </w:rPr>
      </w:pPr>
    </w:p>
    <w:p>
      <w:pPr>
        <w:ind w:left="220" w:hanging="194"/>
        <w:spacing w:after="0"/>
        <w:tabs>
          <w:tab w:leader="none" w:pos="220" w:val="left"/>
        </w:tabs>
        <w:numPr>
          <w:ilvl w:val="0"/>
          <w:numId w:val="43"/>
        </w:numPr>
        <w:rPr>
          <w:rFonts w:ascii="Arial" w:cs="Arial" w:eastAsia="Arial" w:hAnsi="Arial"/>
          <w:sz w:val="16"/>
          <w:szCs w:val="16"/>
          <w:b w:val="1"/>
          <w:bCs w:val="1"/>
          <w:color w:val="D7282F"/>
        </w:rPr>
      </w:pPr>
      <w:r>
        <w:rPr>
          <w:rFonts w:ascii="Arial" w:cs="Arial" w:eastAsia="Arial" w:hAnsi="Arial"/>
          <w:sz w:val="16"/>
          <w:szCs w:val="16"/>
          <w:color w:val="auto"/>
        </w:rPr>
        <w:t>Eaton Corporation</w:t>
      </w:r>
    </w:p>
    <w:p>
      <w:pPr>
        <w:spacing w:after="0" w:line="29" w:lineRule="exact"/>
        <w:rPr>
          <w:rFonts w:ascii="Arial" w:cs="Arial" w:eastAsia="Arial" w:hAnsi="Arial"/>
          <w:sz w:val="16"/>
          <w:szCs w:val="16"/>
          <w:b w:val="1"/>
          <w:bCs w:val="1"/>
          <w:color w:val="D7282F"/>
        </w:rPr>
      </w:pPr>
    </w:p>
    <w:p>
      <w:pPr>
        <w:ind w:left="220" w:hanging="194"/>
        <w:spacing w:after="0"/>
        <w:tabs>
          <w:tab w:leader="none" w:pos="220" w:val="left"/>
        </w:tabs>
        <w:numPr>
          <w:ilvl w:val="0"/>
          <w:numId w:val="43"/>
        </w:numPr>
        <w:rPr>
          <w:rFonts w:ascii="Arial" w:cs="Arial" w:eastAsia="Arial" w:hAnsi="Arial"/>
          <w:sz w:val="16"/>
          <w:szCs w:val="16"/>
          <w:b w:val="1"/>
          <w:bCs w:val="1"/>
          <w:color w:val="D7282F"/>
        </w:rPr>
      </w:pPr>
      <w:r>
        <w:rPr>
          <w:rFonts w:ascii="Arial" w:cs="Arial" w:eastAsia="Arial" w:hAnsi="Arial"/>
          <w:sz w:val="16"/>
          <w:szCs w:val="16"/>
          <w:color w:val="auto"/>
        </w:rPr>
        <w:t>Covidien plc</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D7282F"/>
        </w:rPr>
        <w:t>BACKGROUND</w:t>
      </w:r>
    </w:p>
    <w:p>
      <w:pPr>
        <w:spacing w:after="0" w:line="50" w:lineRule="exact"/>
        <w:rPr>
          <w:sz w:val="20"/>
          <w:szCs w:val="20"/>
          <w:color w:val="auto"/>
        </w:rPr>
      </w:pPr>
    </w:p>
    <w:p>
      <w:pPr>
        <w:ind w:left="200" w:right="500" w:hanging="192"/>
        <w:spacing w:after="0" w:line="264" w:lineRule="auto"/>
        <w:tabs>
          <w:tab w:leader="none" w:pos="197" w:val="left"/>
        </w:tabs>
        <w:numPr>
          <w:ilvl w:val="0"/>
          <w:numId w:val="44"/>
        </w:numPr>
        <w:rPr>
          <w:rFonts w:ascii="Arial" w:cs="Arial" w:eastAsia="Arial" w:hAnsi="Arial"/>
          <w:sz w:val="16"/>
          <w:szCs w:val="16"/>
          <w:b w:val="1"/>
          <w:bCs w:val="1"/>
          <w:color w:val="D7282F"/>
        </w:rPr>
      </w:pPr>
      <w:r>
        <w:rPr>
          <w:rFonts w:ascii="Arial" w:cs="Arial" w:eastAsia="Arial" w:hAnsi="Arial"/>
          <w:sz w:val="16"/>
          <w:szCs w:val="16"/>
          <w:color w:val="auto"/>
        </w:rPr>
        <w:t>Former Chairman of the Board of Directors of Eaton Corporation plc and Chief Executive Officer of Eaton Corporation, a global intelligent power management company.</w:t>
      </w:r>
    </w:p>
    <w:p>
      <w:pPr>
        <w:ind w:left="200" w:right="100" w:hanging="192"/>
        <w:spacing w:after="0" w:line="257" w:lineRule="auto"/>
        <w:tabs>
          <w:tab w:leader="none" w:pos="197" w:val="left"/>
        </w:tabs>
        <w:numPr>
          <w:ilvl w:val="0"/>
          <w:numId w:val="44"/>
        </w:numPr>
        <w:rPr>
          <w:rFonts w:ascii="Arial" w:cs="Arial" w:eastAsia="Arial" w:hAnsi="Arial"/>
          <w:sz w:val="16"/>
          <w:szCs w:val="16"/>
          <w:b w:val="1"/>
          <w:bCs w:val="1"/>
          <w:color w:val="D7282F"/>
        </w:rPr>
      </w:pPr>
      <w:r>
        <w:rPr>
          <w:rFonts w:ascii="Arial" w:cs="Arial" w:eastAsia="Arial" w:hAnsi="Arial"/>
          <w:sz w:val="16"/>
          <w:szCs w:val="16"/>
          <w:color w:val="auto"/>
        </w:rPr>
        <w:t>Joined Eaton Corporation in 2000, where he served in a variety of roles, including as the President and Chief Operating Officer from September 2015 to June 2016 and as Vice Chairman and Chief Operating Officer of the Industrial Sector from February 2009 to August 2015.</w:t>
      </w:r>
    </w:p>
    <w:p>
      <w:pPr>
        <w:spacing w:after="0" w:line="2" w:lineRule="exact"/>
        <w:rPr>
          <w:rFonts w:ascii="Arial" w:cs="Arial" w:eastAsia="Arial" w:hAnsi="Arial"/>
          <w:sz w:val="16"/>
          <w:szCs w:val="16"/>
          <w:b w:val="1"/>
          <w:bCs w:val="1"/>
          <w:color w:val="D7282F"/>
        </w:rPr>
      </w:pPr>
    </w:p>
    <w:p>
      <w:pPr>
        <w:ind w:left="200" w:right="20" w:hanging="192"/>
        <w:spacing w:after="0" w:line="264" w:lineRule="auto"/>
        <w:tabs>
          <w:tab w:leader="none" w:pos="197" w:val="left"/>
        </w:tabs>
        <w:numPr>
          <w:ilvl w:val="0"/>
          <w:numId w:val="44"/>
        </w:numPr>
        <w:rPr>
          <w:rFonts w:ascii="Arial" w:cs="Arial" w:eastAsia="Arial" w:hAnsi="Arial"/>
          <w:sz w:val="16"/>
          <w:szCs w:val="16"/>
          <w:b w:val="1"/>
          <w:bCs w:val="1"/>
          <w:color w:val="D7282F"/>
        </w:rPr>
      </w:pPr>
      <w:r>
        <w:rPr>
          <w:rFonts w:ascii="Arial" w:cs="Arial" w:eastAsia="Arial" w:hAnsi="Arial"/>
          <w:sz w:val="16"/>
          <w:szCs w:val="16"/>
          <w:color w:val="auto"/>
        </w:rPr>
        <w:t>Previously worked for General Electric Company, a diversified industrial corporation, where he held roles across the Appliances, Plastics and Lighting businesses.</w:t>
      </w:r>
    </w:p>
    <w:p>
      <w:pPr>
        <w:ind w:left="200" w:hanging="192"/>
        <w:spacing w:after="0"/>
        <w:tabs>
          <w:tab w:leader="none" w:pos="200" w:val="left"/>
        </w:tabs>
        <w:numPr>
          <w:ilvl w:val="0"/>
          <w:numId w:val="44"/>
        </w:numPr>
        <w:rPr>
          <w:rFonts w:ascii="Arial" w:cs="Arial" w:eastAsia="Arial" w:hAnsi="Arial"/>
          <w:sz w:val="16"/>
          <w:szCs w:val="16"/>
          <w:b w:val="1"/>
          <w:bCs w:val="1"/>
          <w:color w:val="D7282F"/>
        </w:rPr>
      </w:pPr>
      <w:r>
        <w:rPr>
          <w:rFonts w:ascii="Arial" w:cs="Arial" w:eastAsia="Arial" w:hAnsi="Arial"/>
          <w:sz w:val="16"/>
          <w:szCs w:val="16"/>
          <w:color w:val="auto"/>
        </w:rPr>
        <w:t>Serves as a director of the United Way of Greater Cleveland and the Salvation Army of Greater Cleveland.</w:t>
      </w:r>
    </w:p>
    <w:p>
      <w:pPr>
        <w:spacing w:after="0" w:line="45" w:lineRule="exact"/>
        <w:rPr>
          <w:rFonts w:ascii="Arial" w:cs="Arial" w:eastAsia="Arial" w:hAnsi="Arial"/>
          <w:sz w:val="16"/>
          <w:szCs w:val="16"/>
          <w:b w:val="1"/>
          <w:bCs w:val="1"/>
          <w:color w:val="D7282F"/>
        </w:rPr>
      </w:pPr>
    </w:p>
    <w:p>
      <w:pPr>
        <w:ind w:left="200" w:right="80" w:hanging="192"/>
        <w:spacing w:after="0" w:line="268" w:lineRule="auto"/>
        <w:tabs>
          <w:tab w:leader="none" w:pos="197" w:val="left"/>
        </w:tabs>
        <w:numPr>
          <w:ilvl w:val="0"/>
          <w:numId w:val="44"/>
        </w:numPr>
        <w:rPr>
          <w:rFonts w:ascii="Arial" w:cs="Arial" w:eastAsia="Arial" w:hAnsi="Arial"/>
          <w:sz w:val="16"/>
          <w:szCs w:val="16"/>
          <w:b w:val="1"/>
          <w:bCs w:val="1"/>
          <w:color w:val="D7282F"/>
        </w:rPr>
      </w:pPr>
      <w:r>
        <w:rPr>
          <w:rFonts w:ascii="Arial" w:cs="Arial" w:eastAsia="Arial" w:hAnsi="Arial"/>
          <w:sz w:val="16"/>
          <w:szCs w:val="16"/>
          <w:color w:val="auto"/>
        </w:rPr>
        <w:t>Graduated from California State University, San Bernardino with a bachelor’s degree, and obtained a Master of Business Administration from Pepperdine University.</w:t>
      </w:r>
    </w:p>
    <w:p>
      <w:pPr>
        <w:spacing w:after="0" w:line="200" w:lineRule="exact"/>
        <w:rPr>
          <w:rFonts w:ascii="Arial" w:cs="Arial" w:eastAsia="Arial" w:hAnsi="Arial"/>
          <w:sz w:val="16"/>
          <w:szCs w:val="16"/>
          <w:b w:val="1"/>
          <w:bCs w:val="1"/>
          <w:color w:val="D7282F"/>
        </w:rPr>
      </w:pPr>
    </w:p>
    <w:p>
      <w:pPr>
        <w:spacing w:after="0" w:line="200" w:lineRule="exact"/>
        <w:rPr>
          <w:rFonts w:ascii="Arial" w:cs="Arial" w:eastAsia="Arial" w:hAnsi="Arial"/>
          <w:sz w:val="16"/>
          <w:szCs w:val="16"/>
          <w:b w:val="1"/>
          <w:bCs w:val="1"/>
          <w:color w:val="D7282F"/>
        </w:rPr>
      </w:pPr>
    </w:p>
    <w:p>
      <w:pPr>
        <w:spacing w:after="0" w:line="395" w:lineRule="exact"/>
        <w:rPr>
          <w:rFonts w:ascii="Arial" w:cs="Arial" w:eastAsia="Arial" w:hAnsi="Arial"/>
          <w:sz w:val="16"/>
          <w:szCs w:val="16"/>
          <w:b w:val="1"/>
          <w:bCs w:val="1"/>
          <w:color w:val="D7282F"/>
        </w:rPr>
      </w:pPr>
    </w:p>
    <w:p>
      <w:pPr>
        <w:ind w:left="200"/>
        <w:spacing w:after="0"/>
        <w:rPr>
          <w:rFonts w:ascii="Arial" w:cs="Arial" w:eastAsia="Arial" w:hAnsi="Arial"/>
          <w:sz w:val="16"/>
          <w:szCs w:val="16"/>
          <w:b w:val="1"/>
          <w:bCs w:val="1"/>
          <w:color w:val="D7282F"/>
        </w:rPr>
      </w:pPr>
      <w:r>
        <w:rPr>
          <w:rFonts w:ascii="Arial" w:cs="Arial" w:eastAsia="Arial" w:hAnsi="Arial"/>
          <w:sz w:val="14"/>
          <w:szCs w:val="14"/>
          <w:b w:val="1"/>
          <w:bCs w:val="1"/>
          <w:color w:val="D7282F"/>
        </w:rPr>
        <w:t>SPECIFIC QUALIFICATIONS, ATTRIBUTES, SKILLS, AND EXPERIENCE</w:t>
      </w:r>
    </w:p>
    <w:p>
      <w:pPr>
        <w:spacing w:after="0" w:line="50" w:lineRule="exact"/>
        <w:rPr>
          <w:rFonts w:ascii="Arial" w:cs="Arial" w:eastAsia="Arial" w:hAnsi="Arial"/>
          <w:sz w:val="16"/>
          <w:szCs w:val="16"/>
          <w:b w:val="1"/>
          <w:bCs w:val="1"/>
          <w:color w:val="D7282F"/>
        </w:rPr>
      </w:pPr>
    </w:p>
    <w:p>
      <w:pPr>
        <w:ind w:left="400" w:right="440" w:hanging="197"/>
        <w:spacing w:after="0" w:line="248" w:lineRule="auto"/>
        <w:tabs>
          <w:tab w:leader="none" w:pos="397" w:val="left"/>
        </w:tabs>
        <w:numPr>
          <w:ilvl w:val="1"/>
          <w:numId w:val="44"/>
        </w:numPr>
        <w:rPr>
          <w:rFonts w:ascii="Arial" w:cs="Arial" w:eastAsia="Arial" w:hAnsi="Arial"/>
          <w:sz w:val="16"/>
          <w:szCs w:val="16"/>
          <w:b w:val="1"/>
          <w:bCs w:val="1"/>
          <w:color w:val="D7282F"/>
        </w:rPr>
      </w:pPr>
      <w:r>
        <w:rPr>
          <w:rFonts w:ascii="Arial" w:cs="Arial" w:eastAsia="Arial" w:hAnsi="Arial"/>
          <w:sz w:val="16"/>
          <w:szCs w:val="16"/>
          <w:color w:val="auto"/>
        </w:rPr>
        <w:t>Extensive leadership, strategy and risk management experience and expertise across aerospace and industrial operations from more than 40 years at Eaton Corporation and General Electric, including as a senior executive.</w:t>
      </w:r>
    </w:p>
    <w:p>
      <w:pPr>
        <w:spacing w:after="0" w:line="10" w:lineRule="exact"/>
        <w:rPr>
          <w:rFonts w:ascii="Arial" w:cs="Arial" w:eastAsia="Arial" w:hAnsi="Arial"/>
          <w:sz w:val="16"/>
          <w:szCs w:val="16"/>
          <w:b w:val="1"/>
          <w:bCs w:val="1"/>
          <w:color w:val="D7282F"/>
        </w:rPr>
      </w:pPr>
    </w:p>
    <w:p>
      <w:pPr>
        <w:ind w:left="400" w:right="420" w:hanging="197"/>
        <w:spacing w:after="0" w:line="268" w:lineRule="auto"/>
        <w:tabs>
          <w:tab w:leader="none" w:pos="397" w:val="left"/>
        </w:tabs>
        <w:numPr>
          <w:ilvl w:val="1"/>
          <w:numId w:val="44"/>
        </w:numPr>
        <w:rPr>
          <w:rFonts w:ascii="Arial" w:cs="Arial" w:eastAsia="Arial" w:hAnsi="Arial"/>
          <w:sz w:val="16"/>
          <w:szCs w:val="16"/>
          <w:b w:val="1"/>
          <w:bCs w:val="1"/>
          <w:color w:val="D7282F"/>
        </w:rPr>
      </w:pPr>
      <w:r>
        <w:rPr>
          <w:rFonts w:ascii="Arial" w:cs="Arial" w:eastAsia="Arial" w:hAnsi="Arial"/>
          <w:sz w:val="16"/>
          <w:szCs w:val="16"/>
          <w:color w:val="auto"/>
        </w:rPr>
        <w:t>Meaningful insights into constructive disruption across markets and product portfolios, having led global businesses in technology and innovation-focused industries.</w:t>
      </w:r>
    </w:p>
    <w:p>
      <w:pPr>
        <w:spacing w:after="0" w:line="7" w:lineRule="exact"/>
        <w:rPr>
          <w:rFonts w:ascii="Arial" w:cs="Arial" w:eastAsia="Arial" w:hAnsi="Arial"/>
          <w:sz w:val="16"/>
          <w:szCs w:val="16"/>
          <w:b w:val="1"/>
          <w:bCs w:val="1"/>
          <w:color w:val="D7282F"/>
        </w:rPr>
      </w:pPr>
    </w:p>
    <w:p>
      <w:pPr>
        <w:ind w:left="400" w:hanging="197"/>
        <w:spacing w:after="0"/>
        <w:tabs>
          <w:tab w:leader="none" w:pos="400" w:val="left"/>
        </w:tabs>
        <w:numPr>
          <w:ilvl w:val="1"/>
          <w:numId w:val="44"/>
        </w:numPr>
        <w:rPr>
          <w:rFonts w:ascii="Arial" w:cs="Arial" w:eastAsia="Arial" w:hAnsi="Arial"/>
          <w:sz w:val="16"/>
          <w:szCs w:val="16"/>
          <w:b w:val="1"/>
          <w:bCs w:val="1"/>
          <w:color w:val="D7282F"/>
        </w:rPr>
      </w:pPr>
      <w:r>
        <w:rPr>
          <w:rFonts w:ascii="Arial" w:cs="Arial" w:eastAsia="Arial" w:hAnsi="Arial"/>
          <w:sz w:val="16"/>
          <w:szCs w:val="16"/>
          <w:color w:val="auto"/>
        </w:rPr>
        <w:t>A deep track record of delivering transformational results and driving continuous improvement.</w:t>
      </w:r>
    </w:p>
    <w:p>
      <w:pPr>
        <w:spacing w:after="0" w:line="45" w:lineRule="exact"/>
        <w:rPr>
          <w:rFonts w:ascii="Arial" w:cs="Arial" w:eastAsia="Arial" w:hAnsi="Arial"/>
          <w:sz w:val="16"/>
          <w:szCs w:val="16"/>
          <w:b w:val="1"/>
          <w:bCs w:val="1"/>
          <w:color w:val="D7282F"/>
        </w:rPr>
      </w:pPr>
    </w:p>
    <w:p>
      <w:pPr>
        <w:ind w:left="400" w:right="240" w:hanging="197"/>
        <w:spacing w:after="0" w:line="268" w:lineRule="auto"/>
        <w:tabs>
          <w:tab w:leader="none" w:pos="397" w:val="left"/>
        </w:tabs>
        <w:numPr>
          <w:ilvl w:val="1"/>
          <w:numId w:val="44"/>
        </w:numPr>
        <w:rPr>
          <w:rFonts w:ascii="Arial" w:cs="Arial" w:eastAsia="Arial" w:hAnsi="Arial"/>
          <w:sz w:val="16"/>
          <w:szCs w:val="16"/>
          <w:b w:val="1"/>
          <w:bCs w:val="1"/>
          <w:color w:val="D7282F"/>
        </w:rPr>
      </w:pPr>
      <w:r>
        <w:rPr>
          <w:rFonts w:ascii="Arial" w:cs="Arial" w:eastAsia="Arial" w:hAnsi="Arial"/>
          <w:sz w:val="16"/>
          <w:szCs w:val="16"/>
          <w:color w:val="auto"/>
        </w:rPr>
        <w:t>Strong corporate governance acumen and financial oversight skills from service on multiple public boards, including as independent lead director of Medtronic plc.</w:t>
      </w:r>
    </w:p>
    <w:p>
      <w:pPr>
        <w:spacing w:after="0" w:line="200" w:lineRule="exact"/>
        <w:rPr>
          <w:sz w:val="20"/>
          <w:szCs w:val="20"/>
          <w:color w:val="auto"/>
        </w:rPr>
      </w:pPr>
    </w:p>
    <w:p>
      <w:pPr>
        <w:sectPr>
          <w:pgSz w:w="11900" w:h="16838" w:orient="portrait"/>
          <w:cols w:equalWidth="0" w:num="2">
            <w:col w:w="2620" w:space="300"/>
            <w:col w:w="8220"/>
          </w:cols>
          <w:pgMar w:left="320" w:top="230" w:right="439" w:bottom="1440" w:gutter="0" w:footer="0" w:header="0"/>
          <w:type w:val="continuous"/>
        </w:sectPr>
      </w:pPr>
    </w:p>
    <w:p>
      <w:pPr>
        <w:spacing w:after="0" w:line="351"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D7282F"/>
        </w:rPr>
        <w:t>WILLIAM S. AYER</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RETIRED CHAIRMAN AND CHIEF EXECUTIVE OFFICER, ALASKA AIR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23430" cy="330898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23430" cy="3308985"/>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Years of Service: 11</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b w:val="1"/>
          <w:bCs w:val="1"/>
          <w:color w:val="D7282F"/>
        </w:rPr>
        <w:t>71</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D7282F"/>
        </w:rPr>
        <w:t>COMMITTEES</w:t>
      </w:r>
      <w:r>
        <w:rPr>
          <w:rFonts w:ascii="Arial" w:cs="Arial" w:eastAsia="Arial" w:hAnsi="Arial"/>
          <w:sz w:val="18"/>
          <w:szCs w:val="18"/>
          <w:b w:val="1"/>
          <w:bCs w:val="1"/>
          <w:color w:val="D7282F"/>
          <w:vertAlign w:val="superscript"/>
        </w:rPr>
        <w:t>(1)</w:t>
      </w:r>
      <w:r>
        <w:rPr>
          <w:rFonts w:ascii="Arial" w:cs="Arial" w:eastAsia="Arial" w:hAnsi="Arial"/>
          <w:sz w:val="14"/>
          <w:szCs w:val="14"/>
          <w:b w:val="1"/>
          <w:bCs w:val="1"/>
          <w:color w:val="D7282F"/>
        </w:rPr>
        <w:t>:</w:t>
      </w:r>
    </w:p>
    <w:p>
      <w:pPr>
        <w:ind w:left="220" w:hanging="194"/>
        <w:spacing w:after="0"/>
        <w:tabs>
          <w:tab w:leader="none" w:pos="220" w:val="left"/>
        </w:tabs>
        <w:numPr>
          <w:ilvl w:val="0"/>
          <w:numId w:val="45"/>
        </w:numPr>
        <w:rPr>
          <w:rFonts w:ascii="Arial" w:cs="Arial" w:eastAsia="Arial" w:hAnsi="Arial"/>
          <w:sz w:val="16"/>
          <w:szCs w:val="16"/>
          <w:b w:val="1"/>
          <w:bCs w:val="1"/>
          <w:color w:val="D7282F"/>
        </w:rPr>
      </w:pPr>
      <w:r>
        <w:rPr>
          <w:rFonts w:ascii="Arial" w:cs="Arial" w:eastAsia="Arial" w:hAnsi="Arial"/>
          <w:sz w:val="16"/>
          <w:szCs w:val="16"/>
          <w:color w:val="auto"/>
        </w:rPr>
        <w:t>None</w:t>
      </w:r>
    </w:p>
    <w:p>
      <w:pPr>
        <w:spacing w:after="0" w:line="75" w:lineRule="exact"/>
        <w:rPr>
          <w:sz w:val="20"/>
          <w:szCs w:val="20"/>
          <w:color w:val="auto"/>
        </w:rPr>
      </w:pPr>
    </w:p>
    <w:p>
      <w:pPr>
        <w:ind w:left="20"/>
        <w:spacing w:after="0" w:line="259" w:lineRule="auto"/>
        <w:rPr>
          <w:sz w:val="20"/>
          <w:szCs w:val="20"/>
          <w:color w:val="auto"/>
        </w:rPr>
      </w:pPr>
      <w:r>
        <w:rPr>
          <w:rFonts w:ascii="Arial" w:cs="Arial" w:eastAsia="Arial" w:hAnsi="Arial"/>
          <w:sz w:val="14"/>
          <w:szCs w:val="14"/>
          <w:b w:val="1"/>
          <w:bCs w:val="1"/>
          <w:color w:val="D7282F"/>
        </w:rPr>
        <w:t>OTHER CURRENT PUBLIC COMPANY BOARDS:</w:t>
      </w:r>
    </w:p>
    <w:p>
      <w:pPr>
        <w:spacing w:after="0" w:line="1" w:lineRule="exact"/>
        <w:rPr>
          <w:sz w:val="20"/>
          <w:szCs w:val="20"/>
          <w:color w:val="auto"/>
        </w:rPr>
      </w:pPr>
    </w:p>
    <w:p>
      <w:pPr>
        <w:ind w:left="220" w:hanging="194"/>
        <w:spacing w:after="0"/>
        <w:tabs>
          <w:tab w:leader="none" w:pos="220" w:val="left"/>
        </w:tabs>
        <w:numPr>
          <w:ilvl w:val="0"/>
          <w:numId w:val="46"/>
        </w:numPr>
        <w:rPr>
          <w:rFonts w:ascii="Arial" w:cs="Arial" w:eastAsia="Arial" w:hAnsi="Arial"/>
          <w:sz w:val="16"/>
          <w:szCs w:val="16"/>
          <w:b w:val="1"/>
          <w:bCs w:val="1"/>
          <w:color w:val="D7282F"/>
        </w:rPr>
      </w:pPr>
      <w:r>
        <w:rPr>
          <w:rFonts w:ascii="Arial" w:cs="Arial" w:eastAsia="Arial" w:hAnsi="Arial"/>
          <w:sz w:val="16"/>
          <w:szCs w:val="16"/>
          <w:color w:val="auto"/>
        </w:rPr>
        <w:t>None</w:t>
      </w:r>
    </w:p>
    <w:p>
      <w:pPr>
        <w:spacing w:after="0" w:line="8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D7282F"/>
        </w:rPr>
        <w:t>PAST PUBLIC COMPANY BOARDS:</w:t>
      </w:r>
    </w:p>
    <w:p>
      <w:pPr>
        <w:spacing w:after="0" w:line="12" w:lineRule="exact"/>
        <w:rPr>
          <w:sz w:val="20"/>
          <w:szCs w:val="20"/>
          <w:color w:val="auto"/>
        </w:rPr>
      </w:pPr>
    </w:p>
    <w:p>
      <w:pPr>
        <w:ind w:left="220" w:hanging="194"/>
        <w:spacing w:after="0"/>
        <w:tabs>
          <w:tab w:leader="none" w:pos="220" w:val="left"/>
        </w:tabs>
        <w:numPr>
          <w:ilvl w:val="0"/>
          <w:numId w:val="47"/>
        </w:numPr>
        <w:rPr>
          <w:rFonts w:ascii="Arial" w:cs="Arial" w:eastAsia="Arial" w:hAnsi="Arial"/>
          <w:sz w:val="16"/>
          <w:szCs w:val="16"/>
          <w:b w:val="1"/>
          <w:bCs w:val="1"/>
          <w:color w:val="D7282F"/>
        </w:rPr>
      </w:pPr>
      <w:r>
        <w:rPr>
          <w:rFonts w:ascii="Arial" w:cs="Arial" w:eastAsia="Arial" w:hAnsi="Arial"/>
          <w:sz w:val="16"/>
          <w:szCs w:val="16"/>
          <w:color w:val="auto"/>
        </w:rPr>
        <w:t>Alaska Air Group, Inc.</w:t>
      </w:r>
    </w:p>
    <w:p>
      <w:pPr>
        <w:spacing w:after="0" w:line="29" w:lineRule="exact"/>
        <w:rPr>
          <w:rFonts w:ascii="Arial" w:cs="Arial" w:eastAsia="Arial" w:hAnsi="Arial"/>
          <w:sz w:val="16"/>
          <w:szCs w:val="16"/>
          <w:b w:val="1"/>
          <w:bCs w:val="1"/>
          <w:color w:val="D7282F"/>
        </w:rPr>
      </w:pPr>
    </w:p>
    <w:p>
      <w:pPr>
        <w:ind w:left="220" w:right="260" w:hanging="194"/>
        <w:spacing w:after="0" w:line="268" w:lineRule="auto"/>
        <w:tabs>
          <w:tab w:leader="none" w:pos="217" w:val="left"/>
        </w:tabs>
        <w:numPr>
          <w:ilvl w:val="0"/>
          <w:numId w:val="47"/>
        </w:numPr>
        <w:rPr>
          <w:rFonts w:ascii="Arial" w:cs="Arial" w:eastAsia="Arial" w:hAnsi="Arial"/>
          <w:sz w:val="16"/>
          <w:szCs w:val="16"/>
          <w:b w:val="1"/>
          <w:bCs w:val="1"/>
          <w:color w:val="D7282F"/>
        </w:rPr>
      </w:pPr>
      <w:r>
        <w:rPr>
          <w:rFonts w:ascii="Arial" w:cs="Arial" w:eastAsia="Arial" w:hAnsi="Arial"/>
          <w:sz w:val="16"/>
          <w:szCs w:val="16"/>
          <w:color w:val="auto"/>
        </w:rPr>
        <w:t>Puget Sound Energy, Inc. and Puget Energy, Inc.</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D7282F"/>
        </w:rPr>
        <w:t>BACKGROUND</w:t>
      </w:r>
    </w:p>
    <w:p>
      <w:pPr>
        <w:spacing w:after="0" w:line="50" w:lineRule="exact"/>
        <w:rPr>
          <w:sz w:val="20"/>
          <w:szCs w:val="20"/>
          <w:color w:val="auto"/>
        </w:rPr>
      </w:pPr>
    </w:p>
    <w:p>
      <w:pPr>
        <w:ind w:left="200" w:right="40" w:hanging="192"/>
        <w:spacing w:after="0" w:line="264" w:lineRule="auto"/>
        <w:tabs>
          <w:tab w:leader="none" w:pos="197" w:val="left"/>
        </w:tabs>
        <w:numPr>
          <w:ilvl w:val="0"/>
          <w:numId w:val="48"/>
        </w:numPr>
        <w:rPr>
          <w:rFonts w:ascii="Arial" w:cs="Arial" w:eastAsia="Arial" w:hAnsi="Arial"/>
          <w:sz w:val="16"/>
          <w:szCs w:val="16"/>
          <w:b w:val="1"/>
          <w:bCs w:val="1"/>
          <w:color w:val="D7282F"/>
        </w:rPr>
      </w:pPr>
      <w:r>
        <w:rPr>
          <w:rFonts w:ascii="Arial" w:cs="Arial" w:eastAsia="Arial" w:hAnsi="Arial"/>
          <w:sz w:val="16"/>
          <w:szCs w:val="16"/>
          <w:color w:val="auto"/>
        </w:rPr>
        <w:t>Retired Chairman and Chief Executive Officer of Alaska Air Group, Inc. (Alaska Air Group), the parent company of Alaska Airlines and its sister carrier, Horizon Air.</w:t>
      </w:r>
    </w:p>
    <w:p>
      <w:pPr>
        <w:ind w:left="200" w:right="400" w:hanging="192"/>
        <w:spacing w:after="0" w:line="272" w:lineRule="auto"/>
        <w:tabs>
          <w:tab w:leader="none" w:pos="197" w:val="left"/>
        </w:tabs>
        <w:numPr>
          <w:ilvl w:val="0"/>
          <w:numId w:val="48"/>
        </w:numPr>
        <w:rPr>
          <w:rFonts w:ascii="Arial" w:cs="Arial" w:eastAsia="Arial" w:hAnsi="Arial"/>
          <w:sz w:val="16"/>
          <w:szCs w:val="16"/>
          <w:b w:val="1"/>
          <w:bCs w:val="1"/>
          <w:color w:val="D7282F"/>
        </w:rPr>
      </w:pPr>
      <w:r>
        <w:rPr>
          <w:rFonts w:ascii="Arial" w:cs="Arial" w:eastAsia="Arial" w:hAnsi="Arial"/>
          <w:sz w:val="16"/>
          <w:szCs w:val="16"/>
          <w:color w:val="auto"/>
        </w:rPr>
        <w:t>Served as Chief Executive Officer of Alaska Air Group and its subsidiaries through 2012, and as Chairman through 2013.</w:t>
      </w:r>
    </w:p>
    <w:p>
      <w:pPr>
        <w:spacing w:after="0" w:line="1" w:lineRule="exact"/>
        <w:rPr>
          <w:rFonts w:ascii="Arial" w:cs="Arial" w:eastAsia="Arial" w:hAnsi="Arial"/>
          <w:sz w:val="16"/>
          <w:szCs w:val="16"/>
          <w:b w:val="1"/>
          <w:bCs w:val="1"/>
          <w:color w:val="D7282F"/>
        </w:rPr>
      </w:pPr>
    </w:p>
    <w:p>
      <w:pPr>
        <w:ind w:left="200" w:hanging="192"/>
        <w:spacing w:after="0" w:line="264" w:lineRule="auto"/>
        <w:tabs>
          <w:tab w:leader="none" w:pos="197" w:val="left"/>
        </w:tabs>
        <w:numPr>
          <w:ilvl w:val="0"/>
          <w:numId w:val="48"/>
        </w:numPr>
        <w:rPr>
          <w:rFonts w:ascii="Arial" w:cs="Arial" w:eastAsia="Arial" w:hAnsi="Arial"/>
          <w:sz w:val="16"/>
          <w:szCs w:val="16"/>
          <w:b w:val="1"/>
          <w:bCs w:val="1"/>
          <w:color w:val="D7282F"/>
        </w:rPr>
      </w:pPr>
      <w:r>
        <w:rPr>
          <w:rFonts w:ascii="Arial" w:cs="Arial" w:eastAsia="Arial" w:hAnsi="Arial"/>
          <w:sz w:val="16"/>
          <w:szCs w:val="16"/>
          <w:color w:val="auto"/>
        </w:rPr>
        <w:t>A veteran of more than three decades in aviation, he began his career with Horizon Air in 1982, where he held a variety of marketing and operations positions.</w:t>
      </w:r>
    </w:p>
    <w:p>
      <w:pPr>
        <w:ind w:left="200" w:right="40" w:hanging="192"/>
        <w:spacing w:after="0" w:line="257" w:lineRule="auto"/>
        <w:tabs>
          <w:tab w:leader="none" w:pos="197" w:val="left"/>
        </w:tabs>
        <w:numPr>
          <w:ilvl w:val="0"/>
          <w:numId w:val="48"/>
        </w:numPr>
        <w:rPr>
          <w:rFonts w:ascii="Arial" w:cs="Arial" w:eastAsia="Arial" w:hAnsi="Arial"/>
          <w:sz w:val="16"/>
          <w:szCs w:val="16"/>
          <w:b w:val="1"/>
          <w:bCs w:val="1"/>
          <w:color w:val="D7282F"/>
        </w:rPr>
      </w:pPr>
      <w:r>
        <w:rPr>
          <w:rFonts w:ascii="Arial" w:cs="Arial" w:eastAsia="Arial" w:hAnsi="Arial"/>
          <w:sz w:val="16"/>
          <w:szCs w:val="16"/>
          <w:color w:val="auto"/>
        </w:rPr>
        <w:t>Joined Alaska Airlines in 1995 as Vice President of Marketing and Planning, and subsequently held the posts of Senior Vice President, Chief Operating Officer, and President. Became Alaska Air Group’s Chief Executive Officer in 2002, and, in May 2003, he was appointed Chairman.</w:t>
      </w:r>
    </w:p>
    <w:p>
      <w:pPr>
        <w:spacing w:after="0" w:line="2" w:lineRule="exact"/>
        <w:rPr>
          <w:rFonts w:ascii="Arial" w:cs="Arial" w:eastAsia="Arial" w:hAnsi="Arial"/>
          <w:sz w:val="16"/>
          <w:szCs w:val="16"/>
          <w:b w:val="1"/>
          <w:bCs w:val="1"/>
          <w:color w:val="D7282F"/>
        </w:rPr>
      </w:pPr>
    </w:p>
    <w:p>
      <w:pPr>
        <w:ind w:left="200" w:right="1060" w:hanging="192"/>
        <w:spacing w:after="0" w:line="268" w:lineRule="auto"/>
        <w:tabs>
          <w:tab w:leader="none" w:pos="197" w:val="left"/>
        </w:tabs>
        <w:numPr>
          <w:ilvl w:val="0"/>
          <w:numId w:val="48"/>
        </w:numPr>
        <w:rPr>
          <w:rFonts w:ascii="Arial" w:cs="Arial" w:eastAsia="Arial" w:hAnsi="Arial"/>
          <w:sz w:val="16"/>
          <w:szCs w:val="16"/>
          <w:b w:val="1"/>
          <w:bCs w:val="1"/>
          <w:color w:val="D7282F"/>
        </w:rPr>
      </w:pPr>
      <w:r>
        <w:rPr>
          <w:rFonts w:ascii="Arial" w:cs="Arial" w:eastAsia="Arial" w:hAnsi="Arial"/>
          <w:sz w:val="16"/>
          <w:szCs w:val="16"/>
          <w:color w:val="auto"/>
        </w:rPr>
        <w:t>Previously served on the Board of Directors of the Seattle Branch of the Federal Reserve Bank of San Francisco.</w:t>
      </w:r>
    </w:p>
    <w:p>
      <w:pPr>
        <w:spacing w:after="0" w:line="200" w:lineRule="exact"/>
        <w:rPr>
          <w:rFonts w:ascii="Arial" w:cs="Arial" w:eastAsia="Arial" w:hAnsi="Arial"/>
          <w:sz w:val="16"/>
          <w:szCs w:val="16"/>
          <w:b w:val="1"/>
          <w:bCs w:val="1"/>
          <w:color w:val="D7282F"/>
        </w:rPr>
      </w:pPr>
    </w:p>
    <w:p>
      <w:pPr>
        <w:spacing w:after="0" w:line="200" w:lineRule="exact"/>
        <w:rPr>
          <w:rFonts w:ascii="Arial" w:cs="Arial" w:eastAsia="Arial" w:hAnsi="Arial"/>
          <w:sz w:val="16"/>
          <w:szCs w:val="16"/>
          <w:b w:val="1"/>
          <w:bCs w:val="1"/>
          <w:color w:val="D7282F"/>
        </w:rPr>
      </w:pPr>
    </w:p>
    <w:p>
      <w:pPr>
        <w:spacing w:after="0" w:line="206" w:lineRule="exact"/>
        <w:rPr>
          <w:rFonts w:ascii="Arial" w:cs="Arial" w:eastAsia="Arial" w:hAnsi="Arial"/>
          <w:sz w:val="16"/>
          <w:szCs w:val="16"/>
          <w:b w:val="1"/>
          <w:bCs w:val="1"/>
          <w:color w:val="D7282F"/>
        </w:rPr>
      </w:pPr>
    </w:p>
    <w:p>
      <w:pPr>
        <w:ind w:left="200"/>
        <w:spacing w:after="0"/>
        <w:rPr>
          <w:rFonts w:ascii="Arial" w:cs="Arial" w:eastAsia="Arial" w:hAnsi="Arial"/>
          <w:sz w:val="16"/>
          <w:szCs w:val="16"/>
          <w:b w:val="1"/>
          <w:bCs w:val="1"/>
          <w:color w:val="D7282F"/>
        </w:rPr>
      </w:pPr>
      <w:r>
        <w:rPr>
          <w:rFonts w:ascii="Arial" w:cs="Arial" w:eastAsia="Arial" w:hAnsi="Arial"/>
          <w:sz w:val="14"/>
          <w:szCs w:val="14"/>
          <w:b w:val="1"/>
          <w:bCs w:val="1"/>
          <w:color w:val="D7282F"/>
        </w:rPr>
        <w:t>SPECIFIC QUALIFICATIONS, ATTRIBUTES, SKILLS, AND EXPERIENCE</w:t>
      </w:r>
    </w:p>
    <w:p>
      <w:pPr>
        <w:spacing w:after="0" w:line="50" w:lineRule="exact"/>
        <w:rPr>
          <w:rFonts w:ascii="Arial" w:cs="Arial" w:eastAsia="Arial" w:hAnsi="Arial"/>
          <w:sz w:val="16"/>
          <w:szCs w:val="16"/>
          <w:b w:val="1"/>
          <w:bCs w:val="1"/>
          <w:color w:val="D7282F"/>
        </w:rPr>
      </w:pPr>
    </w:p>
    <w:p>
      <w:pPr>
        <w:ind w:left="400" w:right="320" w:hanging="197"/>
        <w:spacing w:after="0" w:line="248" w:lineRule="auto"/>
        <w:tabs>
          <w:tab w:leader="none" w:pos="397" w:val="left"/>
        </w:tabs>
        <w:numPr>
          <w:ilvl w:val="1"/>
          <w:numId w:val="48"/>
        </w:numPr>
        <w:rPr>
          <w:rFonts w:ascii="Arial" w:cs="Arial" w:eastAsia="Arial" w:hAnsi="Arial"/>
          <w:sz w:val="16"/>
          <w:szCs w:val="16"/>
          <w:b w:val="1"/>
          <w:bCs w:val="1"/>
          <w:color w:val="D7282F"/>
        </w:rPr>
      </w:pPr>
      <w:r>
        <w:rPr>
          <w:rFonts w:ascii="Arial" w:cs="Arial" w:eastAsia="Arial" w:hAnsi="Arial"/>
          <w:sz w:val="16"/>
          <w:szCs w:val="16"/>
          <w:color w:val="auto"/>
        </w:rPr>
        <w:t>Deep aerospace industry knowledge as well as experience in sales, marketing, and operations (including automation of the airline industry's first customer-facing self-service tools) through his three decades of leadership roles at Alaska Air Group.</w:t>
      </w:r>
    </w:p>
    <w:p>
      <w:pPr>
        <w:spacing w:after="0" w:line="23" w:lineRule="exact"/>
        <w:rPr>
          <w:rFonts w:ascii="Arial" w:cs="Arial" w:eastAsia="Arial" w:hAnsi="Arial"/>
          <w:sz w:val="16"/>
          <w:szCs w:val="16"/>
          <w:b w:val="1"/>
          <w:bCs w:val="1"/>
          <w:color w:val="D7282F"/>
        </w:rPr>
      </w:pPr>
    </w:p>
    <w:p>
      <w:pPr>
        <w:ind w:left="400" w:right="80" w:hanging="197"/>
        <w:spacing w:after="0" w:line="248" w:lineRule="auto"/>
        <w:tabs>
          <w:tab w:leader="none" w:pos="397" w:val="left"/>
        </w:tabs>
        <w:numPr>
          <w:ilvl w:val="1"/>
          <w:numId w:val="48"/>
        </w:numPr>
        <w:rPr>
          <w:rFonts w:ascii="Arial" w:cs="Arial" w:eastAsia="Arial" w:hAnsi="Arial"/>
          <w:sz w:val="16"/>
          <w:szCs w:val="16"/>
          <w:b w:val="1"/>
          <w:bCs w:val="1"/>
          <w:color w:val="D7282F"/>
        </w:rPr>
      </w:pPr>
      <w:r>
        <w:rPr>
          <w:rFonts w:ascii="Arial" w:cs="Arial" w:eastAsia="Arial" w:hAnsi="Arial"/>
          <w:sz w:val="16"/>
          <w:szCs w:val="16"/>
          <w:color w:val="auto"/>
        </w:rPr>
        <w:t>Proven leadership skills in developing a business enterprise that can deliver long-term, sustained excellence based on a management style that includes a relentless focus on the customer, continuous improvement, and building a culture of safety, innovation, and sustainability.</w:t>
      </w:r>
    </w:p>
    <w:p>
      <w:pPr>
        <w:spacing w:after="0" w:line="10" w:lineRule="exact"/>
        <w:rPr>
          <w:rFonts w:ascii="Arial" w:cs="Arial" w:eastAsia="Arial" w:hAnsi="Arial"/>
          <w:sz w:val="16"/>
          <w:szCs w:val="16"/>
          <w:b w:val="1"/>
          <w:bCs w:val="1"/>
          <w:color w:val="D7282F"/>
        </w:rPr>
      </w:pPr>
    </w:p>
    <w:p>
      <w:pPr>
        <w:ind w:left="400" w:right="280" w:hanging="197"/>
        <w:spacing w:after="0" w:line="268" w:lineRule="auto"/>
        <w:tabs>
          <w:tab w:leader="none" w:pos="397" w:val="left"/>
        </w:tabs>
        <w:numPr>
          <w:ilvl w:val="1"/>
          <w:numId w:val="48"/>
        </w:numPr>
        <w:rPr>
          <w:rFonts w:ascii="Arial" w:cs="Arial" w:eastAsia="Arial" w:hAnsi="Arial"/>
          <w:sz w:val="16"/>
          <w:szCs w:val="16"/>
          <w:b w:val="1"/>
          <w:bCs w:val="1"/>
          <w:color w:val="D7282F"/>
        </w:rPr>
      </w:pPr>
      <w:r>
        <w:rPr>
          <w:rFonts w:ascii="Arial" w:cs="Arial" w:eastAsia="Arial" w:hAnsi="Arial"/>
          <w:sz w:val="16"/>
          <w:szCs w:val="16"/>
          <w:color w:val="auto"/>
        </w:rPr>
        <w:t>Understanding of the U.S. public utility industry and the development of large-scale wind energy and LNG projects supported through his service as a director and chair of the Board of Directors of Puget Energy.</w:t>
      </w:r>
    </w:p>
    <w:p>
      <w:pPr>
        <w:spacing w:after="0" w:line="200" w:lineRule="exact"/>
        <w:rPr>
          <w:sz w:val="20"/>
          <w:szCs w:val="20"/>
          <w:color w:val="auto"/>
        </w:rPr>
      </w:pPr>
    </w:p>
    <w:p>
      <w:pPr>
        <w:sectPr>
          <w:pgSz w:w="11900" w:h="16838" w:orient="portrait"/>
          <w:cols w:equalWidth="0" w:num="2">
            <w:col w:w="2620" w:space="300"/>
            <w:col w:w="8220"/>
          </w:cols>
          <w:pgMar w:left="320" w:top="230" w:right="439" w:bottom="1440" w:gutter="0" w:footer="0" w:header="0"/>
          <w:type w:val="continuous"/>
        </w:sectPr>
      </w:pPr>
    </w:p>
    <w:p>
      <w:pPr>
        <w:spacing w:after="0" w:line="218" w:lineRule="exact"/>
        <w:rPr>
          <w:sz w:val="20"/>
          <w:szCs w:val="20"/>
          <w:color w:val="auto"/>
        </w:rPr>
      </w:pPr>
    </w:p>
    <w:p>
      <w:pPr>
        <w:ind w:left="200" w:hanging="192"/>
        <w:spacing w:after="0"/>
        <w:tabs>
          <w:tab w:leader="none" w:pos="200" w:val="left"/>
        </w:tabs>
        <w:numPr>
          <w:ilvl w:val="0"/>
          <w:numId w:val="49"/>
        </w:numPr>
        <w:rPr>
          <w:rFonts w:ascii="Arial" w:cs="Arial" w:eastAsia="Arial" w:hAnsi="Arial"/>
          <w:sz w:val="16"/>
          <w:szCs w:val="16"/>
          <w:color w:val="auto"/>
          <w:vertAlign w:val="superscript"/>
        </w:rPr>
      </w:pPr>
      <w:r>
        <w:rPr>
          <w:rFonts w:ascii="Arial" w:cs="Arial" w:eastAsia="Arial" w:hAnsi="Arial"/>
          <w:sz w:val="13"/>
          <w:szCs w:val="13"/>
          <w:color w:val="auto"/>
        </w:rPr>
        <w:t>Effective following the Annual Meeting.</w:t>
      </w:r>
    </w:p>
    <w:p>
      <w:pPr>
        <w:spacing w:after="0" w:line="204"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sz w:val="1"/>
          <w:szCs w:val="1"/>
          <w:color w:val="auto"/>
        </w:rPr>
        <w:drawing>
          <wp:inline distT="0" distB="0" distL="0" distR="0">
            <wp:extent cx="548640" cy="102870"/>
            <wp:effectExtent l="0" t="0" r="0" b="0"/>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2026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type w:val="continuous"/>
        </w:sectPr>
      </w:pPr>
    </w:p>
    <w:bookmarkStart w:id="27" w:name="page28"/>
    <w:bookmarkEnd w:id="27"/>
    <w:p>
      <w:pPr>
        <w:jc w:val="right"/>
        <w:spacing w:after="0"/>
        <w:rPr>
          <w:sz w:val="20"/>
          <w:szCs w:val="20"/>
          <w:color w:val="auto"/>
        </w:rPr>
      </w:pPr>
      <w:r>
        <w:rPr>
          <w:rFonts w:ascii="Arial" w:cs="Arial" w:eastAsia="Arial" w:hAnsi="Arial"/>
          <w:sz w:val="13"/>
          <w:szCs w:val="13"/>
          <w:b w:val="1"/>
          <w:bCs w:val="1"/>
          <w:color w:val="6D6E71"/>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D7282F"/>
        </w:rPr>
        <w:t>D. SCOTT DAVIS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RETIRED CHAIRMAN AND CHIEF EXECUTIVE OFFICER, UNITED PARCEL SERVICE,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23430" cy="3446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23430" cy="34461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Years of Service: 20</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b w:val="1"/>
          <w:bCs w:val="1"/>
          <w:color w:val="D7282F"/>
        </w:rPr>
        <w:t>74</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D7282F"/>
        </w:rPr>
        <w:t>COMMITTEES:</w:t>
      </w:r>
    </w:p>
    <w:p>
      <w:pPr>
        <w:spacing w:after="0" w:line="12" w:lineRule="exact"/>
        <w:rPr>
          <w:sz w:val="20"/>
          <w:szCs w:val="20"/>
          <w:color w:val="auto"/>
        </w:rPr>
      </w:pPr>
    </w:p>
    <w:p>
      <w:pPr>
        <w:ind w:left="220" w:hanging="194"/>
        <w:spacing w:after="0"/>
        <w:tabs>
          <w:tab w:leader="none" w:pos="220" w:val="left"/>
        </w:tabs>
        <w:numPr>
          <w:ilvl w:val="0"/>
          <w:numId w:val="50"/>
        </w:numPr>
        <w:rPr>
          <w:rFonts w:ascii="Arial" w:cs="Arial" w:eastAsia="Arial" w:hAnsi="Arial"/>
          <w:sz w:val="16"/>
          <w:szCs w:val="16"/>
          <w:b w:val="1"/>
          <w:bCs w:val="1"/>
          <w:color w:val="D7282F"/>
        </w:rPr>
      </w:pPr>
      <w:r>
        <w:rPr>
          <w:rFonts w:ascii="Arial" w:cs="Arial" w:eastAsia="Arial" w:hAnsi="Arial"/>
          <w:sz w:val="16"/>
          <w:szCs w:val="16"/>
          <w:color w:val="auto"/>
        </w:rPr>
        <w:t>Audit</w:t>
      </w:r>
    </w:p>
    <w:p>
      <w:pPr>
        <w:spacing w:after="0" w:line="22" w:lineRule="exact"/>
        <w:rPr>
          <w:rFonts w:ascii="Arial" w:cs="Arial" w:eastAsia="Arial" w:hAnsi="Arial"/>
          <w:sz w:val="16"/>
          <w:szCs w:val="16"/>
          <w:b w:val="1"/>
          <w:bCs w:val="1"/>
          <w:color w:val="D7282F"/>
        </w:rPr>
      </w:pPr>
    </w:p>
    <w:p>
      <w:pPr>
        <w:ind w:left="220" w:right="440" w:hanging="194"/>
        <w:spacing w:after="0" w:line="260" w:lineRule="auto"/>
        <w:tabs>
          <w:tab w:leader="none" w:pos="217" w:val="left"/>
        </w:tabs>
        <w:numPr>
          <w:ilvl w:val="0"/>
          <w:numId w:val="50"/>
        </w:numPr>
        <w:rPr>
          <w:rFonts w:ascii="Arial" w:cs="Arial" w:eastAsia="Arial" w:hAnsi="Arial"/>
          <w:sz w:val="16"/>
          <w:szCs w:val="16"/>
          <w:b w:val="1"/>
          <w:bCs w:val="1"/>
          <w:color w:val="D7282F"/>
        </w:rPr>
      </w:pPr>
      <w:r>
        <w:rPr>
          <w:rFonts w:ascii="Arial" w:cs="Arial" w:eastAsia="Arial" w:hAnsi="Arial"/>
          <w:sz w:val="16"/>
          <w:szCs w:val="16"/>
          <w:color w:val="auto"/>
        </w:rPr>
        <w:t>Corporate Governance and Responsibility (Chair)</w:t>
      </w:r>
    </w:p>
    <w:p>
      <w:pPr>
        <w:spacing w:after="0" w:line="59" w:lineRule="exact"/>
        <w:rPr>
          <w:sz w:val="20"/>
          <w:szCs w:val="20"/>
          <w:color w:val="auto"/>
        </w:rPr>
      </w:pPr>
    </w:p>
    <w:p>
      <w:pPr>
        <w:ind w:left="20"/>
        <w:spacing w:after="0" w:line="249" w:lineRule="auto"/>
        <w:rPr>
          <w:sz w:val="20"/>
          <w:szCs w:val="20"/>
          <w:color w:val="auto"/>
        </w:rPr>
      </w:pPr>
      <w:r>
        <w:rPr>
          <w:rFonts w:ascii="Arial" w:cs="Arial" w:eastAsia="Arial" w:hAnsi="Arial"/>
          <w:sz w:val="14"/>
          <w:szCs w:val="14"/>
          <w:b w:val="1"/>
          <w:bCs w:val="1"/>
          <w:color w:val="D7282F"/>
        </w:rPr>
        <w:t>OTHER CURRENT PUBLIC COMPANY BOARDS:</w:t>
      </w:r>
    </w:p>
    <w:p>
      <w:pPr>
        <w:spacing w:after="0" w:line="1" w:lineRule="exact"/>
        <w:rPr>
          <w:sz w:val="20"/>
          <w:szCs w:val="20"/>
          <w:color w:val="auto"/>
        </w:rPr>
      </w:pPr>
    </w:p>
    <w:p>
      <w:pPr>
        <w:ind w:left="220" w:hanging="194"/>
        <w:spacing w:after="0"/>
        <w:tabs>
          <w:tab w:leader="none" w:pos="220" w:val="left"/>
        </w:tabs>
        <w:numPr>
          <w:ilvl w:val="0"/>
          <w:numId w:val="51"/>
        </w:numPr>
        <w:rPr>
          <w:rFonts w:ascii="Arial" w:cs="Arial" w:eastAsia="Arial" w:hAnsi="Arial"/>
          <w:sz w:val="16"/>
          <w:szCs w:val="16"/>
          <w:b w:val="1"/>
          <w:bCs w:val="1"/>
          <w:color w:val="D7282F"/>
        </w:rPr>
      </w:pPr>
      <w:r>
        <w:rPr>
          <w:rFonts w:ascii="Arial" w:cs="Arial" w:eastAsia="Arial" w:hAnsi="Arial"/>
          <w:sz w:val="16"/>
          <w:szCs w:val="16"/>
          <w:color w:val="auto"/>
        </w:rPr>
        <w:t>None</w:t>
      </w:r>
    </w:p>
    <w:p>
      <w:pPr>
        <w:spacing w:after="0" w:line="8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D7282F"/>
        </w:rPr>
        <w:t>PAST PUBLIC COMPANY BOARDS:</w:t>
      </w:r>
    </w:p>
    <w:p>
      <w:pPr>
        <w:spacing w:after="0" w:line="12" w:lineRule="exact"/>
        <w:rPr>
          <w:sz w:val="20"/>
          <w:szCs w:val="20"/>
          <w:color w:val="auto"/>
        </w:rPr>
      </w:pPr>
    </w:p>
    <w:p>
      <w:pPr>
        <w:ind w:left="220" w:hanging="194"/>
        <w:spacing w:after="0"/>
        <w:tabs>
          <w:tab w:leader="none" w:pos="220" w:val="left"/>
        </w:tabs>
        <w:numPr>
          <w:ilvl w:val="0"/>
          <w:numId w:val="52"/>
        </w:numPr>
        <w:rPr>
          <w:rFonts w:ascii="Arial" w:cs="Arial" w:eastAsia="Arial" w:hAnsi="Arial"/>
          <w:sz w:val="16"/>
          <w:szCs w:val="16"/>
          <w:b w:val="1"/>
          <w:bCs w:val="1"/>
          <w:color w:val="D7282F"/>
        </w:rPr>
      </w:pPr>
      <w:r>
        <w:rPr>
          <w:rFonts w:ascii="Arial" w:cs="Arial" w:eastAsia="Arial" w:hAnsi="Arial"/>
          <w:sz w:val="16"/>
          <w:szCs w:val="16"/>
          <w:color w:val="auto"/>
        </w:rPr>
        <w:t>United Parcel Service, Inc.</w:t>
      </w:r>
    </w:p>
    <w:p>
      <w:pPr>
        <w:spacing w:after="0" w:line="22" w:lineRule="exact"/>
        <w:rPr>
          <w:rFonts w:ascii="Arial" w:cs="Arial" w:eastAsia="Arial" w:hAnsi="Arial"/>
          <w:sz w:val="16"/>
          <w:szCs w:val="16"/>
          <w:b w:val="1"/>
          <w:bCs w:val="1"/>
          <w:color w:val="D7282F"/>
        </w:rPr>
      </w:pPr>
    </w:p>
    <w:p>
      <w:pPr>
        <w:ind w:left="220" w:hanging="194"/>
        <w:spacing w:after="0"/>
        <w:tabs>
          <w:tab w:leader="none" w:pos="220" w:val="left"/>
        </w:tabs>
        <w:numPr>
          <w:ilvl w:val="0"/>
          <w:numId w:val="52"/>
        </w:numPr>
        <w:rPr>
          <w:rFonts w:ascii="Arial" w:cs="Arial" w:eastAsia="Arial" w:hAnsi="Arial"/>
          <w:sz w:val="16"/>
          <w:szCs w:val="16"/>
          <w:b w:val="1"/>
          <w:bCs w:val="1"/>
          <w:color w:val="D7282F"/>
        </w:rPr>
      </w:pPr>
      <w:r>
        <w:rPr>
          <w:rFonts w:ascii="Arial" w:cs="Arial" w:eastAsia="Arial" w:hAnsi="Arial"/>
          <w:sz w:val="16"/>
          <w:szCs w:val="16"/>
          <w:color w:val="auto"/>
        </w:rPr>
        <w:t>EndoChoice Holdings, Inc.</w:t>
      </w:r>
    </w:p>
    <w:p>
      <w:pPr>
        <w:spacing w:after="0" w:line="27" w:lineRule="exact"/>
        <w:rPr>
          <w:rFonts w:ascii="Arial" w:cs="Arial" w:eastAsia="Arial" w:hAnsi="Arial"/>
          <w:sz w:val="16"/>
          <w:szCs w:val="16"/>
          <w:b w:val="1"/>
          <w:bCs w:val="1"/>
          <w:color w:val="D7282F"/>
        </w:rPr>
      </w:pPr>
    </w:p>
    <w:p>
      <w:pPr>
        <w:ind w:left="220" w:hanging="194"/>
        <w:spacing w:after="0"/>
        <w:tabs>
          <w:tab w:leader="none" w:pos="220" w:val="left"/>
        </w:tabs>
        <w:numPr>
          <w:ilvl w:val="0"/>
          <w:numId w:val="52"/>
        </w:numPr>
        <w:rPr>
          <w:rFonts w:ascii="Arial" w:cs="Arial" w:eastAsia="Arial" w:hAnsi="Arial"/>
          <w:sz w:val="16"/>
          <w:szCs w:val="16"/>
          <w:b w:val="1"/>
          <w:bCs w:val="1"/>
          <w:color w:val="D7282F"/>
        </w:rPr>
      </w:pPr>
      <w:r>
        <w:rPr>
          <w:rFonts w:ascii="Arial" w:cs="Arial" w:eastAsia="Arial" w:hAnsi="Arial"/>
          <w:sz w:val="16"/>
          <w:szCs w:val="16"/>
          <w:color w:val="auto"/>
        </w:rPr>
        <w:t>Johnson &amp; Johnson</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D7282F"/>
        </w:rPr>
        <w:t>BACKGROUND</w:t>
      </w:r>
    </w:p>
    <w:p>
      <w:pPr>
        <w:spacing w:after="0" w:line="35" w:lineRule="exact"/>
        <w:rPr>
          <w:sz w:val="20"/>
          <w:szCs w:val="20"/>
          <w:color w:val="auto"/>
        </w:rPr>
      </w:pPr>
    </w:p>
    <w:p>
      <w:pPr>
        <w:ind w:left="200" w:right="1020" w:hanging="192"/>
        <w:spacing w:after="0" w:line="255" w:lineRule="auto"/>
        <w:tabs>
          <w:tab w:leader="none" w:pos="197" w:val="left"/>
        </w:tabs>
        <w:numPr>
          <w:ilvl w:val="0"/>
          <w:numId w:val="53"/>
        </w:numPr>
        <w:rPr>
          <w:rFonts w:ascii="Arial" w:cs="Arial" w:eastAsia="Arial" w:hAnsi="Arial"/>
          <w:sz w:val="16"/>
          <w:szCs w:val="16"/>
          <w:b w:val="1"/>
          <w:bCs w:val="1"/>
          <w:color w:val="D7282F"/>
        </w:rPr>
      </w:pPr>
      <w:r>
        <w:rPr>
          <w:rFonts w:ascii="Arial" w:cs="Arial" w:eastAsia="Arial" w:hAnsi="Arial"/>
          <w:sz w:val="16"/>
          <w:szCs w:val="16"/>
          <w:color w:val="auto"/>
        </w:rPr>
        <w:t>Joined United Parcel Service, Inc. (UPS), a leading global provider of package delivery, specialized transportation, and logistics services, in 1986.</w:t>
      </w:r>
    </w:p>
    <w:p>
      <w:pPr>
        <w:ind w:left="200" w:right="440" w:hanging="192"/>
        <w:spacing w:after="0" w:line="256" w:lineRule="auto"/>
        <w:tabs>
          <w:tab w:leader="none" w:pos="197" w:val="left"/>
        </w:tabs>
        <w:numPr>
          <w:ilvl w:val="0"/>
          <w:numId w:val="53"/>
        </w:numPr>
        <w:rPr>
          <w:rFonts w:ascii="Arial" w:cs="Arial" w:eastAsia="Arial" w:hAnsi="Arial"/>
          <w:sz w:val="16"/>
          <w:szCs w:val="16"/>
          <w:b w:val="1"/>
          <w:bCs w:val="1"/>
          <w:color w:val="D7282F"/>
        </w:rPr>
      </w:pPr>
      <w:r>
        <w:rPr>
          <w:rFonts w:ascii="Arial" w:cs="Arial" w:eastAsia="Arial" w:hAnsi="Arial"/>
          <w:sz w:val="16"/>
          <w:szCs w:val="16"/>
          <w:color w:val="auto"/>
        </w:rPr>
        <w:t>Served as the non-Executive Chairman of UPS from September 2014 until May 2016 and as Chairman and Chief Executive Officer from January 2008 to September 2014.</w:t>
      </w:r>
    </w:p>
    <w:p>
      <w:pPr>
        <w:ind w:left="200" w:right="340" w:hanging="192"/>
        <w:spacing w:after="0" w:line="255" w:lineRule="auto"/>
        <w:tabs>
          <w:tab w:leader="none" w:pos="197" w:val="left"/>
        </w:tabs>
        <w:numPr>
          <w:ilvl w:val="0"/>
          <w:numId w:val="53"/>
        </w:numPr>
        <w:rPr>
          <w:rFonts w:ascii="Arial" w:cs="Arial" w:eastAsia="Arial" w:hAnsi="Arial"/>
          <w:sz w:val="16"/>
          <w:szCs w:val="16"/>
          <w:b w:val="1"/>
          <w:bCs w:val="1"/>
          <w:color w:val="D7282F"/>
        </w:rPr>
      </w:pPr>
      <w:r>
        <w:rPr>
          <w:rFonts w:ascii="Arial" w:cs="Arial" w:eastAsia="Arial" w:hAnsi="Arial"/>
          <w:sz w:val="16"/>
          <w:szCs w:val="16"/>
          <w:color w:val="auto"/>
        </w:rPr>
        <w:t>Served as Vice Chairman starting December 2006 and as Senior Vice President, Chief Financial Officer, and Treasurer starting January 2001 prior to serving as Chairman and Chief Executive Officer.</w:t>
      </w:r>
    </w:p>
    <w:p>
      <w:pPr>
        <w:ind w:left="200" w:hanging="192"/>
        <w:spacing w:after="0"/>
        <w:tabs>
          <w:tab w:leader="none" w:pos="200" w:val="left"/>
        </w:tabs>
        <w:numPr>
          <w:ilvl w:val="0"/>
          <w:numId w:val="53"/>
        </w:numPr>
        <w:rPr>
          <w:rFonts w:ascii="Arial" w:cs="Arial" w:eastAsia="Arial" w:hAnsi="Arial"/>
          <w:sz w:val="16"/>
          <w:szCs w:val="16"/>
          <w:b w:val="1"/>
          <w:bCs w:val="1"/>
          <w:color w:val="D7282F"/>
        </w:rPr>
      </w:pPr>
      <w:r>
        <w:rPr>
          <w:rFonts w:ascii="Arial" w:cs="Arial" w:eastAsia="Arial" w:hAnsi="Arial"/>
          <w:sz w:val="16"/>
          <w:szCs w:val="16"/>
          <w:color w:val="auto"/>
        </w:rPr>
        <w:t>Previously held various leadership positions at UPS, primarily in finance and accounting.</w:t>
      </w:r>
    </w:p>
    <w:p>
      <w:pPr>
        <w:spacing w:after="0" w:line="34" w:lineRule="exact"/>
        <w:rPr>
          <w:rFonts w:ascii="Arial" w:cs="Arial" w:eastAsia="Arial" w:hAnsi="Arial"/>
          <w:sz w:val="16"/>
          <w:szCs w:val="16"/>
          <w:b w:val="1"/>
          <w:bCs w:val="1"/>
          <w:color w:val="D7282F"/>
        </w:rPr>
      </w:pPr>
    </w:p>
    <w:p>
      <w:pPr>
        <w:ind w:left="200" w:hanging="192"/>
        <w:spacing w:after="0"/>
        <w:tabs>
          <w:tab w:leader="none" w:pos="200" w:val="left"/>
        </w:tabs>
        <w:numPr>
          <w:ilvl w:val="0"/>
          <w:numId w:val="53"/>
        </w:numPr>
        <w:rPr>
          <w:rFonts w:ascii="Arial" w:cs="Arial" w:eastAsia="Arial" w:hAnsi="Arial"/>
          <w:sz w:val="16"/>
          <w:szCs w:val="16"/>
          <w:b w:val="1"/>
          <w:bCs w:val="1"/>
          <w:color w:val="D7282F"/>
        </w:rPr>
      </w:pPr>
      <w:r>
        <w:rPr>
          <w:rFonts w:ascii="Arial" w:cs="Arial" w:eastAsia="Arial" w:hAnsi="Arial"/>
          <w:sz w:val="16"/>
          <w:szCs w:val="16"/>
          <w:color w:val="auto"/>
        </w:rPr>
        <w:t>Served a critical role in helping UPS to reinvent itself into a technology company.</w:t>
      </w:r>
    </w:p>
    <w:p>
      <w:pPr>
        <w:spacing w:after="0" w:line="22" w:lineRule="exact"/>
        <w:rPr>
          <w:rFonts w:ascii="Arial" w:cs="Arial" w:eastAsia="Arial" w:hAnsi="Arial"/>
          <w:sz w:val="16"/>
          <w:szCs w:val="16"/>
          <w:b w:val="1"/>
          <w:bCs w:val="1"/>
          <w:color w:val="D7282F"/>
        </w:rPr>
      </w:pPr>
    </w:p>
    <w:p>
      <w:pPr>
        <w:ind w:left="200" w:right="260" w:hanging="192"/>
        <w:spacing w:after="0" w:line="251" w:lineRule="auto"/>
        <w:tabs>
          <w:tab w:leader="none" w:pos="197" w:val="left"/>
        </w:tabs>
        <w:numPr>
          <w:ilvl w:val="0"/>
          <w:numId w:val="53"/>
        </w:numPr>
        <w:rPr>
          <w:rFonts w:ascii="Arial" w:cs="Arial" w:eastAsia="Arial" w:hAnsi="Arial"/>
          <w:sz w:val="16"/>
          <w:szCs w:val="16"/>
          <w:b w:val="1"/>
          <w:bCs w:val="1"/>
          <w:color w:val="D7282F"/>
        </w:rPr>
      </w:pPr>
      <w:r>
        <w:rPr>
          <w:rFonts w:ascii="Arial" w:cs="Arial" w:eastAsia="Arial" w:hAnsi="Arial"/>
          <w:sz w:val="16"/>
          <w:szCs w:val="16"/>
          <w:color w:val="auto"/>
        </w:rPr>
        <w:t>Chief Executive Officer of II Morrow Inc., a technology company and developer of general aviation and marine navigation instruments, prior to joining UPS.</w:t>
      </w:r>
    </w:p>
    <w:p>
      <w:pPr>
        <w:ind w:left="200" w:hanging="192"/>
        <w:spacing w:after="0"/>
        <w:tabs>
          <w:tab w:leader="none" w:pos="200" w:val="left"/>
        </w:tabs>
        <w:numPr>
          <w:ilvl w:val="0"/>
          <w:numId w:val="53"/>
        </w:numPr>
        <w:rPr>
          <w:rFonts w:ascii="Arial" w:cs="Arial" w:eastAsia="Arial" w:hAnsi="Arial"/>
          <w:sz w:val="16"/>
          <w:szCs w:val="16"/>
          <w:b w:val="1"/>
          <w:bCs w:val="1"/>
          <w:color w:val="D7282F"/>
        </w:rPr>
      </w:pPr>
      <w:r>
        <w:rPr>
          <w:rFonts w:ascii="Arial" w:cs="Arial" w:eastAsia="Arial" w:hAnsi="Arial"/>
          <w:sz w:val="16"/>
          <w:szCs w:val="16"/>
          <w:color w:val="auto"/>
        </w:rPr>
        <w:t>A Certified Public Accountant.</w:t>
      </w:r>
    </w:p>
    <w:p>
      <w:pPr>
        <w:spacing w:after="0" w:line="38" w:lineRule="exact"/>
        <w:rPr>
          <w:rFonts w:ascii="Arial" w:cs="Arial" w:eastAsia="Arial" w:hAnsi="Arial"/>
          <w:sz w:val="16"/>
          <w:szCs w:val="16"/>
          <w:b w:val="1"/>
          <w:bCs w:val="1"/>
          <w:color w:val="D7282F"/>
        </w:rPr>
      </w:pPr>
    </w:p>
    <w:p>
      <w:pPr>
        <w:ind w:left="200" w:right="40" w:hanging="192"/>
        <w:spacing w:after="0" w:line="260" w:lineRule="auto"/>
        <w:tabs>
          <w:tab w:leader="none" w:pos="197" w:val="left"/>
        </w:tabs>
        <w:numPr>
          <w:ilvl w:val="0"/>
          <w:numId w:val="53"/>
        </w:numPr>
        <w:rPr>
          <w:rFonts w:ascii="Arial" w:cs="Arial" w:eastAsia="Arial" w:hAnsi="Arial"/>
          <w:sz w:val="16"/>
          <w:szCs w:val="16"/>
          <w:b w:val="1"/>
          <w:bCs w:val="1"/>
          <w:color w:val="D7282F"/>
        </w:rPr>
      </w:pPr>
      <w:r>
        <w:rPr>
          <w:rFonts w:ascii="Arial" w:cs="Arial" w:eastAsia="Arial" w:hAnsi="Arial"/>
          <w:sz w:val="16"/>
          <w:szCs w:val="16"/>
          <w:color w:val="auto"/>
        </w:rPr>
        <w:t>Served on the Board of Directors of the Federal Reserve Bank of Atlanta from 2003 through 2009, and served as Chairman in 2009.</w:t>
      </w:r>
    </w:p>
    <w:p>
      <w:pPr>
        <w:spacing w:after="0" w:line="200" w:lineRule="exact"/>
        <w:rPr>
          <w:rFonts w:ascii="Arial" w:cs="Arial" w:eastAsia="Arial" w:hAnsi="Arial"/>
          <w:sz w:val="16"/>
          <w:szCs w:val="16"/>
          <w:b w:val="1"/>
          <w:bCs w:val="1"/>
          <w:color w:val="D7282F"/>
        </w:rPr>
      </w:pPr>
    </w:p>
    <w:p>
      <w:pPr>
        <w:spacing w:after="0" w:line="200" w:lineRule="exact"/>
        <w:rPr>
          <w:rFonts w:ascii="Arial" w:cs="Arial" w:eastAsia="Arial" w:hAnsi="Arial"/>
          <w:sz w:val="16"/>
          <w:szCs w:val="16"/>
          <w:b w:val="1"/>
          <w:bCs w:val="1"/>
          <w:color w:val="D7282F"/>
        </w:rPr>
      </w:pPr>
    </w:p>
    <w:p>
      <w:pPr>
        <w:spacing w:after="0" w:line="239" w:lineRule="exact"/>
        <w:rPr>
          <w:rFonts w:ascii="Arial" w:cs="Arial" w:eastAsia="Arial" w:hAnsi="Arial"/>
          <w:sz w:val="16"/>
          <w:szCs w:val="16"/>
          <w:b w:val="1"/>
          <w:bCs w:val="1"/>
          <w:color w:val="D7282F"/>
        </w:rPr>
      </w:pPr>
    </w:p>
    <w:p>
      <w:pPr>
        <w:ind w:left="200"/>
        <w:spacing w:after="0"/>
        <w:rPr>
          <w:rFonts w:ascii="Arial" w:cs="Arial" w:eastAsia="Arial" w:hAnsi="Arial"/>
          <w:sz w:val="16"/>
          <w:szCs w:val="16"/>
          <w:b w:val="1"/>
          <w:bCs w:val="1"/>
          <w:color w:val="D7282F"/>
        </w:rPr>
      </w:pPr>
      <w:r>
        <w:rPr>
          <w:rFonts w:ascii="Arial" w:cs="Arial" w:eastAsia="Arial" w:hAnsi="Arial"/>
          <w:sz w:val="14"/>
          <w:szCs w:val="14"/>
          <w:b w:val="1"/>
          <w:bCs w:val="1"/>
          <w:color w:val="D7282F"/>
        </w:rPr>
        <w:t>SPECIFIC QUALIFICATIONS, ATTRIBUTES, SKILLS, AND EXPERIENCE</w:t>
      </w:r>
    </w:p>
    <w:p>
      <w:pPr>
        <w:spacing w:after="0" w:line="35" w:lineRule="exact"/>
        <w:rPr>
          <w:rFonts w:ascii="Arial" w:cs="Arial" w:eastAsia="Arial" w:hAnsi="Arial"/>
          <w:sz w:val="16"/>
          <w:szCs w:val="16"/>
          <w:b w:val="1"/>
          <w:bCs w:val="1"/>
          <w:color w:val="D7282F"/>
        </w:rPr>
      </w:pPr>
    </w:p>
    <w:p>
      <w:pPr>
        <w:ind w:left="400" w:right="260" w:hanging="197"/>
        <w:spacing w:after="0" w:line="247" w:lineRule="auto"/>
        <w:tabs>
          <w:tab w:leader="none" w:pos="397" w:val="left"/>
        </w:tabs>
        <w:numPr>
          <w:ilvl w:val="1"/>
          <w:numId w:val="53"/>
        </w:numPr>
        <w:rPr>
          <w:rFonts w:ascii="Arial" w:cs="Arial" w:eastAsia="Arial" w:hAnsi="Arial"/>
          <w:sz w:val="16"/>
          <w:szCs w:val="16"/>
          <w:b w:val="1"/>
          <w:bCs w:val="1"/>
          <w:color w:val="D7282F"/>
        </w:rPr>
      </w:pPr>
      <w:r>
        <w:rPr>
          <w:rFonts w:ascii="Arial" w:cs="Arial" w:eastAsia="Arial" w:hAnsi="Arial"/>
          <w:sz w:val="16"/>
          <w:szCs w:val="16"/>
          <w:color w:val="auto"/>
        </w:rPr>
        <w:t>Significant expertise in management, strategy, finance, and operations gained over 25 years at UPS, which during his tenure operated one of the largest aircraft fleets and was at the forefront of using alternative energy for its vehicle fleet.</w:t>
      </w:r>
    </w:p>
    <w:p>
      <w:pPr>
        <w:ind w:left="400" w:hanging="197"/>
        <w:spacing w:after="0"/>
        <w:tabs>
          <w:tab w:leader="none" w:pos="400" w:val="left"/>
        </w:tabs>
        <w:numPr>
          <w:ilvl w:val="1"/>
          <w:numId w:val="53"/>
        </w:numPr>
        <w:rPr>
          <w:rFonts w:ascii="Arial" w:cs="Arial" w:eastAsia="Arial" w:hAnsi="Arial"/>
          <w:sz w:val="16"/>
          <w:szCs w:val="16"/>
          <w:b w:val="1"/>
          <w:bCs w:val="1"/>
          <w:color w:val="D7282F"/>
        </w:rPr>
      </w:pPr>
      <w:r>
        <w:rPr>
          <w:rFonts w:ascii="Arial" w:cs="Arial" w:eastAsia="Arial" w:hAnsi="Arial"/>
          <w:sz w:val="16"/>
          <w:szCs w:val="16"/>
          <w:color w:val="auto"/>
        </w:rPr>
        <w:t>Financial management expertise, including reporting, accounting, and controls.</w:t>
      </w:r>
    </w:p>
    <w:p>
      <w:pPr>
        <w:spacing w:after="0" w:line="38" w:lineRule="exact"/>
        <w:rPr>
          <w:rFonts w:ascii="Arial" w:cs="Arial" w:eastAsia="Arial" w:hAnsi="Arial"/>
          <w:sz w:val="16"/>
          <w:szCs w:val="16"/>
          <w:b w:val="1"/>
          <w:bCs w:val="1"/>
          <w:color w:val="D7282F"/>
        </w:rPr>
      </w:pPr>
    </w:p>
    <w:p>
      <w:pPr>
        <w:ind w:left="400" w:hanging="197"/>
        <w:spacing w:after="0"/>
        <w:tabs>
          <w:tab w:leader="none" w:pos="400" w:val="left"/>
        </w:tabs>
        <w:numPr>
          <w:ilvl w:val="1"/>
          <w:numId w:val="53"/>
        </w:numPr>
        <w:rPr>
          <w:rFonts w:ascii="Arial" w:cs="Arial" w:eastAsia="Arial" w:hAnsi="Arial"/>
          <w:sz w:val="16"/>
          <w:szCs w:val="16"/>
          <w:b w:val="1"/>
          <w:bCs w:val="1"/>
          <w:color w:val="D7282F"/>
        </w:rPr>
      </w:pPr>
      <w:r>
        <w:rPr>
          <w:rFonts w:ascii="Arial" w:cs="Arial" w:eastAsia="Arial" w:hAnsi="Arial"/>
          <w:sz w:val="16"/>
          <w:szCs w:val="16"/>
          <w:color w:val="auto"/>
        </w:rPr>
        <w:t>Strong banking experience and a deep understanding of public policy and global economic indicators.</w:t>
      </w:r>
    </w:p>
    <w:p>
      <w:pPr>
        <w:spacing w:after="0" w:line="27" w:lineRule="exact"/>
        <w:rPr>
          <w:rFonts w:ascii="Arial" w:cs="Arial" w:eastAsia="Arial" w:hAnsi="Arial"/>
          <w:sz w:val="16"/>
          <w:szCs w:val="16"/>
          <w:b w:val="1"/>
          <w:bCs w:val="1"/>
          <w:color w:val="D7282F"/>
        </w:rPr>
      </w:pPr>
    </w:p>
    <w:p>
      <w:pPr>
        <w:ind w:left="400" w:hanging="197"/>
        <w:spacing w:after="0"/>
        <w:tabs>
          <w:tab w:leader="none" w:pos="400" w:val="left"/>
        </w:tabs>
        <w:numPr>
          <w:ilvl w:val="1"/>
          <w:numId w:val="53"/>
        </w:numPr>
        <w:rPr>
          <w:rFonts w:ascii="Arial" w:cs="Arial" w:eastAsia="Arial" w:hAnsi="Arial"/>
          <w:sz w:val="16"/>
          <w:szCs w:val="16"/>
          <w:b w:val="1"/>
          <w:bCs w:val="1"/>
          <w:color w:val="D7282F"/>
        </w:rPr>
      </w:pPr>
      <w:r>
        <w:rPr>
          <w:rFonts w:ascii="Arial" w:cs="Arial" w:eastAsia="Arial" w:hAnsi="Arial"/>
          <w:sz w:val="16"/>
          <w:szCs w:val="16"/>
          <w:color w:val="auto"/>
        </w:rPr>
        <w:t>Extensive experience in the global transportation and logistics services industry.</w:t>
      </w:r>
    </w:p>
    <w:p>
      <w:pPr>
        <w:spacing w:after="0" w:line="22" w:lineRule="exact"/>
        <w:rPr>
          <w:rFonts w:ascii="Arial" w:cs="Arial" w:eastAsia="Arial" w:hAnsi="Arial"/>
          <w:sz w:val="16"/>
          <w:szCs w:val="16"/>
          <w:b w:val="1"/>
          <w:bCs w:val="1"/>
          <w:color w:val="D7282F"/>
        </w:rPr>
      </w:pPr>
    </w:p>
    <w:p>
      <w:pPr>
        <w:ind w:left="400" w:right="740" w:hanging="197"/>
        <w:spacing w:after="0" w:line="260" w:lineRule="auto"/>
        <w:tabs>
          <w:tab w:leader="none" w:pos="397" w:val="left"/>
        </w:tabs>
        <w:numPr>
          <w:ilvl w:val="1"/>
          <w:numId w:val="53"/>
        </w:numPr>
        <w:rPr>
          <w:rFonts w:ascii="Arial" w:cs="Arial" w:eastAsia="Arial" w:hAnsi="Arial"/>
          <w:sz w:val="16"/>
          <w:szCs w:val="16"/>
          <w:b w:val="1"/>
          <w:bCs w:val="1"/>
          <w:color w:val="D7282F"/>
        </w:rPr>
      </w:pPr>
      <w:r>
        <w:rPr>
          <w:rFonts w:ascii="Arial" w:cs="Arial" w:eastAsia="Arial" w:hAnsi="Arial"/>
          <w:sz w:val="16"/>
          <w:szCs w:val="16"/>
          <w:color w:val="auto"/>
        </w:rPr>
        <w:t>In-depth understanding of technology and software solutions that support automated and web-based shipping, tracking, and specialized transportation logistics.</w:t>
      </w:r>
    </w:p>
    <w:p>
      <w:pPr>
        <w:spacing w:after="0" w:line="200" w:lineRule="exact"/>
        <w:rPr>
          <w:sz w:val="20"/>
          <w:szCs w:val="20"/>
          <w:color w:val="auto"/>
        </w:rPr>
      </w:pPr>
    </w:p>
    <w:p>
      <w:pPr>
        <w:sectPr>
          <w:pgSz w:w="11900" w:h="16838" w:orient="portrait"/>
          <w:cols w:equalWidth="0" w:num="2">
            <w:col w:w="2620" w:space="300"/>
            <w:col w:w="8320"/>
          </w:cols>
          <w:pgMar w:left="320" w:top="230" w:right="339" w:bottom="1440" w:gutter="0" w:footer="0" w:header="0"/>
          <w:type w:val="continuous"/>
        </w:sectPr>
      </w:pPr>
    </w:p>
    <w:p>
      <w:pPr>
        <w:spacing w:after="0" w:line="167"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D7282F"/>
        </w:rPr>
        <w:t>DEBORAH FLINT</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PRESIDENT AND CHIEF EXECUTIVE OFFICER, GREATER TORONTO AIRPORTS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23430" cy="365188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23430" cy="365188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Years of Service: 6</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b w:val="1"/>
          <w:bCs w:val="1"/>
          <w:color w:val="D7282F"/>
        </w:rPr>
        <w:t>58</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D7282F"/>
        </w:rPr>
        <w:t>COMMITTEES:</w:t>
      </w:r>
    </w:p>
    <w:p>
      <w:pPr>
        <w:spacing w:after="0" w:line="12" w:lineRule="exact"/>
        <w:rPr>
          <w:sz w:val="20"/>
          <w:szCs w:val="20"/>
          <w:color w:val="auto"/>
        </w:rPr>
      </w:pPr>
    </w:p>
    <w:p>
      <w:pPr>
        <w:ind w:left="220" w:right="440" w:hanging="194"/>
        <w:spacing w:after="0" w:line="244" w:lineRule="auto"/>
        <w:tabs>
          <w:tab w:leader="none" w:pos="217" w:val="left"/>
        </w:tabs>
        <w:numPr>
          <w:ilvl w:val="0"/>
          <w:numId w:val="54"/>
        </w:numPr>
        <w:rPr>
          <w:rFonts w:ascii="Arial" w:cs="Arial" w:eastAsia="Arial" w:hAnsi="Arial"/>
          <w:sz w:val="16"/>
          <w:szCs w:val="16"/>
          <w:b w:val="1"/>
          <w:bCs w:val="1"/>
          <w:color w:val="D7282F"/>
        </w:rPr>
      </w:pPr>
      <w:r>
        <w:rPr>
          <w:rFonts w:ascii="Arial" w:cs="Arial" w:eastAsia="Arial" w:hAnsi="Arial"/>
          <w:sz w:val="16"/>
          <w:szCs w:val="16"/>
          <w:color w:val="auto"/>
        </w:rPr>
        <w:t>Corporate Governance and Responsibility</w:t>
      </w:r>
    </w:p>
    <w:p>
      <w:pPr>
        <w:spacing w:after="0" w:line="1" w:lineRule="exact"/>
        <w:rPr>
          <w:rFonts w:ascii="Arial" w:cs="Arial" w:eastAsia="Arial" w:hAnsi="Arial"/>
          <w:sz w:val="16"/>
          <w:szCs w:val="16"/>
          <w:b w:val="1"/>
          <w:bCs w:val="1"/>
          <w:color w:val="D7282F"/>
        </w:rPr>
      </w:pPr>
    </w:p>
    <w:p>
      <w:pPr>
        <w:ind w:left="220" w:right="140" w:hanging="194"/>
        <w:spacing w:after="0" w:line="268" w:lineRule="auto"/>
        <w:tabs>
          <w:tab w:leader="none" w:pos="217" w:val="left"/>
        </w:tabs>
        <w:numPr>
          <w:ilvl w:val="0"/>
          <w:numId w:val="54"/>
        </w:numPr>
        <w:rPr>
          <w:rFonts w:ascii="Arial" w:cs="Arial" w:eastAsia="Arial" w:hAnsi="Arial"/>
          <w:sz w:val="16"/>
          <w:szCs w:val="16"/>
          <w:b w:val="1"/>
          <w:bCs w:val="1"/>
          <w:color w:val="D7282F"/>
        </w:rPr>
      </w:pPr>
      <w:r>
        <w:rPr>
          <w:rFonts w:ascii="Arial" w:cs="Arial" w:eastAsia="Arial" w:hAnsi="Arial"/>
          <w:sz w:val="16"/>
          <w:szCs w:val="16"/>
          <w:color w:val="auto"/>
        </w:rPr>
        <w:t>Management Development and Compensation</w:t>
      </w:r>
    </w:p>
    <w:p>
      <w:pPr>
        <w:spacing w:after="0" w:line="66" w:lineRule="exact"/>
        <w:rPr>
          <w:sz w:val="20"/>
          <w:szCs w:val="20"/>
          <w:color w:val="auto"/>
        </w:rPr>
      </w:pPr>
    </w:p>
    <w:p>
      <w:pPr>
        <w:ind w:left="20"/>
        <w:spacing w:after="0" w:line="269" w:lineRule="auto"/>
        <w:rPr>
          <w:sz w:val="20"/>
          <w:szCs w:val="20"/>
          <w:color w:val="auto"/>
        </w:rPr>
      </w:pPr>
      <w:r>
        <w:rPr>
          <w:rFonts w:ascii="Arial" w:cs="Arial" w:eastAsia="Arial" w:hAnsi="Arial"/>
          <w:sz w:val="14"/>
          <w:szCs w:val="14"/>
          <w:b w:val="1"/>
          <w:bCs w:val="1"/>
          <w:color w:val="D7282F"/>
        </w:rPr>
        <w:t>OTHER CURRENT PUBLIC COMPANY BOARDS:</w:t>
      </w:r>
    </w:p>
    <w:p>
      <w:pPr>
        <w:spacing w:after="0" w:line="1" w:lineRule="exact"/>
        <w:rPr>
          <w:sz w:val="20"/>
          <w:szCs w:val="20"/>
          <w:color w:val="auto"/>
        </w:rPr>
      </w:pPr>
    </w:p>
    <w:p>
      <w:pPr>
        <w:ind w:left="220" w:hanging="194"/>
        <w:spacing w:after="0"/>
        <w:tabs>
          <w:tab w:leader="none" w:pos="220" w:val="left"/>
        </w:tabs>
        <w:numPr>
          <w:ilvl w:val="0"/>
          <w:numId w:val="55"/>
        </w:numPr>
        <w:rPr>
          <w:rFonts w:ascii="Arial" w:cs="Arial" w:eastAsia="Arial" w:hAnsi="Arial"/>
          <w:sz w:val="16"/>
          <w:szCs w:val="16"/>
          <w:b w:val="1"/>
          <w:bCs w:val="1"/>
          <w:color w:val="D7282F"/>
        </w:rPr>
      </w:pPr>
      <w:r>
        <w:rPr>
          <w:rFonts w:ascii="Arial" w:cs="Arial" w:eastAsia="Arial" w:hAnsi="Arial"/>
          <w:sz w:val="16"/>
          <w:szCs w:val="16"/>
          <w:color w:val="auto"/>
        </w:rPr>
        <w:t>None</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D7282F"/>
        </w:rPr>
        <w:t>PAST PUBLIC COMPANY BOARDS:</w:t>
      </w:r>
    </w:p>
    <w:p>
      <w:pPr>
        <w:spacing w:after="0" w:line="26" w:lineRule="exact"/>
        <w:rPr>
          <w:sz w:val="20"/>
          <w:szCs w:val="20"/>
          <w:color w:val="auto"/>
        </w:rPr>
      </w:pPr>
    </w:p>
    <w:p>
      <w:pPr>
        <w:ind w:left="220" w:hanging="194"/>
        <w:spacing w:after="0"/>
        <w:tabs>
          <w:tab w:leader="none" w:pos="220" w:val="left"/>
        </w:tabs>
        <w:numPr>
          <w:ilvl w:val="0"/>
          <w:numId w:val="56"/>
        </w:numPr>
        <w:rPr>
          <w:rFonts w:ascii="Arial" w:cs="Arial" w:eastAsia="Arial" w:hAnsi="Arial"/>
          <w:sz w:val="16"/>
          <w:szCs w:val="16"/>
          <w:b w:val="1"/>
          <w:bCs w:val="1"/>
          <w:color w:val="D7282F"/>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D7282F"/>
        </w:rPr>
        <w:t>BACKGROUND</w:t>
      </w:r>
    </w:p>
    <w:p>
      <w:pPr>
        <w:spacing w:after="0" w:line="37" w:lineRule="exact"/>
        <w:rPr>
          <w:sz w:val="20"/>
          <w:szCs w:val="20"/>
          <w:color w:val="auto"/>
        </w:rPr>
      </w:pPr>
    </w:p>
    <w:p>
      <w:pPr>
        <w:ind w:left="200" w:hanging="192"/>
        <w:spacing w:after="0"/>
        <w:tabs>
          <w:tab w:leader="none" w:pos="200" w:val="left"/>
        </w:tabs>
        <w:numPr>
          <w:ilvl w:val="0"/>
          <w:numId w:val="57"/>
        </w:numPr>
        <w:rPr>
          <w:rFonts w:ascii="Arial" w:cs="Arial" w:eastAsia="Arial" w:hAnsi="Arial"/>
          <w:sz w:val="16"/>
          <w:szCs w:val="16"/>
          <w:b w:val="1"/>
          <w:bCs w:val="1"/>
          <w:color w:val="D7282F"/>
        </w:rPr>
      </w:pPr>
      <w:r>
        <w:rPr>
          <w:rFonts w:ascii="Arial" w:cs="Arial" w:eastAsia="Arial" w:hAnsi="Arial"/>
          <w:sz w:val="16"/>
          <w:szCs w:val="16"/>
          <w:color w:val="auto"/>
        </w:rPr>
        <w:t>President and Chief Executive Officer of the Greater Toronto Airports Authority since April 2020.</w:t>
      </w:r>
    </w:p>
    <w:p>
      <w:pPr>
        <w:spacing w:after="0" w:line="38" w:lineRule="exact"/>
        <w:rPr>
          <w:rFonts w:ascii="Arial" w:cs="Arial" w:eastAsia="Arial" w:hAnsi="Arial"/>
          <w:sz w:val="16"/>
          <w:szCs w:val="16"/>
          <w:b w:val="1"/>
          <w:bCs w:val="1"/>
          <w:color w:val="D7282F"/>
        </w:rPr>
      </w:pPr>
    </w:p>
    <w:p>
      <w:pPr>
        <w:ind w:left="200" w:right="300" w:hanging="192"/>
        <w:spacing w:after="0" w:line="251" w:lineRule="auto"/>
        <w:tabs>
          <w:tab w:leader="none" w:pos="197" w:val="left"/>
        </w:tabs>
        <w:numPr>
          <w:ilvl w:val="0"/>
          <w:numId w:val="57"/>
        </w:numPr>
        <w:rPr>
          <w:rFonts w:ascii="Arial" w:cs="Arial" w:eastAsia="Arial" w:hAnsi="Arial"/>
          <w:sz w:val="16"/>
          <w:szCs w:val="16"/>
          <w:b w:val="1"/>
          <w:bCs w:val="1"/>
          <w:color w:val="D7282F"/>
        </w:rPr>
      </w:pPr>
      <w:r>
        <w:rPr>
          <w:rFonts w:ascii="Arial" w:cs="Arial" w:eastAsia="Arial" w:hAnsi="Arial"/>
          <w:sz w:val="16"/>
          <w:szCs w:val="16"/>
          <w:color w:val="auto"/>
        </w:rPr>
        <w:t>Served as Chief Executive Officer of Los Angeles World Airports (LAWA) from June 2015 to March 2020, and had previously held roles of increasing responsibility at the Port of Oakland for 23 years.</w:t>
      </w:r>
    </w:p>
    <w:p>
      <w:pPr>
        <w:ind w:left="200" w:right="420" w:hanging="192"/>
        <w:spacing w:after="0" w:line="255" w:lineRule="auto"/>
        <w:tabs>
          <w:tab w:leader="none" w:pos="197" w:val="left"/>
        </w:tabs>
        <w:numPr>
          <w:ilvl w:val="0"/>
          <w:numId w:val="57"/>
        </w:numPr>
        <w:rPr>
          <w:rFonts w:ascii="Arial" w:cs="Arial" w:eastAsia="Arial" w:hAnsi="Arial"/>
          <w:sz w:val="16"/>
          <w:szCs w:val="16"/>
          <w:b w:val="1"/>
          <w:bCs w:val="1"/>
          <w:color w:val="D7282F"/>
        </w:rPr>
      </w:pPr>
      <w:r>
        <w:rPr>
          <w:rFonts w:ascii="Arial" w:cs="Arial" w:eastAsia="Arial" w:hAnsi="Arial"/>
          <w:sz w:val="16"/>
          <w:szCs w:val="16"/>
          <w:color w:val="auto"/>
        </w:rPr>
        <w:t>Currently serves as a director on the Airport Council International World Board and is the Board Chair of the World Standing Safety and Technical Committee.</w:t>
      </w:r>
    </w:p>
    <w:p>
      <w:pPr>
        <w:ind w:left="200" w:right="60" w:hanging="192"/>
        <w:spacing w:after="0" w:line="255" w:lineRule="auto"/>
        <w:tabs>
          <w:tab w:leader="none" w:pos="197" w:val="left"/>
        </w:tabs>
        <w:numPr>
          <w:ilvl w:val="0"/>
          <w:numId w:val="57"/>
        </w:numPr>
        <w:rPr>
          <w:rFonts w:ascii="Arial" w:cs="Arial" w:eastAsia="Arial" w:hAnsi="Arial"/>
          <w:sz w:val="16"/>
          <w:szCs w:val="16"/>
          <w:b w:val="1"/>
          <w:bCs w:val="1"/>
          <w:color w:val="D7282F"/>
        </w:rPr>
      </w:pPr>
      <w:r>
        <w:rPr>
          <w:rFonts w:ascii="Arial" w:cs="Arial" w:eastAsia="Arial" w:hAnsi="Arial"/>
          <w:sz w:val="16"/>
          <w:szCs w:val="16"/>
          <w:color w:val="auto"/>
        </w:rPr>
        <w:t>Previously served on President Obama’s Advisory Committee on Aviation Consumer Protection and as the Chair of the Oversight Committee of the Transportation Research Board’s Airport Cooperative Research Program.</w:t>
      </w:r>
    </w:p>
    <w:p>
      <w:pPr>
        <w:ind w:left="200" w:right="220" w:hanging="192"/>
        <w:spacing w:after="0" w:line="255" w:lineRule="auto"/>
        <w:tabs>
          <w:tab w:leader="none" w:pos="197" w:val="left"/>
        </w:tabs>
        <w:numPr>
          <w:ilvl w:val="0"/>
          <w:numId w:val="57"/>
        </w:numPr>
        <w:rPr>
          <w:rFonts w:ascii="Arial" w:cs="Arial" w:eastAsia="Arial" w:hAnsi="Arial"/>
          <w:sz w:val="16"/>
          <w:szCs w:val="16"/>
          <w:b w:val="1"/>
          <w:bCs w:val="1"/>
          <w:color w:val="D7282F"/>
        </w:rPr>
      </w:pPr>
      <w:r>
        <w:rPr>
          <w:rFonts w:ascii="Arial" w:cs="Arial" w:eastAsia="Arial" w:hAnsi="Arial"/>
          <w:sz w:val="16"/>
          <w:szCs w:val="16"/>
          <w:color w:val="auto"/>
        </w:rPr>
        <w:t>Co-chaired the Blue Ribbon Task Force on UAS Mitigation at Airports and served as a federal appointee to the U.S. Department of Transportation’s Drone Advisory Committee.</w:t>
      </w:r>
    </w:p>
    <w:p>
      <w:pPr>
        <w:ind w:left="200" w:right="440" w:hanging="192"/>
        <w:spacing w:after="0" w:line="268" w:lineRule="auto"/>
        <w:tabs>
          <w:tab w:leader="none" w:pos="197" w:val="left"/>
        </w:tabs>
        <w:numPr>
          <w:ilvl w:val="0"/>
          <w:numId w:val="57"/>
        </w:numPr>
        <w:rPr>
          <w:rFonts w:ascii="Arial" w:cs="Arial" w:eastAsia="Arial" w:hAnsi="Arial"/>
          <w:sz w:val="16"/>
          <w:szCs w:val="16"/>
          <w:b w:val="1"/>
          <w:bCs w:val="1"/>
          <w:color w:val="D7282F"/>
        </w:rPr>
      </w:pPr>
      <w:r>
        <w:rPr>
          <w:rFonts w:ascii="Arial" w:cs="Arial" w:eastAsia="Arial" w:hAnsi="Arial"/>
          <w:sz w:val="16"/>
          <w:szCs w:val="16"/>
          <w:color w:val="auto"/>
        </w:rPr>
        <w:t>Previously served on the Board of Directors of the Los Angeles Branch of the Federal Reserve Bank of San Francisco.</w:t>
      </w:r>
    </w:p>
    <w:p>
      <w:pPr>
        <w:spacing w:after="0" w:line="200" w:lineRule="exact"/>
        <w:rPr>
          <w:rFonts w:ascii="Arial" w:cs="Arial" w:eastAsia="Arial" w:hAnsi="Arial"/>
          <w:sz w:val="16"/>
          <w:szCs w:val="16"/>
          <w:b w:val="1"/>
          <w:bCs w:val="1"/>
          <w:color w:val="D7282F"/>
        </w:rPr>
      </w:pPr>
    </w:p>
    <w:p>
      <w:pPr>
        <w:spacing w:after="0" w:line="200" w:lineRule="exact"/>
        <w:rPr>
          <w:rFonts w:ascii="Arial" w:cs="Arial" w:eastAsia="Arial" w:hAnsi="Arial"/>
          <w:sz w:val="16"/>
          <w:szCs w:val="16"/>
          <w:b w:val="1"/>
          <w:bCs w:val="1"/>
          <w:color w:val="D7282F"/>
        </w:rPr>
      </w:pPr>
    </w:p>
    <w:p>
      <w:pPr>
        <w:spacing w:after="0" w:line="200" w:lineRule="exact"/>
        <w:rPr>
          <w:rFonts w:ascii="Arial" w:cs="Arial" w:eastAsia="Arial" w:hAnsi="Arial"/>
          <w:sz w:val="16"/>
          <w:szCs w:val="16"/>
          <w:b w:val="1"/>
          <w:bCs w:val="1"/>
          <w:color w:val="D7282F"/>
        </w:rPr>
      </w:pPr>
    </w:p>
    <w:p>
      <w:pPr>
        <w:spacing w:after="0" w:line="384" w:lineRule="exact"/>
        <w:rPr>
          <w:rFonts w:ascii="Arial" w:cs="Arial" w:eastAsia="Arial" w:hAnsi="Arial"/>
          <w:sz w:val="16"/>
          <w:szCs w:val="16"/>
          <w:b w:val="1"/>
          <w:bCs w:val="1"/>
          <w:color w:val="D7282F"/>
        </w:rPr>
      </w:pPr>
    </w:p>
    <w:p>
      <w:pPr>
        <w:ind w:left="200"/>
        <w:spacing w:after="0"/>
        <w:rPr>
          <w:rFonts w:ascii="Arial" w:cs="Arial" w:eastAsia="Arial" w:hAnsi="Arial"/>
          <w:sz w:val="16"/>
          <w:szCs w:val="16"/>
          <w:b w:val="1"/>
          <w:bCs w:val="1"/>
          <w:color w:val="D7282F"/>
        </w:rPr>
      </w:pPr>
      <w:r>
        <w:rPr>
          <w:rFonts w:ascii="Arial" w:cs="Arial" w:eastAsia="Arial" w:hAnsi="Arial"/>
          <w:sz w:val="14"/>
          <w:szCs w:val="14"/>
          <w:b w:val="1"/>
          <w:bCs w:val="1"/>
          <w:color w:val="D7282F"/>
        </w:rPr>
        <w:t>SPECIFIC QUALIFICATIONS, ATTRIBUTES, SKILLS, AND EXPERIENCE</w:t>
      </w:r>
    </w:p>
    <w:p>
      <w:pPr>
        <w:spacing w:after="0" w:line="36" w:lineRule="exact"/>
        <w:rPr>
          <w:rFonts w:ascii="Arial" w:cs="Arial" w:eastAsia="Arial" w:hAnsi="Arial"/>
          <w:sz w:val="16"/>
          <w:szCs w:val="16"/>
          <w:b w:val="1"/>
          <w:bCs w:val="1"/>
          <w:color w:val="D7282F"/>
        </w:rPr>
      </w:pPr>
    </w:p>
    <w:p>
      <w:pPr>
        <w:ind w:left="400" w:right="600" w:hanging="197"/>
        <w:spacing w:after="0" w:line="255" w:lineRule="auto"/>
        <w:tabs>
          <w:tab w:leader="none" w:pos="397" w:val="left"/>
        </w:tabs>
        <w:numPr>
          <w:ilvl w:val="1"/>
          <w:numId w:val="57"/>
        </w:numPr>
        <w:rPr>
          <w:rFonts w:ascii="Arial" w:cs="Arial" w:eastAsia="Arial" w:hAnsi="Arial"/>
          <w:sz w:val="16"/>
          <w:szCs w:val="16"/>
          <w:b w:val="1"/>
          <w:bCs w:val="1"/>
          <w:color w:val="D7282F"/>
        </w:rPr>
      </w:pPr>
      <w:r>
        <w:rPr>
          <w:rFonts w:ascii="Arial" w:cs="Arial" w:eastAsia="Arial" w:hAnsi="Arial"/>
          <w:sz w:val="16"/>
          <w:szCs w:val="16"/>
          <w:color w:val="auto"/>
        </w:rPr>
        <w:t>Broad understanding of aviation, automation and digitization of buildings and complex airport systems, transportation networks, cybersecurity risk management, and advanced security solutions.</w:t>
      </w:r>
    </w:p>
    <w:p>
      <w:pPr>
        <w:ind w:left="400" w:hanging="197"/>
        <w:spacing w:after="0"/>
        <w:tabs>
          <w:tab w:leader="none" w:pos="400" w:val="left"/>
        </w:tabs>
        <w:numPr>
          <w:ilvl w:val="1"/>
          <w:numId w:val="57"/>
        </w:numPr>
        <w:rPr>
          <w:rFonts w:ascii="Arial" w:cs="Arial" w:eastAsia="Arial" w:hAnsi="Arial"/>
          <w:sz w:val="16"/>
          <w:szCs w:val="16"/>
          <w:b w:val="1"/>
          <w:bCs w:val="1"/>
          <w:color w:val="D7282F"/>
        </w:rPr>
      </w:pPr>
      <w:r>
        <w:rPr>
          <w:rFonts w:ascii="Arial" w:cs="Arial" w:eastAsia="Arial" w:hAnsi="Arial"/>
          <w:sz w:val="16"/>
          <w:szCs w:val="16"/>
          <w:color w:val="auto"/>
        </w:rPr>
        <w:t>Deep experience in critical infrastructure, connected buildings, and advanced security solutions.</w:t>
      </w:r>
    </w:p>
    <w:p>
      <w:pPr>
        <w:spacing w:after="0" w:line="38" w:lineRule="exact"/>
        <w:rPr>
          <w:rFonts w:ascii="Arial" w:cs="Arial" w:eastAsia="Arial" w:hAnsi="Arial"/>
          <w:sz w:val="16"/>
          <w:szCs w:val="16"/>
          <w:b w:val="1"/>
          <w:bCs w:val="1"/>
          <w:color w:val="D7282F"/>
        </w:rPr>
      </w:pPr>
    </w:p>
    <w:p>
      <w:pPr>
        <w:ind w:left="400" w:right="340" w:hanging="197"/>
        <w:spacing w:after="0" w:line="251" w:lineRule="auto"/>
        <w:tabs>
          <w:tab w:leader="none" w:pos="397" w:val="left"/>
        </w:tabs>
        <w:numPr>
          <w:ilvl w:val="1"/>
          <w:numId w:val="57"/>
        </w:numPr>
        <w:rPr>
          <w:rFonts w:ascii="Arial" w:cs="Arial" w:eastAsia="Arial" w:hAnsi="Arial"/>
          <w:sz w:val="16"/>
          <w:szCs w:val="16"/>
          <w:b w:val="1"/>
          <w:bCs w:val="1"/>
          <w:color w:val="D7282F"/>
        </w:rPr>
      </w:pPr>
      <w:r>
        <w:rPr>
          <w:rFonts w:ascii="Arial" w:cs="Arial" w:eastAsia="Arial" w:hAnsi="Arial"/>
          <w:sz w:val="16"/>
          <w:szCs w:val="16"/>
          <w:color w:val="auto"/>
        </w:rPr>
        <w:t>Leads digital and physical transformation of Canada's largest airport, which is also the most internationally connected airport in North America.</w:t>
      </w:r>
    </w:p>
    <w:p>
      <w:pPr>
        <w:ind w:left="400" w:right="160" w:hanging="197"/>
        <w:spacing w:after="0" w:line="255" w:lineRule="auto"/>
        <w:tabs>
          <w:tab w:leader="none" w:pos="397" w:val="left"/>
        </w:tabs>
        <w:numPr>
          <w:ilvl w:val="1"/>
          <w:numId w:val="57"/>
        </w:numPr>
        <w:rPr>
          <w:rFonts w:ascii="Arial" w:cs="Arial" w:eastAsia="Arial" w:hAnsi="Arial"/>
          <w:sz w:val="16"/>
          <w:szCs w:val="16"/>
          <w:b w:val="1"/>
          <w:bCs w:val="1"/>
          <w:color w:val="D7282F"/>
        </w:rPr>
      </w:pPr>
      <w:r>
        <w:rPr>
          <w:rFonts w:ascii="Arial" w:cs="Arial" w:eastAsia="Arial" w:hAnsi="Arial"/>
          <w:sz w:val="16"/>
          <w:szCs w:val="16"/>
          <w:color w:val="auto"/>
        </w:rPr>
        <w:t>Oversaw the fourth busiest passenger airport in the world, the largest airport police force in the U.S., and the largest public works agreements in the history of Los Angeles.</w:t>
      </w:r>
    </w:p>
    <w:p>
      <w:pPr>
        <w:ind w:left="400" w:hanging="197"/>
        <w:spacing w:after="0"/>
        <w:tabs>
          <w:tab w:leader="none" w:pos="400" w:val="left"/>
        </w:tabs>
        <w:numPr>
          <w:ilvl w:val="1"/>
          <w:numId w:val="57"/>
        </w:numPr>
        <w:rPr>
          <w:rFonts w:ascii="Arial" w:cs="Arial" w:eastAsia="Arial" w:hAnsi="Arial"/>
          <w:sz w:val="16"/>
          <w:szCs w:val="16"/>
          <w:b w:val="1"/>
          <w:bCs w:val="1"/>
          <w:color w:val="D7282F"/>
        </w:rPr>
      </w:pPr>
      <w:r>
        <w:rPr>
          <w:rFonts w:ascii="Arial" w:cs="Arial" w:eastAsia="Arial" w:hAnsi="Arial"/>
          <w:sz w:val="16"/>
          <w:szCs w:val="16"/>
          <w:color w:val="auto"/>
        </w:rPr>
        <w:t>Significant insight and experience in public and private partnerships.</w:t>
      </w:r>
    </w:p>
    <w:p>
      <w:pPr>
        <w:spacing w:after="0" w:line="200" w:lineRule="exact"/>
        <w:rPr>
          <w:sz w:val="20"/>
          <w:szCs w:val="20"/>
          <w:color w:val="auto"/>
        </w:rPr>
      </w:pPr>
    </w:p>
    <w:p>
      <w:pPr>
        <w:sectPr>
          <w:pgSz w:w="11900" w:h="16838" w:orient="portrait"/>
          <w:cols w:equalWidth="0" w:num="2">
            <w:col w:w="2620" w:space="300"/>
            <w:col w:w="8320"/>
          </w:cols>
          <w:pgMar w:left="320" w:top="2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2026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359"/>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-368300</wp:posOffset>
            </wp:positionV>
            <wp:extent cx="548640" cy="10287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3"/>
          <w:szCs w:val="13"/>
          <w:b w:val="1"/>
          <w:bCs w:val="1"/>
          <w:color w:val="6D6E71"/>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D7282F"/>
        </w:rPr>
        <w:t>MICHAEL W. LAMACH</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FORMER EXECUTIVE CHAIR, TRANE TECHNOLOGIES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23430" cy="338582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23430" cy="3385820"/>
                    </a:xfrm>
                    <a:prstGeom prst="rect">
                      <a:avLst/>
                    </a:prstGeom>
                    <a:noFill/>
                  </pic:spPr>
                </pic:pic>
              </a:graphicData>
            </a:graphic>
          </wp:anchor>
        </w:drawing>
      </w:r>
    </w:p>
    <w:p>
      <w:pPr>
        <w:sectPr>
          <w:pgSz w:w="11900" w:h="16838" w:orient="portrait"/>
          <w:cols w:equalWidth="0" w:num="1">
            <w:col w:w="11160"/>
          </w:cols>
          <w:pgMar w:left="320" w:top="230"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Years of Service: 2</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b w:val="1"/>
          <w:bCs w:val="1"/>
          <w:color w:val="D7282F"/>
        </w:rPr>
        <w:t>62</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Incoming Lead Director</w:t>
      </w:r>
      <w:r>
        <w:rPr>
          <w:rFonts w:ascii="Arial" w:cs="Arial" w:eastAsia="Arial" w:hAnsi="Arial"/>
          <w:sz w:val="21"/>
          <w:szCs w:val="21"/>
          <w:b w:val="1"/>
          <w:bCs w:val="1"/>
          <w:color w:val="auto"/>
          <w:vertAlign w:val="superscript"/>
        </w:rPr>
        <w:t>(1)</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D7282F"/>
        </w:rPr>
        <w:t>COMMITTEES</w:t>
      </w:r>
      <w:r>
        <w:rPr>
          <w:rFonts w:ascii="Arial" w:cs="Arial" w:eastAsia="Arial" w:hAnsi="Arial"/>
          <w:sz w:val="18"/>
          <w:szCs w:val="18"/>
          <w:b w:val="1"/>
          <w:bCs w:val="1"/>
          <w:color w:val="D7282F"/>
          <w:vertAlign w:val="superscript"/>
        </w:rPr>
        <w:t>(1)</w:t>
      </w:r>
      <w:r>
        <w:rPr>
          <w:rFonts w:ascii="Arial" w:cs="Arial" w:eastAsia="Arial" w:hAnsi="Arial"/>
          <w:sz w:val="14"/>
          <w:szCs w:val="14"/>
          <w:b w:val="1"/>
          <w:bCs w:val="1"/>
          <w:color w:val="D7282F"/>
        </w:rPr>
        <w:t>:</w:t>
      </w:r>
    </w:p>
    <w:p>
      <w:pPr>
        <w:ind w:left="220" w:right="940" w:hanging="194"/>
        <w:spacing w:after="0" w:line="265" w:lineRule="auto"/>
        <w:tabs>
          <w:tab w:leader="none" w:pos="217" w:val="left"/>
        </w:tabs>
        <w:numPr>
          <w:ilvl w:val="0"/>
          <w:numId w:val="58"/>
        </w:numPr>
        <w:rPr>
          <w:rFonts w:ascii="Arial" w:cs="Arial" w:eastAsia="Arial" w:hAnsi="Arial"/>
          <w:sz w:val="16"/>
          <w:szCs w:val="16"/>
          <w:b w:val="1"/>
          <w:bCs w:val="1"/>
          <w:color w:val="D7282F"/>
        </w:rPr>
      </w:pPr>
      <w:r>
        <w:rPr>
          <w:rFonts w:ascii="Arial" w:cs="Arial" w:eastAsia="Arial" w:hAnsi="Arial"/>
          <w:sz w:val="16"/>
          <w:szCs w:val="16"/>
          <w:i w:val="1"/>
          <w:iCs w:val="1"/>
          <w:color w:val="auto"/>
        </w:rPr>
        <w:t xml:space="preserve">ex officio </w:t>
      </w:r>
      <w:r>
        <w:rPr>
          <w:rFonts w:ascii="Arial" w:cs="Arial" w:eastAsia="Arial" w:hAnsi="Arial"/>
          <w:sz w:val="16"/>
          <w:szCs w:val="16"/>
          <w:color w:val="auto"/>
        </w:rPr>
        <w:t>member of</w:t>
      </w:r>
      <w:r>
        <w:rPr>
          <w:rFonts w:ascii="Arial" w:cs="Arial" w:eastAsia="Arial" w:hAnsi="Arial"/>
          <w:sz w:val="16"/>
          <w:szCs w:val="16"/>
          <w:i w:val="1"/>
          <w:iCs w:val="1"/>
          <w:color w:val="auto"/>
        </w:rPr>
        <w:t xml:space="preserve"> </w:t>
      </w:r>
      <w:r>
        <w:rPr>
          <w:rFonts w:ascii="Arial" w:cs="Arial" w:eastAsia="Arial" w:hAnsi="Arial"/>
          <w:sz w:val="16"/>
          <w:szCs w:val="16"/>
          <w:color w:val="auto"/>
        </w:rPr>
        <w:t>each committee</w:t>
      </w:r>
    </w:p>
    <w:p>
      <w:pPr>
        <w:spacing w:after="0" w:line="55" w:lineRule="exact"/>
        <w:rPr>
          <w:sz w:val="20"/>
          <w:szCs w:val="20"/>
          <w:color w:val="auto"/>
        </w:rPr>
      </w:pPr>
    </w:p>
    <w:p>
      <w:pPr>
        <w:ind w:left="20"/>
        <w:spacing w:after="0" w:line="239" w:lineRule="auto"/>
        <w:rPr>
          <w:sz w:val="20"/>
          <w:szCs w:val="20"/>
          <w:color w:val="auto"/>
        </w:rPr>
      </w:pPr>
      <w:r>
        <w:rPr>
          <w:rFonts w:ascii="Arial" w:cs="Arial" w:eastAsia="Arial" w:hAnsi="Arial"/>
          <w:sz w:val="14"/>
          <w:szCs w:val="14"/>
          <w:b w:val="1"/>
          <w:bCs w:val="1"/>
          <w:color w:val="D7282F"/>
        </w:rPr>
        <w:t>OTHER CURRENT PUBLIC COMPANY BOARDS:</w:t>
      </w:r>
    </w:p>
    <w:p>
      <w:pPr>
        <w:spacing w:after="0" w:line="1" w:lineRule="exact"/>
        <w:rPr>
          <w:sz w:val="20"/>
          <w:szCs w:val="20"/>
          <w:color w:val="auto"/>
        </w:rPr>
      </w:pPr>
    </w:p>
    <w:p>
      <w:pPr>
        <w:ind w:left="220" w:hanging="194"/>
        <w:spacing w:after="0"/>
        <w:tabs>
          <w:tab w:leader="none" w:pos="220" w:val="left"/>
        </w:tabs>
        <w:numPr>
          <w:ilvl w:val="0"/>
          <w:numId w:val="59"/>
        </w:numPr>
        <w:rPr>
          <w:rFonts w:ascii="Arial" w:cs="Arial" w:eastAsia="Arial" w:hAnsi="Arial"/>
          <w:sz w:val="16"/>
          <w:szCs w:val="16"/>
          <w:b w:val="1"/>
          <w:bCs w:val="1"/>
          <w:color w:val="D7282F"/>
        </w:rPr>
      </w:pPr>
      <w:r>
        <w:rPr>
          <w:rFonts w:ascii="Arial" w:cs="Arial" w:eastAsia="Arial" w:hAnsi="Arial"/>
          <w:sz w:val="16"/>
          <w:szCs w:val="16"/>
          <w:color w:val="auto"/>
        </w:rPr>
        <w:t>PPG Industries, Inc.</w:t>
      </w:r>
    </w:p>
    <w:p>
      <w:pPr>
        <w:spacing w:after="0" w:line="56" w:lineRule="exact"/>
        <w:rPr>
          <w:rFonts w:ascii="Arial" w:cs="Arial" w:eastAsia="Arial" w:hAnsi="Arial"/>
          <w:sz w:val="16"/>
          <w:szCs w:val="16"/>
          <w:b w:val="1"/>
          <w:bCs w:val="1"/>
          <w:color w:val="D7282F"/>
        </w:rPr>
      </w:pPr>
    </w:p>
    <w:p>
      <w:pPr>
        <w:ind w:left="220" w:hanging="194"/>
        <w:spacing w:after="0"/>
        <w:tabs>
          <w:tab w:leader="none" w:pos="220" w:val="left"/>
        </w:tabs>
        <w:numPr>
          <w:ilvl w:val="0"/>
          <w:numId w:val="59"/>
        </w:numPr>
        <w:rPr>
          <w:rFonts w:ascii="Arial" w:cs="Arial" w:eastAsia="Arial" w:hAnsi="Arial"/>
          <w:sz w:val="16"/>
          <w:szCs w:val="16"/>
          <w:b w:val="1"/>
          <w:bCs w:val="1"/>
          <w:color w:val="D7282F"/>
        </w:rPr>
      </w:pPr>
      <w:r>
        <w:rPr>
          <w:rFonts w:ascii="Arial" w:cs="Arial" w:eastAsia="Arial" w:hAnsi="Arial"/>
          <w:sz w:val="16"/>
          <w:szCs w:val="16"/>
          <w:color w:val="auto"/>
        </w:rPr>
        <w:t>Nucor Corporation</w:t>
      </w:r>
    </w:p>
    <w:p>
      <w:pPr>
        <w:spacing w:after="0" w:line="59" w:lineRule="exact"/>
        <w:rPr>
          <w:rFonts w:ascii="Arial" w:cs="Arial" w:eastAsia="Arial" w:hAnsi="Arial"/>
          <w:sz w:val="16"/>
          <w:szCs w:val="16"/>
          <w:b w:val="1"/>
          <w:bCs w:val="1"/>
          <w:color w:val="D7282F"/>
        </w:rPr>
      </w:pPr>
    </w:p>
    <w:p>
      <w:pPr>
        <w:ind w:left="220" w:hanging="194"/>
        <w:spacing w:after="0"/>
        <w:tabs>
          <w:tab w:leader="none" w:pos="220" w:val="left"/>
        </w:tabs>
        <w:numPr>
          <w:ilvl w:val="0"/>
          <w:numId w:val="59"/>
        </w:numPr>
        <w:rPr>
          <w:rFonts w:ascii="Arial" w:cs="Arial" w:eastAsia="Arial" w:hAnsi="Arial"/>
          <w:sz w:val="16"/>
          <w:szCs w:val="16"/>
          <w:b w:val="1"/>
          <w:bCs w:val="1"/>
          <w:color w:val="D7282F"/>
        </w:rPr>
      </w:pPr>
      <w:r>
        <w:rPr>
          <w:rFonts w:ascii="Arial" w:cs="Arial" w:eastAsia="Arial" w:hAnsi="Arial"/>
          <w:sz w:val="16"/>
          <w:szCs w:val="16"/>
          <w:color w:val="auto"/>
        </w:rPr>
        <w:t>Columbus McKinnon</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D7282F"/>
        </w:rPr>
        <w:t>PAST PUBLIC COMPANY BOARDS:</w:t>
      </w:r>
    </w:p>
    <w:p>
      <w:pPr>
        <w:ind w:left="220" w:hanging="194"/>
        <w:spacing w:after="0"/>
        <w:tabs>
          <w:tab w:leader="none" w:pos="220" w:val="left"/>
        </w:tabs>
        <w:numPr>
          <w:ilvl w:val="0"/>
          <w:numId w:val="60"/>
        </w:numPr>
        <w:rPr>
          <w:rFonts w:ascii="Arial" w:cs="Arial" w:eastAsia="Arial" w:hAnsi="Arial"/>
          <w:sz w:val="16"/>
          <w:szCs w:val="16"/>
          <w:b w:val="1"/>
          <w:bCs w:val="1"/>
          <w:color w:val="D7282F"/>
        </w:rPr>
      </w:pPr>
      <w:r>
        <w:rPr>
          <w:rFonts w:ascii="Arial" w:cs="Arial" w:eastAsia="Arial" w:hAnsi="Arial"/>
          <w:sz w:val="16"/>
          <w:szCs w:val="16"/>
          <w:color w:val="auto"/>
        </w:rPr>
        <w:t>Ingersoll-Rand Inc.</w:t>
      </w:r>
    </w:p>
    <w:p>
      <w:pPr>
        <w:spacing w:after="0" w:line="29" w:lineRule="exact"/>
        <w:rPr>
          <w:rFonts w:ascii="Arial" w:cs="Arial" w:eastAsia="Arial" w:hAnsi="Arial"/>
          <w:sz w:val="16"/>
          <w:szCs w:val="16"/>
          <w:b w:val="1"/>
          <w:bCs w:val="1"/>
          <w:color w:val="D7282F"/>
        </w:rPr>
      </w:pPr>
    </w:p>
    <w:p>
      <w:pPr>
        <w:ind w:left="220" w:hanging="194"/>
        <w:spacing w:after="0"/>
        <w:tabs>
          <w:tab w:leader="none" w:pos="220" w:val="left"/>
        </w:tabs>
        <w:numPr>
          <w:ilvl w:val="0"/>
          <w:numId w:val="60"/>
        </w:numPr>
        <w:rPr>
          <w:rFonts w:ascii="Arial" w:cs="Arial" w:eastAsia="Arial" w:hAnsi="Arial"/>
          <w:sz w:val="16"/>
          <w:szCs w:val="16"/>
          <w:b w:val="1"/>
          <w:bCs w:val="1"/>
          <w:color w:val="D7282F"/>
        </w:rPr>
      </w:pPr>
      <w:r>
        <w:rPr>
          <w:rFonts w:ascii="Arial" w:cs="Arial" w:eastAsia="Arial" w:hAnsi="Arial"/>
          <w:sz w:val="16"/>
          <w:szCs w:val="16"/>
          <w:color w:val="auto"/>
        </w:rPr>
        <w:t>Trane Technologies plc</w:t>
      </w:r>
    </w:p>
    <w:p>
      <w:pPr>
        <w:spacing w:after="0" w:line="59" w:lineRule="exact"/>
        <w:rPr>
          <w:rFonts w:ascii="Arial" w:cs="Arial" w:eastAsia="Arial" w:hAnsi="Arial"/>
          <w:sz w:val="16"/>
          <w:szCs w:val="16"/>
          <w:b w:val="1"/>
          <w:bCs w:val="1"/>
          <w:color w:val="D7282F"/>
        </w:rPr>
      </w:pPr>
    </w:p>
    <w:p>
      <w:pPr>
        <w:ind w:left="220" w:hanging="194"/>
        <w:spacing w:after="0"/>
        <w:tabs>
          <w:tab w:leader="none" w:pos="220" w:val="left"/>
        </w:tabs>
        <w:numPr>
          <w:ilvl w:val="0"/>
          <w:numId w:val="60"/>
        </w:numPr>
        <w:rPr>
          <w:rFonts w:ascii="Arial" w:cs="Arial" w:eastAsia="Arial" w:hAnsi="Arial"/>
          <w:sz w:val="16"/>
          <w:szCs w:val="16"/>
          <w:b w:val="1"/>
          <w:bCs w:val="1"/>
          <w:color w:val="D7282F"/>
        </w:rPr>
      </w:pPr>
      <w:r>
        <w:rPr>
          <w:rFonts w:ascii="Arial" w:cs="Arial" w:eastAsia="Arial" w:hAnsi="Arial"/>
          <w:sz w:val="16"/>
          <w:szCs w:val="16"/>
          <w:color w:val="auto"/>
        </w:rPr>
        <w:t>Iron Mountain Inc.</w:t>
      </w:r>
    </w:p>
    <w:p>
      <w:pPr>
        <w:spacing w:after="0" w:line="226" w:lineRule="exact"/>
        <w:rPr>
          <w:sz w:val="20"/>
          <w:szCs w:val="20"/>
          <w:color w:val="auto"/>
        </w:rPr>
      </w:pPr>
    </w:p>
    <w:p>
      <w:pPr>
        <w:ind w:left="200" w:hanging="192"/>
        <w:spacing w:after="0"/>
        <w:tabs>
          <w:tab w:leader="none" w:pos="200" w:val="left"/>
        </w:tabs>
        <w:numPr>
          <w:ilvl w:val="0"/>
          <w:numId w:val="61"/>
        </w:numPr>
        <w:rPr>
          <w:rFonts w:ascii="Arial" w:cs="Arial" w:eastAsia="Arial" w:hAnsi="Arial"/>
          <w:sz w:val="16"/>
          <w:szCs w:val="16"/>
          <w:color w:val="auto"/>
          <w:vertAlign w:val="superscript"/>
        </w:rPr>
      </w:pPr>
      <w:r>
        <w:rPr>
          <w:rFonts w:ascii="Arial" w:cs="Arial" w:eastAsia="Arial" w:hAnsi="Arial"/>
          <w:sz w:val="13"/>
          <w:szCs w:val="13"/>
          <w:color w:val="auto"/>
        </w:rPr>
        <w:t>Effective following the Annual Meeting.</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D7282F"/>
        </w:rPr>
        <w:t>GRACE LIEBLEIN</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D7282F"/>
        </w:rPr>
        <w:t>BACKGROUND</w:t>
      </w:r>
    </w:p>
    <w:p>
      <w:pPr>
        <w:spacing w:after="0" w:line="50" w:lineRule="exact"/>
        <w:rPr>
          <w:sz w:val="20"/>
          <w:szCs w:val="20"/>
          <w:color w:val="auto"/>
        </w:rPr>
      </w:pPr>
    </w:p>
    <w:p>
      <w:pPr>
        <w:ind w:left="200" w:right="120" w:hanging="192"/>
        <w:spacing w:after="0" w:line="242" w:lineRule="auto"/>
        <w:tabs>
          <w:tab w:leader="none" w:pos="197" w:val="left"/>
        </w:tabs>
        <w:numPr>
          <w:ilvl w:val="0"/>
          <w:numId w:val="62"/>
        </w:numPr>
        <w:rPr>
          <w:rFonts w:ascii="Arial" w:cs="Arial" w:eastAsia="Arial" w:hAnsi="Arial"/>
          <w:sz w:val="16"/>
          <w:szCs w:val="16"/>
          <w:b w:val="1"/>
          <w:bCs w:val="1"/>
          <w:color w:val="D7282F"/>
        </w:rPr>
      </w:pPr>
      <w:r>
        <w:rPr>
          <w:rFonts w:ascii="Arial" w:cs="Arial" w:eastAsia="Arial" w:hAnsi="Arial"/>
          <w:sz w:val="16"/>
          <w:szCs w:val="16"/>
          <w:color w:val="auto"/>
        </w:rPr>
        <w:t>Retired Chairman and Chief Executive Officer of Trane Technologies plc, a global climate innovator that has a portfolio of sustainable climate solutions, products, and services for the building, homes, and transportation industries. In 2020, Trane Technologies completed a spin-off of its industrial business (Trane Technologies was previously known as Ingersoll-Rand).</w:t>
      </w:r>
    </w:p>
    <w:p>
      <w:pPr>
        <w:spacing w:after="0" w:line="27" w:lineRule="exact"/>
        <w:rPr>
          <w:rFonts w:ascii="Arial" w:cs="Arial" w:eastAsia="Arial" w:hAnsi="Arial"/>
          <w:sz w:val="16"/>
          <w:szCs w:val="16"/>
          <w:b w:val="1"/>
          <w:bCs w:val="1"/>
          <w:color w:val="D7282F"/>
        </w:rPr>
      </w:pPr>
    </w:p>
    <w:p>
      <w:pPr>
        <w:ind w:left="200" w:right="80" w:hanging="192"/>
        <w:spacing w:after="0" w:line="248" w:lineRule="auto"/>
        <w:tabs>
          <w:tab w:leader="none" w:pos="197" w:val="left"/>
        </w:tabs>
        <w:numPr>
          <w:ilvl w:val="0"/>
          <w:numId w:val="62"/>
        </w:numPr>
        <w:rPr>
          <w:rFonts w:ascii="Arial" w:cs="Arial" w:eastAsia="Arial" w:hAnsi="Arial"/>
          <w:sz w:val="16"/>
          <w:szCs w:val="16"/>
          <w:b w:val="1"/>
          <w:bCs w:val="1"/>
          <w:color w:val="D7282F"/>
        </w:rPr>
      </w:pPr>
      <w:r>
        <w:rPr>
          <w:rFonts w:ascii="Arial" w:cs="Arial" w:eastAsia="Arial" w:hAnsi="Arial"/>
          <w:sz w:val="16"/>
          <w:szCs w:val="16"/>
          <w:color w:val="auto"/>
        </w:rPr>
        <w:t>Served as Executive Chair of Trane Technologies from July 2021 until his retirement in December 2021, having previously served as both Chairman and Chief Executive Officer following the company's February 2020 separation from Ingersoll-Rand.</w:t>
      </w:r>
    </w:p>
    <w:p>
      <w:pPr>
        <w:spacing w:after="0" w:line="10" w:lineRule="exact"/>
        <w:rPr>
          <w:rFonts w:ascii="Arial" w:cs="Arial" w:eastAsia="Arial" w:hAnsi="Arial"/>
          <w:sz w:val="16"/>
          <w:szCs w:val="16"/>
          <w:b w:val="1"/>
          <w:bCs w:val="1"/>
          <w:color w:val="D7282F"/>
        </w:rPr>
      </w:pPr>
    </w:p>
    <w:p>
      <w:pPr>
        <w:ind w:left="200" w:right="480" w:hanging="192"/>
        <w:spacing w:after="0" w:line="264" w:lineRule="auto"/>
        <w:tabs>
          <w:tab w:leader="none" w:pos="197" w:val="left"/>
        </w:tabs>
        <w:numPr>
          <w:ilvl w:val="0"/>
          <w:numId w:val="62"/>
        </w:numPr>
        <w:rPr>
          <w:rFonts w:ascii="Arial" w:cs="Arial" w:eastAsia="Arial" w:hAnsi="Arial"/>
          <w:sz w:val="16"/>
          <w:szCs w:val="16"/>
          <w:b w:val="1"/>
          <w:bCs w:val="1"/>
          <w:color w:val="D7282F"/>
        </w:rPr>
      </w:pPr>
      <w:r>
        <w:rPr>
          <w:rFonts w:ascii="Arial" w:cs="Arial" w:eastAsia="Arial" w:hAnsi="Arial"/>
          <w:sz w:val="16"/>
          <w:szCs w:val="16"/>
          <w:color w:val="auto"/>
        </w:rPr>
        <w:t>Served in a number of leadership roles after joining Ingersoll-Rand in 2004, including Chairman and Chief Executive Officer from June 2010 to February 2020.</w:t>
      </w:r>
    </w:p>
    <w:p>
      <w:pPr>
        <w:ind w:left="200" w:right="200" w:hanging="192"/>
        <w:spacing w:after="0" w:line="286" w:lineRule="auto"/>
        <w:tabs>
          <w:tab w:leader="none" w:pos="197" w:val="left"/>
        </w:tabs>
        <w:numPr>
          <w:ilvl w:val="0"/>
          <w:numId w:val="62"/>
        </w:numPr>
        <w:rPr>
          <w:rFonts w:ascii="Arial" w:cs="Arial" w:eastAsia="Arial" w:hAnsi="Arial"/>
          <w:sz w:val="16"/>
          <w:szCs w:val="16"/>
          <w:b w:val="1"/>
          <w:bCs w:val="1"/>
          <w:color w:val="D7282F"/>
        </w:rPr>
      </w:pPr>
      <w:r>
        <w:rPr>
          <w:rFonts w:ascii="Arial" w:cs="Arial" w:eastAsia="Arial" w:hAnsi="Arial"/>
          <w:sz w:val="16"/>
          <w:szCs w:val="16"/>
          <w:color w:val="auto"/>
        </w:rPr>
        <w:t>Served for 17 years in a variety of management positions at Johnson Controls International, a global leader in smart, healthy, and sustainable buildings.</w:t>
      </w:r>
    </w:p>
    <w:p>
      <w:pPr>
        <w:spacing w:after="0" w:line="200" w:lineRule="exact"/>
        <w:rPr>
          <w:rFonts w:ascii="Arial" w:cs="Arial" w:eastAsia="Arial" w:hAnsi="Arial"/>
          <w:sz w:val="16"/>
          <w:szCs w:val="16"/>
          <w:b w:val="1"/>
          <w:bCs w:val="1"/>
          <w:color w:val="D7282F"/>
        </w:rPr>
      </w:pPr>
    </w:p>
    <w:p>
      <w:pPr>
        <w:spacing w:after="0" w:line="200" w:lineRule="exact"/>
        <w:rPr>
          <w:rFonts w:ascii="Arial" w:cs="Arial" w:eastAsia="Arial" w:hAnsi="Arial"/>
          <w:sz w:val="16"/>
          <w:szCs w:val="16"/>
          <w:b w:val="1"/>
          <w:bCs w:val="1"/>
          <w:color w:val="D7282F"/>
        </w:rPr>
      </w:pPr>
    </w:p>
    <w:p>
      <w:pPr>
        <w:spacing w:after="0" w:line="219" w:lineRule="exact"/>
        <w:rPr>
          <w:rFonts w:ascii="Arial" w:cs="Arial" w:eastAsia="Arial" w:hAnsi="Arial"/>
          <w:sz w:val="16"/>
          <w:szCs w:val="16"/>
          <w:b w:val="1"/>
          <w:bCs w:val="1"/>
          <w:color w:val="D7282F"/>
        </w:rPr>
      </w:pPr>
    </w:p>
    <w:p>
      <w:pPr>
        <w:ind w:left="200"/>
        <w:spacing w:after="0"/>
        <w:rPr>
          <w:rFonts w:ascii="Arial" w:cs="Arial" w:eastAsia="Arial" w:hAnsi="Arial"/>
          <w:sz w:val="16"/>
          <w:szCs w:val="16"/>
          <w:b w:val="1"/>
          <w:bCs w:val="1"/>
          <w:color w:val="D7282F"/>
        </w:rPr>
      </w:pPr>
      <w:r>
        <w:rPr>
          <w:rFonts w:ascii="Arial" w:cs="Arial" w:eastAsia="Arial" w:hAnsi="Arial"/>
          <w:sz w:val="14"/>
          <w:szCs w:val="14"/>
          <w:b w:val="1"/>
          <w:bCs w:val="1"/>
          <w:color w:val="D7282F"/>
        </w:rPr>
        <w:t>SPECIFIC QUALIFICATIONS, ATTRIBUTES, SKILLS, AND EXPERIENCE</w:t>
      </w:r>
    </w:p>
    <w:p>
      <w:pPr>
        <w:spacing w:after="0" w:line="50" w:lineRule="exact"/>
        <w:rPr>
          <w:rFonts w:ascii="Arial" w:cs="Arial" w:eastAsia="Arial" w:hAnsi="Arial"/>
          <w:sz w:val="16"/>
          <w:szCs w:val="16"/>
          <w:b w:val="1"/>
          <w:bCs w:val="1"/>
          <w:color w:val="D7282F"/>
        </w:rPr>
      </w:pPr>
    </w:p>
    <w:p>
      <w:pPr>
        <w:ind w:left="400" w:right="260" w:hanging="197"/>
        <w:spacing w:after="0" w:line="248" w:lineRule="auto"/>
        <w:tabs>
          <w:tab w:leader="none" w:pos="397" w:val="left"/>
        </w:tabs>
        <w:numPr>
          <w:ilvl w:val="1"/>
          <w:numId w:val="62"/>
        </w:numPr>
        <w:rPr>
          <w:rFonts w:ascii="Arial" w:cs="Arial" w:eastAsia="Arial" w:hAnsi="Arial"/>
          <w:sz w:val="16"/>
          <w:szCs w:val="16"/>
          <w:b w:val="1"/>
          <w:bCs w:val="1"/>
          <w:color w:val="D7282F"/>
        </w:rPr>
      </w:pPr>
      <w:r>
        <w:rPr>
          <w:rFonts w:ascii="Arial" w:cs="Arial" w:eastAsia="Arial" w:hAnsi="Arial"/>
          <w:sz w:val="16"/>
          <w:szCs w:val="16"/>
          <w:color w:val="auto"/>
        </w:rPr>
        <w:t>Deep knowledge in sustainability, as well as engineering, mergers and acquisitions, enterprise-wide digital transformation, and operations, through his three decades of leadership roles at Trane Technologies, Ingersoll-Rand, and Johnson Controls.</w:t>
      </w:r>
    </w:p>
    <w:p>
      <w:pPr>
        <w:spacing w:after="0" w:line="10" w:lineRule="exact"/>
        <w:rPr>
          <w:rFonts w:ascii="Arial" w:cs="Arial" w:eastAsia="Arial" w:hAnsi="Arial"/>
          <w:sz w:val="16"/>
          <w:szCs w:val="16"/>
          <w:b w:val="1"/>
          <w:bCs w:val="1"/>
          <w:color w:val="D7282F"/>
        </w:rPr>
      </w:pPr>
    </w:p>
    <w:p>
      <w:pPr>
        <w:ind w:left="400" w:right="280" w:hanging="197"/>
        <w:spacing w:after="0" w:line="272" w:lineRule="auto"/>
        <w:tabs>
          <w:tab w:leader="none" w:pos="397" w:val="left"/>
        </w:tabs>
        <w:numPr>
          <w:ilvl w:val="1"/>
          <w:numId w:val="62"/>
        </w:numPr>
        <w:rPr>
          <w:rFonts w:ascii="Arial" w:cs="Arial" w:eastAsia="Arial" w:hAnsi="Arial"/>
          <w:sz w:val="16"/>
          <w:szCs w:val="16"/>
          <w:b w:val="1"/>
          <w:bCs w:val="1"/>
          <w:color w:val="D7282F"/>
        </w:rPr>
      </w:pPr>
      <w:r>
        <w:rPr>
          <w:rFonts w:ascii="Arial" w:cs="Arial" w:eastAsia="Arial" w:hAnsi="Arial"/>
          <w:sz w:val="16"/>
          <w:szCs w:val="16"/>
          <w:color w:val="auto"/>
        </w:rPr>
        <w:t>Proven leadership in transforming Trane Technologies into a global leader in climate controls and climate-focused innovations for buildings, homes, and transportation.</w:t>
      </w:r>
    </w:p>
    <w:p>
      <w:pPr>
        <w:spacing w:after="0" w:line="1" w:lineRule="exact"/>
        <w:rPr>
          <w:rFonts w:ascii="Arial" w:cs="Arial" w:eastAsia="Arial" w:hAnsi="Arial"/>
          <w:sz w:val="16"/>
          <w:szCs w:val="16"/>
          <w:b w:val="1"/>
          <w:bCs w:val="1"/>
          <w:color w:val="D7282F"/>
        </w:rPr>
      </w:pPr>
    </w:p>
    <w:p>
      <w:pPr>
        <w:ind w:left="400" w:hanging="197"/>
        <w:spacing w:after="0"/>
        <w:tabs>
          <w:tab w:leader="none" w:pos="400" w:val="left"/>
        </w:tabs>
        <w:numPr>
          <w:ilvl w:val="1"/>
          <w:numId w:val="62"/>
        </w:numPr>
        <w:rPr>
          <w:rFonts w:ascii="Arial" w:cs="Arial" w:eastAsia="Arial" w:hAnsi="Arial"/>
          <w:sz w:val="16"/>
          <w:szCs w:val="16"/>
          <w:b w:val="1"/>
          <w:bCs w:val="1"/>
          <w:color w:val="D7282F"/>
        </w:rPr>
      </w:pPr>
      <w:r>
        <w:rPr>
          <w:rFonts w:ascii="Arial" w:cs="Arial" w:eastAsia="Arial" w:hAnsi="Arial"/>
          <w:sz w:val="16"/>
          <w:szCs w:val="16"/>
          <w:color w:val="auto"/>
        </w:rPr>
        <w:t>Experience in building controls automation technology.</w:t>
      </w:r>
    </w:p>
    <w:p>
      <w:pPr>
        <w:spacing w:after="0" w:line="45" w:lineRule="exact"/>
        <w:rPr>
          <w:rFonts w:ascii="Arial" w:cs="Arial" w:eastAsia="Arial" w:hAnsi="Arial"/>
          <w:sz w:val="16"/>
          <w:szCs w:val="16"/>
          <w:b w:val="1"/>
          <w:bCs w:val="1"/>
          <w:color w:val="D7282F"/>
        </w:rPr>
      </w:pPr>
    </w:p>
    <w:p>
      <w:pPr>
        <w:ind w:left="400" w:right="400" w:hanging="197"/>
        <w:spacing w:after="0" w:line="268" w:lineRule="auto"/>
        <w:tabs>
          <w:tab w:leader="none" w:pos="397" w:val="left"/>
        </w:tabs>
        <w:numPr>
          <w:ilvl w:val="1"/>
          <w:numId w:val="62"/>
        </w:numPr>
        <w:rPr>
          <w:rFonts w:ascii="Arial" w:cs="Arial" w:eastAsia="Arial" w:hAnsi="Arial"/>
          <w:sz w:val="16"/>
          <w:szCs w:val="16"/>
          <w:b w:val="1"/>
          <w:bCs w:val="1"/>
          <w:color w:val="D7282F"/>
        </w:rPr>
      </w:pPr>
      <w:r>
        <w:rPr>
          <w:rFonts w:ascii="Arial" w:cs="Arial" w:eastAsia="Arial" w:hAnsi="Arial"/>
          <w:sz w:val="16"/>
          <w:szCs w:val="16"/>
          <w:color w:val="auto"/>
        </w:rPr>
        <w:t>Proven experience, reputation, and leadership skills in developing business enterprises across industrial sectors that can deliver growth, sustainable value creation, and innovation.</w:t>
      </w:r>
    </w:p>
    <w:p>
      <w:pPr>
        <w:spacing w:after="0" w:line="1201" w:lineRule="exact"/>
        <w:rPr>
          <w:sz w:val="20"/>
          <w:szCs w:val="20"/>
          <w:color w:val="auto"/>
        </w:rPr>
      </w:pPr>
    </w:p>
    <w:p>
      <w:pPr>
        <w:sectPr>
          <w:pgSz w:w="11900" w:h="16838" w:orient="portrait"/>
          <w:cols w:equalWidth="0" w:num="2">
            <w:col w:w="2620" w:space="300"/>
            <w:col w:w="8240"/>
          </w:cols>
          <w:pgMar w:left="320" w:top="230" w:right="419" w:bottom="1440" w:gutter="0" w:footer="0" w:header="0"/>
          <w:type w:val="continuous"/>
        </w:sectPr>
      </w:pPr>
    </w:p>
    <w:p>
      <w:pPr>
        <w:ind w:left="20"/>
        <w:spacing w:after="0"/>
        <w:rPr>
          <w:sz w:val="20"/>
          <w:szCs w:val="20"/>
          <w:color w:val="auto"/>
        </w:rPr>
      </w:pPr>
      <w:r>
        <w:rPr>
          <w:rFonts w:ascii="Arial" w:cs="Arial" w:eastAsia="Arial" w:hAnsi="Arial"/>
          <w:sz w:val="14"/>
          <w:szCs w:val="14"/>
          <w:b w:val="1"/>
          <w:bCs w:val="1"/>
          <w:color w:val="auto"/>
        </w:rPr>
        <w:t>FORMER VICE PRESIDENT, GLOBAL QUALITY, GENERAL MOTORS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23430" cy="303466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23430" cy="3034665"/>
                    </a:xfrm>
                    <a:prstGeom prst="rect">
                      <a:avLst/>
                    </a:prstGeom>
                    <a:noFill/>
                  </pic:spPr>
                </pic:pic>
              </a:graphicData>
            </a:graphic>
          </wp:anchor>
        </w:drawing>
      </w:r>
    </w:p>
    <w:p>
      <w:pPr>
        <w:sectPr>
          <w:pgSz w:w="11900" w:h="16838" w:orient="portrait"/>
          <w:cols w:equalWidth="0" w:num="1">
            <w:col w:w="11160"/>
          </w:cols>
          <w:pgMar w:left="320" w:top="230"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Years of Service: 13</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b w:val="1"/>
          <w:bCs w:val="1"/>
          <w:color w:val="D7282F"/>
        </w:rPr>
        <w:t>65</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D7282F"/>
        </w:rPr>
        <w:t>COMMITTEES:</w:t>
      </w:r>
    </w:p>
    <w:p>
      <w:pPr>
        <w:spacing w:after="0" w:line="12" w:lineRule="exact"/>
        <w:rPr>
          <w:sz w:val="20"/>
          <w:szCs w:val="20"/>
          <w:color w:val="auto"/>
        </w:rPr>
      </w:pPr>
    </w:p>
    <w:p>
      <w:pPr>
        <w:ind w:left="220" w:right="140" w:hanging="194"/>
        <w:spacing w:after="0" w:line="248" w:lineRule="auto"/>
        <w:tabs>
          <w:tab w:leader="none" w:pos="217" w:val="left"/>
        </w:tabs>
        <w:numPr>
          <w:ilvl w:val="0"/>
          <w:numId w:val="63"/>
        </w:numPr>
        <w:rPr>
          <w:rFonts w:ascii="Arial" w:cs="Arial" w:eastAsia="Arial" w:hAnsi="Arial"/>
          <w:sz w:val="16"/>
          <w:szCs w:val="16"/>
          <w:b w:val="1"/>
          <w:bCs w:val="1"/>
          <w:color w:val="D7282F"/>
        </w:rPr>
      </w:pPr>
      <w:r>
        <w:rPr>
          <w:rFonts w:ascii="Arial" w:cs="Arial" w:eastAsia="Arial" w:hAnsi="Arial"/>
          <w:sz w:val="16"/>
          <w:szCs w:val="16"/>
          <w:color w:val="auto"/>
        </w:rPr>
        <w:t>Management Development and Compensation (Chair)</w:t>
      </w:r>
    </w:p>
    <w:p>
      <w:pPr>
        <w:spacing w:after="0" w:line="8" w:lineRule="exact"/>
        <w:rPr>
          <w:rFonts w:ascii="Arial" w:cs="Arial" w:eastAsia="Arial" w:hAnsi="Arial"/>
          <w:sz w:val="16"/>
          <w:szCs w:val="16"/>
          <w:b w:val="1"/>
          <w:bCs w:val="1"/>
          <w:color w:val="D7282F"/>
        </w:rPr>
      </w:pPr>
    </w:p>
    <w:p>
      <w:pPr>
        <w:ind w:left="220" w:right="440" w:hanging="194"/>
        <w:spacing w:after="0" w:line="268" w:lineRule="auto"/>
        <w:tabs>
          <w:tab w:leader="none" w:pos="217" w:val="left"/>
        </w:tabs>
        <w:numPr>
          <w:ilvl w:val="0"/>
          <w:numId w:val="63"/>
        </w:numPr>
        <w:rPr>
          <w:rFonts w:ascii="Arial" w:cs="Arial" w:eastAsia="Arial" w:hAnsi="Arial"/>
          <w:sz w:val="16"/>
          <w:szCs w:val="16"/>
          <w:b w:val="1"/>
          <w:bCs w:val="1"/>
          <w:color w:val="D7282F"/>
        </w:rPr>
      </w:pPr>
      <w:r>
        <w:rPr>
          <w:rFonts w:ascii="Arial" w:cs="Arial" w:eastAsia="Arial" w:hAnsi="Arial"/>
          <w:sz w:val="16"/>
          <w:szCs w:val="16"/>
          <w:color w:val="auto"/>
        </w:rPr>
        <w:t>Corporate Governance and Responsibility</w:t>
      </w:r>
    </w:p>
    <w:p>
      <w:pPr>
        <w:spacing w:after="0" w:line="66" w:lineRule="exact"/>
        <w:rPr>
          <w:sz w:val="20"/>
          <w:szCs w:val="20"/>
          <w:color w:val="auto"/>
        </w:rPr>
      </w:pPr>
    </w:p>
    <w:p>
      <w:pPr>
        <w:ind w:left="20"/>
        <w:spacing w:after="0" w:line="239" w:lineRule="auto"/>
        <w:rPr>
          <w:sz w:val="20"/>
          <w:szCs w:val="20"/>
          <w:color w:val="auto"/>
        </w:rPr>
      </w:pPr>
      <w:r>
        <w:rPr>
          <w:rFonts w:ascii="Arial" w:cs="Arial" w:eastAsia="Arial" w:hAnsi="Arial"/>
          <w:sz w:val="14"/>
          <w:szCs w:val="14"/>
          <w:b w:val="1"/>
          <w:bCs w:val="1"/>
          <w:color w:val="D7282F"/>
        </w:rPr>
        <w:t>OTHER CURRENT PUBLIC COMPANY BOARDS:</w:t>
      </w:r>
    </w:p>
    <w:p>
      <w:pPr>
        <w:spacing w:after="0" w:line="1" w:lineRule="exact"/>
        <w:rPr>
          <w:sz w:val="20"/>
          <w:szCs w:val="20"/>
          <w:color w:val="auto"/>
        </w:rPr>
      </w:pPr>
    </w:p>
    <w:p>
      <w:pPr>
        <w:ind w:left="220" w:hanging="194"/>
        <w:spacing w:after="0"/>
        <w:tabs>
          <w:tab w:leader="none" w:pos="220" w:val="left"/>
        </w:tabs>
        <w:numPr>
          <w:ilvl w:val="0"/>
          <w:numId w:val="64"/>
        </w:numPr>
        <w:rPr>
          <w:rFonts w:ascii="Arial" w:cs="Arial" w:eastAsia="Arial" w:hAnsi="Arial"/>
          <w:sz w:val="16"/>
          <w:szCs w:val="16"/>
          <w:b w:val="1"/>
          <w:bCs w:val="1"/>
          <w:color w:val="D7282F"/>
        </w:rPr>
      </w:pPr>
      <w:r>
        <w:rPr>
          <w:rFonts w:ascii="Arial" w:cs="Arial" w:eastAsia="Arial" w:hAnsi="Arial"/>
          <w:sz w:val="16"/>
          <w:szCs w:val="16"/>
          <w:color w:val="auto"/>
        </w:rPr>
        <w:t>American Tower Corporation</w:t>
      </w:r>
    </w:p>
    <w:p>
      <w:pPr>
        <w:spacing w:after="0" w:line="8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D7282F"/>
        </w:rPr>
        <w:t>PAST PUBLIC COMPANY BOARDS:</w:t>
      </w:r>
    </w:p>
    <w:p>
      <w:pPr>
        <w:spacing w:after="0" w:line="12" w:lineRule="exact"/>
        <w:rPr>
          <w:sz w:val="20"/>
          <w:szCs w:val="20"/>
          <w:color w:val="auto"/>
        </w:rPr>
      </w:pPr>
    </w:p>
    <w:p>
      <w:pPr>
        <w:ind w:left="220" w:hanging="194"/>
        <w:spacing w:after="0"/>
        <w:tabs>
          <w:tab w:leader="none" w:pos="220" w:val="left"/>
        </w:tabs>
        <w:numPr>
          <w:ilvl w:val="0"/>
          <w:numId w:val="65"/>
        </w:numPr>
        <w:rPr>
          <w:rFonts w:ascii="Arial" w:cs="Arial" w:eastAsia="Arial" w:hAnsi="Arial"/>
          <w:sz w:val="16"/>
          <w:szCs w:val="16"/>
          <w:b w:val="1"/>
          <w:bCs w:val="1"/>
          <w:color w:val="D7282F"/>
        </w:rPr>
      </w:pPr>
      <w:r>
        <w:rPr>
          <w:rFonts w:ascii="Arial" w:cs="Arial" w:eastAsia="Arial" w:hAnsi="Arial"/>
          <w:sz w:val="16"/>
          <w:szCs w:val="16"/>
          <w:color w:val="auto"/>
        </w:rPr>
        <w:t>Southwest Airlines Co.</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D7282F"/>
        </w:rPr>
        <w:t>BACKGROUND</w:t>
      </w:r>
    </w:p>
    <w:p>
      <w:pPr>
        <w:spacing w:after="0" w:line="50" w:lineRule="exact"/>
        <w:rPr>
          <w:sz w:val="20"/>
          <w:szCs w:val="20"/>
          <w:color w:val="auto"/>
        </w:rPr>
      </w:pPr>
    </w:p>
    <w:p>
      <w:pPr>
        <w:ind w:left="200" w:right="160" w:hanging="192"/>
        <w:spacing w:after="0" w:line="248" w:lineRule="auto"/>
        <w:tabs>
          <w:tab w:leader="none" w:pos="197" w:val="left"/>
        </w:tabs>
        <w:numPr>
          <w:ilvl w:val="0"/>
          <w:numId w:val="66"/>
        </w:numPr>
        <w:rPr>
          <w:rFonts w:ascii="Arial" w:cs="Arial" w:eastAsia="Arial" w:hAnsi="Arial"/>
          <w:sz w:val="16"/>
          <w:szCs w:val="16"/>
          <w:b w:val="1"/>
          <w:bCs w:val="1"/>
          <w:color w:val="D7282F"/>
        </w:rPr>
      </w:pPr>
      <w:r>
        <w:rPr>
          <w:rFonts w:ascii="Arial" w:cs="Arial" w:eastAsia="Arial" w:hAnsi="Arial"/>
          <w:sz w:val="16"/>
          <w:szCs w:val="16"/>
          <w:color w:val="auto"/>
        </w:rPr>
        <w:t>Served as Vice President, Global Quality of General Motors Corporation (GM), a company that designs, manufactures, and markets cars, crossovers, trucks, and automobile parts worldwide, from November 2014 to March 2016.</w:t>
      </w:r>
    </w:p>
    <w:p>
      <w:pPr>
        <w:spacing w:after="0" w:line="10" w:lineRule="exact"/>
        <w:rPr>
          <w:rFonts w:ascii="Arial" w:cs="Arial" w:eastAsia="Arial" w:hAnsi="Arial"/>
          <w:sz w:val="16"/>
          <w:szCs w:val="16"/>
          <w:b w:val="1"/>
          <w:bCs w:val="1"/>
          <w:color w:val="D7282F"/>
        </w:rPr>
      </w:pPr>
    </w:p>
    <w:p>
      <w:pPr>
        <w:ind w:left="200" w:hanging="192"/>
        <w:spacing w:after="0" w:line="248" w:lineRule="auto"/>
        <w:tabs>
          <w:tab w:leader="none" w:pos="197" w:val="left"/>
        </w:tabs>
        <w:numPr>
          <w:ilvl w:val="0"/>
          <w:numId w:val="66"/>
        </w:numPr>
        <w:rPr>
          <w:rFonts w:ascii="Arial" w:cs="Arial" w:eastAsia="Arial" w:hAnsi="Arial"/>
          <w:sz w:val="16"/>
          <w:szCs w:val="16"/>
          <w:b w:val="1"/>
          <w:bCs w:val="1"/>
          <w:color w:val="D7282F"/>
        </w:rPr>
      </w:pPr>
      <w:r>
        <w:rPr>
          <w:rFonts w:ascii="Arial" w:cs="Arial" w:eastAsia="Arial" w:hAnsi="Arial"/>
          <w:sz w:val="16"/>
          <w:szCs w:val="16"/>
          <w:color w:val="auto"/>
        </w:rPr>
        <w:t>Served in multiple leadership roles at GM, including Vice President, Global Purchasing and Supply Chain from December 2012 to November 2014, GM Brazil President and Managing Director from June 2011 until December 2012, GM Mexico President and Managing Director from January 2009 until June 2011, and Vehicle Chief Engineer from October 2004 to January 2009.</w:t>
      </w:r>
    </w:p>
    <w:p>
      <w:pPr>
        <w:spacing w:after="0" w:line="9" w:lineRule="exact"/>
        <w:rPr>
          <w:rFonts w:ascii="Arial" w:cs="Arial" w:eastAsia="Arial" w:hAnsi="Arial"/>
          <w:sz w:val="16"/>
          <w:szCs w:val="16"/>
          <w:b w:val="1"/>
          <w:bCs w:val="1"/>
          <w:color w:val="D7282F"/>
        </w:rPr>
      </w:pPr>
    </w:p>
    <w:p>
      <w:pPr>
        <w:ind w:left="200" w:right="440" w:hanging="192"/>
        <w:spacing w:after="0" w:line="268" w:lineRule="auto"/>
        <w:tabs>
          <w:tab w:leader="none" w:pos="197" w:val="left"/>
        </w:tabs>
        <w:numPr>
          <w:ilvl w:val="0"/>
          <w:numId w:val="66"/>
        </w:numPr>
        <w:rPr>
          <w:rFonts w:ascii="Arial" w:cs="Arial" w:eastAsia="Arial" w:hAnsi="Arial"/>
          <w:sz w:val="16"/>
          <w:szCs w:val="16"/>
          <w:b w:val="1"/>
          <w:bCs w:val="1"/>
          <w:color w:val="D7282F"/>
        </w:rPr>
      </w:pPr>
      <w:r>
        <w:rPr>
          <w:rFonts w:ascii="Arial" w:cs="Arial" w:eastAsia="Arial" w:hAnsi="Arial"/>
          <w:sz w:val="16"/>
          <w:szCs w:val="16"/>
          <w:color w:val="auto"/>
        </w:rPr>
        <w:t>Joined GM in 1978 as a co-op student at the General Motors Assembly Division in Los Angeles and held a variety of leadership positions at GM in engineering, product development, and manufacturing.</w:t>
      </w:r>
    </w:p>
    <w:p>
      <w:pPr>
        <w:spacing w:after="0" w:line="200" w:lineRule="exact"/>
        <w:rPr>
          <w:rFonts w:ascii="Arial" w:cs="Arial" w:eastAsia="Arial" w:hAnsi="Arial"/>
          <w:sz w:val="16"/>
          <w:szCs w:val="16"/>
          <w:b w:val="1"/>
          <w:bCs w:val="1"/>
          <w:color w:val="D7282F"/>
        </w:rPr>
      </w:pPr>
    </w:p>
    <w:p>
      <w:pPr>
        <w:spacing w:after="0" w:line="200" w:lineRule="exact"/>
        <w:rPr>
          <w:rFonts w:ascii="Arial" w:cs="Arial" w:eastAsia="Arial" w:hAnsi="Arial"/>
          <w:sz w:val="16"/>
          <w:szCs w:val="16"/>
          <w:b w:val="1"/>
          <w:bCs w:val="1"/>
          <w:color w:val="D7282F"/>
        </w:rPr>
      </w:pPr>
    </w:p>
    <w:p>
      <w:pPr>
        <w:spacing w:after="0" w:line="200" w:lineRule="exact"/>
        <w:rPr>
          <w:rFonts w:ascii="Arial" w:cs="Arial" w:eastAsia="Arial" w:hAnsi="Arial"/>
          <w:sz w:val="16"/>
          <w:szCs w:val="16"/>
          <w:b w:val="1"/>
          <w:bCs w:val="1"/>
          <w:color w:val="D7282F"/>
        </w:rPr>
      </w:pPr>
    </w:p>
    <w:p>
      <w:pPr>
        <w:spacing w:after="0" w:line="208" w:lineRule="exact"/>
        <w:rPr>
          <w:rFonts w:ascii="Arial" w:cs="Arial" w:eastAsia="Arial" w:hAnsi="Arial"/>
          <w:sz w:val="16"/>
          <w:szCs w:val="16"/>
          <w:b w:val="1"/>
          <w:bCs w:val="1"/>
          <w:color w:val="D7282F"/>
        </w:rPr>
      </w:pPr>
    </w:p>
    <w:p>
      <w:pPr>
        <w:ind w:left="200"/>
        <w:spacing w:after="0"/>
        <w:rPr>
          <w:rFonts w:ascii="Arial" w:cs="Arial" w:eastAsia="Arial" w:hAnsi="Arial"/>
          <w:sz w:val="16"/>
          <w:szCs w:val="16"/>
          <w:b w:val="1"/>
          <w:bCs w:val="1"/>
          <w:color w:val="D7282F"/>
        </w:rPr>
      </w:pPr>
      <w:r>
        <w:rPr>
          <w:rFonts w:ascii="Arial" w:cs="Arial" w:eastAsia="Arial" w:hAnsi="Arial"/>
          <w:sz w:val="14"/>
          <w:szCs w:val="14"/>
          <w:b w:val="1"/>
          <w:bCs w:val="1"/>
          <w:color w:val="D7282F"/>
        </w:rPr>
        <w:t>SPECIFIC QUALIFICATIONS, ATTRIBUTES, SKILLS, AND EXPERIENCE</w:t>
      </w:r>
    </w:p>
    <w:p>
      <w:pPr>
        <w:spacing w:after="0" w:line="50" w:lineRule="exact"/>
        <w:rPr>
          <w:rFonts w:ascii="Arial" w:cs="Arial" w:eastAsia="Arial" w:hAnsi="Arial"/>
          <w:sz w:val="16"/>
          <w:szCs w:val="16"/>
          <w:b w:val="1"/>
          <w:bCs w:val="1"/>
          <w:color w:val="D7282F"/>
        </w:rPr>
      </w:pPr>
    </w:p>
    <w:p>
      <w:pPr>
        <w:ind w:left="400" w:right="200" w:hanging="197"/>
        <w:spacing w:after="0" w:line="264" w:lineRule="auto"/>
        <w:tabs>
          <w:tab w:leader="none" w:pos="397" w:val="left"/>
        </w:tabs>
        <w:numPr>
          <w:ilvl w:val="1"/>
          <w:numId w:val="66"/>
        </w:numPr>
        <w:rPr>
          <w:rFonts w:ascii="Arial" w:cs="Arial" w:eastAsia="Arial" w:hAnsi="Arial"/>
          <w:sz w:val="16"/>
          <w:szCs w:val="16"/>
          <w:b w:val="1"/>
          <w:bCs w:val="1"/>
          <w:color w:val="D7282F"/>
        </w:rPr>
      </w:pPr>
      <w:r>
        <w:rPr>
          <w:rFonts w:ascii="Arial" w:cs="Arial" w:eastAsia="Arial" w:hAnsi="Arial"/>
          <w:sz w:val="16"/>
          <w:szCs w:val="16"/>
          <w:color w:val="auto"/>
        </w:rPr>
        <w:t>Wide-ranging management and operating experience gained through various executive positions during an extensive career at GM.</w:t>
      </w:r>
    </w:p>
    <w:p>
      <w:pPr>
        <w:ind w:left="400" w:right="540" w:hanging="197"/>
        <w:spacing w:after="0" w:line="264" w:lineRule="auto"/>
        <w:tabs>
          <w:tab w:leader="none" w:pos="397" w:val="left"/>
        </w:tabs>
        <w:numPr>
          <w:ilvl w:val="1"/>
          <w:numId w:val="66"/>
        </w:numPr>
        <w:rPr>
          <w:rFonts w:ascii="Arial" w:cs="Arial" w:eastAsia="Arial" w:hAnsi="Arial"/>
          <w:sz w:val="16"/>
          <w:szCs w:val="16"/>
          <w:b w:val="1"/>
          <w:bCs w:val="1"/>
          <w:color w:val="D7282F"/>
        </w:rPr>
      </w:pPr>
      <w:r>
        <w:rPr>
          <w:rFonts w:ascii="Arial" w:cs="Arial" w:eastAsia="Arial" w:hAnsi="Arial"/>
          <w:sz w:val="16"/>
          <w:szCs w:val="16"/>
          <w:color w:val="auto"/>
        </w:rPr>
        <w:t>Significant expertise in supply chain management, global manufacturing, engineering, technology, and product design and development.</w:t>
      </w:r>
    </w:p>
    <w:p>
      <w:pPr>
        <w:ind w:left="400" w:right="400" w:hanging="197"/>
        <w:spacing w:after="0" w:line="286" w:lineRule="auto"/>
        <w:tabs>
          <w:tab w:leader="none" w:pos="397" w:val="left"/>
        </w:tabs>
        <w:numPr>
          <w:ilvl w:val="1"/>
          <w:numId w:val="66"/>
        </w:numPr>
        <w:rPr>
          <w:rFonts w:ascii="Arial" w:cs="Arial" w:eastAsia="Arial" w:hAnsi="Arial"/>
          <w:sz w:val="16"/>
          <w:szCs w:val="16"/>
          <w:b w:val="1"/>
          <w:bCs w:val="1"/>
          <w:color w:val="D7282F"/>
        </w:rPr>
      </w:pPr>
      <w:r>
        <w:rPr>
          <w:rFonts w:ascii="Arial" w:cs="Arial" w:eastAsia="Arial" w:hAnsi="Arial"/>
          <w:sz w:val="16"/>
          <w:szCs w:val="16"/>
          <w:color w:val="auto"/>
        </w:rPr>
        <w:t>International business, operations, and finance experience gained through senior leadership positions in Brazil and Mexico.</w:t>
      </w:r>
    </w:p>
    <w:p>
      <w:pPr>
        <w:spacing w:after="0" w:line="271" w:lineRule="exact"/>
        <w:rPr>
          <w:sz w:val="20"/>
          <w:szCs w:val="20"/>
          <w:color w:val="auto"/>
        </w:rPr>
      </w:pPr>
    </w:p>
    <w:p>
      <w:pPr>
        <w:sectPr>
          <w:pgSz w:w="11900" w:h="16838" w:orient="portrait"/>
          <w:cols w:equalWidth="0" w:num="2">
            <w:col w:w="2620" w:space="300"/>
            <w:col w:w="8240"/>
          </w:cols>
          <w:pgMar w:left="320" w:top="230" w:right="419" w:bottom="1440" w:gutter="0" w:footer="0" w:header="0"/>
          <w:type w:val="continuous"/>
        </w:sectPr>
      </w:pPr>
    </w:p>
    <w:p>
      <w:pPr>
        <w:spacing w:after="0" w:line="200" w:lineRule="exact"/>
        <w:rPr>
          <w:sz w:val="20"/>
          <w:szCs w:val="20"/>
          <w:color w:val="auto"/>
        </w:rPr>
      </w:pPr>
    </w:p>
    <w:p>
      <w:pPr>
        <w:spacing w:after="0" w:line="346"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sz w:val="1"/>
          <w:szCs w:val="1"/>
          <w:color w:val="auto"/>
        </w:rPr>
        <w:drawing>
          <wp:inline distT="0" distB="0" distL="0" distR="0">
            <wp:extent cx="548640" cy="102870"/>
            <wp:effectExtent l="0" t="0" r="0" b="0"/>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2026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30" w:right="419" w:bottom="1440" w:gutter="0" w:footer="0" w:header="0"/>
          <w:type w:val="continuous"/>
        </w:sectPr>
      </w:pPr>
    </w:p>
    <w:bookmarkStart w:id="29" w:name="page30"/>
    <w:bookmarkEnd w:id="29"/>
    <w:p>
      <w:pPr>
        <w:jc w:val="right"/>
        <w:spacing w:after="0"/>
        <w:rPr>
          <w:sz w:val="20"/>
          <w:szCs w:val="20"/>
          <w:color w:val="auto"/>
        </w:rPr>
      </w:pPr>
      <w:r>
        <w:rPr>
          <w:rFonts w:ascii="Arial" w:cs="Arial" w:eastAsia="Arial" w:hAnsi="Arial"/>
          <w:sz w:val="13"/>
          <w:szCs w:val="13"/>
          <w:b w:val="1"/>
          <w:bCs w:val="1"/>
          <w:color w:val="6D6E71"/>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D7282F"/>
        </w:rPr>
        <w:t>INDRA K. NOOYI</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FORMER CHAIR AND CHIEF EXECUTIVE OFFICER, PEPSICO,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23430" cy="327469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23430" cy="327469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Years of Service: 0</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b w:val="1"/>
          <w:bCs w:val="1"/>
          <w:color w:val="D7282F"/>
        </w:rPr>
        <w:t>70</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D7282F"/>
        </w:rPr>
        <w:t>COMMITTEES:</w:t>
      </w:r>
    </w:p>
    <w:p>
      <w:pPr>
        <w:ind w:left="220" w:right="140" w:hanging="194"/>
        <w:spacing w:after="0" w:line="248" w:lineRule="auto"/>
        <w:tabs>
          <w:tab w:leader="none" w:pos="217" w:val="left"/>
        </w:tabs>
        <w:numPr>
          <w:ilvl w:val="0"/>
          <w:numId w:val="67"/>
        </w:numPr>
        <w:rPr>
          <w:rFonts w:ascii="Arial" w:cs="Arial" w:eastAsia="Arial" w:hAnsi="Arial"/>
          <w:sz w:val="16"/>
          <w:szCs w:val="16"/>
          <w:b w:val="1"/>
          <w:bCs w:val="1"/>
          <w:color w:val="D7282F"/>
        </w:rPr>
      </w:pPr>
      <w:r>
        <w:rPr>
          <w:rFonts w:ascii="Arial" w:cs="Arial" w:eastAsia="Arial" w:hAnsi="Arial"/>
          <w:sz w:val="16"/>
          <w:szCs w:val="16"/>
          <w:color w:val="auto"/>
        </w:rPr>
        <w:t>Management Development and Compensation</w:t>
      </w:r>
    </w:p>
    <w:p>
      <w:pPr>
        <w:spacing w:after="0" w:line="95" w:lineRule="exact"/>
        <w:rPr>
          <w:sz w:val="20"/>
          <w:szCs w:val="20"/>
          <w:color w:val="auto"/>
        </w:rPr>
      </w:pPr>
    </w:p>
    <w:p>
      <w:pPr>
        <w:ind w:left="20"/>
        <w:spacing w:after="0" w:line="249" w:lineRule="auto"/>
        <w:rPr>
          <w:sz w:val="20"/>
          <w:szCs w:val="20"/>
          <w:color w:val="auto"/>
        </w:rPr>
      </w:pPr>
      <w:r>
        <w:rPr>
          <w:rFonts w:ascii="Arial" w:cs="Arial" w:eastAsia="Arial" w:hAnsi="Arial"/>
          <w:sz w:val="14"/>
          <w:szCs w:val="14"/>
          <w:b w:val="1"/>
          <w:bCs w:val="1"/>
          <w:color w:val="D7282F"/>
        </w:rPr>
        <w:t>OTHER CURRENT PUBLIC COMPANY BOARDS:</w:t>
      </w:r>
    </w:p>
    <w:p>
      <w:pPr>
        <w:spacing w:after="0" w:line="1" w:lineRule="exact"/>
        <w:rPr>
          <w:sz w:val="20"/>
          <w:szCs w:val="20"/>
          <w:color w:val="auto"/>
        </w:rPr>
      </w:pPr>
    </w:p>
    <w:p>
      <w:pPr>
        <w:ind w:left="220" w:hanging="194"/>
        <w:spacing w:after="0"/>
        <w:tabs>
          <w:tab w:leader="none" w:pos="220" w:val="left"/>
        </w:tabs>
        <w:numPr>
          <w:ilvl w:val="0"/>
          <w:numId w:val="68"/>
        </w:numPr>
        <w:rPr>
          <w:rFonts w:ascii="Arial" w:cs="Arial" w:eastAsia="Arial" w:hAnsi="Arial"/>
          <w:sz w:val="16"/>
          <w:szCs w:val="16"/>
          <w:b w:val="1"/>
          <w:bCs w:val="1"/>
          <w:color w:val="D7282F"/>
        </w:rPr>
      </w:pPr>
      <w:r>
        <w:rPr>
          <w:rFonts w:ascii="Arial" w:cs="Arial" w:eastAsia="Arial" w:hAnsi="Arial"/>
          <w:sz w:val="16"/>
          <w:szCs w:val="16"/>
          <w:color w:val="auto"/>
        </w:rPr>
        <w:t>Amazon.com, Inc.</w:t>
      </w:r>
    </w:p>
    <w:p>
      <w:pPr>
        <w:spacing w:after="0" w:line="29" w:lineRule="exact"/>
        <w:rPr>
          <w:rFonts w:ascii="Arial" w:cs="Arial" w:eastAsia="Arial" w:hAnsi="Arial"/>
          <w:sz w:val="16"/>
          <w:szCs w:val="16"/>
          <w:b w:val="1"/>
          <w:bCs w:val="1"/>
          <w:color w:val="D7282F"/>
        </w:rPr>
      </w:pPr>
    </w:p>
    <w:p>
      <w:pPr>
        <w:ind w:left="220" w:right="280" w:hanging="194"/>
        <w:spacing w:after="0" w:line="286" w:lineRule="auto"/>
        <w:tabs>
          <w:tab w:leader="none" w:pos="217" w:val="left"/>
        </w:tabs>
        <w:numPr>
          <w:ilvl w:val="0"/>
          <w:numId w:val="68"/>
        </w:numPr>
        <w:rPr>
          <w:rFonts w:ascii="Arial" w:cs="Arial" w:eastAsia="Arial" w:hAnsi="Arial"/>
          <w:sz w:val="16"/>
          <w:szCs w:val="16"/>
          <w:b w:val="1"/>
          <w:bCs w:val="1"/>
          <w:color w:val="D7282F"/>
        </w:rPr>
      </w:pPr>
      <w:r>
        <w:rPr>
          <w:rFonts w:ascii="Arial" w:cs="Arial" w:eastAsia="Arial" w:hAnsi="Arial"/>
          <w:sz w:val="16"/>
          <w:szCs w:val="16"/>
          <w:color w:val="auto"/>
        </w:rPr>
        <w:t>Koninklijke Phillips NV (Royal Phillips)</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D7282F"/>
        </w:rPr>
        <w:t>PAST PUBLIC COMPANY BOARDS:</w:t>
      </w:r>
    </w:p>
    <w:p>
      <w:pPr>
        <w:spacing w:after="0" w:line="12" w:lineRule="exact"/>
        <w:rPr>
          <w:sz w:val="20"/>
          <w:szCs w:val="20"/>
          <w:color w:val="auto"/>
        </w:rPr>
      </w:pPr>
    </w:p>
    <w:p>
      <w:pPr>
        <w:ind w:left="220" w:hanging="194"/>
        <w:spacing w:after="0"/>
        <w:tabs>
          <w:tab w:leader="none" w:pos="220" w:val="left"/>
        </w:tabs>
        <w:numPr>
          <w:ilvl w:val="0"/>
          <w:numId w:val="69"/>
        </w:numPr>
        <w:rPr>
          <w:rFonts w:ascii="Arial" w:cs="Arial" w:eastAsia="Arial" w:hAnsi="Arial"/>
          <w:sz w:val="16"/>
          <w:szCs w:val="16"/>
          <w:b w:val="1"/>
          <w:bCs w:val="1"/>
          <w:color w:val="D7282F"/>
        </w:rPr>
      </w:pPr>
      <w:r>
        <w:rPr>
          <w:rFonts w:ascii="Arial" w:cs="Arial" w:eastAsia="Arial" w:hAnsi="Arial"/>
          <w:sz w:val="16"/>
          <w:szCs w:val="16"/>
          <w:color w:val="auto"/>
        </w:rPr>
        <w:t>PepsiCo., Inc.</w:t>
      </w:r>
    </w:p>
    <w:p>
      <w:pPr>
        <w:spacing w:after="0" w:line="29" w:lineRule="exact"/>
        <w:rPr>
          <w:rFonts w:ascii="Arial" w:cs="Arial" w:eastAsia="Arial" w:hAnsi="Arial"/>
          <w:sz w:val="16"/>
          <w:szCs w:val="16"/>
          <w:b w:val="1"/>
          <w:bCs w:val="1"/>
          <w:color w:val="D7282F"/>
        </w:rPr>
      </w:pPr>
    </w:p>
    <w:p>
      <w:pPr>
        <w:ind w:left="220" w:hanging="194"/>
        <w:spacing w:after="0"/>
        <w:tabs>
          <w:tab w:leader="none" w:pos="220" w:val="left"/>
        </w:tabs>
        <w:numPr>
          <w:ilvl w:val="0"/>
          <w:numId w:val="69"/>
        </w:numPr>
        <w:rPr>
          <w:rFonts w:ascii="Arial" w:cs="Arial" w:eastAsia="Arial" w:hAnsi="Arial"/>
          <w:sz w:val="16"/>
          <w:szCs w:val="16"/>
          <w:b w:val="1"/>
          <w:bCs w:val="1"/>
          <w:color w:val="D7282F"/>
        </w:rPr>
      </w:pPr>
      <w:r>
        <w:rPr>
          <w:rFonts w:ascii="Arial" w:cs="Arial" w:eastAsia="Arial" w:hAnsi="Arial"/>
          <w:sz w:val="16"/>
          <w:szCs w:val="16"/>
          <w:color w:val="auto"/>
        </w:rPr>
        <w:t>Schlumberger N.V.</w:t>
      </w:r>
    </w:p>
    <w:p>
      <w:pPr>
        <w:spacing w:after="0" w:line="45" w:lineRule="exact"/>
        <w:rPr>
          <w:rFonts w:ascii="Arial" w:cs="Arial" w:eastAsia="Arial" w:hAnsi="Arial"/>
          <w:sz w:val="16"/>
          <w:szCs w:val="16"/>
          <w:b w:val="1"/>
          <w:bCs w:val="1"/>
          <w:color w:val="D7282F"/>
        </w:rPr>
      </w:pPr>
    </w:p>
    <w:p>
      <w:pPr>
        <w:ind w:left="220" w:hanging="194"/>
        <w:spacing w:after="0"/>
        <w:tabs>
          <w:tab w:leader="none" w:pos="220" w:val="left"/>
        </w:tabs>
        <w:numPr>
          <w:ilvl w:val="0"/>
          <w:numId w:val="69"/>
        </w:numPr>
        <w:rPr>
          <w:rFonts w:ascii="Arial" w:cs="Arial" w:eastAsia="Arial" w:hAnsi="Arial"/>
          <w:sz w:val="16"/>
          <w:szCs w:val="16"/>
          <w:b w:val="1"/>
          <w:bCs w:val="1"/>
          <w:color w:val="D7282F"/>
        </w:rPr>
      </w:pPr>
      <w:r>
        <w:rPr>
          <w:rFonts w:ascii="Arial" w:cs="Arial" w:eastAsia="Arial" w:hAnsi="Arial"/>
          <w:sz w:val="16"/>
          <w:szCs w:val="16"/>
          <w:color w:val="auto"/>
        </w:rPr>
        <w:t>Motorola Solutions Inc.</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D7282F"/>
        </w:rPr>
        <w:t>BACKGROUND</w:t>
      </w:r>
    </w:p>
    <w:p>
      <w:pPr>
        <w:spacing w:after="0" w:line="50" w:lineRule="exact"/>
        <w:rPr>
          <w:sz w:val="20"/>
          <w:szCs w:val="20"/>
          <w:color w:val="auto"/>
        </w:rPr>
      </w:pPr>
    </w:p>
    <w:p>
      <w:pPr>
        <w:jc w:val="both"/>
        <w:ind w:left="200" w:right="100" w:hanging="192"/>
        <w:spacing w:after="0" w:line="248" w:lineRule="auto"/>
        <w:tabs>
          <w:tab w:leader="none" w:pos="197" w:val="left"/>
        </w:tabs>
        <w:numPr>
          <w:ilvl w:val="0"/>
          <w:numId w:val="70"/>
        </w:numPr>
        <w:rPr>
          <w:rFonts w:ascii="Arial" w:cs="Arial" w:eastAsia="Arial" w:hAnsi="Arial"/>
          <w:sz w:val="16"/>
          <w:szCs w:val="16"/>
          <w:b w:val="1"/>
          <w:bCs w:val="1"/>
          <w:color w:val="D7282F"/>
        </w:rPr>
      </w:pPr>
      <w:r>
        <w:rPr>
          <w:rFonts w:ascii="Arial" w:cs="Arial" w:eastAsia="Arial" w:hAnsi="Arial"/>
          <w:sz w:val="16"/>
          <w:szCs w:val="16"/>
          <w:color w:val="auto"/>
        </w:rPr>
        <w:t>Former Chief Executive Officer of PepsiCo, Inc. (PepsiCo), a multinational food, snack, and beverage company, serving from October 2006 to October 2018, and was Chair of the PepsiCo Board of Directors from May 2007 to February 2019.</w:t>
      </w:r>
    </w:p>
    <w:p>
      <w:pPr>
        <w:spacing w:after="0" w:line="10" w:lineRule="exact"/>
        <w:rPr>
          <w:rFonts w:ascii="Arial" w:cs="Arial" w:eastAsia="Arial" w:hAnsi="Arial"/>
          <w:sz w:val="16"/>
          <w:szCs w:val="16"/>
          <w:b w:val="1"/>
          <w:bCs w:val="1"/>
          <w:color w:val="D7282F"/>
        </w:rPr>
      </w:pPr>
    </w:p>
    <w:p>
      <w:pPr>
        <w:ind w:left="200" w:right="240" w:hanging="192"/>
        <w:spacing w:after="0" w:line="272" w:lineRule="auto"/>
        <w:tabs>
          <w:tab w:leader="none" w:pos="197" w:val="left"/>
        </w:tabs>
        <w:numPr>
          <w:ilvl w:val="0"/>
          <w:numId w:val="70"/>
        </w:numPr>
        <w:rPr>
          <w:rFonts w:ascii="Arial" w:cs="Arial" w:eastAsia="Arial" w:hAnsi="Arial"/>
          <w:sz w:val="16"/>
          <w:szCs w:val="16"/>
          <w:b w:val="1"/>
          <w:bCs w:val="1"/>
          <w:color w:val="D7282F"/>
        </w:rPr>
      </w:pPr>
      <w:r>
        <w:rPr>
          <w:rFonts w:ascii="Arial" w:cs="Arial" w:eastAsia="Arial" w:hAnsi="Arial"/>
          <w:sz w:val="16"/>
          <w:szCs w:val="16"/>
          <w:color w:val="auto"/>
        </w:rPr>
        <w:t>After joining PepsiCo. in 1994, held a variety of leadership roles in finance and corporate strategy and development; became President and Chief Financial Officer and was elected to the board of directors in 2001.</w:t>
      </w:r>
    </w:p>
    <w:p>
      <w:pPr>
        <w:spacing w:after="0" w:line="1" w:lineRule="exact"/>
        <w:rPr>
          <w:rFonts w:ascii="Arial" w:cs="Arial" w:eastAsia="Arial" w:hAnsi="Arial"/>
          <w:sz w:val="16"/>
          <w:szCs w:val="16"/>
          <w:b w:val="1"/>
          <w:bCs w:val="1"/>
          <w:color w:val="D7282F"/>
        </w:rPr>
      </w:pPr>
    </w:p>
    <w:p>
      <w:pPr>
        <w:ind w:left="200" w:right="360" w:hanging="192"/>
        <w:spacing w:after="0" w:line="264" w:lineRule="auto"/>
        <w:tabs>
          <w:tab w:leader="none" w:pos="197" w:val="left"/>
        </w:tabs>
        <w:numPr>
          <w:ilvl w:val="0"/>
          <w:numId w:val="70"/>
        </w:numPr>
        <w:rPr>
          <w:rFonts w:ascii="Arial" w:cs="Arial" w:eastAsia="Arial" w:hAnsi="Arial"/>
          <w:sz w:val="16"/>
          <w:szCs w:val="16"/>
          <w:b w:val="1"/>
          <w:bCs w:val="1"/>
          <w:color w:val="D7282F"/>
        </w:rPr>
      </w:pPr>
      <w:r>
        <w:rPr>
          <w:rFonts w:ascii="Arial" w:cs="Arial" w:eastAsia="Arial" w:hAnsi="Arial"/>
          <w:sz w:val="16"/>
          <w:szCs w:val="16"/>
          <w:color w:val="auto"/>
        </w:rPr>
        <w:t>Currently serves as a trustee for several prominent organizations including Memorial Sloan Kettering Cancer Center since 2020 and the National Gallery of Art since 2021.</w:t>
      </w:r>
    </w:p>
    <w:p>
      <w:pPr>
        <w:ind w:left="200" w:right="200" w:hanging="192"/>
        <w:spacing w:after="0" w:line="268" w:lineRule="auto"/>
        <w:tabs>
          <w:tab w:leader="none" w:pos="197" w:val="left"/>
        </w:tabs>
        <w:numPr>
          <w:ilvl w:val="0"/>
          <w:numId w:val="70"/>
        </w:numPr>
        <w:rPr>
          <w:rFonts w:ascii="Arial" w:cs="Arial" w:eastAsia="Arial" w:hAnsi="Arial"/>
          <w:sz w:val="16"/>
          <w:szCs w:val="16"/>
          <w:b w:val="1"/>
          <w:bCs w:val="1"/>
          <w:color w:val="D7282F"/>
        </w:rPr>
      </w:pPr>
      <w:r>
        <w:rPr>
          <w:rFonts w:ascii="Arial" w:cs="Arial" w:eastAsia="Arial" w:hAnsi="Arial"/>
          <w:sz w:val="16"/>
          <w:szCs w:val="16"/>
          <w:color w:val="auto"/>
        </w:rPr>
        <w:t>Additionally, she has served as a member of the Dean’s Advisory Council at MIT’s School of Engineering since 2020 and a Director of Partnership for Public Service since 2019.</w:t>
      </w:r>
    </w:p>
    <w:p>
      <w:pPr>
        <w:spacing w:after="0" w:line="200" w:lineRule="exact"/>
        <w:rPr>
          <w:rFonts w:ascii="Arial" w:cs="Arial" w:eastAsia="Arial" w:hAnsi="Arial"/>
          <w:sz w:val="16"/>
          <w:szCs w:val="16"/>
          <w:b w:val="1"/>
          <w:bCs w:val="1"/>
          <w:color w:val="D7282F"/>
        </w:rPr>
      </w:pPr>
    </w:p>
    <w:p>
      <w:pPr>
        <w:spacing w:after="0" w:line="200" w:lineRule="exact"/>
        <w:rPr>
          <w:rFonts w:ascii="Arial" w:cs="Arial" w:eastAsia="Arial" w:hAnsi="Arial"/>
          <w:sz w:val="16"/>
          <w:szCs w:val="16"/>
          <w:b w:val="1"/>
          <w:bCs w:val="1"/>
          <w:color w:val="D7282F"/>
        </w:rPr>
      </w:pPr>
    </w:p>
    <w:p>
      <w:pPr>
        <w:spacing w:after="0" w:line="206" w:lineRule="exact"/>
        <w:rPr>
          <w:rFonts w:ascii="Arial" w:cs="Arial" w:eastAsia="Arial" w:hAnsi="Arial"/>
          <w:sz w:val="16"/>
          <w:szCs w:val="16"/>
          <w:b w:val="1"/>
          <w:bCs w:val="1"/>
          <w:color w:val="D7282F"/>
        </w:rPr>
      </w:pPr>
    </w:p>
    <w:p>
      <w:pPr>
        <w:ind w:left="200"/>
        <w:spacing w:after="0"/>
        <w:rPr>
          <w:rFonts w:ascii="Arial" w:cs="Arial" w:eastAsia="Arial" w:hAnsi="Arial"/>
          <w:sz w:val="16"/>
          <w:szCs w:val="16"/>
          <w:b w:val="1"/>
          <w:bCs w:val="1"/>
          <w:color w:val="D7282F"/>
        </w:rPr>
      </w:pPr>
      <w:r>
        <w:rPr>
          <w:rFonts w:ascii="Arial" w:cs="Arial" w:eastAsia="Arial" w:hAnsi="Arial"/>
          <w:sz w:val="14"/>
          <w:szCs w:val="14"/>
          <w:b w:val="1"/>
          <w:bCs w:val="1"/>
          <w:color w:val="D7282F"/>
        </w:rPr>
        <w:t>SPECIFIC QUALIFICATIONS, ATTRIBUTES, SKILLS, AND EXPERIENCE</w:t>
      </w:r>
    </w:p>
    <w:p>
      <w:pPr>
        <w:spacing w:after="0" w:line="50" w:lineRule="exact"/>
        <w:rPr>
          <w:rFonts w:ascii="Arial" w:cs="Arial" w:eastAsia="Arial" w:hAnsi="Arial"/>
          <w:sz w:val="16"/>
          <w:szCs w:val="16"/>
          <w:b w:val="1"/>
          <w:bCs w:val="1"/>
          <w:color w:val="D7282F"/>
        </w:rPr>
      </w:pPr>
    </w:p>
    <w:p>
      <w:pPr>
        <w:ind w:left="400" w:right="80" w:hanging="197"/>
        <w:spacing w:after="0" w:line="248" w:lineRule="auto"/>
        <w:tabs>
          <w:tab w:leader="none" w:pos="397" w:val="left"/>
        </w:tabs>
        <w:numPr>
          <w:ilvl w:val="1"/>
          <w:numId w:val="70"/>
        </w:numPr>
        <w:rPr>
          <w:rFonts w:ascii="Arial" w:cs="Arial" w:eastAsia="Arial" w:hAnsi="Arial"/>
          <w:sz w:val="16"/>
          <w:szCs w:val="16"/>
          <w:b w:val="1"/>
          <w:bCs w:val="1"/>
          <w:color w:val="auto"/>
        </w:rPr>
      </w:pPr>
      <w:r>
        <w:rPr>
          <w:rFonts w:ascii="Arial" w:cs="Arial" w:eastAsia="Arial" w:hAnsi="Arial"/>
          <w:sz w:val="16"/>
          <w:szCs w:val="16"/>
          <w:color w:val="auto"/>
        </w:rPr>
        <w:t>Proven track record leading diverse, global businesses and accelerating long-term growth that helps the Board to navigate the risks and opportunities associated with a large multi-industry company, including capital allocation, marketing and matters related to our overseas operations.</w:t>
      </w:r>
    </w:p>
    <w:p>
      <w:pPr>
        <w:spacing w:after="0" w:line="10" w:lineRule="exact"/>
        <w:rPr>
          <w:rFonts w:ascii="Arial" w:cs="Arial" w:eastAsia="Arial" w:hAnsi="Arial"/>
          <w:sz w:val="16"/>
          <w:szCs w:val="16"/>
          <w:b w:val="1"/>
          <w:bCs w:val="1"/>
          <w:color w:val="auto"/>
        </w:rPr>
      </w:pPr>
    </w:p>
    <w:p>
      <w:pPr>
        <w:ind w:left="400" w:right="700" w:hanging="197"/>
        <w:spacing w:after="0" w:line="272" w:lineRule="auto"/>
        <w:tabs>
          <w:tab w:leader="none" w:pos="397" w:val="left"/>
        </w:tabs>
        <w:numPr>
          <w:ilvl w:val="1"/>
          <w:numId w:val="70"/>
        </w:numPr>
        <w:rPr>
          <w:rFonts w:ascii="Arial" w:cs="Arial" w:eastAsia="Arial" w:hAnsi="Arial"/>
          <w:sz w:val="16"/>
          <w:szCs w:val="16"/>
          <w:b w:val="1"/>
          <w:bCs w:val="1"/>
          <w:color w:val="auto"/>
        </w:rPr>
      </w:pPr>
      <w:r>
        <w:rPr>
          <w:rFonts w:ascii="Arial" w:cs="Arial" w:eastAsia="Arial" w:hAnsi="Arial"/>
          <w:sz w:val="16"/>
          <w:szCs w:val="16"/>
          <w:color w:val="auto"/>
        </w:rPr>
        <w:t>Demonstrated experience in offering strategic insights, leading innovation and providing financial and operational expertise.</w:t>
      </w:r>
    </w:p>
    <w:p>
      <w:pPr>
        <w:spacing w:after="0" w:line="1" w:lineRule="exact"/>
        <w:rPr>
          <w:rFonts w:ascii="Arial" w:cs="Arial" w:eastAsia="Arial" w:hAnsi="Arial"/>
          <w:sz w:val="16"/>
          <w:szCs w:val="16"/>
          <w:b w:val="1"/>
          <w:bCs w:val="1"/>
          <w:color w:val="auto"/>
        </w:rPr>
      </w:pPr>
    </w:p>
    <w:p>
      <w:pPr>
        <w:ind w:left="400" w:right="260" w:hanging="197"/>
        <w:spacing w:after="0" w:line="239" w:lineRule="auto"/>
        <w:tabs>
          <w:tab w:leader="none" w:pos="397" w:val="left"/>
        </w:tabs>
        <w:numPr>
          <w:ilvl w:val="1"/>
          <w:numId w:val="70"/>
        </w:numPr>
        <w:rPr>
          <w:rFonts w:ascii="Arial" w:cs="Arial" w:eastAsia="Arial" w:hAnsi="Arial"/>
          <w:sz w:val="16"/>
          <w:szCs w:val="16"/>
          <w:b w:val="1"/>
          <w:bCs w:val="1"/>
          <w:color w:val="auto"/>
        </w:rPr>
      </w:pPr>
      <w:r>
        <w:rPr>
          <w:rFonts w:ascii="Arial" w:cs="Arial" w:eastAsia="Arial" w:hAnsi="Arial"/>
          <w:sz w:val="16"/>
          <w:szCs w:val="16"/>
          <w:color w:val="auto"/>
        </w:rPr>
        <w:t>At PepsiCo, Ms. Nooyi managed an expansive and globally-diverse workforce. She led various initiatives to reduce water use and the company’s carbon footprint and progress the company to a “closed-loop” plastics recycling system. These experiences provide an important perspective as Honeywell accelerates its development of customer-oriented sustainable technologies and reinforces its commitment to people, communities and the environment.</w:t>
      </w:r>
    </w:p>
    <w:p>
      <w:pPr>
        <w:spacing w:after="0" w:line="200" w:lineRule="exact"/>
        <w:rPr>
          <w:sz w:val="20"/>
          <w:szCs w:val="20"/>
          <w:color w:val="auto"/>
        </w:rPr>
      </w:pPr>
    </w:p>
    <w:p>
      <w:pPr>
        <w:sectPr>
          <w:pgSz w:w="11900" w:h="16838" w:orient="portrait"/>
          <w:cols w:equalWidth="0" w:num="2">
            <w:col w:w="2620" w:space="300"/>
            <w:col w:w="8320"/>
          </w:cols>
          <w:pgMar w:left="320" w:top="230" w:right="339" w:bottom="1440" w:gutter="0" w:footer="0" w:header="0"/>
          <w:type w:val="continuous"/>
        </w:sectPr>
      </w:pPr>
    </w:p>
    <w:p>
      <w:pPr>
        <w:spacing w:after="0" w:line="386"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D7282F"/>
        </w:rPr>
        <w:t>MARC STEINBERG</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PARTNER, ELLIOTT INVESTMENT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23430" cy="266573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23430" cy="266573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Years of Service: 0</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b w:val="1"/>
          <w:bCs w:val="1"/>
          <w:color w:val="D7282F"/>
        </w:rPr>
        <w:t>36</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D7282F"/>
        </w:rPr>
        <w:t>COMMITTEES:</w:t>
      </w:r>
    </w:p>
    <w:p>
      <w:pPr>
        <w:spacing w:after="0" w:line="12" w:lineRule="exact"/>
        <w:rPr>
          <w:sz w:val="20"/>
          <w:szCs w:val="20"/>
          <w:color w:val="auto"/>
        </w:rPr>
      </w:pPr>
    </w:p>
    <w:p>
      <w:pPr>
        <w:ind w:left="220" w:hanging="194"/>
        <w:spacing w:after="0"/>
        <w:tabs>
          <w:tab w:leader="none" w:pos="220" w:val="left"/>
        </w:tabs>
        <w:numPr>
          <w:ilvl w:val="0"/>
          <w:numId w:val="71"/>
        </w:numPr>
        <w:rPr>
          <w:rFonts w:ascii="Arial" w:cs="Arial" w:eastAsia="Arial" w:hAnsi="Arial"/>
          <w:sz w:val="16"/>
          <w:szCs w:val="16"/>
          <w:b w:val="1"/>
          <w:bCs w:val="1"/>
          <w:color w:val="D7282F"/>
        </w:rPr>
      </w:pPr>
      <w:r>
        <w:rPr>
          <w:rFonts w:ascii="Arial" w:cs="Arial" w:eastAsia="Arial" w:hAnsi="Arial"/>
          <w:sz w:val="16"/>
          <w:szCs w:val="16"/>
          <w:color w:val="auto"/>
        </w:rPr>
        <w:t>Audit</w:t>
      </w:r>
    </w:p>
    <w:p>
      <w:pPr>
        <w:spacing w:after="0" w:line="102" w:lineRule="exact"/>
        <w:rPr>
          <w:sz w:val="20"/>
          <w:szCs w:val="20"/>
          <w:color w:val="auto"/>
        </w:rPr>
      </w:pPr>
    </w:p>
    <w:p>
      <w:pPr>
        <w:ind w:left="20"/>
        <w:spacing w:after="0" w:line="249" w:lineRule="auto"/>
        <w:rPr>
          <w:sz w:val="20"/>
          <w:szCs w:val="20"/>
          <w:color w:val="auto"/>
        </w:rPr>
      </w:pPr>
      <w:r>
        <w:rPr>
          <w:rFonts w:ascii="Arial" w:cs="Arial" w:eastAsia="Arial" w:hAnsi="Arial"/>
          <w:sz w:val="14"/>
          <w:szCs w:val="14"/>
          <w:b w:val="1"/>
          <w:bCs w:val="1"/>
          <w:color w:val="D7282F"/>
        </w:rPr>
        <w:t>OTHER CURRENT PUBLIC COMPANY BOARDS:</w:t>
      </w:r>
    </w:p>
    <w:p>
      <w:pPr>
        <w:spacing w:after="0" w:line="1" w:lineRule="exact"/>
        <w:rPr>
          <w:sz w:val="20"/>
          <w:szCs w:val="20"/>
          <w:color w:val="auto"/>
        </w:rPr>
      </w:pPr>
    </w:p>
    <w:p>
      <w:pPr>
        <w:ind w:left="220" w:hanging="194"/>
        <w:spacing w:after="0"/>
        <w:tabs>
          <w:tab w:leader="none" w:pos="220" w:val="left"/>
        </w:tabs>
        <w:numPr>
          <w:ilvl w:val="0"/>
          <w:numId w:val="72"/>
        </w:numPr>
        <w:rPr>
          <w:rFonts w:ascii="Arial" w:cs="Arial" w:eastAsia="Arial" w:hAnsi="Arial"/>
          <w:sz w:val="16"/>
          <w:szCs w:val="16"/>
          <w:b w:val="1"/>
          <w:bCs w:val="1"/>
          <w:color w:val="D7282F"/>
        </w:rPr>
      </w:pPr>
      <w:r>
        <w:rPr>
          <w:rFonts w:ascii="Arial" w:cs="Arial" w:eastAsia="Arial" w:hAnsi="Arial"/>
          <w:sz w:val="16"/>
          <w:szCs w:val="16"/>
          <w:color w:val="auto"/>
        </w:rPr>
        <w:t>Pinterest Inc.</w:t>
      </w:r>
    </w:p>
    <w:p>
      <w:pPr>
        <w:spacing w:after="0" w:line="43" w:lineRule="exact"/>
        <w:rPr>
          <w:rFonts w:ascii="Arial" w:cs="Arial" w:eastAsia="Arial" w:hAnsi="Arial"/>
          <w:sz w:val="16"/>
          <w:szCs w:val="16"/>
          <w:b w:val="1"/>
          <w:bCs w:val="1"/>
          <w:color w:val="D7282F"/>
        </w:rPr>
      </w:pPr>
    </w:p>
    <w:p>
      <w:pPr>
        <w:ind w:left="220" w:hanging="194"/>
        <w:spacing w:after="0"/>
        <w:tabs>
          <w:tab w:leader="none" w:pos="220" w:val="left"/>
        </w:tabs>
        <w:numPr>
          <w:ilvl w:val="0"/>
          <w:numId w:val="72"/>
        </w:numPr>
        <w:rPr>
          <w:rFonts w:ascii="Arial" w:cs="Arial" w:eastAsia="Arial" w:hAnsi="Arial"/>
          <w:sz w:val="16"/>
          <w:szCs w:val="16"/>
          <w:b w:val="1"/>
          <w:bCs w:val="1"/>
          <w:color w:val="D7282F"/>
        </w:rPr>
      </w:pPr>
      <w:r>
        <w:rPr>
          <w:rFonts w:ascii="Arial" w:cs="Arial" w:eastAsia="Arial" w:hAnsi="Arial"/>
          <w:sz w:val="16"/>
          <w:szCs w:val="16"/>
          <w:color w:val="auto"/>
        </w:rPr>
        <w:t>Etsy, Inc.</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D7282F"/>
        </w:rPr>
        <w:t>PAST PUBLIC COMPANY BOARDS:</w:t>
      </w:r>
    </w:p>
    <w:p>
      <w:pPr>
        <w:spacing w:after="0" w:line="12" w:lineRule="exact"/>
        <w:rPr>
          <w:sz w:val="20"/>
          <w:szCs w:val="20"/>
          <w:color w:val="auto"/>
        </w:rPr>
      </w:pPr>
    </w:p>
    <w:p>
      <w:pPr>
        <w:ind w:left="220" w:hanging="194"/>
        <w:spacing w:after="0"/>
        <w:tabs>
          <w:tab w:leader="none" w:pos="220" w:val="left"/>
        </w:tabs>
        <w:numPr>
          <w:ilvl w:val="0"/>
          <w:numId w:val="73"/>
        </w:numPr>
        <w:rPr>
          <w:rFonts w:ascii="Arial" w:cs="Arial" w:eastAsia="Arial" w:hAnsi="Arial"/>
          <w:sz w:val="16"/>
          <w:szCs w:val="16"/>
          <w:b w:val="1"/>
          <w:bCs w:val="1"/>
          <w:color w:val="D7282F"/>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D7282F"/>
        </w:rPr>
        <w:t>BACKGROUND</w:t>
      </w:r>
    </w:p>
    <w:p>
      <w:pPr>
        <w:spacing w:after="0" w:line="50" w:lineRule="exact"/>
        <w:rPr>
          <w:sz w:val="20"/>
          <w:szCs w:val="20"/>
          <w:color w:val="auto"/>
        </w:rPr>
      </w:pPr>
    </w:p>
    <w:p>
      <w:pPr>
        <w:ind w:left="200" w:right="340" w:hanging="192"/>
        <w:spacing w:after="0" w:line="248" w:lineRule="auto"/>
        <w:tabs>
          <w:tab w:leader="none" w:pos="197" w:val="left"/>
        </w:tabs>
        <w:numPr>
          <w:ilvl w:val="0"/>
          <w:numId w:val="74"/>
        </w:numPr>
        <w:rPr>
          <w:rFonts w:ascii="Arial" w:cs="Arial" w:eastAsia="Arial" w:hAnsi="Arial"/>
          <w:sz w:val="16"/>
          <w:szCs w:val="16"/>
          <w:b w:val="1"/>
          <w:bCs w:val="1"/>
          <w:color w:val="D7282F"/>
        </w:rPr>
      </w:pPr>
      <w:r>
        <w:rPr>
          <w:rFonts w:ascii="Arial" w:cs="Arial" w:eastAsia="Arial" w:hAnsi="Arial"/>
          <w:sz w:val="16"/>
          <w:szCs w:val="16"/>
          <w:color w:val="auto"/>
        </w:rPr>
        <w:t>Partner at Elliott Investment Management L.P. (Elliott), an investment management firm, since January 2024, where he is responsible for public and private equity investments across a range of industries, including the industrial sector.</w:t>
      </w:r>
    </w:p>
    <w:p>
      <w:pPr>
        <w:spacing w:after="0" w:line="23" w:lineRule="exact"/>
        <w:rPr>
          <w:rFonts w:ascii="Arial" w:cs="Arial" w:eastAsia="Arial" w:hAnsi="Arial"/>
          <w:sz w:val="16"/>
          <w:szCs w:val="16"/>
          <w:b w:val="1"/>
          <w:bCs w:val="1"/>
          <w:color w:val="D7282F"/>
        </w:rPr>
      </w:pPr>
    </w:p>
    <w:p>
      <w:pPr>
        <w:ind w:left="200" w:hanging="192"/>
        <w:spacing w:after="0"/>
        <w:tabs>
          <w:tab w:leader="none" w:pos="200" w:val="left"/>
        </w:tabs>
        <w:numPr>
          <w:ilvl w:val="0"/>
          <w:numId w:val="74"/>
        </w:numPr>
        <w:rPr>
          <w:rFonts w:ascii="Arial" w:cs="Arial" w:eastAsia="Arial" w:hAnsi="Arial"/>
          <w:sz w:val="16"/>
          <w:szCs w:val="16"/>
          <w:b w:val="1"/>
          <w:bCs w:val="1"/>
          <w:color w:val="D7282F"/>
        </w:rPr>
      </w:pPr>
      <w:r>
        <w:rPr>
          <w:rFonts w:ascii="Arial" w:cs="Arial" w:eastAsia="Arial" w:hAnsi="Arial"/>
          <w:sz w:val="16"/>
          <w:szCs w:val="16"/>
          <w:color w:val="auto"/>
        </w:rPr>
        <w:t>Previously served in various other roles at Elliott from 2015 to January 2024.</w:t>
      </w:r>
    </w:p>
    <w:p>
      <w:pPr>
        <w:spacing w:after="0" w:line="45" w:lineRule="exact"/>
        <w:rPr>
          <w:rFonts w:ascii="Arial" w:cs="Arial" w:eastAsia="Arial" w:hAnsi="Arial"/>
          <w:sz w:val="16"/>
          <w:szCs w:val="16"/>
          <w:b w:val="1"/>
          <w:bCs w:val="1"/>
          <w:color w:val="D7282F"/>
        </w:rPr>
      </w:pPr>
    </w:p>
    <w:p>
      <w:pPr>
        <w:ind w:left="200" w:hanging="192"/>
        <w:spacing w:after="0"/>
        <w:tabs>
          <w:tab w:leader="none" w:pos="200" w:val="left"/>
        </w:tabs>
        <w:numPr>
          <w:ilvl w:val="0"/>
          <w:numId w:val="74"/>
        </w:numPr>
        <w:rPr>
          <w:rFonts w:ascii="Arial" w:cs="Arial" w:eastAsia="Arial" w:hAnsi="Arial"/>
          <w:sz w:val="16"/>
          <w:szCs w:val="16"/>
          <w:b w:val="1"/>
          <w:bCs w:val="1"/>
          <w:color w:val="D7282F"/>
        </w:rPr>
      </w:pPr>
      <w:r>
        <w:rPr>
          <w:rFonts w:ascii="Arial" w:cs="Arial" w:eastAsia="Arial" w:hAnsi="Arial"/>
          <w:sz w:val="16"/>
          <w:szCs w:val="16"/>
          <w:color w:val="auto"/>
        </w:rPr>
        <w:t>Previously served at Centerview Partners, an investment bank, from 2012 to 2015.</w:t>
      </w:r>
    </w:p>
    <w:p>
      <w:pPr>
        <w:spacing w:after="0" w:line="45" w:lineRule="exact"/>
        <w:rPr>
          <w:rFonts w:ascii="Arial" w:cs="Arial" w:eastAsia="Arial" w:hAnsi="Arial"/>
          <w:sz w:val="16"/>
          <w:szCs w:val="16"/>
          <w:b w:val="1"/>
          <w:bCs w:val="1"/>
          <w:color w:val="D7282F"/>
        </w:rPr>
      </w:pPr>
    </w:p>
    <w:p>
      <w:pPr>
        <w:ind w:left="200" w:hanging="192"/>
        <w:spacing w:after="0"/>
        <w:tabs>
          <w:tab w:leader="none" w:pos="200" w:val="left"/>
        </w:tabs>
        <w:numPr>
          <w:ilvl w:val="0"/>
          <w:numId w:val="74"/>
        </w:numPr>
        <w:rPr>
          <w:rFonts w:ascii="Arial" w:cs="Arial" w:eastAsia="Arial" w:hAnsi="Arial"/>
          <w:sz w:val="16"/>
          <w:szCs w:val="16"/>
          <w:b w:val="1"/>
          <w:bCs w:val="1"/>
          <w:color w:val="D7282F"/>
        </w:rPr>
      </w:pPr>
      <w:r>
        <w:rPr>
          <w:rFonts w:ascii="Arial" w:cs="Arial" w:eastAsia="Arial" w:hAnsi="Arial"/>
          <w:sz w:val="16"/>
          <w:szCs w:val="16"/>
          <w:color w:val="auto"/>
        </w:rPr>
        <w:t>Serves on the boards of directors of various private companies.</w:t>
      </w:r>
    </w:p>
    <w:p>
      <w:pPr>
        <w:spacing w:after="0" w:line="200" w:lineRule="exact"/>
        <w:rPr>
          <w:rFonts w:ascii="Arial" w:cs="Arial" w:eastAsia="Arial" w:hAnsi="Arial"/>
          <w:sz w:val="16"/>
          <w:szCs w:val="16"/>
          <w:b w:val="1"/>
          <w:bCs w:val="1"/>
          <w:color w:val="D7282F"/>
        </w:rPr>
      </w:pPr>
    </w:p>
    <w:p>
      <w:pPr>
        <w:spacing w:after="0" w:line="268" w:lineRule="exact"/>
        <w:rPr>
          <w:rFonts w:ascii="Arial" w:cs="Arial" w:eastAsia="Arial" w:hAnsi="Arial"/>
          <w:sz w:val="16"/>
          <w:szCs w:val="16"/>
          <w:b w:val="1"/>
          <w:bCs w:val="1"/>
          <w:color w:val="D7282F"/>
        </w:rPr>
      </w:pPr>
    </w:p>
    <w:p>
      <w:pPr>
        <w:ind w:left="200"/>
        <w:spacing w:after="0"/>
        <w:rPr>
          <w:rFonts w:ascii="Arial" w:cs="Arial" w:eastAsia="Arial" w:hAnsi="Arial"/>
          <w:sz w:val="16"/>
          <w:szCs w:val="16"/>
          <w:b w:val="1"/>
          <w:bCs w:val="1"/>
          <w:color w:val="D7282F"/>
        </w:rPr>
      </w:pPr>
      <w:r>
        <w:rPr>
          <w:rFonts w:ascii="Arial" w:cs="Arial" w:eastAsia="Arial" w:hAnsi="Arial"/>
          <w:sz w:val="14"/>
          <w:szCs w:val="14"/>
          <w:b w:val="1"/>
          <w:bCs w:val="1"/>
          <w:color w:val="D7282F"/>
        </w:rPr>
        <w:t>SPECIFIC QUALIFICATIONS, ATTRIBUTES, SKILLS, AND EXPERIENCE</w:t>
      </w:r>
    </w:p>
    <w:p>
      <w:pPr>
        <w:spacing w:after="0" w:line="50" w:lineRule="exact"/>
        <w:rPr>
          <w:rFonts w:ascii="Arial" w:cs="Arial" w:eastAsia="Arial" w:hAnsi="Arial"/>
          <w:sz w:val="16"/>
          <w:szCs w:val="16"/>
          <w:b w:val="1"/>
          <w:bCs w:val="1"/>
          <w:color w:val="D7282F"/>
        </w:rPr>
      </w:pPr>
    </w:p>
    <w:p>
      <w:pPr>
        <w:ind w:left="400" w:right="920" w:hanging="197"/>
        <w:spacing w:after="0" w:line="264" w:lineRule="auto"/>
        <w:tabs>
          <w:tab w:leader="none" w:pos="397" w:val="left"/>
        </w:tabs>
        <w:numPr>
          <w:ilvl w:val="1"/>
          <w:numId w:val="74"/>
        </w:numPr>
        <w:rPr>
          <w:rFonts w:ascii="Arial" w:cs="Arial" w:eastAsia="Arial" w:hAnsi="Arial"/>
          <w:sz w:val="16"/>
          <w:szCs w:val="16"/>
          <w:b w:val="1"/>
          <w:bCs w:val="1"/>
          <w:color w:val="D7282F"/>
        </w:rPr>
      </w:pPr>
      <w:r>
        <w:rPr>
          <w:rFonts w:ascii="Arial" w:cs="Arial" w:eastAsia="Arial" w:hAnsi="Arial"/>
          <w:sz w:val="16"/>
          <w:szCs w:val="16"/>
          <w:color w:val="auto"/>
        </w:rPr>
        <w:t>Extensive financial expertise in capital markets, corporate finance, investor relations, mergers and acquisitions, and capital allocation.</w:t>
      </w:r>
    </w:p>
    <w:p>
      <w:pPr>
        <w:ind w:left="400" w:hanging="197"/>
        <w:spacing w:after="0"/>
        <w:tabs>
          <w:tab w:leader="none" w:pos="400" w:val="left"/>
        </w:tabs>
        <w:numPr>
          <w:ilvl w:val="1"/>
          <w:numId w:val="74"/>
        </w:numPr>
        <w:rPr>
          <w:rFonts w:ascii="Arial" w:cs="Arial" w:eastAsia="Arial" w:hAnsi="Arial"/>
          <w:sz w:val="16"/>
          <w:szCs w:val="16"/>
          <w:b w:val="1"/>
          <w:bCs w:val="1"/>
          <w:color w:val="D7282F"/>
        </w:rPr>
      </w:pPr>
      <w:r>
        <w:rPr>
          <w:rFonts w:ascii="Arial" w:cs="Arial" w:eastAsia="Arial" w:hAnsi="Arial"/>
          <w:sz w:val="16"/>
          <w:szCs w:val="16"/>
          <w:color w:val="auto"/>
        </w:rPr>
        <w:t>Demonstrated experience in driving value creation and shareowner value.</w:t>
      </w:r>
    </w:p>
    <w:p>
      <w:pPr>
        <w:spacing w:after="0" w:line="59" w:lineRule="exact"/>
        <w:rPr>
          <w:rFonts w:ascii="Arial" w:cs="Arial" w:eastAsia="Arial" w:hAnsi="Arial"/>
          <w:sz w:val="16"/>
          <w:szCs w:val="16"/>
          <w:b w:val="1"/>
          <w:bCs w:val="1"/>
          <w:color w:val="D7282F"/>
        </w:rPr>
      </w:pPr>
    </w:p>
    <w:p>
      <w:pPr>
        <w:ind w:left="400" w:right="240" w:hanging="197"/>
        <w:spacing w:after="0" w:line="268" w:lineRule="auto"/>
        <w:tabs>
          <w:tab w:leader="none" w:pos="397" w:val="left"/>
        </w:tabs>
        <w:numPr>
          <w:ilvl w:val="1"/>
          <w:numId w:val="74"/>
        </w:numPr>
        <w:rPr>
          <w:rFonts w:ascii="Arial" w:cs="Arial" w:eastAsia="Arial" w:hAnsi="Arial"/>
          <w:sz w:val="16"/>
          <w:szCs w:val="16"/>
          <w:b w:val="1"/>
          <w:bCs w:val="1"/>
          <w:color w:val="D7282F"/>
        </w:rPr>
      </w:pPr>
      <w:r>
        <w:rPr>
          <w:rFonts w:ascii="Arial" w:cs="Arial" w:eastAsia="Arial" w:hAnsi="Arial"/>
          <w:sz w:val="16"/>
          <w:szCs w:val="16"/>
          <w:color w:val="auto"/>
        </w:rPr>
        <w:t>Strong experience in financial management and industry expertise as a strategic advisor to, and investor in, industrial companies.</w:t>
      </w:r>
    </w:p>
    <w:p>
      <w:pPr>
        <w:spacing w:after="0" w:line="934" w:lineRule="exact"/>
        <w:rPr>
          <w:sz w:val="20"/>
          <w:szCs w:val="20"/>
          <w:color w:val="auto"/>
        </w:rPr>
      </w:pPr>
    </w:p>
    <w:p>
      <w:pPr>
        <w:sectPr>
          <w:pgSz w:w="11900" w:h="16838" w:orient="portrait"/>
          <w:cols w:equalWidth="0" w:num="2">
            <w:col w:w="2620" w:space="300"/>
            <w:col w:w="8320"/>
          </w:cols>
          <w:pgMar w:left="320" w:top="230" w:right="339" w:bottom="1440" w:gutter="0" w:footer="0" w:header="0"/>
          <w:type w:val="continuous"/>
        </w:sect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2026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373"/>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3"/>
          <w:szCs w:val="13"/>
          <w:b w:val="1"/>
          <w:bCs w:val="1"/>
          <w:color w:val="6D6E71"/>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D7282F"/>
        </w:rPr>
        <w:t>ROBIN WATSON</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FORMER CHIEF EXECUTIVE OFFICER, JOHN WOOD GROUP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23430" cy="40976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23430" cy="4097655"/>
                    </a:xfrm>
                    <a:prstGeom prst="rect">
                      <a:avLst/>
                    </a:prstGeom>
                    <a:noFill/>
                  </pic:spPr>
                </pic:pic>
              </a:graphicData>
            </a:graphic>
          </wp:anchor>
        </w:drawing>
      </w:r>
    </w:p>
    <w:p>
      <w:pPr>
        <w:sectPr>
          <w:pgSz w:w="11900" w:h="16838" w:orient="portrait"/>
          <w:cols w:equalWidth="0" w:num="1">
            <w:col w:w="11200"/>
          </w:cols>
          <w:pgMar w:left="320" w:top="23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Years of Service: 3</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b w:val="1"/>
          <w:bCs w:val="1"/>
          <w:color w:val="D7282F"/>
        </w:rPr>
        <w:t>59</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D7282F"/>
        </w:rPr>
        <w:t>COMMITTEES:</w:t>
      </w:r>
    </w:p>
    <w:p>
      <w:pPr>
        <w:ind w:left="220" w:hanging="194"/>
        <w:spacing w:after="0"/>
        <w:tabs>
          <w:tab w:leader="none" w:pos="220" w:val="left"/>
        </w:tabs>
        <w:numPr>
          <w:ilvl w:val="0"/>
          <w:numId w:val="75"/>
        </w:numPr>
        <w:rPr>
          <w:rFonts w:ascii="Arial" w:cs="Arial" w:eastAsia="Arial" w:hAnsi="Arial"/>
          <w:sz w:val="16"/>
          <w:szCs w:val="16"/>
          <w:b w:val="1"/>
          <w:bCs w:val="1"/>
          <w:color w:val="D7282F"/>
        </w:rPr>
      </w:pPr>
      <w:r>
        <w:rPr>
          <w:rFonts w:ascii="Arial" w:cs="Arial" w:eastAsia="Arial" w:hAnsi="Arial"/>
          <w:sz w:val="16"/>
          <w:szCs w:val="16"/>
          <w:color w:val="auto"/>
        </w:rPr>
        <w:t>Audit</w:t>
      </w:r>
    </w:p>
    <w:p>
      <w:pPr>
        <w:spacing w:after="0" w:line="88" w:lineRule="exact"/>
        <w:rPr>
          <w:sz w:val="20"/>
          <w:szCs w:val="20"/>
          <w:color w:val="auto"/>
        </w:rPr>
      </w:pPr>
    </w:p>
    <w:p>
      <w:pPr>
        <w:ind w:left="20"/>
        <w:spacing w:after="0" w:line="249" w:lineRule="auto"/>
        <w:rPr>
          <w:sz w:val="20"/>
          <w:szCs w:val="20"/>
          <w:color w:val="auto"/>
        </w:rPr>
      </w:pPr>
      <w:r>
        <w:rPr>
          <w:rFonts w:ascii="Arial" w:cs="Arial" w:eastAsia="Arial" w:hAnsi="Arial"/>
          <w:sz w:val="14"/>
          <w:szCs w:val="14"/>
          <w:b w:val="1"/>
          <w:bCs w:val="1"/>
          <w:color w:val="D7282F"/>
        </w:rPr>
        <w:t>OTHER CURRENT PUBLIC COMPANY BOARDS:</w:t>
      </w:r>
    </w:p>
    <w:p>
      <w:pPr>
        <w:spacing w:after="0" w:line="1" w:lineRule="exact"/>
        <w:rPr>
          <w:sz w:val="20"/>
          <w:szCs w:val="20"/>
          <w:color w:val="auto"/>
        </w:rPr>
      </w:pPr>
    </w:p>
    <w:p>
      <w:pPr>
        <w:ind w:left="220" w:hanging="194"/>
        <w:spacing w:after="0"/>
        <w:tabs>
          <w:tab w:leader="none" w:pos="220" w:val="left"/>
        </w:tabs>
        <w:numPr>
          <w:ilvl w:val="0"/>
          <w:numId w:val="76"/>
        </w:numPr>
        <w:rPr>
          <w:rFonts w:ascii="Arial" w:cs="Arial" w:eastAsia="Arial" w:hAnsi="Arial"/>
          <w:sz w:val="16"/>
          <w:szCs w:val="16"/>
          <w:b w:val="1"/>
          <w:bCs w:val="1"/>
          <w:color w:val="D7282F"/>
        </w:rPr>
      </w:pPr>
      <w:r>
        <w:rPr>
          <w:rFonts w:ascii="Arial" w:cs="Arial" w:eastAsia="Arial" w:hAnsi="Arial"/>
          <w:sz w:val="16"/>
          <w:szCs w:val="16"/>
          <w:color w:val="auto"/>
        </w:rPr>
        <w:t>None</w:t>
      </w:r>
    </w:p>
    <w:p>
      <w:pPr>
        <w:spacing w:after="0" w:line="8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D7282F"/>
        </w:rPr>
        <w:t>PAST PUBLIC COMPANY BOARDS:</w:t>
      </w:r>
    </w:p>
    <w:p>
      <w:pPr>
        <w:spacing w:after="0" w:line="12" w:lineRule="exact"/>
        <w:rPr>
          <w:sz w:val="20"/>
          <w:szCs w:val="20"/>
          <w:color w:val="auto"/>
        </w:rPr>
      </w:pPr>
    </w:p>
    <w:p>
      <w:pPr>
        <w:ind w:left="220" w:hanging="194"/>
        <w:spacing w:after="0"/>
        <w:tabs>
          <w:tab w:leader="none" w:pos="220" w:val="left"/>
        </w:tabs>
        <w:numPr>
          <w:ilvl w:val="0"/>
          <w:numId w:val="77"/>
        </w:numPr>
        <w:rPr>
          <w:rFonts w:ascii="Arial" w:cs="Arial" w:eastAsia="Arial" w:hAnsi="Arial"/>
          <w:sz w:val="16"/>
          <w:szCs w:val="16"/>
          <w:color w:val="D7282F"/>
        </w:rPr>
      </w:pPr>
      <w:r>
        <w:rPr>
          <w:rFonts w:ascii="Arial" w:cs="Arial" w:eastAsia="Arial" w:hAnsi="Arial"/>
          <w:sz w:val="16"/>
          <w:szCs w:val="16"/>
          <w:color w:val="auto"/>
        </w:rPr>
        <w:t>John Wood Group PLC</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D7282F"/>
        </w:rPr>
        <w:t>BACKGROUND</w:t>
      </w:r>
    </w:p>
    <w:p>
      <w:pPr>
        <w:spacing w:after="0" w:line="50" w:lineRule="exact"/>
        <w:rPr>
          <w:sz w:val="20"/>
          <w:szCs w:val="20"/>
          <w:color w:val="auto"/>
        </w:rPr>
      </w:pPr>
    </w:p>
    <w:p>
      <w:pPr>
        <w:jc w:val="both"/>
        <w:ind w:left="200" w:hanging="192"/>
        <w:spacing w:after="0" w:line="246" w:lineRule="auto"/>
        <w:tabs>
          <w:tab w:leader="none" w:pos="197" w:val="left"/>
        </w:tabs>
        <w:numPr>
          <w:ilvl w:val="0"/>
          <w:numId w:val="78"/>
        </w:numPr>
        <w:rPr>
          <w:rFonts w:ascii="Arial" w:cs="Arial" w:eastAsia="Arial" w:hAnsi="Arial"/>
          <w:sz w:val="16"/>
          <w:szCs w:val="16"/>
          <w:b w:val="1"/>
          <w:bCs w:val="1"/>
          <w:color w:val="D7282F"/>
        </w:rPr>
      </w:pPr>
      <w:r>
        <w:rPr>
          <w:rFonts w:ascii="Arial" w:cs="Arial" w:eastAsia="Arial" w:hAnsi="Arial"/>
          <w:sz w:val="16"/>
          <w:szCs w:val="16"/>
          <w:color w:val="auto"/>
        </w:rPr>
        <w:t>Previously served as Chief Executive Officer of John Wood Group PLC (Wood Group), an integrated engineering and consultancy company, spanning a variety of growing end markets in energy and the built environment, with a focus on sustainable technologies, from January 2016 until June 2022.</w:t>
      </w:r>
    </w:p>
    <w:p>
      <w:pPr>
        <w:spacing w:after="0" w:line="1" w:lineRule="exact"/>
        <w:rPr>
          <w:rFonts w:ascii="Arial" w:cs="Arial" w:eastAsia="Arial" w:hAnsi="Arial"/>
          <w:sz w:val="16"/>
          <w:szCs w:val="16"/>
          <w:b w:val="1"/>
          <w:bCs w:val="1"/>
          <w:color w:val="D7282F"/>
        </w:rPr>
      </w:pPr>
    </w:p>
    <w:p>
      <w:pPr>
        <w:ind w:left="200" w:right="620" w:hanging="192"/>
        <w:spacing w:after="0" w:line="255" w:lineRule="auto"/>
        <w:tabs>
          <w:tab w:leader="none" w:pos="197" w:val="left"/>
        </w:tabs>
        <w:numPr>
          <w:ilvl w:val="0"/>
          <w:numId w:val="78"/>
        </w:numPr>
        <w:rPr>
          <w:rFonts w:ascii="Arial" w:cs="Arial" w:eastAsia="Arial" w:hAnsi="Arial"/>
          <w:sz w:val="16"/>
          <w:szCs w:val="16"/>
          <w:b w:val="1"/>
          <w:bCs w:val="1"/>
          <w:color w:val="D7282F"/>
        </w:rPr>
      </w:pPr>
      <w:r>
        <w:rPr>
          <w:rFonts w:ascii="Arial" w:cs="Arial" w:eastAsia="Arial" w:hAnsi="Arial"/>
          <w:sz w:val="16"/>
          <w:szCs w:val="16"/>
          <w:color w:val="auto"/>
        </w:rPr>
        <w:t>Served as Chief Operating Officer and an executive member of the Wood Group Board of Directors from January 2013 to January 2016.</w:t>
      </w:r>
    </w:p>
    <w:p>
      <w:pPr>
        <w:ind w:left="200" w:right="400" w:hanging="192"/>
        <w:spacing w:after="0" w:line="255" w:lineRule="auto"/>
        <w:tabs>
          <w:tab w:leader="none" w:pos="197" w:val="left"/>
        </w:tabs>
        <w:numPr>
          <w:ilvl w:val="0"/>
          <w:numId w:val="78"/>
        </w:numPr>
        <w:rPr>
          <w:rFonts w:ascii="Arial" w:cs="Arial" w:eastAsia="Arial" w:hAnsi="Arial"/>
          <w:sz w:val="16"/>
          <w:szCs w:val="16"/>
          <w:b w:val="1"/>
          <w:bCs w:val="1"/>
          <w:color w:val="D7282F"/>
        </w:rPr>
      </w:pPr>
      <w:r>
        <w:rPr>
          <w:rFonts w:ascii="Arial" w:cs="Arial" w:eastAsia="Arial" w:hAnsi="Arial"/>
          <w:sz w:val="16"/>
          <w:szCs w:val="16"/>
          <w:color w:val="auto"/>
        </w:rPr>
        <w:t>Served as a director and senior manager at Petrofac, working in a variety of roles in service and investment delivery.</w:t>
      </w:r>
    </w:p>
    <w:p>
      <w:pPr>
        <w:ind w:left="200" w:hanging="192"/>
        <w:spacing w:after="0"/>
        <w:tabs>
          <w:tab w:leader="none" w:pos="200" w:val="left"/>
        </w:tabs>
        <w:numPr>
          <w:ilvl w:val="0"/>
          <w:numId w:val="78"/>
        </w:numPr>
        <w:rPr>
          <w:rFonts w:ascii="Arial" w:cs="Arial" w:eastAsia="Arial" w:hAnsi="Arial"/>
          <w:sz w:val="16"/>
          <w:szCs w:val="16"/>
          <w:b w:val="1"/>
          <w:bCs w:val="1"/>
          <w:color w:val="D7282F"/>
        </w:rPr>
      </w:pPr>
      <w:r>
        <w:rPr>
          <w:rFonts w:ascii="Arial" w:cs="Arial" w:eastAsia="Arial" w:hAnsi="Arial"/>
          <w:sz w:val="16"/>
          <w:szCs w:val="16"/>
          <w:color w:val="auto"/>
        </w:rPr>
        <w:t>Began his career in management and engineering at Mobil Oil in the United Kingdom.</w:t>
      </w:r>
    </w:p>
    <w:p>
      <w:pPr>
        <w:spacing w:after="0" w:line="38" w:lineRule="exact"/>
        <w:rPr>
          <w:rFonts w:ascii="Arial" w:cs="Arial" w:eastAsia="Arial" w:hAnsi="Arial"/>
          <w:sz w:val="16"/>
          <w:szCs w:val="16"/>
          <w:b w:val="1"/>
          <w:bCs w:val="1"/>
          <w:color w:val="D7282F"/>
        </w:rPr>
      </w:pPr>
    </w:p>
    <w:p>
      <w:pPr>
        <w:ind w:left="200" w:hanging="192"/>
        <w:spacing w:after="0"/>
        <w:tabs>
          <w:tab w:leader="none" w:pos="200" w:val="left"/>
        </w:tabs>
        <w:numPr>
          <w:ilvl w:val="0"/>
          <w:numId w:val="78"/>
        </w:numPr>
        <w:rPr>
          <w:rFonts w:ascii="Arial" w:cs="Arial" w:eastAsia="Arial" w:hAnsi="Arial"/>
          <w:sz w:val="16"/>
          <w:szCs w:val="16"/>
          <w:b w:val="1"/>
          <w:bCs w:val="1"/>
          <w:color w:val="D7282F"/>
        </w:rPr>
      </w:pPr>
      <w:r>
        <w:rPr>
          <w:rFonts w:ascii="Arial" w:cs="Arial" w:eastAsia="Arial" w:hAnsi="Arial"/>
          <w:sz w:val="16"/>
          <w:szCs w:val="16"/>
          <w:color w:val="auto"/>
        </w:rPr>
        <w:t>Non-Executive Chair of Forth Ports Ltd., one of the UK's largest port groups.</w:t>
      </w:r>
    </w:p>
    <w:p>
      <w:pPr>
        <w:spacing w:after="0" w:line="52" w:lineRule="exact"/>
        <w:rPr>
          <w:rFonts w:ascii="Arial" w:cs="Arial" w:eastAsia="Arial" w:hAnsi="Arial"/>
          <w:sz w:val="16"/>
          <w:szCs w:val="16"/>
          <w:b w:val="1"/>
          <w:bCs w:val="1"/>
          <w:color w:val="D7282F"/>
        </w:rPr>
      </w:pPr>
    </w:p>
    <w:p>
      <w:pPr>
        <w:ind w:left="200" w:right="260" w:hanging="192"/>
        <w:spacing w:after="0" w:line="263" w:lineRule="auto"/>
        <w:tabs>
          <w:tab w:leader="none" w:pos="197" w:val="left"/>
        </w:tabs>
        <w:numPr>
          <w:ilvl w:val="0"/>
          <w:numId w:val="78"/>
        </w:numPr>
        <w:rPr>
          <w:rFonts w:ascii="Arial" w:cs="Arial" w:eastAsia="Arial" w:hAnsi="Arial"/>
          <w:sz w:val="16"/>
          <w:szCs w:val="16"/>
          <w:b w:val="1"/>
          <w:bCs w:val="1"/>
          <w:color w:val="D7282F"/>
        </w:rPr>
      </w:pPr>
      <w:r>
        <w:rPr>
          <w:rFonts w:ascii="Arial" w:cs="Arial" w:eastAsia="Arial" w:hAnsi="Arial"/>
          <w:sz w:val="16"/>
          <w:szCs w:val="16"/>
          <w:color w:val="auto"/>
        </w:rPr>
        <w:t>Non-Executive Director and Audit and Risk Committee Chair on the National Gas Transmission Board (NGT), the owner-operator of the UK's gas transmission network.</w:t>
      </w:r>
    </w:p>
    <w:p>
      <w:pPr>
        <w:ind w:left="200" w:right="120" w:hanging="192"/>
        <w:spacing w:after="0" w:line="256" w:lineRule="auto"/>
        <w:tabs>
          <w:tab w:leader="none" w:pos="197" w:val="left"/>
        </w:tabs>
        <w:numPr>
          <w:ilvl w:val="0"/>
          <w:numId w:val="78"/>
        </w:numPr>
        <w:rPr>
          <w:rFonts w:ascii="Arial" w:cs="Arial" w:eastAsia="Arial" w:hAnsi="Arial"/>
          <w:sz w:val="16"/>
          <w:szCs w:val="16"/>
          <w:b w:val="1"/>
          <w:bCs w:val="1"/>
          <w:color w:val="D7282F"/>
        </w:rPr>
      </w:pPr>
      <w:r>
        <w:rPr>
          <w:rFonts w:ascii="Arial" w:cs="Arial" w:eastAsia="Arial" w:hAnsi="Arial"/>
          <w:sz w:val="16"/>
          <w:szCs w:val="16"/>
          <w:color w:val="auto"/>
        </w:rPr>
        <w:t>Engaged as an Operating Partner at Macquarie Asset Management (MAM), as a Senior Advisor to McKinsey &amp; Company and as a Visiting Professor at the University of Strathclyde.</w:t>
      </w:r>
    </w:p>
    <w:p>
      <w:pPr>
        <w:ind w:left="200" w:right="460" w:hanging="192"/>
        <w:spacing w:after="0" w:line="255" w:lineRule="auto"/>
        <w:tabs>
          <w:tab w:leader="none" w:pos="197" w:val="left"/>
        </w:tabs>
        <w:numPr>
          <w:ilvl w:val="0"/>
          <w:numId w:val="78"/>
        </w:numPr>
        <w:rPr>
          <w:rFonts w:ascii="Arial" w:cs="Arial" w:eastAsia="Arial" w:hAnsi="Arial"/>
          <w:sz w:val="16"/>
          <w:szCs w:val="16"/>
          <w:b w:val="1"/>
          <w:bCs w:val="1"/>
          <w:color w:val="D7282F"/>
        </w:rPr>
      </w:pPr>
      <w:r>
        <w:rPr>
          <w:rFonts w:ascii="Arial" w:cs="Arial" w:eastAsia="Arial" w:hAnsi="Arial"/>
          <w:sz w:val="16"/>
          <w:szCs w:val="16"/>
          <w:color w:val="auto"/>
        </w:rPr>
        <w:t>Previously served on the UK Government's Investment Council and as a Non-Executive Director at the UK Institute of Directors.</w:t>
      </w:r>
    </w:p>
    <w:p>
      <w:pPr>
        <w:ind w:left="200" w:right="180" w:hanging="192"/>
        <w:spacing w:after="0" w:line="268" w:lineRule="auto"/>
        <w:tabs>
          <w:tab w:leader="none" w:pos="197" w:val="left"/>
        </w:tabs>
        <w:numPr>
          <w:ilvl w:val="0"/>
          <w:numId w:val="78"/>
        </w:numPr>
        <w:rPr>
          <w:rFonts w:ascii="Arial" w:cs="Arial" w:eastAsia="Arial" w:hAnsi="Arial"/>
          <w:sz w:val="16"/>
          <w:szCs w:val="16"/>
          <w:b w:val="1"/>
          <w:bCs w:val="1"/>
          <w:color w:val="D7282F"/>
        </w:rPr>
      </w:pPr>
      <w:r>
        <w:rPr>
          <w:rFonts w:ascii="Arial" w:cs="Arial" w:eastAsia="Arial" w:hAnsi="Arial"/>
          <w:sz w:val="16"/>
          <w:szCs w:val="16"/>
          <w:color w:val="auto"/>
        </w:rPr>
        <w:t>Qualified as a chartered mechanical engineer and a Fellow of both the Institution of Mechanical Engineers, the Energy Institute and the Institute of Directors.</w:t>
      </w:r>
    </w:p>
    <w:p>
      <w:pPr>
        <w:spacing w:after="0" w:line="200" w:lineRule="exact"/>
        <w:rPr>
          <w:rFonts w:ascii="Arial" w:cs="Arial" w:eastAsia="Arial" w:hAnsi="Arial"/>
          <w:sz w:val="16"/>
          <w:szCs w:val="16"/>
          <w:b w:val="1"/>
          <w:bCs w:val="1"/>
          <w:color w:val="D7282F"/>
        </w:rPr>
      </w:pPr>
    </w:p>
    <w:p>
      <w:pPr>
        <w:spacing w:after="0" w:line="200" w:lineRule="exact"/>
        <w:rPr>
          <w:rFonts w:ascii="Arial" w:cs="Arial" w:eastAsia="Arial" w:hAnsi="Arial"/>
          <w:sz w:val="16"/>
          <w:szCs w:val="16"/>
          <w:b w:val="1"/>
          <w:bCs w:val="1"/>
          <w:color w:val="D7282F"/>
        </w:rPr>
      </w:pPr>
    </w:p>
    <w:p>
      <w:pPr>
        <w:spacing w:after="0" w:line="395" w:lineRule="exact"/>
        <w:rPr>
          <w:rFonts w:ascii="Arial" w:cs="Arial" w:eastAsia="Arial" w:hAnsi="Arial"/>
          <w:sz w:val="16"/>
          <w:szCs w:val="16"/>
          <w:b w:val="1"/>
          <w:bCs w:val="1"/>
          <w:color w:val="D7282F"/>
        </w:rPr>
      </w:pPr>
    </w:p>
    <w:p>
      <w:pPr>
        <w:ind w:left="200"/>
        <w:spacing w:after="0"/>
        <w:rPr>
          <w:rFonts w:ascii="Arial" w:cs="Arial" w:eastAsia="Arial" w:hAnsi="Arial"/>
          <w:sz w:val="16"/>
          <w:szCs w:val="16"/>
          <w:b w:val="1"/>
          <w:bCs w:val="1"/>
          <w:color w:val="D7282F"/>
        </w:rPr>
      </w:pPr>
      <w:r>
        <w:rPr>
          <w:rFonts w:ascii="Arial" w:cs="Arial" w:eastAsia="Arial" w:hAnsi="Arial"/>
          <w:sz w:val="14"/>
          <w:szCs w:val="14"/>
          <w:b w:val="1"/>
          <w:bCs w:val="1"/>
          <w:color w:val="D7282F"/>
        </w:rPr>
        <w:t>SPECIFIC QUALIFICATIONS, ATTRIBUTES, SKILLS, AND EXPERIENCE</w:t>
      </w:r>
    </w:p>
    <w:p>
      <w:pPr>
        <w:spacing w:after="0" w:line="50" w:lineRule="exact"/>
        <w:rPr>
          <w:rFonts w:ascii="Arial" w:cs="Arial" w:eastAsia="Arial" w:hAnsi="Arial"/>
          <w:sz w:val="16"/>
          <w:szCs w:val="16"/>
          <w:b w:val="1"/>
          <w:bCs w:val="1"/>
          <w:color w:val="D7282F"/>
        </w:rPr>
      </w:pPr>
    </w:p>
    <w:p>
      <w:pPr>
        <w:ind w:left="400" w:right="840" w:hanging="197"/>
        <w:spacing w:after="0" w:line="255" w:lineRule="auto"/>
        <w:tabs>
          <w:tab w:leader="none" w:pos="397" w:val="left"/>
        </w:tabs>
        <w:numPr>
          <w:ilvl w:val="1"/>
          <w:numId w:val="78"/>
        </w:numPr>
        <w:rPr>
          <w:rFonts w:ascii="Arial" w:cs="Arial" w:eastAsia="Arial" w:hAnsi="Arial"/>
          <w:sz w:val="16"/>
          <w:szCs w:val="16"/>
          <w:b w:val="1"/>
          <w:bCs w:val="1"/>
          <w:color w:val="D7282F"/>
        </w:rPr>
      </w:pPr>
      <w:r>
        <w:rPr>
          <w:rFonts w:ascii="Arial" w:cs="Arial" w:eastAsia="Arial" w:hAnsi="Arial"/>
          <w:sz w:val="16"/>
          <w:szCs w:val="16"/>
          <w:color w:val="auto"/>
        </w:rPr>
        <w:t>Wealth of experience in unlocking opportunities in carbon capture, hydrogen, bio-refining, minerals processing, and solar and wind energy.</w:t>
      </w:r>
    </w:p>
    <w:p>
      <w:pPr>
        <w:ind w:left="400" w:hanging="197"/>
        <w:spacing w:after="0"/>
        <w:tabs>
          <w:tab w:leader="none" w:pos="400" w:val="left"/>
        </w:tabs>
        <w:numPr>
          <w:ilvl w:val="1"/>
          <w:numId w:val="78"/>
        </w:numPr>
        <w:rPr>
          <w:rFonts w:ascii="Arial" w:cs="Arial" w:eastAsia="Arial" w:hAnsi="Arial"/>
          <w:sz w:val="16"/>
          <w:szCs w:val="16"/>
          <w:b w:val="1"/>
          <w:bCs w:val="1"/>
          <w:color w:val="D7282F"/>
        </w:rPr>
      </w:pPr>
      <w:r>
        <w:rPr>
          <w:rFonts w:ascii="Arial" w:cs="Arial" w:eastAsia="Arial" w:hAnsi="Arial"/>
          <w:sz w:val="16"/>
          <w:szCs w:val="16"/>
          <w:color w:val="auto"/>
        </w:rPr>
        <w:t>Demonstrated experience in helping organizations deliver a more sustainable future.</w:t>
      </w:r>
    </w:p>
    <w:p>
      <w:pPr>
        <w:spacing w:after="0" w:line="38" w:lineRule="exact"/>
        <w:rPr>
          <w:rFonts w:ascii="Arial" w:cs="Arial" w:eastAsia="Arial" w:hAnsi="Arial"/>
          <w:sz w:val="16"/>
          <w:szCs w:val="16"/>
          <w:b w:val="1"/>
          <w:bCs w:val="1"/>
          <w:color w:val="D7282F"/>
        </w:rPr>
      </w:pPr>
    </w:p>
    <w:p>
      <w:pPr>
        <w:ind w:left="400" w:right="240" w:hanging="197"/>
        <w:spacing w:after="0" w:line="251" w:lineRule="auto"/>
        <w:tabs>
          <w:tab w:leader="none" w:pos="397" w:val="left"/>
        </w:tabs>
        <w:numPr>
          <w:ilvl w:val="1"/>
          <w:numId w:val="78"/>
        </w:numPr>
        <w:rPr>
          <w:rFonts w:ascii="Arial" w:cs="Arial" w:eastAsia="Arial" w:hAnsi="Arial"/>
          <w:sz w:val="16"/>
          <w:szCs w:val="16"/>
          <w:b w:val="1"/>
          <w:bCs w:val="1"/>
          <w:color w:val="D7282F"/>
        </w:rPr>
      </w:pPr>
      <w:r>
        <w:rPr>
          <w:rFonts w:ascii="Arial" w:cs="Arial" w:eastAsia="Arial" w:hAnsi="Arial"/>
          <w:sz w:val="16"/>
          <w:szCs w:val="16"/>
          <w:color w:val="auto"/>
        </w:rPr>
        <w:t>Significant knowledge of mechanical engineering, project delivery, automation and digitalization of complex facilities and processes, and service to international trade.</w:t>
      </w:r>
    </w:p>
    <w:p>
      <w:pPr>
        <w:ind w:left="400" w:right="500" w:hanging="197"/>
        <w:spacing w:after="0" w:line="255" w:lineRule="auto"/>
        <w:tabs>
          <w:tab w:leader="none" w:pos="397" w:val="left"/>
        </w:tabs>
        <w:numPr>
          <w:ilvl w:val="1"/>
          <w:numId w:val="78"/>
        </w:numPr>
        <w:rPr>
          <w:rFonts w:ascii="Arial" w:cs="Arial" w:eastAsia="Arial" w:hAnsi="Arial"/>
          <w:sz w:val="16"/>
          <w:szCs w:val="16"/>
          <w:b w:val="1"/>
          <w:bCs w:val="1"/>
          <w:color w:val="D7282F"/>
        </w:rPr>
      </w:pPr>
      <w:r>
        <w:rPr>
          <w:rFonts w:ascii="Arial" w:cs="Arial" w:eastAsia="Arial" w:hAnsi="Arial"/>
          <w:sz w:val="16"/>
          <w:szCs w:val="16"/>
          <w:color w:val="auto"/>
        </w:rPr>
        <w:t>Extensive leadership and management experience with a well-established track record of implementing strategic change and operational delivery.</w:t>
      </w:r>
    </w:p>
    <w:p>
      <w:pPr>
        <w:ind w:left="400" w:hanging="197"/>
        <w:spacing w:after="0"/>
        <w:tabs>
          <w:tab w:leader="none" w:pos="400" w:val="left"/>
        </w:tabs>
        <w:numPr>
          <w:ilvl w:val="1"/>
          <w:numId w:val="78"/>
        </w:numPr>
        <w:rPr>
          <w:rFonts w:ascii="Arial" w:cs="Arial" w:eastAsia="Arial" w:hAnsi="Arial"/>
          <w:sz w:val="16"/>
          <w:szCs w:val="16"/>
          <w:b w:val="1"/>
          <w:bCs w:val="1"/>
          <w:color w:val="D7282F"/>
        </w:rPr>
      </w:pPr>
      <w:r>
        <w:rPr>
          <w:rFonts w:ascii="Arial" w:cs="Arial" w:eastAsia="Arial" w:hAnsi="Arial"/>
          <w:sz w:val="16"/>
          <w:szCs w:val="16"/>
          <w:color w:val="auto"/>
        </w:rPr>
        <w:t>Brings extensive board-level experience overseeing organizations in highly regulated industries.</w:t>
      </w:r>
    </w:p>
    <w:p>
      <w:pPr>
        <w:spacing w:after="0" w:line="200" w:lineRule="exact"/>
        <w:rPr>
          <w:sz w:val="20"/>
          <w:szCs w:val="20"/>
          <w:color w:val="auto"/>
        </w:rPr>
      </w:pPr>
    </w:p>
    <w:p>
      <w:pPr>
        <w:sectPr>
          <w:pgSz w:w="11900" w:h="16838" w:orient="portrait"/>
          <w:cols w:equalWidth="0" w:num="2">
            <w:col w:w="2620" w:space="300"/>
            <w:col w:w="8280"/>
          </w:cols>
          <w:pgMar w:left="320" w:top="230" w:right="379" w:bottom="1440" w:gutter="0" w:footer="0" w:header="0"/>
          <w:type w:val="continuous"/>
        </w:sectPr>
      </w:pPr>
    </w:p>
    <w:p>
      <w:pPr>
        <w:spacing w:after="0" w:line="294"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D7282F"/>
        </w:rPr>
        <w:t>STEPHEN WILLIAMSON</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FORMER SENIOR VICE PRESIDENT AND CHIEF FINANCIAL OFFICER, THERMO FISHER SCIENTIFIC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23430" cy="294068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23430" cy="2940685"/>
                    </a:xfrm>
                    <a:prstGeom prst="rect">
                      <a:avLst/>
                    </a:prstGeom>
                    <a:noFill/>
                  </pic:spPr>
                </pic:pic>
              </a:graphicData>
            </a:graphic>
          </wp:anchor>
        </w:drawing>
      </w:r>
    </w:p>
    <w:p>
      <w:pPr>
        <w:sectPr>
          <w:pgSz w:w="11900" w:h="16838" w:orient="portrait"/>
          <w:cols w:equalWidth="0" w:num="1">
            <w:col w:w="11200"/>
          </w:cols>
          <w:pgMar w:left="320" w:top="23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Years of Service: 1</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b w:val="1"/>
          <w:bCs w:val="1"/>
          <w:color w:val="D7282F"/>
        </w:rPr>
        <w:t>59</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D7282F"/>
        </w:rPr>
        <w:t>COMMITTEES</w:t>
      </w:r>
      <w:r>
        <w:rPr>
          <w:rFonts w:ascii="Arial" w:cs="Arial" w:eastAsia="Arial" w:hAnsi="Arial"/>
          <w:sz w:val="18"/>
          <w:szCs w:val="18"/>
          <w:b w:val="1"/>
          <w:bCs w:val="1"/>
          <w:color w:val="D7282F"/>
          <w:vertAlign w:val="superscript"/>
        </w:rPr>
        <w:t>(1)</w:t>
      </w:r>
      <w:r>
        <w:rPr>
          <w:rFonts w:ascii="Arial" w:cs="Arial" w:eastAsia="Arial" w:hAnsi="Arial"/>
          <w:sz w:val="14"/>
          <w:szCs w:val="14"/>
          <w:b w:val="1"/>
          <w:bCs w:val="1"/>
          <w:color w:val="D7282F"/>
        </w:rPr>
        <w:t>:</w:t>
      </w:r>
    </w:p>
    <w:p>
      <w:pPr>
        <w:ind w:left="220" w:hanging="194"/>
        <w:spacing w:after="0"/>
        <w:tabs>
          <w:tab w:leader="none" w:pos="220" w:val="left"/>
        </w:tabs>
        <w:numPr>
          <w:ilvl w:val="0"/>
          <w:numId w:val="79"/>
        </w:numPr>
        <w:rPr>
          <w:rFonts w:ascii="Arial" w:cs="Arial" w:eastAsia="Arial" w:hAnsi="Arial"/>
          <w:sz w:val="16"/>
          <w:szCs w:val="16"/>
          <w:b w:val="1"/>
          <w:bCs w:val="1"/>
          <w:color w:val="D7282F"/>
        </w:rPr>
      </w:pPr>
      <w:r>
        <w:rPr>
          <w:rFonts w:ascii="Arial" w:cs="Arial" w:eastAsia="Arial" w:hAnsi="Arial"/>
          <w:sz w:val="16"/>
          <w:szCs w:val="16"/>
          <w:color w:val="auto"/>
        </w:rPr>
        <w:t>Audit (Chair)</w:t>
      </w:r>
    </w:p>
    <w:p>
      <w:pPr>
        <w:spacing w:after="0" w:line="88" w:lineRule="exact"/>
        <w:rPr>
          <w:sz w:val="20"/>
          <w:szCs w:val="20"/>
          <w:color w:val="auto"/>
        </w:rPr>
      </w:pPr>
    </w:p>
    <w:p>
      <w:pPr>
        <w:ind w:left="20"/>
        <w:spacing w:after="0" w:line="239" w:lineRule="auto"/>
        <w:rPr>
          <w:sz w:val="20"/>
          <w:szCs w:val="20"/>
          <w:color w:val="auto"/>
        </w:rPr>
      </w:pPr>
      <w:r>
        <w:rPr>
          <w:rFonts w:ascii="Arial" w:cs="Arial" w:eastAsia="Arial" w:hAnsi="Arial"/>
          <w:sz w:val="14"/>
          <w:szCs w:val="14"/>
          <w:b w:val="1"/>
          <w:bCs w:val="1"/>
          <w:color w:val="D7282F"/>
        </w:rPr>
        <w:t>OTHER CURRENT PUBLIC COMPANY BOARDS:</w:t>
      </w:r>
    </w:p>
    <w:p>
      <w:pPr>
        <w:spacing w:after="0" w:line="1" w:lineRule="exact"/>
        <w:rPr>
          <w:sz w:val="20"/>
          <w:szCs w:val="20"/>
          <w:color w:val="auto"/>
        </w:rPr>
      </w:pPr>
    </w:p>
    <w:p>
      <w:pPr>
        <w:ind w:left="220" w:hanging="194"/>
        <w:spacing w:after="0"/>
        <w:tabs>
          <w:tab w:leader="none" w:pos="220" w:val="left"/>
        </w:tabs>
        <w:numPr>
          <w:ilvl w:val="0"/>
          <w:numId w:val="80"/>
        </w:numPr>
        <w:rPr>
          <w:rFonts w:ascii="Arial" w:cs="Arial" w:eastAsia="Arial" w:hAnsi="Arial"/>
          <w:sz w:val="16"/>
          <w:szCs w:val="16"/>
          <w:b w:val="1"/>
          <w:bCs w:val="1"/>
          <w:color w:val="D7282F"/>
        </w:rPr>
      </w:pPr>
      <w:r>
        <w:rPr>
          <w:rFonts w:ascii="Arial" w:cs="Arial" w:eastAsia="Arial" w:hAnsi="Arial"/>
          <w:sz w:val="16"/>
          <w:szCs w:val="16"/>
          <w:color w:val="auto"/>
        </w:rPr>
        <w:t>None</w:t>
      </w:r>
    </w:p>
    <w:p>
      <w:pPr>
        <w:spacing w:after="0" w:line="8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D7282F"/>
        </w:rPr>
        <w:t>PAST PUBLIC COMPANY BOARDS:</w:t>
      </w:r>
    </w:p>
    <w:p>
      <w:pPr>
        <w:spacing w:after="0" w:line="12" w:lineRule="exact"/>
        <w:rPr>
          <w:sz w:val="20"/>
          <w:szCs w:val="20"/>
          <w:color w:val="auto"/>
        </w:rPr>
      </w:pPr>
    </w:p>
    <w:p>
      <w:pPr>
        <w:ind w:left="220" w:right="780" w:hanging="194"/>
        <w:spacing w:after="0" w:line="248" w:lineRule="auto"/>
        <w:tabs>
          <w:tab w:leader="none" w:pos="217" w:val="left"/>
        </w:tabs>
        <w:numPr>
          <w:ilvl w:val="0"/>
          <w:numId w:val="81"/>
        </w:numPr>
        <w:rPr>
          <w:rFonts w:ascii="Arial" w:cs="Arial" w:eastAsia="Arial" w:hAnsi="Arial"/>
          <w:sz w:val="16"/>
          <w:szCs w:val="16"/>
          <w:color w:val="D7282F"/>
        </w:rPr>
      </w:pPr>
      <w:r>
        <w:rPr>
          <w:rFonts w:ascii="Arial" w:cs="Arial" w:eastAsia="Arial" w:hAnsi="Arial"/>
          <w:sz w:val="16"/>
          <w:szCs w:val="16"/>
          <w:color w:val="auto"/>
        </w:rPr>
        <w:t>International Flavors &amp; Fragrances Inc.</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D7282F"/>
        </w:rPr>
        <w:t>BACKGROUND</w:t>
      </w:r>
    </w:p>
    <w:p>
      <w:pPr>
        <w:spacing w:after="0" w:line="37" w:lineRule="exact"/>
        <w:rPr>
          <w:sz w:val="20"/>
          <w:szCs w:val="20"/>
          <w:color w:val="auto"/>
        </w:rPr>
      </w:pPr>
    </w:p>
    <w:p>
      <w:pPr>
        <w:ind w:left="200" w:right="540" w:hanging="192"/>
        <w:spacing w:after="0" w:line="255" w:lineRule="auto"/>
        <w:tabs>
          <w:tab w:leader="none" w:pos="197" w:val="left"/>
        </w:tabs>
        <w:numPr>
          <w:ilvl w:val="0"/>
          <w:numId w:val="82"/>
        </w:numPr>
        <w:rPr>
          <w:rFonts w:ascii="Arial" w:cs="Arial" w:eastAsia="Arial" w:hAnsi="Arial"/>
          <w:sz w:val="16"/>
          <w:szCs w:val="16"/>
          <w:b w:val="1"/>
          <w:bCs w:val="1"/>
          <w:color w:val="D7282F"/>
        </w:rPr>
      </w:pPr>
      <w:r>
        <w:rPr>
          <w:rFonts w:ascii="Arial" w:cs="Arial" w:eastAsia="Arial" w:hAnsi="Arial"/>
          <w:sz w:val="16"/>
          <w:szCs w:val="16"/>
          <w:color w:val="auto"/>
        </w:rPr>
        <w:t>Senior Vice President and Chief Financial Officer of Thermo Fisher Scientific Inc., a provider of laboratory equipment, scientific products, and biopharma services, from August 2015 through March 31, 2026.</w:t>
      </w:r>
    </w:p>
    <w:p>
      <w:pPr>
        <w:ind w:left="200" w:hanging="192"/>
        <w:spacing w:after="0"/>
        <w:tabs>
          <w:tab w:leader="none" w:pos="200" w:val="left"/>
        </w:tabs>
        <w:numPr>
          <w:ilvl w:val="0"/>
          <w:numId w:val="82"/>
        </w:numPr>
        <w:rPr>
          <w:rFonts w:ascii="Arial" w:cs="Arial" w:eastAsia="Arial" w:hAnsi="Arial"/>
          <w:sz w:val="16"/>
          <w:szCs w:val="16"/>
          <w:b w:val="1"/>
          <w:bCs w:val="1"/>
          <w:color w:val="D7282F"/>
        </w:rPr>
      </w:pPr>
      <w:r>
        <w:rPr>
          <w:rFonts w:ascii="Arial" w:cs="Arial" w:eastAsia="Arial" w:hAnsi="Arial"/>
          <w:sz w:val="16"/>
          <w:szCs w:val="16"/>
          <w:color w:val="auto"/>
        </w:rPr>
        <w:t>Served as Vice President, Financial Operations of Thermo Fisher Scientific from 2008 to 2015.</w:t>
      </w:r>
    </w:p>
    <w:p>
      <w:pPr>
        <w:spacing w:after="0" w:line="38" w:lineRule="exact"/>
        <w:rPr>
          <w:rFonts w:ascii="Arial" w:cs="Arial" w:eastAsia="Arial" w:hAnsi="Arial"/>
          <w:sz w:val="16"/>
          <w:szCs w:val="16"/>
          <w:b w:val="1"/>
          <w:bCs w:val="1"/>
          <w:color w:val="D7282F"/>
        </w:rPr>
      </w:pPr>
    </w:p>
    <w:p>
      <w:pPr>
        <w:ind w:left="200" w:hanging="192"/>
        <w:spacing w:after="0"/>
        <w:tabs>
          <w:tab w:leader="none" w:pos="200" w:val="left"/>
        </w:tabs>
        <w:numPr>
          <w:ilvl w:val="0"/>
          <w:numId w:val="82"/>
        </w:numPr>
        <w:rPr>
          <w:rFonts w:ascii="Arial" w:cs="Arial" w:eastAsia="Arial" w:hAnsi="Arial"/>
          <w:sz w:val="16"/>
          <w:szCs w:val="16"/>
          <w:b w:val="1"/>
          <w:bCs w:val="1"/>
          <w:color w:val="D7282F"/>
        </w:rPr>
      </w:pPr>
      <w:r>
        <w:rPr>
          <w:rFonts w:ascii="Arial" w:cs="Arial" w:eastAsia="Arial" w:hAnsi="Arial"/>
          <w:sz w:val="16"/>
          <w:szCs w:val="16"/>
          <w:color w:val="auto"/>
        </w:rPr>
        <w:t>Held finance leadership roles for multiple Thermo Fisher Scientific operating businesses from 2004 to 2008.</w:t>
      </w:r>
    </w:p>
    <w:p>
      <w:pPr>
        <w:spacing w:after="0" w:line="27" w:lineRule="exact"/>
        <w:rPr>
          <w:rFonts w:ascii="Arial" w:cs="Arial" w:eastAsia="Arial" w:hAnsi="Arial"/>
          <w:sz w:val="16"/>
          <w:szCs w:val="16"/>
          <w:b w:val="1"/>
          <w:bCs w:val="1"/>
          <w:color w:val="D7282F"/>
        </w:rPr>
      </w:pPr>
    </w:p>
    <w:p>
      <w:pPr>
        <w:ind w:left="200" w:hanging="192"/>
        <w:spacing w:after="0"/>
        <w:tabs>
          <w:tab w:leader="none" w:pos="200" w:val="left"/>
        </w:tabs>
        <w:numPr>
          <w:ilvl w:val="0"/>
          <w:numId w:val="82"/>
        </w:numPr>
        <w:rPr>
          <w:rFonts w:ascii="Arial" w:cs="Arial" w:eastAsia="Arial" w:hAnsi="Arial"/>
          <w:sz w:val="16"/>
          <w:szCs w:val="16"/>
          <w:b w:val="1"/>
          <w:bCs w:val="1"/>
          <w:color w:val="D7282F"/>
        </w:rPr>
      </w:pPr>
      <w:r>
        <w:rPr>
          <w:rFonts w:ascii="Arial" w:cs="Arial" w:eastAsia="Arial" w:hAnsi="Arial"/>
          <w:sz w:val="16"/>
          <w:szCs w:val="16"/>
          <w:color w:val="auto"/>
        </w:rPr>
        <w:t>Joined Thermo Fisher Scientific in 2001 as Vice President, European Financial Operations, based in the U.K.</w:t>
      </w:r>
    </w:p>
    <w:p>
      <w:pPr>
        <w:spacing w:after="0" w:line="22" w:lineRule="exact"/>
        <w:rPr>
          <w:rFonts w:ascii="Arial" w:cs="Arial" w:eastAsia="Arial" w:hAnsi="Arial"/>
          <w:sz w:val="16"/>
          <w:szCs w:val="16"/>
          <w:b w:val="1"/>
          <w:bCs w:val="1"/>
          <w:color w:val="D7282F"/>
        </w:rPr>
      </w:pPr>
    </w:p>
    <w:p>
      <w:pPr>
        <w:ind w:left="200" w:right="580" w:hanging="192"/>
        <w:spacing w:after="0" w:line="258" w:lineRule="auto"/>
        <w:tabs>
          <w:tab w:leader="none" w:pos="197" w:val="left"/>
        </w:tabs>
        <w:numPr>
          <w:ilvl w:val="0"/>
          <w:numId w:val="82"/>
        </w:numPr>
        <w:rPr>
          <w:rFonts w:ascii="Arial" w:cs="Arial" w:eastAsia="Arial" w:hAnsi="Arial"/>
          <w:sz w:val="16"/>
          <w:szCs w:val="16"/>
          <w:b w:val="1"/>
          <w:bCs w:val="1"/>
          <w:color w:val="D7282F"/>
        </w:rPr>
      </w:pPr>
      <w:r>
        <w:rPr>
          <w:rFonts w:ascii="Arial" w:cs="Arial" w:eastAsia="Arial" w:hAnsi="Arial"/>
          <w:sz w:val="16"/>
          <w:szCs w:val="16"/>
          <w:color w:val="auto"/>
        </w:rPr>
        <w:t>Previously served as Vice President and Chief Financial Officer, Asia-Pacific and in other finance roles in corporate development and operational finance for Honeywell.</w:t>
      </w:r>
    </w:p>
    <w:p>
      <w:pPr>
        <w:spacing w:after="0" w:line="1" w:lineRule="exact"/>
        <w:rPr>
          <w:rFonts w:ascii="Arial" w:cs="Arial" w:eastAsia="Arial" w:hAnsi="Arial"/>
          <w:sz w:val="16"/>
          <w:szCs w:val="16"/>
          <w:b w:val="1"/>
          <w:bCs w:val="1"/>
          <w:color w:val="D7282F"/>
        </w:rPr>
      </w:pPr>
    </w:p>
    <w:p>
      <w:pPr>
        <w:ind w:left="200" w:hanging="192"/>
        <w:spacing w:after="0"/>
        <w:tabs>
          <w:tab w:leader="none" w:pos="200" w:val="left"/>
        </w:tabs>
        <w:numPr>
          <w:ilvl w:val="0"/>
          <w:numId w:val="82"/>
        </w:numPr>
        <w:rPr>
          <w:rFonts w:ascii="Arial" w:cs="Arial" w:eastAsia="Arial" w:hAnsi="Arial"/>
          <w:sz w:val="16"/>
          <w:szCs w:val="16"/>
          <w:b w:val="1"/>
          <w:bCs w:val="1"/>
          <w:color w:val="D7282F"/>
        </w:rPr>
      </w:pPr>
      <w:r>
        <w:rPr>
          <w:rFonts w:ascii="Arial" w:cs="Arial" w:eastAsia="Arial" w:hAnsi="Arial"/>
          <w:sz w:val="16"/>
          <w:szCs w:val="16"/>
          <w:color w:val="auto"/>
        </w:rPr>
        <w:t>Started his career with Price Waterhouse in the transaction support group and the audit practice.</w:t>
      </w:r>
    </w:p>
    <w:p>
      <w:pPr>
        <w:spacing w:after="0" w:line="26" w:lineRule="exact"/>
        <w:rPr>
          <w:rFonts w:ascii="Arial" w:cs="Arial" w:eastAsia="Arial" w:hAnsi="Arial"/>
          <w:sz w:val="16"/>
          <w:szCs w:val="16"/>
          <w:b w:val="1"/>
          <w:bCs w:val="1"/>
          <w:color w:val="D7282F"/>
        </w:rPr>
      </w:pPr>
    </w:p>
    <w:p>
      <w:pPr>
        <w:ind w:left="200" w:hanging="192"/>
        <w:spacing w:after="0"/>
        <w:tabs>
          <w:tab w:leader="none" w:pos="200" w:val="left"/>
        </w:tabs>
        <w:numPr>
          <w:ilvl w:val="0"/>
          <w:numId w:val="82"/>
        </w:numPr>
        <w:rPr>
          <w:rFonts w:ascii="Arial" w:cs="Arial" w:eastAsia="Arial" w:hAnsi="Arial"/>
          <w:sz w:val="16"/>
          <w:szCs w:val="16"/>
          <w:b w:val="1"/>
          <w:bCs w:val="1"/>
          <w:color w:val="D7282F"/>
        </w:rPr>
      </w:pPr>
      <w:r>
        <w:rPr>
          <w:rFonts w:ascii="Arial" w:cs="Arial" w:eastAsia="Arial" w:hAnsi="Arial"/>
          <w:sz w:val="16"/>
          <w:szCs w:val="16"/>
          <w:color w:val="auto"/>
        </w:rPr>
        <w:t>Previously a member of the Institute of Chartered Accountants of England and Wales.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D7282F"/>
        </w:rPr>
        <w:t>SPECIFIC QUALIFICATIONS, ATTRIBUTES, SKILLS, AND EXPERIENCE</w:t>
      </w:r>
    </w:p>
    <w:p>
      <w:pPr>
        <w:spacing w:after="0" w:line="50" w:lineRule="exact"/>
        <w:rPr>
          <w:sz w:val="20"/>
          <w:szCs w:val="20"/>
          <w:color w:val="auto"/>
        </w:rPr>
      </w:pPr>
    </w:p>
    <w:p>
      <w:pPr>
        <w:ind w:left="400" w:hanging="197"/>
        <w:spacing w:after="0"/>
        <w:tabs>
          <w:tab w:leader="none" w:pos="400" w:val="left"/>
        </w:tabs>
        <w:numPr>
          <w:ilvl w:val="0"/>
          <w:numId w:val="83"/>
        </w:numPr>
        <w:rPr>
          <w:rFonts w:ascii="Arial" w:cs="Arial" w:eastAsia="Arial" w:hAnsi="Arial"/>
          <w:sz w:val="16"/>
          <w:szCs w:val="16"/>
          <w:b w:val="1"/>
          <w:bCs w:val="1"/>
          <w:color w:val="D7282F"/>
        </w:rPr>
      </w:pPr>
      <w:r>
        <w:rPr>
          <w:rFonts w:ascii="Arial" w:cs="Arial" w:eastAsia="Arial" w:hAnsi="Arial"/>
          <w:sz w:val="16"/>
          <w:szCs w:val="16"/>
          <w:color w:val="auto"/>
        </w:rPr>
        <w:t>Deep financial and business experience that has enabled significant shareowner value creation.</w:t>
      </w:r>
    </w:p>
    <w:p>
      <w:pPr>
        <w:spacing w:after="0" w:line="38" w:lineRule="exact"/>
        <w:rPr>
          <w:rFonts w:ascii="Arial" w:cs="Arial" w:eastAsia="Arial" w:hAnsi="Arial"/>
          <w:sz w:val="16"/>
          <w:szCs w:val="16"/>
          <w:b w:val="1"/>
          <w:bCs w:val="1"/>
          <w:color w:val="D7282F"/>
        </w:rPr>
      </w:pPr>
    </w:p>
    <w:p>
      <w:pPr>
        <w:ind w:left="400" w:hanging="197"/>
        <w:spacing w:after="0"/>
        <w:tabs>
          <w:tab w:leader="none" w:pos="400" w:val="left"/>
        </w:tabs>
        <w:numPr>
          <w:ilvl w:val="0"/>
          <w:numId w:val="83"/>
        </w:numPr>
        <w:rPr>
          <w:rFonts w:ascii="Arial" w:cs="Arial" w:eastAsia="Arial" w:hAnsi="Arial"/>
          <w:sz w:val="16"/>
          <w:szCs w:val="16"/>
          <w:b w:val="1"/>
          <w:bCs w:val="1"/>
          <w:color w:val="D7282F"/>
        </w:rPr>
      </w:pPr>
      <w:r>
        <w:rPr>
          <w:rFonts w:ascii="Arial" w:cs="Arial" w:eastAsia="Arial" w:hAnsi="Arial"/>
          <w:sz w:val="16"/>
          <w:szCs w:val="16"/>
          <w:color w:val="auto"/>
        </w:rPr>
        <w:t>Wide breadth of industry and international experience.</w:t>
      </w:r>
    </w:p>
    <w:p>
      <w:pPr>
        <w:spacing w:after="0" w:line="32" w:lineRule="exact"/>
        <w:rPr>
          <w:rFonts w:ascii="Arial" w:cs="Arial" w:eastAsia="Arial" w:hAnsi="Arial"/>
          <w:sz w:val="16"/>
          <w:szCs w:val="16"/>
          <w:b w:val="1"/>
          <w:bCs w:val="1"/>
          <w:color w:val="D7282F"/>
        </w:rPr>
      </w:pPr>
    </w:p>
    <w:p>
      <w:pPr>
        <w:ind w:left="400" w:right="440" w:hanging="197"/>
        <w:spacing w:after="0" w:line="260" w:lineRule="auto"/>
        <w:tabs>
          <w:tab w:leader="none" w:pos="397" w:val="left"/>
        </w:tabs>
        <w:numPr>
          <w:ilvl w:val="0"/>
          <w:numId w:val="83"/>
        </w:numPr>
        <w:rPr>
          <w:rFonts w:ascii="Arial" w:cs="Arial" w:eastAsia="Arial" w:hAnsi="Arial"/>
          <w:sz w:val="16"/>
          <w:szCs w:val="16"/>
          <w:b w:val="1"/>
          <w:bCs w:val="1"/>
          <w:color w:val="D7282F"/>
        </w:rPr>
      </w:pPr>
      <w:r>
        <w:rPr>
          <w:rFonts w:ascii="Arial" w:cs="Arial" w:eastAsia="Arial" w:hAnsi="Arial"/>
          <w:sz w:val="16"/>
          <w:szCs w:val="16"/>
          <w:color w:val="auto"/>
        </w:rPr>
        <w:t>Significant mergers and acquisitions experience, including transaction execution, financing, and detailed business integration experience.</w:t>
      </w:r>
    </w:p>
    <w:p>
      <w:pPr>
        <w:spacing w:after="0" w:line="200" w:lineRule="exact"/>
        <w:rPr>
          <w:sz w:val="20"/>
          <w:szCs w:val="20"/>
          <w:color w:val="auto"/>
        </w:rPr>
      </w:pPr>
    </w:p>
    <w:p>
      <w:pPr>
        <w:sectPr>
          <w:pgSz w:w="11900" w:h="16838" w:orient="portrait"/>
          <w:cols w:equalWidth="0" w:num="2">
            <w:col w:w="2620" w:space="300"/>
            <w:col w:w="8280"/>
          </w:cols>
          <w:pgMar w:left="320" w:top="230" w:right="379" w:bottom="1440" w:gutter="0" w:footer="0" w:header="0"/>
          <w:type w:val="continuous"/>
        </w:sectPr>
      </w:pPr>
    </w:p>
    <w:p>
      <w:pPr>
        <w:spacing w:after="0" w:line="34" w:lineRule="exact"/>
        <w:rPr>
          <w:sz w:val="20"/>
          <w:szCs w:val="20"/>
          <w:color w:val="auto"/>
        </w:rPr>
      </w:pPr>
    </w:p>
    <w:p>
      <w:pPr>
        <w:ind w:left="200" w:hanging="192"/>
        <w:spacing w:after="0"/>
        <w:tabs>
          <w:tab w:leader="none" w:pos="200" w:val="left"/>
        </w:tabs>
        <w:numPr>
          <w:ilvl w:val="0"/>
          <w:numId w:val="84"/>
        </w:numPr>
        <w:rPr>
          <w:rFonts w:ascii="Arial" w:cs="Arial" w:eastAsia="Arial" w:hAnsi="Arial"/>
          <w:sz w:val="16"/>
          <w:szCs w:val="16"/>
          <w:color w:val="auto"/>
          <w:vertAlign w:val="superscript"/>
        </w:rPr>
      </w:pPr>
      <w:r>
        <w:rPr>
          <w:rFonts w:ascii="Arial" w:cs="Arial" w:eastAsia="Arial" w:hAnsi="Arial"/>
          <w:sz w:val="13"/>
          <w:szCs w:val="13"/>
          <w:color w:val="auto"/>
        </w:rPr>
        <w:t>Effective following the Annual Meeting.</w:t>
      </w:r>
    </w:p>
    <w:p>
      <w:pPr>
        <w:spacing w:after="0" w:line="140"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sz w:val="1"/>
          <w:szCs w:val="1"/>
          <w:color w:val="auto"/>
        </w:rPr>
        <w:drawing>
          <wp:inline distT="0" distB="0" distL="0" distR="0">
            <wp:extent cx="548640" cy="102870"/>
            <wp:effectExtent l="0" t="0" r="0" b="0"/>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2026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247015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0" w:right="37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45"/>
          <w:szCs w:val="45"/>
          <w:b w:val="1"/>
          <w:bCs w:val="1"/>
          <w:color w:val="auto"/>
        </w:rPr>
        <w:t>CORPORATE GOVERNANCE</w:t>
      </w:r>
    </w:p>
    <w:p>
      <w:pPr>
        <w:spacing w:after="0" w:line="200" w:lineRule="exact"/>
        <w:rPr>
          <w:sz w:val="20"/>
          <w:szCs w:val="20"/>
          <w:color w:val="auto"/>
        </w:rPr>
      </w:pPr>
    </w:p>
    <w:p>
      <w:pPr>
        <w:spacing w:after="0" w:line="275" w:lineRule="exact"/>
        <w:rPr>
          <w:sz w:val="20"/>
          <w:szCs w:val="20"/>
          <w:color w:val="auto"/>
        </w:rPr>
      </w:pPr>
    </w:p>
    <w:p>
      <w:pPr>
        <w:ind w:right="80"/>
        <w:spacing w:after="0"/>
        <w:rPr>
          <w:sz w:val="20"/>
          <w:szCs w:val="20"/>
          <w:color w:val="auto"/>
        </w:rPr>
      </w:pPr>
      <w:r>
        <w:rPr>
          <w:rFonts w:ascii="Arial" w:cs="Arial" w:eastAsia="Arial" w:hAnsi="Arial"/>
          <w:sz w:val="16"/>
          <w:szCs w:val="16"/>
          <w:color w:val="auto"/>
        </w:rPr>
        <w:t>Honeywell is committed to strong corporate governance policies, practices, and procedures designed to ensure that its Board of Directors effectively exercises its oversight role. The Honeywell Board oversees management performance on behalf of shareowners to ensure that the long-term interests of shareowners are being served, to monitor adherence to Honeywell’s standards and policies, and to promote the exercise of responsible corporate citizenship. The Honeywell Board values and considers the feedback received from our shareowners. Taking into account their perspectives, Honeywell has implemented a number of actions over time to increase shareowner rights, enhance the Board’s structure, and augment our commitment to sustainability and corporate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3600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213" w:lineRule="exact"/>
        <w:rPr>
          <w:sz w:val="20"/>
          <w:szCs w:val="20"/>
          <w:color w:val="auto"/>
        </w:rPr>
      </w:pPr>
    </w:p>
    <w:p>
      <w:pPr>
        <w:jc w:val="center"/>
        <w:ind w:left="420" w:right="280"/>
        <w:spacing w:after="0" w:line="296" w:lineRule="auto"/>
        <w:rPr>
          <w:sz w:val="20"/>
          <w:szCs w:val="20"/>
          <w:color w:val="auto"/>
        </w:rPr>
      </w:pPr>
      <w:r>
        <w:rPr>
          <w:rFonts w:ascii="Arial" w:cs="Arial" w:eastAsia="Arial" w:hAnsi="Arial"/>
          <w:sz w:val="16"/>
          <w:szCs w:val="16"/>
          <w:b w:val="1"/>
          <w:bCs w:val="1"/>
          <w:color w:val="auto"/>
        </w:rPr>
        <w:t>HISTORY OF PROACTIVELY RESPONDING TO SHAREOWNER FEEDBACK TO ENSURE ROBUST GOVERNANCE, COMPENSATION, AND DISCLOSURE PRACTICES</w:t>
      </w:r>
    </w:p>
    <w:p>
      <w:pPr>
        <w:sectPr>
          <w:pgSz w:w="11900" w:h="16838" w:orient="portrait"/>
          <w:cols w:equalWidth="0" w:num="1">
            <w:col w:w="11240"/>
          </w:cols>
          <w:pgMar w:left="320" w:top="1293" w:right="339" w:bottom="1440" w:gutter="0" w:footer="0" w:header="0"/>
        </w:sect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Year</w:t>
            </w:r>
          </w:p>
        </w:tc>
        <w:tc>
          <w:tcPr>
            <w:tcW w:w="4500" w:type="dxa"/>
            <w:vAlign w:val="bottom"/>
          </w:tcPr>
          <w:p>
            <w:pPr>
              <w:ind w:left="280"/>
              <w:spacing w:after="0"/>
              <w:rPr>
                <w:sz w:val="20"/>
                <w:szCs w:val="20"/>
                <w:color w:val="auto"/>
              </w:rPr>
            </w:pPr>
            <w:r>
              <w:rPr>
                <w:rFonts w:ascii="Arial" w:cs="Arial" w:eastAsia="Arial" w:hAnsi="Arial"/>
                <w:sz w:val="14"/>
                <w:szCs w:val="14"/>
                <w:b w:val="1"/>
                <w:bCs w:val="1"/>
                <w:color w:val="auto"/>
              </w:rPr>
              <w:t>Enhancement</w:t>
            </w:r>
          </w:p>
        </w:tc>
        <w:tc>
          <w:tcPr>
            <w:tcW w:w="0" w:type="dxa"/>
            <w:vAlign w:val="bottom"/>
          </w:tcPr>
          <w:p>
            <w:pPr>
              <w:spacing w:after="0"/>
              <w:rPr>
                <w:sz w:val="1"/>
                <w:szCs w:val="1"/>
                <w:color w:val="auto"/>
              </w:rPr>
            </w:pPr>
          </w:p>
        </w:tc>
      </w:tr>
      <w:tr>
        <w:trPr>
          <w:trHeight w:val="83"/>
        </w:trPr>
        <w:tc>
          <w:tcPr>
            <w:tcW w:w="880" w:type="dxa"/>
            <w:vAlign w:val="bottom"/>
          </w:tcPr>
          <w:p>
            <w:pPr>
              <w:spacing w:after="0"/>
              <w:rPr>
                <w:sz w:val="7"/>
                <w:szCs w:val="7"/>
                <w:color w:val="auto"/>
              </w:rPr>
            </w:pPr>
          </w:p>
        </w:tc>
        <w:tc>
          <w:tcPr>
            <w:tcW w:w="4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880" w:type="dxa"/>
            <w:vAlign w:val="bottom"/>
            <w:shd w:val="clear" w:color="auto" w:fill="F2F2F2"/>
          </w:tcPr>
          <w:p>
            <w:pPr>
              <w:spacing w:after="0"/>
              <w:rPr>
                <w:sz w:val="19"/>
                <w:szCs w:val="19"/>
                <w:color w:val="auto"/>
              </w:rPr>
            </w:pPr>
          </w:p>
        </w:tc>
        <w:tc>
          <w:tcPr>
            <w:tcW w:w="4500" w:type="dxa"/>
            <w:vAlign w:val="bottom"/>
            <w:shd w:val="clear" w:color="auto" w:fill="F2F2F2"/>
          </w:tcPr>
          <w:p>
            <w:pPr>
              <w:ind w:left="16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Adopted policy to instruct trade associations not to use</w:t>
            </w:r>
          </w:p>
        </w:tc>
        <w:tc>
          <w:tcPr>
            <w:tcW w:w="0" w:type="dxa"/>
            <w:vAlign w:val="bottom"/>
          </w:tcPr>
          <w:p>
            <w:pPr>
              <w:spacing w:after="0"/>
              <w:rPr>
                <w:sz w:val="1"/>
                <w:szCs w:val="1"/>
                <w:color w:val="auto"/>
              </w:rPr>
            </w:pPr>
          </w:p>
        </w:tc>
      </w:tr>
      <w:tr>
        <w:trPr>
          <w:trHeight w:val="215"/>
        </w:trPr>
        <w:tc>
          <w:tcPr>
            <w:tcW w:w="880" w:type="dxa"/>
            <w:vAlign w:val="bottom"/>
            <w:shd w:val="clear" w:color="auto" w:fill="F2F2F2"/>
          </w:tcPr>
          <w:p>
            <w:pPr>
              <w:spacing w:after="0"/>
              <w:rPr>
                <w:sz w:val="18"/>
                <w:szCs w:val="18"/>
                <w:color w:val="auto"/>
              </w:rPr>
            </w:pPr>
          </w:p>
        </w:tc>
        <w:tc>
          <w:tcPr>
            <w:tcW w:w="4500" w:type="dxa"/>
            <w:vAlign w:val="bottom"/>
            <w:shd w:val="clear" w:color="auto" w:fill="F2F2F2"/>
          </w:tcPr>
          <w:p>
            <w:pPr>
              <w:ind w:left="360"/>
              <w:spacing w:after="0"/>
              <w:rPr>
                <w:sz w:val="20"/>
                <w:szCs w:val="20"/>
                <w:color w:val="auto"/>
              </w:rPr>
            </w:pPr>
            <w:r>
              <w:rPr>
                <w:rFonts w:ascii="Arial" w:cs="Arial" w:eastAsia="Arial" w:hAnsi="Arial"/>
                <w:sz w:val="16"/>
                <w:szCs w:val="16"/>
                <w:color w:val="auto"/>
              </w:rPr>
              <w:t>our dues for political contributions.</w:t>
            </w:r>
          </w:p>
        </w:tc>
        <w:tc>
          <w:tcPr>
            <w:tcW w:w="0" w:type="dxa"/>
            <w:vAlign w:val="bottom"/>
          </w:tcPr>
          <w:p>
            <w:pPr>
              <w:spacing w:after="0"/>
              <w:rPr>
                <w:sz w:val="1"/>
                <w:szCs w:val="1"/>
                <w:color w:val="auto"/>
              </w:rPr>
            </w:pPr>
          </w:p>
        </w:tc>
      </w:tr>
      <w:tr>
        <w:trPr>
          <w:trHeight w:val="190"/>
        </w:trPr>
        <w:tc>
          <w:tcPr>
            <w:tcW w:w="880" w:type="dxa"/>
            <w:vAlign w:val="bottom"/>
            <w:shd w:val="clear" w:color="auto" w:fill="F2F2F2"/>
          </w:tcPr>
          <w:p>
            <w:pPr>
              <w:spacing w:after="0"/>
              <w:rPr>
                <w:sz w:val="16"/>
                <w:szCs w:val="16"/>
                <w:color w:val="auto"/>
              </w:rPr>
            </w:pPr>
          </w:p>
        </w:tc>
        <w:tc>
          <w:tcPr>
            <w:tcW w:w="4500" w:type="dxa"/>
            <w:vAlign w:val="bottom"/>
            <w:shd w:val="clear" w:color="auto" w:fill="F2F2F2"/>
          </w:tcPr>
          <w:p>
            <w:pPr>
              <w:ind w:left="16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Reduced the total number of public company boards on</w:t>
            </w:r>
          </w:p>
        </w:tc>
        <w:tc>
          <w:tcPr>
            <w:tcW w:w="0" w:type="dxa"/>
            <w:vAlign w:val="bottom"/>
          </w:tcPr>
          <w:p>
            <w:pPr>
              <w:spacing w:after="0"/>
              <w:rPr>
                <w:sz w:val="1"/>
                <w:szCs w:val="1"/>
                <w:color w:val="auto"/>
              </w:rPr>
            </w:pPr>
          </w:p>
        </w:tc>
      </w:tr>
      <w:tr>
        <w:trPr>
          <w:trHeight w:val="215"/>
        </w:trPr>
        <w:tc>
          <w:tcPr>
            <w:tcW w:w="880" w:type="dxa"/>
            <w:vAlign w:val="bottom"/>
            <w:vMerge w:val="restart"/>
            <w:shd w:val="clear" w:color="auto" w:fill="F2F2F2"/>
          </w:tcPr>
          <w:p>
            <w:pPr>
              <w:jc w:val="center"/>
              <w:spacing w:after="0"/>
              <w:rPr>
                <w:sz w:val="20"/>
                <w:szCs w:val="20"/>
                <w:color w:val="auto"/>
              </w:rPr>
            </w:pPr>
            <w:r>
              <w:rPr>
                <w:rFonts w:ascii="Arial" w:cs="Arial" w:eastAsia="Arial" w:hAnsi="Arial"/>
                <w:sz w:val="16"/>
                <w:szCs w:val="16"/>
                <w:b w:val="1"/>
                <w:bCs w:val="1"/>
                <w:color w:val="auto"/>
              </w:rPr>
              <w:t>2019</w:t>
            </w:r>
          </w:p>
        </w:tc>
        <w:tc>
          <w:tcPr>
            <w:tcW w:w="4500" w:type="dxa"/>
            <w:vAlign w:val="bottom"/>
            <w:shd w:val="clear" w:color="auto" w:fill="F2F2F2"/>
          </w:tcPr>
          <w:p>
            <w:pPr>
              <w:ind w:left="360"/>
              <w:spacing w:after="0"/>
              <w:rPr>
                <w:sz w:val="20"/>
                <w:szCs w:val="20"/>
                <w:color w:val="auto"/>
              </w:rPr>
            </w:pPr>
            <w:r>
              <w:rPr>
                <w:rFonts w:ascii="Arial" w:cs="Arial" w:eastAsia="Arial" w:hAnsi="Arial"/>
                <w:sz w:val="16"/>
                <w:szCs w:val="16"/>
                <w:color w:val="auto"/>
              </w:rPr>
              <w:t>which any independent director may sit from five to four.</w:t>
            </w:r>
          </w:p>
        </w:tc>
        <w:tc>
          <w:tcPr>
            <w:tcW w:w="0" w:type="dxa"/>
            <w:vAlign w:val="bottom"/>
          </w:tcPr>
          <w:p>
            <w:pPr>
              <w:spacing w:after="0"/>
              <w:rPr>
                <w:sz w:val="1"/>
                <w:szCs w:val="1"/>
                <w:color w:val="auto"/>
              </w:rPr>
            </w:pPr>
          </w:p>
        </w:tc>
      </w:tr>
      <w:tr>
        <w:trPr>
          <w:trHeight w:val="170"/>
        </w:trPr>
        <w:tc>
          <w:tcPr>
            <w:tcW w:w="880" w:type="dxa"/>
            <w:vAlign w:val="bottom"/>
            <w:vMerge w:val="continue"/>
            <w:shd w:val="clear" w:color="auto" w:fill="F2F2F2"/>
          </w:tcPr>
          <w:p>
            <w:pPr>
              <w:spacing w:after="0"/>
              <w:rPr>
                <w:sz w:val="14"/>
                <w:szCs w:val="14"/>
                <w:color w:val="auto"/>
              </w:rPr>
            </w:pPr>
          </w:p>
        </w:tc>
        <w:tc>
          <w:tcPr>
            <w:tcW w:w="4500" w:type="dxa"/>
            <w:vAlign w:val="bottom"/>
            <w:vMerge w:val="restart"/>
            <w:shd w:val="clear" w:color="auto" w:fill="F2F2F2"/>
          </w:tcPr>
          <w:p>
            <w:pPr>
              <w:ind w:left="16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Formalized the equivalency of independent Lead</w:t>
            </w:r>
          </w:p>
        </w:tc>
        <w:tc>
          <w:tcPr>
            <w:tcW w:w="0" w:type="dxa"/>
            <w:vAlign w:val="bottom"/>
          </w:tcPr>
          <w:p>
            <w:pPr>
              <w:spacing w:after="0"/>
              <w:rPr>
                <w:sz w:val="1"/>
                <w:szCs w:val="1"/>
                <w:color w:val="auto"/>
              </w:rPr>
            </w:pPr>
          </w:p>
        </w:tc>
      </w:tr>
      <w:tr>
        <w:trPr>
          <w:trHeight w:val="34"/>
        </w:trPr>
        <w:tc>
          <w:tcPr>
            <w:tcW w:w="880" w:type="dxa"/>
            <w:vAlign w:val="bottom"/>
            <w:shd w:val="clear" w:color="auto" w:fill="F2F2F2"/>
          </w:tcPr>
          <w:p>
            <w:pPr>
              <w:spacing w:after="0"/>
              <w:rPr>
                <w:sz w:val="2"/>
                <w:szCs w:val="2"/>
                <w:color w:val="auto"/>
              </w:rPr>
            </w:pPr>
          </w:p>
        </w:tc>
        <w:tc>
          <w:tcPr>
            <w:tcW w:w="4500" w:type="dxa"/>
            <w:vAlign w:val="bottom"/>
            <w:vMerge w:val="continue"/>
            <w:shd w:val="clear" w:color="auto" w:fill="F2F2F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880" w:type="dxa"/>
            <w:vAlign w:val="bottom"/>
            <w:shd w:val="clear" w:color="auto" w:fill="F2F2F2"/>
          </w:tcPr>
          <w:p>
            <w:pPr>
              <w:spacing w:after="0"/>
              <w:rPr>
                <w:sz w:val="18"/>
                <w:szCs w:val="18"/>
                <w:color w:val="auto"/>
              </w:rPr>
            </w:pPr>
          </w:p>
        </w:tc>
        <w:tc>
          <w:tcPr>
            <w:tcW w:w="4500" w:type="dxa"/>
            <w:vAlign w:val="bottom"/>
            <w:shd w:val="clear" w:color="auto" w:fill="F2F2F2"/>
          </w:tcPr>
          <w:p>
            <w:pPr>
              <w:ind w:left="360"/>
              <w:spacing w:after="0"/>
              <w:rPr>
                <w:sz w:val="20"/>
                <w:szCs w:val="20"/>
                <w:color w:val="auto"/>
              </w:rPr>
            </w:pPr>
            <w:r>
              <w:rPr>
                <w:rFonts w:ascii="Arial" w:cs="Arial" w:eastAsia="Arial" w:hAnsi="Arial"/>
                <w:sz w:val="16"/>
                <w:szCs w:val="16"/>
                <w:color w:val="auto"/>
              </w:rPr>
              <w:t>Director and independent Chairman roles.</w:t>
            </w:r>
          </w:p>
        </w:tc>
        <w:tc>
          <w:tcPr>
            <w:tcW w:w="0" w:type="dxa"/>
            <w:vAlign w:val="bottom"/>
          </w:tcPr>
          <w:p>
            <w:pPr>
              <w:spacing w:after="0"/>
              <w:rPr>
                <w:sz w:val="1"/>
                <w:szCs w:val="1"/>
                <w:color w:val="auto"/>
              </w:rPr>
            </w:pPr>
          </w:p>
        </w:tc>
      </w:tr>
      <w:tr>
        <w:trPr>
          <w:trHeight w:val="190"/>
        </w:trPr>
        <w:tc>
          <w:tcPr>
            <w:tcW w:w="880" w:type="dxa"/>
            <w:vAlign w:val="bottom"/>
            <w:shd w:val="clear" w:color="auto" w:fill="F2F2F2"/>
          </w:tcPr>
          <w:p>
            <w:pPr>
              <w:spacing w:after="0"/>
              <w:rPr>
                <w:sz w:val="16"/>
                <w:szCs w:val="16"/>
                <w:color w:val="auto"/>
              </w:rPr>
            </w:pPr>
          </w:p>
        </w:tc>
        <w:tc>
          <w:tcPr>
            <w:tcW w:w="4500" w:type="dxa"/>
            <w:vAlign w:val="bottom"/>
            <w:shd w:val="clear" w:color="auto" w:fill="F2F2F2"/>
          </w:tcPr>
          <w:p>
            <w:pPr>
              <w:ind w:left="16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Amended committee charters to formalize areas of risk</w:t>
            </w:r>
          </w:p>
        </w:tc>
        <w:tc>
          <w:tcPr>
            <w:tcW w:w="0" w:type="dxa"/>
            <w:vAlign w:val="bottom"/>
          </w:tcPr>
          <w:p>
            <w:pPr>
              <w:spacing w:after="0"/>
              <w:rPr>
                <w:sz w:val="1"/>
                <w:szCs w:val="1"/>
                <w:color w:val="auto"/>
              </w:rPr>
            </w:pPr>
          </w:p>
        </w:tc>
      </w:tr>
      <w:tr>
        <w:trPr>
          <w:trHeight w:val="215"/>
        </w:trPr>
        <w:tc>
          <w:tcPr>
            <w:tcW w:w="880" w:type="dxa"/>
            <w:vAlign w:val="bottom"/>
            <w:shd w:val="clear" w:color="auto" w:fill="F2F2F2"/>
          </w:tcPr>
          <w:p>
            <w:pPr>
              <w:spacing w:after="0"/>
              <w:rPr>
                <w:sz w:val="18"/>
                <w:szCs w:val="18"/>
                <w:color w:val="auto"/>
              </w:rPr>
            </w:pPr>
          </w:p>
        </w:tc>
        <w:tc>
          <w:tcPr>
            <w:tcW w:w="4500" w:type="dxa"/>
            <w:vAlign w:val="bottom"/>
            <w:shd w:val="clear" w:color="auto" w:fill="F2F2F2"/>
          </w:tcPr>
          <w:p>
            <w:pPr>
              <w:ind w:left="360"/>
              <w:spacing w:after="0"/>
              <w:rPr>
                <w:sz w:val="20"/>
                <w:szCs w:val="20"/>
                <w:color w:val="auto"/>
              </w:rPr>
            </w:pPr>
            <w:r>
              <w:rPr>
                <w:rFonts w:ascii="Arial" w:cs="Arial" w:eastAsia="Arial" w:hAnsi="Arial"/>
                <w:sz w:val="16"/>
                <w:szCs w:val="16"/>
                <w:color w:val="auto"/>
              </w:rPr>
              <w:t>oversight responsibility.</w:t>
            </w:r>
          </w:p>
        </w:tc>
        <w:tc>
          <w:tcPr>
            <w:tcW w:w="0" w:type="dxa"/>
            <w:vAlign w:val="bottom"/>
          </w:tcPr>
          <w:p>
            <w:pPr>
              <w:spacing w:after="0"/>
              <w:rPr>
                <w:sz w:val="1"/>
                <w:szCs w:val="1"/>
                <w:color w:val="auto"/>
              </w:rPr>
            </w:pPr>
          </w:p>
        </w:tc>
      </w:tr>
      <w:tr>
        <w:trPr>
          <w:trHeight w:val="528"/>
        </w:trPr>
        <w:tc>
          <w:tcPr>
            <w:tcW w:w="880" w:type="dxa"/>
            <w:vAlign w:val="bottom"/>
            <w:shd w:val="clear" w:color="auto" w:fill="F2F2F2"/>
          </w:tcPr>
          <w:p>
            <w:pPr>
              <w:spacing w:after="0"/>
              <w:rPr>
                <w:sz w:val="24"/>
                <w:szCs w:val="24"/>
                <w:color w:val="auto"/>
              </w:rPr>
            </w:pPr>
          </w:p>
        </w:tc>
        <w:tc>
          <w:tcPr>
            <w:tcW w:w="4500" w:type="dxa"/>
            <w:vAlign w:val="bottom"/>
            <w:shd w:val="clear" w:color="auto" w:fill="F2F2F2"/>
          </w:tcPr>
          <w:p>
            <w:pPr>
              <w:ind w:left="16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Made enhancements to political contributions</w:t>
            </w:r>
          </w:p>
        </w:tc>
        <w:tc>
          <w:tcPr>
            <w:tcW w:w="0" w:type="dxa"/>
            <w:vAlign w:val="bottom"/>
          </w:tcPr>
          <w:p>
            <w:pPr>
              <w:spacing w:after="0"/>
              <w:rPr>
                <w:sz w:val="1"/>
                <w:szCs w:val="1"/>
                <w:color w:val="auto"/>
              </w:rPr>
            </w:pPr>
          </w:p>
        </w:tc>
      </w:tr>
      <w:tr>
        <w:trPr>
          <w:trHeight w:val="175"/>
        </w:trPr>
        <w:tc>
          <w:tcPr>
            <w:tcW w:w="880" w:type="dxa"/>
            <w:vAlign w:val="bottom"/>
            <w:shd w:val="clear" w:color="auto" w:fill="F2F2F2"/>
          </w:tcPr>
          <w:p>
            <w:pPr>
              <w:spacing w:after="0"/>
              <w:rPr>
                <w:sz w:val="15"/>
                <w:szCs w:val="15"/>
                <w:color w:val="auto"/>
              </w:rPr>
            </w:pPr>
          </w:p>
        </w:tc>
        <w:tc>
          <w:tcPr>
            <w:tcW w:w="4500" w:type="dxa"/>
            <w:vAlign w:val="bottom"/>
            <w:shd w:val="clear" w:color="auto" w:fill="F2F2F2"/>
          </w:tcPr>
          <w:p>
            <w:pPr>
              <w:ind w:left="360"/>
              <w:spacing w:after="0" w:line="175" w:lineRule="exact"/>
              <w:rPr>
                <w:sz w:val="20"/>
                <w:szCs w:val="20"/>
                <w:color w:val="auto"/>
              </w:rPr>
            </w:pPr>
            <w:r>
              <w:rPr>
                <w:rFonts w:ascii="Arial" w:cs="Arial" w:eastAsia="Arial" w:hAnsi="Arial"/>
                <w:sz w:val="16"/>
                <w:szCs w:val="16"/>
                <w:color w:val="auto"/>
              </w:rPr>
              <w:t>disclosure, including disclosure of &gt;$50K trade</w:t>
            </w:r>
          </w:p>
        </w:tc>
        <w:tc>
          <w:tcPr>
            <w:tcW w:w="0" w:type="dxa"/>
            <w:vAlign w:val="bottom"/>
          </w:tcPr>
          <w:p>
            <w:pPr>
              <w:spacing w:after="0"/>
              <w:rPr>
                <w:sz w:val="1"/>
                <w:szCs w:val="1"/>
                <w:color w:val="auto"/>
              </w:rPr>
            </w:pPr>
          </w:p>
        </w:tc>
      </w:tr>
      <w:tr>
        <w:trPr>
          <w:trHeight w:val="215"/>
        </w:trPr>
        <w:tc>
          <w:tcPr>
            <w:tcW w:w="880" w:type="dxa"/>
            <w:vAlign w:val="bottom"/>
            <w:shd w:val="clear" w:color="auto" w:fill="F2F2F2"/>
          </w:tcPr>
          <w:p>
            <w:pPr>
              <w:spacing w:after="0"/>
              <w:rPr>
                <w:sz w:val="18"/>
                <w:szCs w:val="18"/>
                <w:color w:val="auto"/>
              </w:rPr>
            </w:pPr>
          </w:p>
        </w:tc>
        <w:tc>
          <w:tcPr>
            <w:tcW w:w="4500" w:type="dxa"/>
            <w:vAlign w:val="bottom"/>
            <w:shd w:val="clear" w:color="auto" w:fill="F2F2F2"/>
          </w:tcPr>
          <w:p>
            <w:pPr>
              <w:ind w:left="360"/>
              <w:spacing w:after="0"/>
              <w:rPr>
                <w:sz w:val="20"/>
                <w:szCs w:val="20"/>
                <w:color w:val="auto"/>
              </w:rPr>
            </w:pPr>
            <w:r>
              <w:rPr>
                <w:rFonts w:ascii="Arial" w:cs="Arial" w:eastAsia="Arial" w:hAnsi="Arial"/>
                <w:sz w:val="16"/>
                <w:szCs w:val="16"/>
                <w:color w:val="auto"/>
              </w:rPr>
              <w:t>association memberships.</w:t>
            </w:r>
          </w:p>
        </w:tc>
        <w:tc>
          <w:tcPr>
            <w:tcW w:w="0" w:type="dxa"/>
            <w:vAlign w:val="bottom"/>
          </w:tcPr>
          <w:p>
            <w:pPr>
              <w:spacing w:after="0"/>
              <w:rPr>
                <w:sz w:val="1"/>
                <w:szCs w:val="1"/>
                <w:color w:val="auto"/>
              </w:rPr>
            </w:pPr>
          </w:p>
        </w:tc>
      </w:tr>
      <w:tr>
        <w:trPr>
          <w:trHeight w:val="251"/>
        </w:trPr>
        <w:tc>
          <w:tcPr>
            <w:tcW w:w="880" w:type="dxa"/>
            <w:vAlign w:val="bottom"/>
            <w:shd w:val="clear" w:color="auto" w:fill="F2F2F2"/>
          </w:tcPr>
          <w:p>
            <w:pPr>
              <w:jc w:val="center"/>
              <w:spacing w:after="0"/>
              <w:rPr>
                <w:sz w:val="20"/>
                <w:szCs w:val="20"/>
                <w:color w:val="auto"/>
              </w:rPr>
            </w:pPr>
            <w:r>
              <w:rPr>
                <w:rFonts w:ascii="Arial" w:cs="Arial" w:eastAsia="Arial" w:hAnsi="Arial"/>
                <w:sz w:val="16"/>
                <w:szCs w:val="16"/>
                <w:b w:val="1"/>
                <w:bCs w:val="1"/>
                <w:color w:val="auto"/>
              </w:rPr>
              <w:t>2020</w:t>
            </w:r>
          </w:p>
        </w:tc>
        <w:tc>
          <w:tcPr>
            <w:tcW w:w="4500" w:type="dxa"/>
            <w:vAlign w:val="bottom"/>
            <w:shd w:val="clear" w:color="auto" w:fill="F2F2F2"/>
          </w:tcPr>
          <w:p>
            <w:pPr>
              <w:ind w:left="16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Sustainability reporting in line with SASB and TCFD.</w:t>
            </w:r>
          </w:p>
        </w:tc>
        <w:tc>
          <w:tcPr>
            <w:tcW w:w="0" w:type="dxa"/>
            <w:vAlign w:val="bottom"/>
          </w:tcPr>
          <w:p>
            <w:pPr>
              <w:spacing w:after="0"/>
              <w:rPr>
                <w:sz w:val="1"/>
                <w:szCs w:val="1"/>
                <w:color w:val="auto"/>
              </w:rPr>
            </w:pPr>
          </w:p>
        </w:tc>
      </w:tr>
      <w:tr>
        <w:trPr>
          <w:trHeight w:val="182"/>
        </w:trPr>
        <w:tc>
          <w:tcPr>
            <w:tcW w:w="880" w:type="dxa"/>
            <w:vAlign w:val="bottom"/>
            <w:shd w:val="clear" w:color="auto" w:fill="F2F2F2"/>
          </w:tcPr>
          <w:p>
            <w:pPr>
              <w:spacing w:after="0"/>
              <w:rPr>
                <w:sz w:val="15"/>
                <w:szCs w:val="15"/>
                <w:color w:val="auto"/>
              </w:rPr>
            </w:pPr>
          </w:p>
        </w:tc>
        <w:tc>
          <w:tcPr>
            <w:tcW w:w="4500" w:type="dxa"/>
            <w:vAlign w:val="bottom"/>
            <w:shd w:val="clear" w:color="auto" w:fill="F2F2F2"/>
          </w:tcPr>
          <w:p>
            <w:pPr>
              <w:ind w:left="160"/>
              <w:spacing w:after="0" w:line="182" w:lineRule="exact"/>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Established a bipartisan Political Contributions Advisory</w:t>
            </w:r>
          </w:p>
        </w:tc>
        <w:tc>
          <w:tcPr>
            <w:tcW w:w="0" w:type="dxa"/>
            <w:vAlign w:val="bottom"/>
          </w:tcPr>
          <w:p>
            <w:pPr>
              <w:spacing w:after="0"/>
              <w:rPr>
                <w:sz w:val="1"/>
                <w:szCs w:val="1"/>
                <w:color w:val="auto"/>
              </w:rPr>
            </w:pPr>
          </w:p>
        </w:tc>
      </w:tr>
      <w:tr>
        <w:trPr>
          <w:trHeight w:val="175"/>
        </w:trPr>
        <w:tc>
          <w:tcPr>
            <w:tcW w:w="880" w:type="dxa"/>
            <w:vAlign w:val="bottom"/>
            <w:shd w:val="clear" w:color="auto" w:fill="F2F2F2"/>
          </w:tcPr>
          <w:p>
            <w:pPr>
              <w:spacing w:after="0"/>
              <w:rPr>
                <w:sz w:val="15"/>
                <w:szCs w:val="15"/>
                <w:color w:val="auto"/>
              </w:rPr>
            </w:pPr>
          </w:p>
        </w:tc>
        <w:tc>
          <w:tcPr>
            <w:tcW w:w="4500" w:type="dxa"/>
            <w:vAlign w:val="bottom"/>
            <w:shd w:val="clear" w:color="auto" w:fill="F2F2F2"/>
          </w:tcPr>
          <w:p>
            <w:pPr>
              <w:ind w:left="360"/>
              <w:spacing w:after="0" w:line="175" w:lineRule="exact"/>
              <w:rPr>
                <w:sz w:val="20"/>
                <w:szCs w:val="20"/>
                <w:color w:val="auto"/>
              </w:rPr>
            </w:pPr>
            <w:r>
              <w:rPr>
                <w:rFonts w:ascii="Arial" w:cs="Arial" w:eastAsia="Arial" w:hAnsi="Arial"/>
                <w:sz w:val="16"/>
                <w:szCs w:val="16"/>
                <w:color w:val="auto"/>
              </w:rPr>
              <w:t>Board to ensure alignment of Honeywell PAC political</w:t>
            </w:r>
          </w:p>
        </w:tc>
        <w:tc>
          <w:tcPr>
            <w:tcW w:w="0" w:type="dxa"/>
            <w:vAlign w:val="bottom"/>
          </w:tcPr>
          <w:p>
            <w:pPr>
              <w:spacing w:after="0"/>
              <w:rPr>
                <w:sz w:val="1"/>
                <w:szCs w:val="1"/>
                <w:color w:val="auto"/>
              </w:rPr>
            </w:pPr>
          </w:p>
        </w:tc>
      </w:tr>
      <w:tr>
        <w:trPr>
          <w:trHeight w:val="215"/>
        </w:trPr>
        <w:tc>
          <w:tcPr>
            <w:tcW w:w="880" w:type="dxa"/>
            <w:vAlign w:val="bottom"/>
            <w:shd w:val="clear" w:color="auto" w:fill="F2F2F2"/>
          </w:tcPr>
          <w:p>
            <w:pPr>
              <w:spacing w:after="0"/>
              <w:rPr>
                <w:sz w:val="18"/>
                <w:szCs w:val="18"/>
                <w:color w:val="auto"/>
              </w:rPr>
            </w:pPr>
          </w:p>
        </w:tc>
        <w:tc>
          <w:tcPr>
            <w:tcW w:w="4500" w:type="dxa"/>
            <w:vAlign w:val="bottom"/>
            <w:shd w:val="clear" w:color="auto" w:fill="F2F2F2"/>
          </w:tcPr>
          <w:p>
            <w:pPr>
              <w:ind w:left="360"/>
              <w:spacing w:after="0"/>
              <w:rPr>
                <w:sz w:val="20"/>
                <w:szCs w:val="20"/>
                <w:color w:val="auto"/>
              </w:rPr>
            </w:pPr>
            <w:r>
              <w:rPr>
                <w:rFonts w:ascii="Arial" w:cs="Arial" w:eastAsia="Arial" w:hAnsi="Arial"/>
                <w:sz w:val="16"/>
                <w:szCs w:val="16"/>
                <w:color w:val="auto"/>
              </w:rPr>
              <w:t>contributions with company values.</w:t>
            </w:r>
          </w:p>
        </w:tc>
        <w:tc>
          <w:tcPr>
            <w:tcW w:w="0" w:type="dxa"/>
            <w:vAlign w:val="bottom"/>
          </w:tcPr>
          <w:p>
            <w:pPr>
              <w:spacing w:after="0"/>
              <w:rPr>
                <w:sz w:val="1"/>
                <w:szCs w:val="1"/>
                <w:color w:val="auto"/>
              </w:rPr>
            </w:pPr>
          </w:p>
        </w:tc>
      </w:tr>
      <w:tr>
        <w:trPr>
          <w:trHeight w:val="514"/>
        </w:trPr>
        <w:tc>
          <w:tcPr>
            <w:tcW w:w="880" w:type="dxa"/>
            <w:vAlign w:val="bottom"/>
            <w:shd w:val="clear" w:color="auto" w:fill="F2F2F2"/>
          </w:tcPr>
          <w:p>
            <w:pPr>
              <w:spacing w:after="0"/>
              <w:rPr>
                <w:sz w:val="24"/>
                <w:szCs w:val="24"/>
                <w:color w:val="auto"/>
              </w:rPr>
            </w:pPr>
          </w:p>
        </w:tc>
        <w:tc>
          <w:tcPr>
            <w:tcW w:w="4500" w:type="dxa"/>
            <w:vAlign w:val="bottom"/>
            <w:shd w:val="clear" w:color="auto" w:fill="F2F2F2"/>
          </w:tcPr>
          <w:p>
            <w:pPr>
              <w:ind w:left="16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Assigned responsibility for oversight of overall ESG</w:t>
            </w:r>
          </w:p>
        </w:tc>
        <w:tc>
          <w:tcPr>
            <w:tcW w:w="0" w:type="dxa"/>
            <w:vAlign w:val="bottom"/>
          </w:tcPr>
          <w:p>
            <w:pPr>
              <w:spacing w:after="0"/>
              <w:rPr>
                <w:sz w:val="1"/>
                <w:szCs w:val="1"/>
                <w:color w:val="auto"/>
              </w:rPr>
            </w:pPr>
          </w:p>
        </w:tc>
      </w:tr>
      <w:tr>
        <w:trPr>
          <w:trHeight w:val="215"/>
        </w:trPr>
        <w:tc>
          <w:tcPr>
            <w:tcW w:w="880" w:type="dxa"/>
            <w:vAlign w:val="bottom"/>
            <w:vMerge w:val="restart"/>
            <w:shd w:val="clear" w:color="auto" w:fill="F2F2F2"/>
          </w:tcPr>
          <w:p>
            <w:pPr>
              <w:jc w:val="center"/>
              <w:spacing w:after="0"/>
              <w:rPr>
                <w:sz w:val="20"/>
                <w:szCs w:val="20"/>
                <w:color w:val="auto"/>
              </w:rPr>
            </w:pPr>
            <w:r>
              <w:rPr>
                <w:rFonts w:ascii="Arial" w:cs="Arial" w:eastAsia="Arial" w:hAnsi="Arial"/>
                <w:sz w:val="16"/>
                <w:szCs w:val="16"/>
                <w:b w:val="1"/>
                <w:bCs w:val="1"/>
                <w:color w:val="auto"/>
              </w:rPr>
              <w:t>2021</w:t>
            </w:r>
          </w:p>
        </w:tc>
        <w:tc>
          <w:tcPr>
            <w:tcW w:w="4500" w:type="dxa"/>
            <w:vAlign w:val="bottom"/>
            <w:shd w:val="clear" w:color="auto" w:fill="F2F2F2"/>
          </w:tcPr>
          <w:p>
            <w:pPr>
              <w:ind w:left="360"/>
              <w:spacing w:after="0"/>
              <w:rPr>
                <w:sz w:val="20"/>
                <w:szCs w:val="20"/>
                <w:color w:val="auto"/>
              </w:rPr>
            </w:pPr>
            <w:r>
              <w:rPr>
                <w:rFonts w:ascii="Arial" w:cs="Arial" w:eastAsia="Arial" w:hAnsi="Arial"/>
                <w:sz w:val="16"/>
                <w:szCs w:val="16"/>
                <w:color w:val="auto"/>
              </w:rPr>
              <w:t>performance, strategy, and risks to the CGRC.</w:t>
            </w:r>
          </w:p>
        </w:tc>
        <w:tc>
          <w:tcPr>
            <w:tcW w:w="0" w:type="dxa"/>
            <w:vAlign w:val="bottom"/>
          </w:tcPr>
          <w:p>
            <w:pPr>
              <w:spacing w:after="0"/>
              <w:rPr>
                <w:sz w:val="1"/>
                <w:szCs w:val="1"/>
                <w:color w:val="auto"/>
              </w:rPr>
            </w:pPr>
          </w:p>
        </w:tc>
      </w:tr>
      <w:tr>
        <w:trPr>
          <w:trHeight w:val="129"/>
        </w:trPr>
        <w:tc>
          <w:tcPr>
            <w:tcW w:w="880" w:type="dxa"/>
            <w:vAlign w:val="bottom"/>
            <w:vMerge w:val="continue"/>
            <w:shd w:val="clear" w:color="auto" w:fill="F2F2F2"/>
          </w:tcPr>
          <w:p>
            <w:pPr>
              <w:spacing w:after="0"/>
              <w:rPr>
                <w:sz w:val="11"/>
                <w:szCs w:val="11"/>
                <w:color w:val="auto"/>
              </w:rPr>
            </w:pPr>
          </w:p>
        </w:tc>
        <w:tc>
          <w:tcPr>
            <w:tcW w:w="4500" w:type="dxa"/>
            <w:vAlign w:val="bottom"/>
            <w:vMerge w:val="restart"/>
            <w:shd w:val="clear" w:color="auto" w:fill="F2F2F2"/>
          </w:tcPr>
          <w:p>
            <w:pPr>
              <w:ind w:left="16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ESG considerations integrated into Enterprise Risk</w:t>
            </w:r>
          </w:p>
        </w:tc>
        <w:tc>
          <w:tcPr>
            <w:tcW w:w="0" w:type="dxa"/>
            <w:vAlign w:val="bottom"/>
          </w:tcPr>
          <w:p>
            <w:pPr>
              <w:spacing w:after="0"/>
              <w:rPr>
                <w:sz w:val="1"/>
                <w:szCs w:val="1"/>
                <w:color w:val="auto"/>
              </w:rPr>
            </w:pPr>
          </w:p>
        </w:tc>
      </w:tr>
      <w:tr>
        <w:trPr>
          <w:trHeight w:val="61"/>
        </w:trPr>
        <w:tc>
          <w:tcPr>
            <w:tcW w:w="880" w:type="dxa"/>
            <w:vAlign w:val="bottom"/>
            <w:shd w:val="clear" w:color="auto" w:fill="F2F2F2"/>
          </w:tcPr>
          <w:p>
            <w:pPr>
              <w:spacing w:after="0"/>
              <w:rPr>
                <w:sz w:val="5"/>
                <w:szCs w:val="5"/>
                <w:color w:val="auto"/>
              </w:rPr>
            </w:pPr>
          </w:p>
        </w:tc>
        <w:tc>
          <w:tcPr>
            <w:tcW w:w="4500" w:type="dxa"/>
            <w:vAlign w:val="bottom"/>
            <w:vMerge w:val="continue"/>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880" w:type="dxa"/>
            <w:vAlign w:val="bottom"/>
            <w:shd w:val="clear" w:color="auto" w:fill="F2F2F2"/>
          </w:tcPr>
          <w:p>
            <w:pPr>
              <w:spacing w:after="0"/>
              <w:rPr>
                <w:sz w:val="18"/>
                <w:szCs w:val="18"/>
                <w:color w:val="auto"/>
              </w:rPr>
            </w:pPr>
          </w:p>
        </w:tc>
        <w:tc>
          <w:tcPr>
            <w:tcW w:w="4500" w:type="dxa"/>
            <w:vAlign w:val="bottom"/>
            <w:shd w:val="clear" w:color="auto" w:fill="F2F2F2"/>
          </w:tcPr>
          <w:p>
            <w:pPr>
              <w:ind w:left="360"/>
              <w:spacing w:after="0"/>
              <w:rPr>
                <w:sz w:val="20"/>
                <w:szCs w:val="20"/>
                <w:color w:val="auto"/>
              </w:rPr>
            </w:pPr>
            <w:r>
              <w:rPr>
                <w:rFonts w:ascii="Arial" w:cs="Arial" w:eastAsia="Arial" w:hAnsi="Arial"/>
                <w:sz w:val="16"/>
                <w:szCs w:val="16"/>
                <w:color w:val="auto"/>
              </w:rPr>
              <w:t>Management framework.</w:t>
            </w:r>
          </w:p>
        </w:tc>
        <w:tc>
          <w:tcPr>
            <w:tcW w:w="0" w:type="dxa"/>
            <w:vAlign w:val="bottom"/>
          </w:tcPr>
          <w:p>
            <w:pPr>
              <w:spacing w:after="0"/>
              <w:rPr>
                <w:sz w:val="1"/>
                <w:szCs w:val="1"/>
                <w:color w:val="auto"/>
              </w:rPr>
            </w:pPr>
          </w:p>
        </w:tc>
      </w:tr>
      <w:tr>
        <w:trPr>
          <w:trHeight w:val="528"/>
        </w:trPr>
        <w:tc>
          <w:tcPr>
            <w:tcW w:w="880" w:type="dxa"/>
            <w:vAlign w:val="bottom"/>
            <w:shd w:val="clear" w:color="auto" w:fill="F2F2F2"/>
          </w:tcPr>
          <w:p>
            <w:pPr>
              <w:spacing w:after="0"/>
              <w:rPr>
                <w:sz w:val="24"/>
                <w:szCs w:val="24"/>
                <w:color w:val="auto"/>
              </w:rPr>
            </w:pPr>
          </w:p>
        </w:tc>
        <w:tc>
          <w:tcPr>
            <w:tcW w:w="4500" w:type="dxa"/>
            <w:vAlign w:val="bottom"/>
            <w:shd w:val="clear" w:color="auto" w:fill="F2F2F2"/>
          </w:tcPr>
          <w:p>
            <w:pPr>
              <w:ind w:left="16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Political Contributions Advisory Board mandate</w:t>
            </w:r>
          </w:p>
        </w:tc>
        <w:tc>
          <w:tcPr>
            <w:tcW w:w="0" w:type="dxa"/>
            <w:vAlign w:val="bottom"/>
          </w:tcPr>
          <w:p>
            <w:pPr>
              <w:spacing w:after="0"/>
              <w:rPr>
                <w:sz w:val="1"/>
                <w:szCs w:val="1"/>
                <w:color w:val="auto"/>
              </w:rPr>
            </w:pPr>
          </w:p>
        </w:tc>
      </w:tr>
      <w:tr>
        <w:trPr>
          <w:trHeight w:val="175"/>
        </w:trPr>
        <w:tc>
          <w:tcPr>
            <w:tcW w:w="880" w:type="dxa"/>
            <w:vAlign w:val="bottom"/>
            <w:shd w:val="clear" w:color="auto" w:fill="F2F2F2"/>
          </w:tcPr>
          <w:p>
            <w:pPr>
              <w:spacing w:after="0"/>
              <w:rPr>
                <w:sz w:val="15"/>
                <w:szCs w:val="15"/>
                <w:color w:val="auto"/>
              </w:rPr>
            </w:pPr>
          </w:p>
        </w:tc>
        <w:tc>
          <w:tcPr>
            <w:tcW w:w="4500" w:type="dxa"/>
            <w:vAlign w:val="bottom"/>
            <w:shd w:val="clear" w:color="auto" w:fill="F2F2F2"/>
          </w:tcPr>
          <w:p>
            <w:pPr>
              <w:ind w:left="360"/>
              <w:spacing w:after="0" w:line="175" w:lineRule="exact"/>
              <w:rPr>
                <w:sz w:val="20"/>
                <w:szCs w:val="20"/>
                <w:color w:val="auto"/>
              </w:rPr>
            </w:pPr>
            <w:r>
              <w:rPr>
                <w:rFonts w:ascii="Arial" w:cs="Arial" w:eastAsia="Arial" w:hAnsi="Arial"/>
                <w:sz w:val="16"/>
                <w:szCs w:val="16"/>
                <w:color w:val="auto"/>
              </w:rPr>
              <w:t>expanded to include review of trade association</w:t>
            </w:r>
          </w:p>
        </w:tc>
        <w:tc>
          <w:tcPr>
            <w:tcW w:w="0" w:type="dxa"/>
            <w:vAlign w:val="bottom"/>
          </w:tcPr>
          <w:p>
            <w:pPr>
              <w:spacing w:after="0"/>
              <w:rPr>
                <w:sz w:val="1"/>
                <w:szCs w:val="1"/>
                <w:color w:val="auto"/>
              </w:rPr>
            </w:pPr>
          </w:p>
        </w:tc>
      </w:tr>
      <w:tr>
        <w:trPr>
          <w:trHeight w:val="215"/>
        </w:trPr>
        <w:tc>
          <w:tcPr>
            <w:tcW w:w="880" w:type="dxa"/>
            <w:vAlign w:val="bottom"/>
            <w:shd w:val="clear" w:color="auto" w:fill="F2F2F2"/>
          </w:tcPr>
          <w:p>
            <w:pPr>
              <w:spacing w:after="0"/>
              <w:rPr>
                <w:sz w:val="18"/>
                <w:szCs w:val="18"/>
                <w:color w:val="auto"/>
              </w:rPr>
            </w:pPr>
          </w:p>
        </w:tc>
        <w:tc>
          <w:tcPr>
            <w:tcW w:w="4500" w:type="dxa"/>
            <w:vAlign w:val="bottom"/>
            <w:shd w:val="clear" w:color="auto" w:fill="F2F2F2"/>
          </w:tcPr>
          <w:p>
            <w:pPr>
              <w:ind w:left="360"/>
              <w:spacing w:after="0"/>
              <w:rPr>
                <w:sz w:val="20"/>
                <w:szCs w:val="20"/>
                <w:color w:val="auto"/>
              </w:rPr>
            </w:pPr>
            <w:r>
              <w:rPr>
                <w:rFonts w:ascii="Arial" w:cs="Arial" w:eastAsia="Arial" w:hAnsi="Arial"/>
                <w:sz w:val="16"/>
                <w:szCs w:val="16"/>
                <w:color w:val="auto"/>
              </w:rPr>
              <w:t>memberships.</w:t>
            </w:r>
          </w:p>
        </w:tc>
        <w:tc>
          <w:tcPr>
            <w:tcW w:w="0" w:type="dxa"/>
            <w:vAlign w:val="bottom"/>
          </w:tcPr>
          <w:p>
            <w:pPr>
              <w:spacing w:after="0"/>
              <w:rPr>
                <w:sz w:val="1"/>
                <w:szCs w:val="1"/>
                <w:color w:val="auto"/>
              </w:rPr>
            </w:pPr>
          </w:p>
        </w:tc>
      </w:tr>
      <w:tr>
        <w:trPr>
          <w:trHeight w:val="204"/>
        </w:trPr>
        <w:tc>
          <w:tcPr>
            <w:tcW w:w="880" w:type="dxa"/>
            <w:vAlign w:val="bottom"/>
            <w:shd w:val="clear" w:color="auto" w:fill="F2F2F2"/>
          </w:tcPr>
          <w:p>
            <w:pPr>
              <w:spacing w:after="0"/>
              <w:rPr>
                <w:sz w:val="17"/>
                <w:szCs w:val="17"/>
                <w:color w:val="auto"/>
              </w:rPr>
            </w:pPr>
          </w:p>
        </w:tc>
        <w:tc>
          <w:tcPr>
            <w:tcW w:w="4500" w:type="dxa"/>
            <w:vAlign w:val="bottom"/>
            <w:shd w:val="clear" w:color="auto" w:fill="F2F2F2"/>
          </w:tcPr>
          <w:p>
            <w:pPr>
              <w:ind w:left="16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Publicly disclosed our EEO-1 Report and committed to</w:t>
            </w:r>
          </w:p>
        </w:tc>
        <w:tc>
          <w:tcPr>
            <w:tcW w:w="0" w:type="dxa"/>
            <w:vAlign w:val="bottom"/>
          </w:tcPr>
          <w:p>
            <w:pPr>
              <w:spacing w:after="0"/>
              <w:rPr>
                <w:sz w:val="1"/>
                <w:szCs w:val="1"/>
                <w:color w:val="auto"/>
              </w:rPr>
            </w:pPr>
          </w:p>
        </w:tc>
      </w:tr>
      <w:tr>
        <w:trPr>
          <w:trHeight w:val="215"/>
        </w:trPr>
        <w:tc>
          <w:tcPr>
            <w:tcW w:w="880" w:type="dxa"/>
            <w:vAlign w:val="bottom"/>
            <w:shd w:val="clear" w:color="auto" w:fill="F2F2F2"/>
          </w:tcPr>
          <w:p>
            <w:pPr>
              <w:spacing w:after="0"/>
              <w:rPr>
                <w:sz w:val="18"/>
                <w:szCs w:val="18"/>
                <w:color w:val="auto"/>
              </w:rPr>
            </w:pPr>
          </w:p>
        </w:tc>
        <w:tc>
          <w:tcPr>
            <w:tcW w:w="4500" w:type="dxa"/>
            <w:vAlign w:val="bottom"/>
            <w:shd w:val="clear" w:color="auto" w:fill="F2F2F2"/>
          </w:tcPr>
          <w:p>
            <w:pPr>
              <w:ind w:left="360"/>
              <w:spacing w:after="0"/>
              <w:rPr>
                <w:sz w:val="20"/>
                <w:szCs w:val="20"/>
                <w:color w:val="auto"/>
              </w:rPr>
            </w:pPr>
            <w:r>
              <w:rPr>
                <w:rFonts w:ascii="Arial" w:cs="Arial" w:eastAsia="Arial" w:hAnsi="Arial"/>
                <w:sz w:val="16"/>
                <w:szCs w:val="16"/>
                <w:color w:val="auto"/>
              </w:rPr>
              <w:t>do so annually.</w:t>
            </w:r>
          </w:p>
        </w:tc>
        <w:tc>
          <w:tcPr>
            <w:tcW w:w="0" w:type="dxa"/>
            <w:vAlign w:val="bottom"/>
          </w:tcPr>
          <w:p>
            <w:pPr>
              <w:spacing w:after="0"/>
              <w:rPr>
                <w:sz w:val="1"/>
                <w:szCs w:val="1"/>
                <w:color w:val="auto"/>
              </w:rPr>
            </w:pPr>
          </w:p>
        </w:tc>
      </w:tr>
      <w:tr>
        <w:trPr>
          <w:trHeight w:val="190"/>
        </w:trPr>
        <w:tc>
          <w:tcPr>
            <w:tcW w:w="880" w:type="dxa"/>
            <w:vAlign w:val="bottom"/>
            <w:vMerge w:val="restart"/>
            <w:shd w:val="clear" w:color="auto" w:fill="F2F2F2"/>
          </w:tcPr>
          <w:p>
            <w:pPr>
              <w:jc w:val="center"/>
              <w:spacing w:after="0"/>
              <w:rPr>
                <w:sz w:val="20"/>
                <w:szCs w:val="20"/>
                <w:color w:val="auto"/>
              </w:rPr>
            </w:pPr>
            <w:r>
              <w:rPr>
                <w:rFonts w:ascii="Arial" w:cs="Arial" w:eastAsia="Arial" w:hAnsi="Arial"/>
                <w:sz w:val="16"/>
                <w:szCs w:val="16"/>
                <w:b w:val="1"/>
                <w:bCs w:val="1"/>
                <w:color w:val="auto"/>
              </w:rPr>
              <w:t>2022</w:t>
            </w:r>
          </w:p>
        </w:tc>
        <w:tc>
          <w:tcPr>
            <w:tcW w:w="4500" w:type="dxa"/>
            <w:vAlign w:val="bottom"/>
            <w:shd w:val="clear" w:color="auto" w:fill="F2F2F2"/>
          </w:tcPr>
          <w:p>
            <w:pPr>
              <w:ind w:left="16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Published inaugural Climate and Sustainability</w:t>
            </w:r>
          </w:p>
        </w:tc>
        <w:tc>
          <w:tcPr>
            <w:tcW w:w="0" w:type="dxa"/>
            <w:vAlign w:val="bottom"/>
          </w:tcPr>
          <w:p>
            <w:pPr>
              <w:spacing w:after="0"/>
              <w:rPr>
                <w:sz w:val="1"/>
                <w:szCs w:val="1"/>
                <w:color w:val="auto"/>
              </w:rPr>
            </w:pPr>
          </w:p>
        </w:tc>
      </w:tr>
      <w:tr>
        <w:trPr>
          <w:trHeight w:val="142"/>
        </w:trPr>
        <w:tc>
          <w:tcPr>
            <w:tcW w:w="880" w:type="dxa"/>
            <w:vAlign w:val="bottom"/>
            <w:vMerge w:val="continue"/>
            <w:shd w:val="clear" w:color="auto" w:fill="F2F2F2"/>
          </w:tcPr>
          <w:p>
            <w:pPr>
              <w:spacing w:after="0"/>
              <w:rPr>
                <w:sz w:val="12"/>
                <w:szCs w:val="12"/>
                <w:color w:val="auto"/>
              </w:rPr>
            </w:pPr>
          </w:p>
        </w:tc>
        <w:tc>
          <w:tcPr>
            <w:tcW w:w="4500" w:type="dxa"/>
            <w:vAlign w:val="bottom"/>
            <w:vMerge w:val="restart"/>
            <w:shd w:val="clear" w:color="auto" w:fill="F2F2F2"/>
          </w:tcPr>
          <w:p>
            <w:pPr>
              <w:ind w:left="360"/>
              <w:spacing w:after="0"/>
              <w:rPr>
                <w:sz w:val="20"/>
                <w:szCs w:val="20"/>
                <w:color w:val="auto"/>
              </w:rPr>
            </w:pPr>
            <w:r>
              <w:rPr>
                <w:rFonts w:ascii="Arial" w:cs="Arial" w:eastAsia="Arial" w:hAnsi="Arial"/>
                <w:sz w:val="16"/>
                <w:szCs w:val="16"/>
                <w:color w:val="auto"/>
              </w:rPr>
              <w:t>Lobbying Report.</w:t>
            </w:r>
          </w:p>
        </w:tc>
        <w:tc>
          <w:tcPr>
            <w:tcW w:w="0" w:type="dxa"/>
            <w:vAlign w:val="bottom"/>
          </w:tcPr>
          <w:p>
            <w:pPr>
              <w:spacing w:after="0"/>
              <w:rPr>
                <w:sz w:val="1"/>
                <w:szCs w:val="1"/>
                <w:color w:val="auto"/>
              </w:rPr>
            </w:pPr>
          </w:p>
        </w:tc>
      </w:tr>
      <w:tr>
        <w:trPr>
          <w:trHeight w:val="73"/>
        </w:trPr>
        <w:tc>
          <w:tcPr>
            <w:tcW w:w="880" w:type="dxa"/>
            <w:vAlign w:val="bottom"/>
            <w:shd w:val="clear" w:color="auto" w:fill="F2F2F2"/>
          </w:tcPr>
          <w:p>
            <w:pPr>
              <w:spacing w:after="0"/>
              <w:rPr>
                <w:sz w:val="6"/>
                <w:szCs w:val="6"/>
                <w:color w:val="auto"/>
              </w:rPr>
            </w:pPr>
          </w:p>
        </w:tc>
        <w:tc>
          <w:tcPr>
            <w:tcW w:w="4500" w:type="dxa"/>
            <w:vAlign w:val="bottom"/>
            <w:vMerge w:val="continue"/>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80" w:type="dxa"/>
            <w:vAlign w:val="bottom"/>
            <w:shd w:val="clear" w:color="auto" w:fill="F2F2F2"/>
          </w:tcPr>
          <w:p>
            <w:pPr>
              <w:spacing w:after="0"/>
              <w:rPr>
                <w:sz w:val="16"/>
                <w:szCs w:val="16"/>
                <w:color w:val="auto"/>
              </w:rPr>
            </w:pPr>
          </w:p>
        </w:tc>
        <w:tc>
          <w:tcPr>
            <w:tcW w:w="4500" w:type="dxa"/>
            <w:vAlign w:val="bottom"/>
            <w:shd w:val="clear" w:color="auto" w:fill="F2F2F2"/>
          </w:tcPr>
          <w:p>
            <w:pPr>
              <w:ind w:left="16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Published inaugural Report on Due Diligence</w:t>
            </w:r>
          </w:p>
        </w:tc>
        <w:tc>
          <w:tcPr>
            <w:tcW w:w="0" w:type="dxa"/>
            <w:vAlign w:val="bottom"/>
          </w:tcPr>
          <w:p>
            <w:pPr>
              <w:spacing w:after="0"/>
              <w:rPr>
                <w:sz w:val="1"/>
                <w:szCs w:val="1"/>
                <w:color w:val="auto"/>
              </w:rPr>
            </w:pPr>
          </w:p>
        </w:tc>
      </w:tr>
      <w:tr>
        <w:trPr>
          <w:trHeight w:val="175"/>
        </w:trPr>
        <w:tc>
          <w:tcPr>
            <w:tcW w:w="880" w:type="dxa"/>
            <w:vAlign w:val="bottom"/>
            <w:shd w:val="clear" w:color="auto" w:fill="F2F2F2"/>
          </w:tcPr>
          <w:p>
            <w:pPr>
              <w:spacing w:after="0"/>
              <w:rPr>
                <w:sz w:val="15"/>
                <w:szCs w:val="15"/>
                <w:color w:val="auto"/>
              </w:rPr>
            </w:pPr>
          </w:p>
        </w:tc>
        <w:tc>
          <w:tcPr>
            <w:tcW w:w="4500" w:type="dxa"/>
            <w:vAlign w:val="bottom"/>
            <w:shd w:val="clear" w:color="auto" w:fill="F2F2F2"/>
          </w:tcPr>
          <w:p>
            <w:pPr>
              <w:ind w:left="360"/>
              <w:spacing w:after="0" w:line="175" w:lineRule="exact"/>
              <w:rPr>
                <w:sz w:val="20"/>
                <w:szCs w:val="20"/>
                <w:color w:val="auto"/>
              </w:rPr>
            </w:pPr>
            <w:r>
              <w:rPr>
                <w:rFonts w:ascii="Arial" w:cs="Arial" w:eastAsia="Arial" w:hAnsi="Arial"/>
                <w:sz w:val="16"/>
                <w:szCs w:val="16"/>
                <w:color w:val="auto"/>
              </w:rPr>
              <w:t>Processes to Identify and Address Environmental and</w:t>
            </w:r>
          </w:p>
        </w:tc>
        <w:tc>
          <w:tcPr>
            <w:tcW w:w="0" w:type="dxa"/>
            <w:vAlign w:val="bottom"/>
          </w:tcPr>
          <w:p>
            <w:pPr>
              <w:spacing w:after="0"/>
              <w:rPr>
                <w:sz w:val="1"/>
                <w:szCs w:val="1"/>
                <w:color w:val="auto"/>
              </w:rPr>
            </w:pPr>
          </w:p>
        </w:tc>
      </w:tr>
      <w:tr>
        <w:trPr>
          <w:trHeight w:val="215"/>
        </w:trPr>
        <w:tc>
          <w:tcPr>
            <w:tcW w:w="880" w:type="dxa"/>
            <w:vAlign w:val="bottom"/>
            <w:shd w:val="clear" w:color="auto" w:fill="F2F2F2"/>
          </w:tcPr>
          <w:p>
            <w:pPr>
              <w:spacing w:after="0"/>
              <w:rPr>
                <w:sz w:val="18"/>
                <w:szCs w:val="18"/>
                <w:color w:val="auto"/>
              </w:rPr>
            </w:pPr>
          </w:p>
        </w:tc>
        <w:tc>
          <w:tcPr>
            <w:tcW w:w="4500" w:type="dxa"/>
            <w:vAlign w:val="bottom"/>
            <w:shd w:val="clear" w:color="auto" w:fill="F2F2F2"/>
          </w:tcPr>
          <w:p>
            <w:pPr>
              <w:ind w:left="360"/>
              <w:spacing w:after="0"/>
              <w:rPr>
                <w:sz w:val="20"/>
                <w:szCs w:val="20"/>
                <w:color w:val="auto"/>
              </w:rPr>
            </w:pPr>
            <w:r>
              <w:rPr>
                <w:rFonts w:ascii="Arial" w:cs="Arial" w:eastAsia="Arial" w:hAnsi="Arial"/>
                <w:sz w:val="16"/>
                <w:szCs w:val="16"/>
                <w:color w:val="auto"/>
              </w:rPr>
              <w:t>Social Risks.</w:t>
            </w:r>
          </w:p>
        </w:tc>
        <w:tc>
          <w:tcPr>
            <w:tcW w:w="0" w:type="dxa"/>
            <w:vAlign w:val="bottom"/>
          </w:tcPr>
          <w:p>
            <w:pPr>
              <w:spacing w:after="0"/>
              <w:rPr>
                <w:sz w:val="1"/>
                <w:szCs w:val="1"/>
                <w:color w:val="auto"/>
              </w:rPr>
            </w:pPr>
          </w:p>
        </w:tc>
      </w:tr>
      <w:tr>
        <w:trPr>
          <w:trHeight w:val="204"/>
        </w:trPr>
        <w:tc>
          <w:tcPr>
            <w:tcW w:w="880" w:type="dxa"/>
            <w:vAlign w:val="bottom"/>
            <w:shd w:val="clear" w:color="auto" w:fill="F2F2F2"/>
          </w:tcPr>
          <w:p>
            <w:pPr>
              <w:spacing w:after="0"/>
              <w:rPr>
                <w:sz w:val="17"/>
                <w:szCs w:val="17"/>
                <w:color w:val="auto"/>
              </w:rPr>
            </w:pPr>
          </w:p>
        </w:tc>
        <w:tc>
          <w:tcPr>
            <w:tcW w:w="4500" w:type="dxa"/>
            <w:vAlign w:val="bottom"/>
            <w:shd w:val="clear" w:color="auto" w:fill="F2F2F2"/>
          </w:tcPr>
          <w:p>
            <w:pPr>
              <w:ind w:left="16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Assigned responsibility for oversight of employee well-</w:t>
            </w:r>
          </w:p>
        </w:tc>
        <w:tc>
          <w:tcPr>
            <w:tcW w:w="0" w:type="dxa"/>
            <w:vAlign w:val="bottom"/>
          </w:tcPr>
          <w:p>
            <w:pPr>
              <w:spacing w:after="0"/>
              <w:rPr>
                <w:sz w:val="1"/>
                <w:szCs w:val="1"/>
                <w:color w:val="auto"/>
              </w:rPr>
            </w:pPr>
          </w:p>
        </w:tc>
      </w:tr>
      <w:tr>
        <w:trPr>
          <w:trHeight w:val="215"/>
        </w:trPr>
        <w:tc>
          <w:tcPr>
            <w:tcW w:w="880" w:type="dxa"/>
            <w:vAlign w:val="bottom"/>
            <w:shd w:val="clear" w:color="auto" w:fill="F2F2F2"/>
          </w:tcPr>
          <w:p>
            <w:pPr>
              <w:spacing w:after="0"/>
              <w:rPr>
                <w:sz w:val="18"/>
                <w:szCs w:val="18"/>
                <w:color w:val="auto"/>
              </w:rPr>
            </w:pPr>
          </w:p>
        </w:tc>
        <w:tc>
          <w:tcPr>
            <w:tcW w:w="4500" w:type="dxa"/>
            <w:vAlign w:val="bottom"/>
            <w:shd w:val="clear" w:color="auto" w:fill="F2F2F2"/>
          </w:tcPr>
          <w:p>
            <w:pPr>
              <w:ind w:left="360"/>
              <w:spacing w:after="0"/>
              <w:rPr>
                <w:sz w:val="20"/>
                <w:szCs w:val="20"/>
                <w:color w:val="auto"/>
              </w:rPr>
            </w:pPr>
            <w:r>
              <w:rPr>
                <w:rFonts w:ascii="Arial" w:cs="Arial" w:eastAsia="Arial" w:hAnsi="Arial"/>
                <w:sz w:val="16"/>
                <w:szCs w:val="16"/>
                <w:color w:val="auto"/>
              </w:rPr>
              <w:t>being to the MDCC.</w:t>
            </w:r>
          </w:p>
        </w:tc>
        <w:tc>
          <w:tcPr>
            <w:tcW w:w="0" w:type="dxa"/>
            <w:vAlign w:val="bottom"/>
          </w:tcPr>
          <w:p>
            <w:pPr>
              <w:spacing w:after="0"/>
              <w:rPr>
                <w:sz w:val="1"/>
                <w:szCs w:val="1"/>
                <w:color w:val="auto"/>
              </w:rPr>
            </w:pPr>
          </w:p>
        </w:tc>
      </w:tr>
      <w:tr>
        <w:trPr>
          <w:trHeight w:val="123"/>
        </w:trPr>
        <w:tc>
          <w:tcPr>
            <w:tcW w:w="880" w:type="dxa"/>
            <w:vAlign w:val="bottom"/>
            <w:shd w:val="clear" w:color="auto" w:fill="F2F2F2"/>
          </w:tcPr>
          <w:p>
            <w:pPr>
              <w:spacing w:after="0"/>
              <w:rPr>
                <w:sz w:val="10"/>
                <w:szCs w:val="10"/>
                <w:color w:val="auto"/>
              </w:rPr>
            </w:pPr>
          </w:p>
        </w:tc>
        <w:tc>
          <w:tcPr>
            <w:tcW w:w="4500" w:type="dxa"/>
            <w:vAlign w:val="bottom"/>
            <w:shd w:val="clear" w:color="auto" w:fill="F2F2F2"/>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-4705350</wp:posOffset>
            </wp:positionV>
            <wp:extent cx="7123430" cy="51777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23430" cy="51777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242424"/>
        </w:rPr>
        <w:t>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2025</w:t>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ind w:left="108"/>
        <w:spacing w:after="0"/>
        <w:rPr>
          <w:sz w:val="20"/>
          <w:szCs w:val="20"/>
          <w:color w:val="auto"/>
        </w:rPr>
      </w:pPr>
      <w:r>
        <w:rPr>
          <w:rFonts w:ascii="Arial" w:cs="Arial" w:eastAsia="Arial" w:hAnsi="Arial"/>
          <w:sz w:val="14"/>
          <w:szCs w:val="14"/>
          <w:b w:val="1"/>
          <w:bCs w:val="1"/>
          <w:color w:val="242424"/>
        </w:rPr>
        <w:t>Enhancement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-655320</wp:posOffset>
            </wp:positionH>
            <wp:positionV relativeFrom="paragraph">
              <wp:posOffset>126365</wp:posOffset>
            </wp:positionV>
            <wp:extent cx="3402965" cy="359156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402965" cy="3591560"/>
                    </a:xfrm>
                    <a:prstGeom prst="rect">
                      <a:avLst/>
                    </a:prstGeom>
                    <a:noFill/>
                  </pic:spPr>
                </pic:pic>
              </a:graphicData>
            </a:graphic>
          </wp:anchor>
        </w:drawing>
      </w:r>
    </w:p>
    <w:p>
      <w:pPr>
        <w:spacing w:after="0" w:line="287" w:lineRule="exact"/>
        <w:rPr>
          <w:sz w:val="20"/>
          <w:szCs w:val="20"/>
          <w:color w:val="auto"/>
        </w:rPr>
      </w:pPr>
    </w:p>
    <w:p>
      <w:pPr>
        <w:ind w:left="188" w:right="280" w:hanging="188"/>
        <w:spacing w:after="0" w:line="264" w:lineRule="auto"/>
        <w:tabs>
          <w:tab w:leader="none" w:pos="185" w:val="left"/>
        </w:tabs>
        <w:numPr>
          <w:ilvl w:val="0"/>
          <w:numId w:val="85"/>
        </w:numPr>
        <w:rPr>
          <w:rFonts w:ascii="Arial" w:cs="Arial" w:eastAsia="Arial" w:hAnsi="Arial"/>
          <w:sz w:val="16"/>
          <w:szCs w:val="16"/>
          <w:b w:val="1"/>
          <w:bCs w:val="1"/>
          <w:color w:val="D7282F"/>
        </w:rPr>
      </w:pPr>
      <w:r>
        <w:rPr>
          <w:rFonts w:ascii="Arial" w:cs="Arial" w:eastAsia="Arial" w:hAnsi="Arial"/>
          <w:sz w:val="16"/>
          <w:szCs w:val="16"/>
          <w:color w:val="auto"/>
        </w:rPr>
        <w:t>Amended our Executive Stock Ownership Guidelines to exclude performance shares.</w:t>
      </w:r>
    </w:p>
    <w:p>
      <w:pPr>
        <w:ind w:left="188" w:right="320" w:hanging="188"/>
        <w:spacing w:after="0" w:line="257" w:lineRule="auto"/>
        <w:tabs>
          <w:tab w:leader="none" w:pos="185" w:val="left"/>
        </w:tabs>
        <w:numPr>
          <w:ilvl w:val="0"/>
          <w:numId w:val="85"/>
        </w:numPr>
        <w:rPr>
          <w:rFonts w:ascii="Arial" w:cs="Arial" w:eastAsia="Arial" w:hAnsi="Arial"/>
          <w:sz w:val="16"/>
          <w:szCs w:val="16"/>
          <w:b w:val="1"/>
          <w:bCs w:val="1"/>
          <w:color w:val="D7282F"/>
        </w:rPr>
      </w:pPr>
      <w:r>
        <w:rPr>
          <w:rFonts w:ascii="Arial" w:cs="Arial" w:eastAsia="Arial" w:hAnsi="Arial"/>
          <w:sz w:val="16"/>
          <w:szCs w:val="16"/>
          <w:color w:val="auto"/>
        </w:rPr>
        <w:t>Corporate Responsibility KPIs used in assessment of a portion of the qualitative portion of ICP for executive compensation.</w:t>
      </w:r>
    </w:p>
    <w:p>
      <w:pPr>
        <w:spacing w:after="0" w:line="2" w:lineRule="exact"/>
        <w:rPr>
          <w:rFonts w:ascii="Arial" w:cs="Arial" w:eastAsia="Arial" w:hAnsi="Arial"/>
          <w:sz w:val="16"/>
          <w:szCs w:val="16"/>
          <w:b w:val="1"/>
          <w:bCs w:val="1"/>
          <w:color w:val="D7282F"/>
        </w:rPr>
      </w:pPr>
    </w:p>
    <w:p>
      <w:pPr>
        <w:ind w:left="188" w:right="320" w:hanging="188"/>
        <w:spacing w:after="0" w:line="248" w:lineRule="auto"/>
        <w:tabs>
          <w:tab w:leader="none" w:pos="185" w:val="left"/>
        </w:tabs>
        <w:numPr>
          <w:ilvl w:val="0"/>
          <w:numId w:val="85"/>
        </w:numPr>
        <w:rPr>
          <w:rFonts w:ascii="Arial" w:cs="Arial" w:eastAsia="Arial" w:hAnsi="Arial"/>
          <w:sz w:val="16"/>
          <w:szCs w:val="16"/>
          <w:b w:val="1"/>
          <w:bCs w:val="1"/>
          <w:color w:val="D7282F"/>
        </w:rPr>
      </w:pPr>
      <w:r>
        <w:rPr>
          <w:rFonts w:ascii="Arial" w:cs="Arial" w:eastAsia="Arial" w:hAnsi="Arial"/>
          <w:sz w:val="16"/>
          <w:szCs w:val="16"/>
          <w:color w:val="auto"/>
        </w:rPr>
        <w:t>Adopted standalone Clawback Policy, which meets SEC and Nasdaq standards, while maintaining existing policy as a secondary recoupment mechanism.</w:t>
      </w:r>
    </w:p>
    <w:p>
      <w:pPr>
        <w:spacing w:after="0" w:line="10" w:lineRule="exact"/>
        <w:rPr>
          <w:rFonts w:ascii="Arial" w:cs="Arial" w:eastAsia="Arial" w:hAnsi="Arial"/>
          <w:sz w:val="16"/>
          <w:szCs w:val="16"/>
          <w:b w:val="1"/>
          <w:bCs w:val="1"/>
          <w:color w:val="D7282F"/>
        </w:rPr>
      </w:pPr>
    </w:p>
    <w:p>
      <w:pPr>
        <w:ind w:left="188" w:right="720" w:hanging="188"/>
        <w:spacing w:after="0" w:line="268" w:lineRule="auto"/>
        <w:tabs>
          <w:tab w:leader="none" w:pos="185" w:val="left"/>
        </w:tabs>
        <w:numPr>
          <w:ilvl w:val="0"/>
          <w:numId w:val="85"/>
        </w:numPr>
        <w:rPr>
          <w:rFonts w:ascii="Arial" w:cs="Arial" w:eastAsia="Arial" w:hAnsi="Arial"/>
          <w:sz w:val="16"/>
          <w:szCs w:val="16"/>
          <w:b w:val="1"/>
          <w:bCs w:val="1"/>
          <w:color w:val="D7282F"/>
        </w:rPr>
      </w:pPr>
      <w:r>
        <w:rPr>
          <w:rFonts w:ascii="Arial" w:cs="Arial" w:eastAsia="Arial" w:hAnsi="Arial"/>
          <w:sz w:val="16"/>
          <w:szCs w:val="16"/>
          <w:color w:val="auto"/>
        </w:rPr>
        <w:t>Added Cisco and Medtronic to our Compensation Peer Group.</w:t>
      </w:r>
    </w:p>
    <w:p>
      <w:pPr>
        <w:spacing w:after="0" w:line="7" w:lineRule="exact"/>
        <w:rPr>
          <w:rFonts w:ascii="Arial" w:cs="Arial" w:eastAsia="Arial" w:hAnsi="Arial"/>
          <w:sz w:val="16"/>
          <w:szCs w:val="16"/>
          <w:b w:val="1"/>
          <w:bCs w:val="1"/>
          <w:color w:val="D7282F"/>
        </w:rPr>
      </w:pPr>
    </w:p>
    <w:p>
      <w:pPr>
        <w:ind w:left="188" w:right="360" w:hanging="188"/>
        <w:spacing w:after="0" w:line="268" w:lineRule="auto"/>
        <w:tabs>
          <w:tab w:leader="none" w:pos="185" w:val="left"/>
        </w:tabs>
        <w:numPr>
          <w:ilvl w:val="0"/>
          <w:numId w:val="85"/>
        </w:numPr>
        <w:rPr>
          <w:rFonts w:ascii="Arial" w:cs="Arial" w:eastAsia="Arial" w:hAnsi="Arial"/>
          <w:sz w:val="16"/>
          <w:szCs w:val="16"/>
          <w:b w:val="1"/>
          <w:bCs w:val="1"/>
          <w:color w:val="D7282F"/>
        </w:rPr>
      </w:pPr>
      <w:r>
        <w:rPr>
          <w:rFonts w:ascii="Arial" w:cs="Arial" w:eastAsia="Arial" w:hAnsi="Arial"/>
          <w:sz w:val="16"/>
          <w:szCs w:val="16"/>
          <w:color w:val="auto"/>
        </w:rPr>
        <w:t>Science-based target that includes Scope 3 emissions validated by SBTi.</w:t>
      </w:r>
    </w:p>
    <w:p>
      <w:pPr>
        <w:spacing w:after="0" w:line="264" w:lineRule="exact"/>
        <w:rPr>
          <w:rFonts w:ascii="Arial" w:cs="Arial" w:eastAsia="Arial" w:hAnsi="Arial"/>
          <w:sz w:val="16"/>
          <w:szCs w:val="16"/>
          <w:b w:val="1"/>
          <w:bCs w:val="1"/>
          <w:color w:val="D7282F"/>
        </w:rPr>
      </w:pPr>
    </w:p>
    <w:p>
      <w:pPr>
        <w:ind w:left="188" w:right="460" w:hanging="188"/>
        <w:spacing w:after="0" w:line="264" w:lineRule="auto"/>
        <w:tabs>
          <w:tab w:leader="none" w:pos="185" w:val="left"/>
        </w:tabs>
        <w:numPr>
          <w:ilvl w:val="0"/>
          <w:numId w:val="85"/>
        </w:numPr>
        <w:rPr>
          <w:rFonts w:ascii="Arial" w:cs="Arial" w:eastAsia="Arial" w:hAnsi="Arial"/>
          <w:sz w:val="16"/>
          <w:szCs w:val="16"/>
          <w:b w:val="1"/>
          <w:bCs w:val="1"/>
          <w:color w:val="D7282F"/>
        </w:rPr>
      </w:pPr>
      <w:r>
        <w:rPr>
          <w:rFonts w:ascii="Arial" w:cs="Arial" w:eastAsia="Arial" w:hAnsi="Arial"/>
          <w:sz w:val="16"/>
          <w:szCs w:val="16"/>
          <w:color w:val="auto"/>
        </w:rPr>
        <w:t>Elected William S. Ayer to succeed D. Scott Davis as independent Lead Director.</w:t>
      </w:r>
    </w:p>
    <w:p>
      <w:pPr>
        <w:ind w:left="188" w:right="420" w:hanging="188"/>
        <w:spacing w:after="0" w:line="241" w:lineRule="auto"/>
        <w:tabs>
          <w:tab w:leader="none" w:pos="185" w:val="left"/>
        </w:tabs>
        <w:numPr>
          <w:ilvl w:val="0"/>
          <w:numId w:val="85"/>
        </w:numPr>
        <w:rPr>
          <w:rFonts w:ascii="Arial" w:cs="Arial" w:eastAsia="Arial" w:hAnsi="Arial"/>
          <w:sz w:val="16"/>
          <w:szCs w:val="16"/>
          <w:b w:val="1"/>
          <w:bCs w:val="1"/>
          <w:color w:val="D7282F"/>
        </w:rPr>
      </w:pPr>
      <w:r>
        <w:rPr>
          <w:rFonts w:ascii="Arial" w:cs="Arial" w:eastAsia="Arial" w:hAnsi="Arial"/>
          <w:sz w:val="16"/>
          <w:szCs w:val="16"/>
          <w:color w:val="auto"/>
        </w:rPr>
        <w:t>Independent Lead Director role augmented to include the right to approve all Board meeting agendas (in addition to already existing rights to unilaterally</w:t>
      </w:r>
    </w:p>
    <w:p>
      <w:pPr>
        <w:spacing w:after="0" w:line="1" w:lineRule="exact"/>
        <w:rPr>
          <w:rFonts w:ascii="Arial" w:cs="Arial" w:eastAsia="Arial" w:hAnsi="Arial"/>
          <w:sz w:val="16"/>
          <w:szCs w:val="16"/>
          <w:b w:val="1"/>
          <w:bCs w:val="1"/>
          <w:color w:val="D7282F"/>
        </w:rPr>
      </w:pPr>
    </w:p>
    <w:p>
      <w:pPr>
        <w:ind w:left="188"/>
        <w:spacing w:after="0"/>
        <w:rPr>
          <w:rFonts w:ascii="Arial" w:cs="Arial" w:eastAsia="Arial" w:hAnsi="Arial"/>
          <w:sz w:val="16"/>
          <w:szCs w:val="16"/>
          <w:b w:val="1"/>
          <w:bCs w:val="1"/>
          <w:color w:val="D7282F"/>
        </w:rPr>
      </w:pPr>
      <w:r>
        <w:rPr>
          <w:rFonts w:ascii="Arial" w:cs="Arial" w:eastAsia="Arial" w:hAnsi="Arial"/>
          <w:sz w:val="16"/>
          <w:szCs w:val="16"/>
          <w:color w:val="auto"/>
        </w:rPr>
        <w:t>call a Board meeting and make agenda changes).</w:t>
      </w:r>
    </w:p>
    <w:p>
      <w:pPr>
        <w:spacing w:after="0" w:line="29" w:lineRule="exact"/>
        <w:rPr>
          <w:rFonts w:ascii="Arial" w:cs="Arial" w:eastAsia="Arial" w:hAnsi="Arial"/>
          <w:sz w:val="16"/>
          <w:szCs w:val="16"/>
          <w:b w:val="1"/>
          <w:bCs w:val="1"/>
          <w:color w:val="D7282F"/>
        </w:rPr>
      </w:pPr>
    </w:p>
    <w:p>
      <w:pPr>
        <w:ind w:left="188" w:right="440" w:hanging="188"/>
        <w:spacing w:after="0" w:line="248" w:lineRule="auto"/>
        <w:tabs>
          <w:tab w:leader="none" w:pos="185" w:val="left"/>
        </w:tabs>
        <w:numPr>
          <w:ilvl w:val="0"/>
          <w:numId w:val="85"/>
        </w:numPr>
        <w:rPr>
          <w:rFonts w:ascii="Arial" w:cs="Arial" w:eastAsia="Arial" w:hAnsi="Arial"/>
          <w:sz w:val="16"/>
          <w:szCs w:val="16"/>
          <w:b w:val="1"/>
          <w:bCs w:val="1"/>
          <w:color w:val="D7282F"/>
        </w:rPr>
      </w:pPr>
      <w:r>
        <w:rPr>
          <w:rFonts w:ascii="Arial" w:cs="Arial" w:eastAsia="Arial" w:hAnsi="Arial"/>
          <w:sz w:val="16"/>
          <w:szCs w:val="16"/>
          <w:color w:val="auto"/>
        </w:rPr>
        <w:t>Audit Committee Charter amended to specify that the Chief Compliance Officer be invited to all committee meetings.</w:t>
      </w:r>
    </w:p>
    <w:p>
      <w:pPr>
        <w:spacing w:after="0" w:line="10" w:lineRule="exact"/>
        <w:rPr>
          <w:rFonts w:ascii="Arial" w:cs="Arial" w:eastAsia="Arial" w:hAnsi="Arial"/>
          <w:sz w:val="16"/>
          <w:szCs w:val="16"/>
          <w:b w:val="1"/>
          <w:bCs w:val="1"/>
          <w:color w:val="D7282F"/>
        </w:rPr>
      </w:pPr>
    </w:p>
    <w:p>
      <w:pPr>
        <w:jc w:val="both"/>
        <w:ind w:left="188" w:right="460" w:hanging="188"/>
        <w:spacing w:after="0" w:line="257" w:lineRule="auto"/>
        <w:tabs>
          <w:tab w:leader="none" w:pos="185" w:val="left"/>
        </w:tabs>
        <w:numPr>
          <w:ilvl w:val="0"/>
          <w:numId w:val="85"/>
        </w:numPr>
        <w:rPr>
          <w:rFonts w:ascii="Arial" w:cs="Arial" w:eastAsia="Arial" w:hAnsi="Arial"/>
          <w:sz w:val="16"/>
          <w:szCs w:val="16"/>
          <w:b w:val="1"/>
          <w:bCs w:val="1"/>
          <w:color w:val="D7282F"/>
        </w:rPr>
      </w:pPr>
      <w:r>
        <w:rPr>
          <w:rFonts w:ascii="Arial" w:cs="Arial" w:eastAsia="Arial" w:hAnsi="Arial"/>
          <w:sz w:val="16"/>
          <w:szCs w:val="16"/>
          <w:color w:val="auto"/>
        </w:rPr>
        <w:t>Assigned responsibility for oversight of data use and compliance (including AI) risk to the Audit Committee and oversight of environmental justice to the CGRC.</w:t>
      </w:r>
    </w:p>
    <w:p>
      <w:pPr>
        <w:spacing w:after="0" w:line="2" w:lineRule="exact"/>
        <w:rPr>
          <w:rFonts w:ascii="Arial" w:cs="Arial" w:eastAsia="Arial" w:hAnsi="Arial"/>
          <w:sz w:val="16"/>
          <w:szCs w:val="16"/>
          <w:b w:val="1"/>
          <w:bCs w:val="1"/>
          <w:color w:val="D7282F"/>
        </w:rPr>
      </w:pPr>
    </w:p>
    <w:p>
      <w:pPr>
        <w:ind w:left="188" w:right="480" w:hanging="188"/>
        <w:spacing w:after="0" w:line="268" w:lineRule="auto"/>
        <w:tabs>
          <w:tab w:leader="none" w:pos="185" w:val="left"/>
        </w:tabs>
        <w:numPr>
          <w:ilvl w:val="0"/>
          <w:numId w:val="85"/>
        </w:numPr>
        <w:rPr>
          <w:rFonts w:ascii="Arial" w:cs="Arial" w:eastAsia="Arial" w:hAnsi="Arial"/>
          <w:sz w:val="16"/>
          <w:szCs w:val="16"/>
          <w:b w:val="1"/>
          <w:bCs w:val="1"/>
          <w:color w:val="D7282F"/>
        </w:rPr>
      </w:pPr>
      <w:r>
        <w:rPr>
          <w:rFonts w:ascii="Arial" w:cs="Arial" w:eastAsia="Arial" w:hAnsi="Arial"/>
          <w:sz w:val="16"/>
          <w:szCs w:val="16"/>
          <w:color w:val="auto"/>
        </w:rPr>
        <w:t>Revised Stock Ownership Guidelines to increase the amount of stock our officers are required to hold.</w:t>
      </w:r>
    </w:p>
    <w:p>
      <w:pPr>
        <w:spacing w:after="0" w:line="277" w:lineRule="exact"/>
        <w:rPr>
          <w:rFonts w:ascii="Arial" w:cs="Arial" w:eastAsia="Arial" w:hAnsi="Arial"/>
          <w:sz w:val="16"/>
          <w:szCs w:val="16"/>
          <w:b w:val="1"/>
          <w:bCs w:val="1"/>
          <w:color w:val="D7282F"/>
        </w:rPr>
      </w:pPr>
    </w:p>
    <w:p>
      <w:pPr>
        <w:jc w:val="both"/>
        <w:ind w:left="188" w:right="260" w:hanging="188"/>
        <w:spacing w:after="0" w:line="248" w:lineRule="auto"/>
        <w:tabs>
          <w:tab w:leader="none" w:pos="185" w:val="left"/>
        </w:tabs>
        <w:numPr>
          <w:ilvl w:val="0"/>
          <w:numId w:val="85"/>
        </w:numPr>
        <w:rPr>
          <w:rFonts w:ascii="Arial" w:cs="Arial" w:eastAsia="Arial" w:hAnsi="Arial"/>
          <w:sz w:val="16"/>
          <w:szCs w:val="16"/>
          <w:b w:val="1"/>
          <w:bCs w:val="1"/>
          <w:color w:val="D7282F"/>
        </w:rPr>
      </w:pPr>
      <w:r>
        <w:rPr>
          <w:rFonts w:ascii="Arial" w:cs="Arial" w:eastAsia="Arial" w:hAnsi="Arial"/>
          <w:sz w:val="16"/>
          <w:szCs w:val="16"/>
          <w:color w:val="auto"/>
        </w:rPr>
        <w:t>Board Skillset Matrix augmented to include alignment of each director's experiences to our key megatrends and digitalization.</w:t>
      </w:r>
    </w:p>
    <w:p>
      <w:pPr>
        <w:spacing w:after="0" w:line="10" w:lineRule="exact"/>
        <w:rPr>
          <w:rFonts w:ascii="Arial" w:cs="Arial" w:eastAsia="Arial" w:hAnsi="Arial"/>
          <w:sz w:val="16"/>
          <w:szCs w:val="16"/>
          <w:b w:val="1"/>
          <w:bCs w:val="1"/>
          <w:color w:val="D7282F"/>
        </w:rPr>
      </w:pPr>
    </w:p>
    <w:p>
      <w:pPr>
        <w:ind w:left="188" w:right="420" w:hanging="188"/>
        <w:spacing w:after="0" w:line="272" w:lineRule="auto"/>
        <w:tabs>
          <w:tab w:leader="none" w:pos="185" w:val="left"/>
        </w:tabs>
        <w:numPr>
          <w:ilvl w:val="0"/>
          <w:numId w:val="85"/>
        </w:numPr>
        <w:rPr>
          <w:rFonts w:ascii="Arial" w:cs="Arial" w:eastAsia="Arial" w:hAnsi="Arial"/>
          <w:sz w:val="16"/>
          <w:szCs w:val="16"/>
          <w:b w:val="1"/>
          <w:bCs w:val="1"/>
          <w:color w:val="D7282F"/>
        </w:rPr>
      </w:pPr>
      <w:r>
        <w:rPr>
          <w:rFonts w:ascii="Arial" w:cs="Arial" w:eastAsia="Arial" w:hAnsi="Arial"/>
          <w:sz w:val="16"/>
          <w:szCs w:val="16"/>
          <w:color w:val="auto"/>
        </w:rPr>
        <w:t>Assigned responsibility for oversight of responsible AI governance to the CGRC.</w:t>
      </w:r>
    </w:p>
    <w:p>
      <w:pPr>
        <w:spacing w:after="0" w:line="1" w:lineRule="exact"/>
        <w:rPr>
          <w:rFonts w:ascii="Arial" w:cs="Arial" w:eastAsia="Arial" w:hAnsi="Arial"/>
          <w:sz w:val="16"/>
          <w:szCs w:val="16"/>
          <w:b w:val="1"/>
          <w:bCs w:val="1"/>
          <w:color w:val="D7282F"/>
        </w:rPr>
      </w:pPr>
    </w:p>
    <w:p>
      <w:pPr>
        <w:ind w:left="188" w:right="560" w:hanging="188"/>
        <w:spacing w:after="0" w:line="268" w:lineRule="auto"/>
        <w:tabs>
          <w:tab w:leader="none" w:pos="185" w:val="left"/>
        </w:tabs>
        <w:numPr>
          <w:ilvl w:val="0"/>
          <w:numId w:val="85"/>
        </w:numPr>
        <w:rPr>
          <w:rFonts w:ascii="Arial" w:cs="Arial" w:eastAsia="Arial" w:hAnsi="Arial"/>
          <w:sz w:val="16"/>
          <w:szCs w:val="16"/>
          <w:b w:val="1"/>
          <w:bCs w:val="1"/>
          <w:color w:val="D7282F"/>
        </w:rPr>
      </w:pPr>
      <w:r>
        <w:rPr>
          <w:rFonts w:ascii="Arial" w:cs="Arial" w:eastAsia="Arial" w:hAnsi="Arial"/>
          <w:sz w:val="16"/>
          <w:szCs w:val="16"/>
          <w:color w:val="auto"/>
        </w:rPr>
        <w:t>Augmented the Board's self-evaluation process to enable insights into individual director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-655320</wp:posOffset>
            </wp:positionH>
            <wp:positionV relativeFrom="paragraph">
              <wp:posOffset>-962660</wp:posOffset>
            </wp:positionV>
            <wp:extent cx="3402965" cy="10629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402965" cy="1062990"/>
                    </a:xfrm>
                    <a:prstGeom prst="rect">
                      <a:avLst/>
                    </a:prstGeom>
                    <a:noFill/>
                  </pic:spPr>
                </pic:pic>
              </a:graphicData>
            </a:graphic>
          </wp:anchor>
        </w:drawing>
      </w:r>
    </w:p>
    <w:p>
      <w:pPr>
        <w:spacing w:after="0" w:line="383" w:lineRule="exact"/>
        <w:rPr>
          <w:sz w:val="20"/>
          <w:szCs w:val="20"/>
          <w:color w:val="auto"/>
        </w:rPr>
      </w:pPr>
    </w:p>
    <w:p>
      <w:pPr>
        <w:sectPr>
          <w:pgSz w:w="11900" w:h="16838" w:orient="portrait"/>
          <w:cols w:equalWidth="0" w:num="3">
            <w:col w:w="5380" w:space="620"/>
            <w:col w:w="360" w:space="432"/>
            <w:col w:w="4448"/>
          </w:cols>
          <w:pgMar w:left="320" w:top="1293" w:right="339" w:bottom="1440" w:gutter="0" w:footer="0" w:header="0"/>
          <w:type w:val="continuous"/>
        </w:sectPr>
      </w:pPr>
    </w:p>
    <w:p>
      <w:pPr>
        <w:spacing w:after="0" w:line="8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FFFFFF"/>
        </w:rPr>
        <w:t>Continuously Augmenting Governance and Disclosure Practices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2026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27</w:t>
            </w:r>
          </w:p>
        </w:tc>
      </w:tr>
      <w:tr>
        <w:trPr>
          <w:trHeight w:val="360"/>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-368300</wp:posOffset>
            </wp:positionV>
            <wp:extent cx="548640" cy="10287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1293"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3"/>
          <w:szCs w:val="13"/>
          <w:b w:val="1"/>
          <w:bCs w:val="1"/>
          <w:color w:val="6D6E71"/>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SHAREOWNER OUTREACH AND ENGAGEMENT</w:t>
      </w:r>
    </w:p>
    <w:p>
      <w:pPr>
        <w:spacing w:after="0" w:line="127"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Understanding the issues that are important to our shareowners is critical to ensuring that the Company addresses their interests in a meaningful and effective manner. It is also foundational to good corporate governance. Honeywell engages with shareowners on a regular basis throughout the year to discuss a range of topics, including performance, strategy, risk management, executive compensation, corporate governance, and sustainability. The Company recognizes the value of taking shareowners’ views into account. Dialogue and engagement with shareowners help set goals and expectations for performance and help identify emerging issues that may affect corporate governance, compensation practices, and other aspects of strategy and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97167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2320" cy="1971675"/>
                    </a:xfrm>
                    <a:prstGeom prst="rect">
                      <a:avLst/>
                    </a:prstGeom>
                    <a:noFill/>
                  </pic:spPr>
                </pic:pic>
              </a:graphicData>
            </a:graphic>
          </wp:anchor>
        </w:drawing>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FFFFFF"/>
        </w:rPr>
        <w:t>SHAREOWNER ENGAGEMENT IN 2025</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6"/>
          <w:szCs w:val="16"/>
          <w:color w:val="FFFFFF"/>
        </w:rPr>
        <w:t>Shareowner engagement during 2025 was robust. The Company’s shareowner and investor outreach and engagement take many forms:</w:t>
      </w:r>
    </w:p>
    <w:p>
      <w:pPr>
        <w:spacing w:after="0" w:line="60" w:lineRule="exact"/>
        <w:rPr>
          <w:sz w:val="20"/>
          <w:szCs w:val="20"/>
          <w:color w:val="auto"/>
        </w:rPr>
      </w:pPr>
    </w:p>
    <w:tbl>
      <w:tblPr>
        <w:tblLayout w:type="fixed"/>
        <w:tblInd w:w="10" w:type="dxa"/>
        <w:tblCellMar>
          <w:top w:w="0" w:type="dxa"/>
          <w:left w:w="0" w:type="dxa"/>
          <w:bottom w:w="0" w:type="dxa"/>
          <w:right w:w="0" w:type="dxa"/>
        </w:tblCellMar>
      </w:tblPr>
      <w:tr>
        <w:trPr>
          <w:trHeight w:val="108"/>
        </w:trPr>
        <w:tc>
          <w:tcPr>
            <w:tcW w:w="3760" w:type="dxa"/>
            <w:vAlign w:val="bottom"/>
            <w:tcBorders>
              <w:bottom w:val="single" w:sz="8" w:color="D7282F"/>
              <w:right w:val="single" w:sz="8" w:color="D7282F"/>
            </w:tcBorders>
          </w:tcPr>
          <w:p>
            <w:pPr>
              <w:spacing w:after="0"/>
              <w:rPr>
                <w:sz w:val="9"/>
                <w:szCs w:val="9"/>
                <w:color w:val="auto"/>
              </w:rPr>
            </w:pPr>
          </w:p>
        </w:tc>
        <w:tc>
          <w:tcPr>
            <w:tcW w:w="3760" w:type="dxa"/>
            <w:vAlign w:val="bottom"/>
            <w:tcBorders>
              <w:bottom w:val="single" w:sz="8" w:color="D7282F"/>
              <w:right w:val="single" w:sz="8" w:color="D7282F"/>
            </w:tcBorders>
          </w:tcPr>
          <w:p>
            <w:pPr>
              <w:spacing w:after="0"/>
              <w:rPr>
                <w:sz w:val="9"/>
                <w:szCs w:val="9"/>
                <w:color w:val="auto"/>
              </w:rPr>
            </w:pPr>
          </w:p>
        </w:tc>
        <w:tc>
          <w:tcPr>
            <w:tcW w:w="3700" w:type="dxa"/>
            <w:vAlign w:val="bottom"/>
            <w:tcBorders>
              <w:bottom w:val="single" w:sz="8" w:color="D7282F"/>
            </w:tcBorders>
          </w:tcPr>
          <w:p>
            <w:pPr>
              <w:spacing w:after="0"/>
              <w:rPr>
                <w:sz w:val="9"/>
                <w:szCs w:val="9"/>
                <w:color w:val="auto"/>
              </w:rPr>
            </w:pPr>
          </w:p>
        </w:tc>
        <w:tc>
          <w:tcPr>
            <w:tcW w:w="20" w:type="dxa"/>
            <w:vAlign w:val="bottom"/>
            <w:tcBorders>
              <w:bottom w:val="single" w:sz="8" w:color="D7282F"/>
            </w:tcBorders>
          </w:tcPr>
          <w:p>
            <w:pPr>
              <w:spacing w:after="0"/>
              <w:rPr>
                <w:sz w:val="9"/>
                <w:szCs w:val="9"/>
                <w:color w:val="auto"/>
              </w:rPr>
            </w:pPr>
          </w:p>
        </w:tc>
        <w:tc>
          <w:tcPr>
            <w:tcW w:w="0" w:type="dxa"/>
            <w:vAlign w:val="bottom"/>
          </w:tcPr>
          <w:p>
            <w:pPr>
              <w:spacing w:after="0"/>
              <w:rPr>
                <w:sz w:val="1"/>
                <w:szCs w:val="1"/>
                <w:color w:val="auto"/>
              </w:rPr>
            </w:pPr>
          </w:p>
        </w:tc>
      </w:tr>
      <w:tr>
        <w:trPr>
          <w:trHeight w:val="290"/>
        </w:trPr>
        <w:tc>
          <w:tcPr>
            <w:tcW w:w="3760" w:type="dxa"/>
            <w:vAlign w:val="bottom"/>
            <w:tcBorders>
              <w:right w:val="single" w:sz="8" w:color="D7282F"/>
            </w:tcBorders>
          </w:tcPr>
          <w:p>
            <w:pPr>
              <w:ind w:left="160"/>
              <w:spacing w:after="0"/>
              <w:rPr>
                <w:sz w:val="20"/>
                <w:szCs w:val="20"/>
                <w:color w:val="auto"/>
              </w:rPr>
            </w:pPr>
            <w:r>
              <w:rPr>
                <w:rFonts w:ascii="Arial" w:cs="Arial" w:eastAsia="Arial" w:hAnsi="Arial"/>
                <w:sz w:val="16"/>
                <w:szCs w:val="16"/>
                <w:color w:val="auto"/>
              </w:rPr>
              <w:t>The Company participates in numerous</w:t>
            </w:r>
          </w:p>
        </w:tc>
        <w:tc>
          <w:tcPr>
            <w:tcW w:w="3760" w:type="dxa"/>
            <w:vAlign w:val="bottom"/>
            <w:tcBorders>
              <w:right w:val="single" w:sz="8" w:color="D7282F"/>
            </w:tcBorders>
          </w:tcPr>
          <w:p>
            <w:pPr>
              <w:ind w:left="140"/>
              <w:spacing w:after="0"/>
              <w:rPr>
                <w:sz w:val="20"/>
                <w:szCs w:val="20"/>
                <w:color w:val="auto"/>
              </w:rPr>
            </w:pPr>
            <w:r>
              <w:rPr>
                <w:rFonts w:ascii="Arial" w:cs="Arial" w:eastAsia="Arial" w:hAnsi="Arial"/>
                <w:sz w:val="16"/>
                <w:szCs w:val="16"/>
                <w:color w:val="auto"/>
              </w:rPr>
              <w:t>As part of Honeywell’s governance-focused</w:t>
            </w:r>
          </w:p>
        </w:tc>
        <w:tc>
          <w:tcPr>
            <w:tcW w:w="3720" w:type="dxa"/>
            <w:vAlign w:val="bottom"/>
            <w:gridSpan w:val="2"/>
          </w:tcPr>
          <w:p>
            <w:pPr>
              <w:ind w:left="140"/>
              <w:spacing w:after="0"/>
              <w:rPr>
                <w:sz w:val="20"/>
                <w:szCs w:val="20"/>
                <w:color w:val="auto"/>
              </w:rPr>
            </w:pPr>
            <w:r>
              <w:rPr>
                <w:rFonts w:ascii="Arial" w:cs="Arial" w:eastAsia="Arial" w:hAnsi="Arial"/>
                <w:sz w:val="16"/>
                <w:szCs w:val="16"/>
                <w:color w:val="auto"/>
              </w:rPr>
              <w:t>In addition, the Company’s Chairman and Chief</w:t>
            </w:r>
          </w:p>
        </w:tc>
        <w:tc>
          <w:tcPr>
            <w:tcW w:w="0" w:type="dxa"/>
            <w:vAlign w:val="bottom"/>
          </w:tcPr>
          <w:p>
            <w:pPr>
              <w:spacing w:after="0"/>
              <w:rPr>
                <w:sz w:val="1"/>
                <w:szCs w:val="1"/>
                <w:color w:val="auto"/>
              </w:rPr>
            </w:pPr>
          </w:p>
        </w:tc>
      </w:tr>
      <w:tr>
        <w:trPr>
          <w:trHeight w:val="203"/>
        </w:trPr>
        <w:tc>
          <w:tcPr>
            <w:tcW w:w="3760" w:type="dxa"/>
            <w:vAlign w:val="bottom"/>
            <w:tcBorders>
              <w:right w:val="single" w:sz="8" w:color="D7282F"/>
            </w:tcBorders>
          </w:tcPr>
          <w:p>
            <w:pPr>
              <w:ind w:left="160"/>
              <w:spacing w:after="0"/>
              <w:rPr>
                <w:sz w:val="20"/>
                <w:szCs w:val="20"/>
                <w:color w:val="auto"/>
              </w:rPr>
            </w:pPr>
            <w:r>
              <w:rPr>
                <w:rFonts w:ascii="Arial" w:cs="Arial" w:eastAsia="Arial" w:hAnsi="Arial"/>
                <w:sz w:val="16"/>
                <w:szCs w:val="16"/>
                <w:color w:val="auto"/>
              </w:rPr>
              <w:t>investor conferences and analyst meetings;</w:t>
            </w:r>
          </w:p>
        </w:tc>
        <w:tc>
          <w:tcPr>
            <w:tcW w:w="3760" w:type="dxa"/>
            <w:vAlign w:val="bottom"/>
            <w:tcBorders>
              <w:right w:val="single" w:sz="8" w:color="D7282F"/>
            </w:tcBorders>
          </w:tcPr>
          <w:p>
            <w:pPr>
              <w:ind w:left="140"/>
              <w:spacing w:after="0"/>
              <w:rPr>
                <w:sz w:val="20"/>
                <w:szCs w:val="20"/>
                <w:color w:val="auto"/>
              </w:rPr>
            </w:pPr>
            <w:r>
              <w:rPr>
                <w:rFonts w:ascii="Arial" w:cs="Arial" w:eastAsia="Arial" w:hAnsi="Arial"/>
                <w:sz w:val="16"/>
                <w:szCs w:val="16"/>
                <w:color w:val="auto"/>
              </w:rPr>
              <w:t>shareowner engagement program, members of</w:t>
            </w:r>
          </w:p>
        </w:tc>
        <w:tc>
          <w:tcPr>
            <w:tcW w:w="3720" w:type="dxa"/>
            <w:vAlign w:val="bottom"/>
            <w:gridSpan w:val="2"/>
          </w:tcPr>
          <w:p>
            <w:pPr>
              <w:ind w:left="140"/>
              <w:spacing w:after="0"/>
              <w:rPr>
                <w:sz w:val="20"/>
                <w:szCs w:val="20"/>
                <w:color w:val="auto"/>
              </w:rPr>
            </w:pPr>
            <w:r>
              <w:rPr>
                <w:rFonts w:ascii="Arial" w:cs="Arial" w:eastAsia="Arial" w:hAnsi="Arial"/>
                <w:sz w:val="16"/>
                <w:szCs w:val="16"/>
                <w:color w:val="auto"/>
              </w:rPr>
              <w:t>Executive Officer, Chief Financial Officer, and</w:t>
            </w:r>
          </w:p>
        </w:tc>
        <w:tc>
          <w:tcPr>
            <w:tcW w:w="0" w:type="dxa"/>
            <w:vAlign w:val="bottom"/>
          </w:tcPr>
          <w:p>
            <w:pPr>
              <w:spacing w:after="0"/>
              <w:rPr>
                <w:sz w:val="1"/>
                <w:szCs w:val="1"/>
                <w:color w:val="auto"/>
              </w:rPr>
            </w:pPr>
          </w:p>
        </w:tc>
      </w:tr>
      <w:tr>
        <w:trPr>
          <w:trHeight w:val="187"/>
        </w:trPr>
        <w:tc>
          <w:tcPr>
            <w:tcW w:w="3760" w:type="dxa"/>
            <w:vAlign w:val="bottom"/>
            <w:tcBorders>
              <w:right w:val="single" w:sz="8" w:color="D7282F"/>
            </w:tcBorders>
          </w:tcPr>
          <w:p>
            <w:pPr>
              <w:ind w:left="160"/>
              <w:spacing w:after="0"/>
              <w:rPr>
                <w:sz w:val="20"/>
                <w:szCs w:val="20"/>
                <w:color w:val="auto"/>
              </w:rPr>
            </w:pPr>
            <w:r>
              <w:rPr>
                <w:rFonts w:ascii="Arial" w:cs="Arial" w:eastAsia="Arial" w:hAnsi="Arial"/>
                <w:sz w:val="16"/>
                <w:szCs w:val="16"/>
                <w:color w:val="auto"/>
              </w:rPr>
              <w:t>holds its own investor events, some of which</w:t>
            </w:r>
          </w:p>
        </w:tc>
        <w:tc>
          <w:tcPr>
            <w:tcW w:w="3760" w:type="dxa"/>
            <w:vAlign w:val="bottom"/>
            <w:tcBorders>
              <w:right w:val="single" w:sz="8" w:color="D7282F"/>
            </w:tcBorders>
          </w:tcPr>
          <w:p>
            <w:pPr>
              <w:ind w:left="140"/>
              <w:spacing w:after="0"/>
              <w:rPr>
                <w:sz w:val="20"/>
                <w:szCs w:val="20"/>
                <w:color w:val="auto"/>
              </w:rPr>
            </w:pPr>
            <w:r>
              <w:rPr>
                <w:rFonts w:ascii="Arial" w:cs="Arial" w:eastAsia="Arial" w:hAnsi="Arial"/>
                <w:sz w:val="16"/>
                <w:szCs w:val="16"/>
                <w:color w:val="auto"/>
              </w:rPr>
              <w:t>the Board, including the independent Lead</w:t>
            </w:r>
          </w:p>
        </w:tc>
        <w:tc>
          <w:tcPr>
            <w:tcW w:w="3720" w:type="dxa"/>
            <w:vAlign w:val="bottom"/>
            <w:gridSpan w:val="2"/>
          </w:tcPr>
          <w:p>
            <w:pPr>
              <w:ind w:left="140"/>
              <w:spacing w:after="0"/>
              <w:rPr>
                <w:sz w:val="20"/>
                <w:szCs w:val="20"/>
                <w:color w:val="auto"/>
              </w:rPr>
            </w:pPr>
            <w:r>
              <w:rPr>
                <w:rFonts w:ascii="Arial" w:cs="Arial" w:eastAsia="Arial" w:hAnsi="Arial"/>
                <w:sz w:val="16"/>
                <w:szCs w:val="16"/>
                <w:color w:val="auto"/>
              </w:rPr>
              <w:t>other executive officers hosted</w:t>
            </w:r>
          </w:p>
        </w:tc>
        <w:tc>
          <w:tcPr>
            <w:tcW w:w="0" w:type="dxa"/>
            <w:vAlign w:val="bottom"/>
          </w:tcPr>
          <w:p>
            <w:pPr>
              <w:spacing w:after="0"/>
              <w:rPr>
                <w:sz w:val="1"/>
                <w:szCs w:val="1"/>
                <w:color w:val="auto"/>
              </w:rPr>
            </w:pPr>
          </w:p>
        </w:tc>
      </w:tr>
      <w:tr>
        <w:trPr>
          <w:trHeight w:val="191"/>
        </w:trPr>
        <w:tc>
          <w:tcPr>
            <w:tcW w:w="3760" w:type="dxa"/>
            <w:vAlign w:val="bottom"/>
            <w:tcBorders>
              <w:right w:val="single" w:sz="8" w:color="D7282F"/>
            </w:tcBorders>
          </w:tcPr>
          <w:p>
            <w:pPr>
              <w:ind w:left="160"/>
              <w:spacing w:after="0"/>
              <w:rPr>
                <w:sz w:val="20"/>
                <w:szCs w:val="20"/>
                <w:color w:val="auto"/>
              </w:rPr>
            </w:pPr>
            <w:r>
              <w:rPr>
                <w:rFonts w:ascii="Arial" w:cs="Arial" w:eastAsia="Arial" w:hAnsi="Arial"/>
                <w:sz w:val="16"/>
                <w:szCs w:val="16"/>
                <w:color w:val="auto"/>
              </w:rPr>
              <w:t>focus on individual businesses, at Honeywell</w:t>
            </w:r>
          </w:p>
        </w:tc>
        <w:tc>
          <w:tcPr>
            <w:tcW w:w="3760" w:type="dxa"/>
            <w:vAlign w:val="bottom"/>
            <w:tcBorders>
              <w:right w:val="single" w:sz="8" w:color="D7282F"/>
            </w:tcBorders>
          </w:tcPr>
          <w:p>
            <w:pPr>
              <w:ind w:left="140"/>
              <w:spacing w:after="0"/>
              <w:rPr>
                <w:sz w:val="20"/>
                <w:szCs w:val="20"/>
                <w:color w:val="auto"/>
              </w:rPr>
            </w:pPr>
            <w:r>
              <w:rPr>
                <w:rFonts w:ascii="Arial" w:cs="Arial" w:eastAsia="Arial" w:hAnsi="Arial"/>
                <w:sz w:val="16"/>
                <w:szCs w:val="16"/>
                <w:color w:val="auto"/>
              </w:rPr>
              <w:t>Director, the CGRC Chair, and/or the MDCC</w:t>
            </w:r>
          </w:p>
        </w:tc>
        <w:tc>
          <w:tcPr>
            <w:tcW w:w="3700" w:type="dxa"/>
            <w:vAlign w:val="bottom"/>
            <w:vMerge w:val="restart"/>
          </w:tcPr>
          <w:p>
            <w:pPr>
              <w:ind w:left="140"/>
              <w:spacing w:after="0"/>
              <w:rPr>
                <w:sz w:val="20"/>
                <w:szCs w:val="20"/>
                <w:color w:val="auto"/>
              </w:rPr>
            </w:pPr>
            <w:r>
              <w:rPr>
                <w:rFonts w:ascii="Arial" w:cs="Arial" w:eastAsia="Arial" w:hAnsi="Arial"/>
                <w:sz w:val="43"/>
                <w:szCs w:val="43"/>
                <w:b w:val="1"/>
                <w:bCs w:val="1"/>
                <w:color w:val="auto"/>
              </w:rPr>
              <w:t>&gt;150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60" w:type="dxa"/>
            <w:vAlign w:val="bottom"/>
            <w:tcBorders>
              <w:right w:val="single" w:sz="8" w:color="D7282F"/>
            </w:tcBorders>
          </w:tcPr>
          <w:p>
            <w:pPr>
              <w:ind w:left="160"/>
              <w:spacing w:after="0"/>
              <w:rPr>
                <w:sz w:val="20"/>
                <w:szCs w:val="20"/>
                <w:color w:val="auto"/>
              </w:rPr>
            </w:pPr>
            <w:r>
              <w:rPr>
                <w:rFonts w:ascii="Arial" w:cs="Arial" w:eastAsia="Arial" w:hAnsi="Arial"/>
                <w:sz w:val="16"/>
                <w:szCs w:val="16"/>
                <w:color w:val="auto"/>
              </w:rPr>
              <w:t>facilities; and meets one-on-one with</w:t>
            </w:r>
          </w:p>
        </w:tc>
        <w:tc>
          <w:tcPr>
            <w:tcW w:w="3760" w:type="dxa"/>
            <w:vAlign w:val="bottom"/>
            <w:tcBorders>
              <w:right w:val="single" w:sz="8" w:color="D7282F"/>
            </w:tcBorders>
          </w:tcPr>
          <w:p>
            <w:pPr>
              <w:ind w:left="140"/>
              <w:spacing w:after="0"/>
              <w:rPr>
                <w:sz w:val="20"/>
                <w:szCs w:val="20"/>
                <w:color w:val="auto"/>
              </w:rPr>
            </w:pPr>
            <w:r>
              <w:rPr>
                <w:rFonts w:ascii="Arial" w:cs="Arial" w:eastAsia="Arial" w:hAnsi="Arial"/>
                <w:sz w:val="16"/>
                <w:szCs w:val="16"/>
                <w:color w:val="auto"/>
              </w:rPr>
              <w:t>Chair, participate in many shareowner meetings</w:t>
            </w:r>
          </w:p>
        </w:tc>
        <w:tc>
          <w:tcPr>
            <w:tcW w:w="37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3760" w:type="dxa"/>
            <w:vAlign w:val="bottom"/>
            <w:tcBorders>
              <w:right w:val="single" w:sz="8" w:color="D7282F"/>
            </w:tcBorders>
          </w:tcPr>
          <w:p>
            <w:pPr>
              <w:ind w:left="160"/>
              <w:spacing w:after="0" w:line="163" w:lineRule="exact"/>
              <w:rPr>
                <w:sz w:val="20"/>
                <w:szCs w:val="20"/>
                <w:color w:val="auto"/>
              </w:rPr>
            </w:pPr>
            <w:r>
              <w:rPr>
                <w:rFonts w:ascii="Arial" w:cs="Arial" w:eastAsia="Arial" w:hAnsi="Arial"/>
                <w:sz w:val="16"/>
                <w:szCs w:val="16"/>
                <w:color w:val="auto"/>
              </w:rPr>
              <w:t>shareowners in a variety of contexts and</w:t>
            </w:r>
          </w:p>
        </w:tc>
        <w:tc>
          <w:tcPr>
            <w:tcW w:w="3760" w:type="dxa"/>
            <w:vAlign w:val="bottom"/>
            <w:tcBorders>
              <w:right w:val="single" w:sz="8" w:color="D7282F"/>
            </w:tcBorders>
          </w:tcPr>
          <w:p>
            <w:pPr>
              <w:ind w:left="140"/>
              <w:spacing w:after="0" w:line="163" w:lineRule="exact"/>
              <w:rPr>
                <w:sz w:val="20"/>
                <w:szCs w:val="20"/>
                <w:color w:val="auto"/>
              </w:rPr>
            </w:pPr>
            <w:r>
              <w:rPr>
                <w:rFonts w:ascii="Arial" w:cs="Arial" w:eastAsia="Arial" w:hAnsi="Arial"/>
                <w:sz w:val="16"/>
                <w:szCs w:val="16"/>
                <w:color w:val="auto"/>
              </w:rPr>
              <w:t>to discuss a range of matters, including</w:t>
            </w:r>
          </w:p>
        </w:tc>
        <w:tc>
          <w:tcPr>
            <w:tcW w:w="37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760" w:type="dxa"/>
            <w:vAlign w:val="bottom"/>
            <w:tcBorders>
              <w:right w:val="single" w:sz="8" w:color="D7282F"/>
            </w:tcBorders>
            <w:vMerge w:val="restart"/>
          </w:tcPr>
          <w:p>
            <w:pPr>
              <w:ind w:left="160"/>
              <w:spacing w:after="0"/>
              <w:rPr>
                <w:sz w:val="20"/>
                <w:szCs w:val="20"/>
                <w:color w:val="auto"/>
              </w:rPr>
            </w:pPr>
            <w:r>
              <w:rPr>
                <w:rFonts w:ascii="Arial" w:cs="Arial" w:eastAsia="Arial" w:hAnsi="Arial"/>
                <w:sz w:val="16"/>
                <w:szCs w:val="16"/>
                <w:color w:val="auto"/>
              </w:rPr>
              <w:t>forums.</w:t>
            </w:r>
          </w:p>
        </w:tc>
        <w:tc>
          <w:tcPr>
            <w:tcW w:w="3760" w:type="dxa"/>
            <w:vAlign w:val="bottom"/>
            <w:tcBorders>
              <w:right w:val="single" w:sz="8" w:color="D7282F"/>
            </w:tcBorders>
            <w:vMerge w:val="restart"/>
          </w:tcPr>
          <w:p>
            <w:pPr>
              <w:ind w:left="140"/>
              <w:spacing w:after="0"/>
              <w:rPr>
                <w:sz w:val="20"/>
                <w:szCs w:val="20"/>
                <w:color w:val="auto"/>
              </w:rPr>
            </w:pPr>
            <w:r>
              <w:rPr>
                <w:rFonts w:ascii="Arial" w:cs="Arial" w:eastAsia="Arial" w:hAnsi="Arial"/>
                <w:sz w:val="16"/>
                <w:szCs w:val="16"/>
                <w:color w:val="auto"/>
              </w:rPr>
              <w:t>executive compensation, corporate</w:t>
            </w:r>
          </w:p>
        </w:tc>
        <w:tc>
          <w:tcPr>
            <w:tcW w:w="3720" w:type="dxa"/>
            <w:vAlign w:val="bottom"/>
            <w:gridSpan w:val="2"/>
          </w:tcPr>
          <w:p>
            <w:pPr>
              <w:ind w:left="140"/>
              <w:spacing w:after="0" w:line="121" w:lineRule="exact"/>
              <w:rPr>
                <w:sz w:val="20"/>
                <w:szCs w:val="20"/>
                <w:color w:val="auto"/>
              </w:rPr>
            </w:pPr>
            <w:r>
              <w:rPr>
                <w:rFonts w:ascii="Arial" w:cs="Arial" w:eastAsia="Arial" w:hAnsi="Arial"/>
                <w:sz w:val="14"/>
                <w:szCs w:val="14"/>
                <w:color w:val="auto"/>
              </w:rPr>
              <w:t>one-on-one or small-group shareowner</w:t>
            </w:r>
          </w:p>
        </w:tc>
        <w:tc>
          <w:tcPr>
            <w:tcW w:w="0" w:type="dxa"/>
            <w:vAlign w:val="bottom"/>
          </w:tcPr>
          <w:p>
            <w:pPr>
              <w:spacing w:after="0"/>
              <w:rPr>
                <w:sz w:val="1"/>
                <w:szCs w:val="1"/>
                <w:color w:val="auto"/>
              </w:rPr>
            </w:pPr>
          </w:p>
        </w:tc>
      </w:tr>
      <w:tr>
        <w:trPr>
          <w:trHeight w:val="108"/>
        </w:trPr>
        <w:tc>
          <w:tcPr>
            <w:tcW w:w="3760" w:type="dxa"/>
            <w:vAlign w:val="bottom"/>
            <w:tcBorders>
              <w:right w:val="single" w:sz="8" w:color="D7282F"/>
            </w:tcBorders>
            <w:vMerge w:val="continue"/>
          </w:tcPr>
          <w:p>
            <w:pPr>
              <w:spacing w:after="0"/>
              <w:rPr>
                <w:sz w:val="9"/>
                <w:szCs w:val="9"/>
                <w:color w:val="auto"/>
              </w:rPr>
            </w:pPr>
          </w:p>
        </w:tc>
        <w:tc>
          <w:tcPr>
            <w:tcW w:w="3760" w:type="dxa"/>
            <w:vAlign w:val="bottom"/>
            <w:tcBorders>
              <w:right w:val="single" w:sz="8" w:color="D7282F"/>
            </w:tcBorders>
            <w:vMerge w:val="continue"/>
          </w:tcPr>
          <w:p>
            <w:pPr>
              <w:spacing w:after="0"/>
              <w:rPr>
                <w:sz w:val="9"/>
                <w:szCs w:val="9"/>
                <w:color w:val="auto"/>
              </w:rPr>
            </w:pPr>
          </w:p>
        </w:tc>
        <w:tc>
          <w:tcPr>
            <w:tcW w:w="3720" w:type="dxa"/>
            <w:vAlign w:val="bottom"/>
            <w:gridSpan w:val="2"/>
            <w:vMerge w:val="restart"/>
          </w:tcPr>
          <w:p>
            <w:pPr>
              <w:ind w:left="140"/>
              <w:spacing w:after="0"/>
              <w:rPr>
                <w:sz w:val="20"/>
                <w:szCs w:val="20"/>
                <w:color w:val="auto"/>
              </w:rPr>
            </w:pPr>
            <w:r>
              <w:rPr>
                <w:rFonts w:ascii="Arial" w:cs="Arial" w:eastAsia="Arial" w:hAnsi="Arial"/>
                <w:sz w:val="16"/>
                <w:szCs w:val="16"/>
                <w:color w:val="auto"/>
              </w:rPr>
              <w:t>meetings to discuss business performance,</w:t>
            </w:r>
          </w:p>
        </w:tc>
        <w:tc>
          <w:tcPr>
            <w:tcW w:w="0" w:type="dxa"/>
            <w:vAlign w:val="bottom"/>
          </w:tcPr>
          <w:p>
            <w:pPr>
              <w:spacing w:after="0"/>
              <w:rPr>
                <w:sz w:val="1"/>
                <w:szCs w:val="1"/>
                <w:color w:val="auto"/>
              </w:rPr>
            </w:pPr>
          </w:p>
        </w:tc>
      </w:tr>
      <w:tr>
        <w:trPr>
          <w:trHeight w:val="94"/>
        </w:trPr>
        <w:tc>
          <w:tcPr>
            <w:tcW w:w="3760" w:type="dxa"/>
            <w:vAlign w:val="bottom"/>
            <w:tcBorders>
              <w:right w:val="single" w:sz="8" w:color="D7282F"/>
            </w:tcBorders>
          </w:tcPr>
          <w:p>
            <w:pPr>
              <w:spacing w:after="0"/>
              <w:rPr>
                <w:sz w:val="8"/>
                <w:szCs w:val="8"/>
                <w:color w:val="auto"/>
              </w:rPr>
            </w:pPr>
          </w:p>
        </w:tc>
        <w:tc>
          <w:tcPr>
            <w:tcW w:w="3760" w:type="dxa"/>
            <w:vAlign w:val="bottom"/>
            <w:tcBorders>
              <w:right w:val="single" w:sz="8" w:color="D7282F"/>
            </w:tcBorders>
            <w:vMerge w:val="restart"/>
          </w:tcPr>
          <w:p>
            <w:pPr>
              <w:ind w:left="140"/>
              <w:spacing w:after="0"/>
              <w:rPr>
                <w:sz w:val="20"/>
                <w:szCs w:val="20"/>
                <w:color w:val="auto"/>
              </w:rPr>
            </w:pPr>
            <w:r>
              <w:rPr>
                <w:rFonts w:ascii="Arial" w:cs="Arial" w:eastAsia="Arial" w:hAnsi="Arial"/>
                <w:sz w:val="16"/>
                <w:szCs w:val="16"/>
                <w:color w:val="auto"/>
              </w:rPr>
              <w:t>governance, and sustainability.</w:t>
            </w:r>
          </w:p>
        </w:tc>
        <w:tc>
          <w:tcPr>
            <w:tcW w:w="37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3760" w:type="dxa"/>
            <w:vAlign w:val="bottom"/>
            <w:tcBorders>
              <w:right w:val="single" w:sz="8" w:color="D7282F"/>
            </w:tcBorders>
          </w:tcPr>
          <w:p>
            <w:pPr>
              <w:spacing w:after="0"/>
              <w:rPr>
                <w:sz w:val="10"/>
                <w:szCs w:val="10"/>
                <w:color w:val="auto"/>
              </w:rPr>
            </w:pPr>
          </w:p>
        </w:tc>
        <w:tc>
          <w:tcPr>
            <w:tcW w:w="3760" w:type="dxa"/>
            <w:vAlign w:val="bottom"/>
            <w:tcBorders>
              <w:right w:val="single" w:sz="8" w:color="D7282F"/>
            </w:tcBorders>
            <w:vMerge w:val="continue"/>
          </w:tcPr>
          <w:p>
            <w:pPr>
              <w:spacing w:after="0"/>
              <w:rPr>
                <w:sz w:val="10"/>
                <w:szCs w:val="10"/>
                <w:color w:val="auto"/>
              </w:rPr>
            </w:pPr>
          </w:p>
        </w:tc>
        <w:tc>
          <w:tcPr>
            <w:tcW w:w="3720" w:type="dxa"/>
            <w:vAlign w:val="bottom"/>
            <w:gridSpan w:val="2"/>
            <w:vMerge w:val="restart"/>
          </w:tcPr>
          <w:p>
            <w:pPr>
              <w:ind w:left="140"/>
              <w:spacing w:after="0"/>
              <w:rPr>
                <w:sz w:val="20"/>
                <w:szCs w:val="20"/>
                <w:color w:val="auto"/>
              </w:rPr>
            </w:pPr>
            <w:r>
              <w:rPr>
                <w:rFonts w:ascii="Arial" w:cs="Arial" w:eastAsia="Arial" w:hAnsi="Arial"/>
                <w:sz w:val="16"/>
                <w:szCs w:val="16"/>
                <w:color w:val="auto"/>
              </w:rPr>
              <w:t>strategy, end markets, and the overall</w:t>
            </w:r>
          </w:p>
        </w:tc>
        <w:tc>
          <w:tcPr>
            <w:tcW w:w="0" w:type="dxa"/>
            <w:vAlign w:val="bottom"/>
          </w:tcPr>
          <w:p>
            <w:pPr>
              <w:spacing w:after="0"/>
              <w:rPr>
                <w:sz w:val="1"/>
                <w:szCs w:val="1"/>
                <w:color w:val="auto"/>
              </w:rPr>
            </w:pPr>
          </w:p>
        </w:tc>
      </w:tr>
      <w:tr>
        <w:trPr>
          <w:trHeight w:val="69"/>
        </w:trPr>
        <w:tc>
          <w:tcPr>
            <w:tcW w:w="3760" w:type="dxa"/>
            <w:vAlign w:val="bottom"/>
            <w:tcBorders>
              <w:right w:val="single" w:sz="8" w:color="D7282F"/>
            </w:tcBorders>
          </w:tcPr>
          <w:p>
            <w:pPr>
              <w:spacing w:after="0"/>
              <w:rPr>
                <w:sz w:val="5"/>
                <w:szCs w:val="5"/>
                <w:color w:val="auto"/>
              </w:rPr>
            </w:pPr>
          </w:p>
        </w:tc>
        <w:tc>
          <w:tcPr>
            <w:tcW w:w="3760" w:type="dxa"/>
            <w:vAlign w:val="bottom"/>
            <w:tcBorders>
              <w:right w:val="single" w:sz="8" w:color="D7282F"/>
            </w:tcBorders>
          </w:tcPr>
          <w:p>
            <w:pPr>
              <w:spacing w:after="0"/>
              <w:rPr>
                <w:sz w:val="5"/>
                <w:szCs w:val="5"/>
                <w:color w:val="auto"/>
              </w:rPr>
            </w:pPr>
          </w:p>
        </w:tc>
        <w:tc>
          <w:tcPr>
            <w:tcW w:w="37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760" w:type="dxa"/>
            <w:vAlign w:val="bottom"/>
            <w:tcBorders>
              <w:right w:val="single" w:sz="8" w:color="D7282F"/>
            </w:tcBorders>
          </w:tcPr>
          <w:p>
            <w:pPr>
              <w:spacing w:after="0"/>
              <w:rPr>
                <w:sz w:val="17"/>
                <w:szCs w:val="17"/>
                <w:color w:val="auto"/>
              </w:rPr>
            </w:pPr>
          </w:p>
        </w:tc>
        <w:tc>
          <w:tcPr>
            <w:tcW w:w="3760" w:type="dxa"/>
            <w:vAlign w:val="bottom"/>
            <w:tcBorders>
              <w:right w:val="single" w:sz="8" w:color="D7282F"/>
            </w:tcBorders>
          </w:tcPr>
          <w:p>
            <w:pPr>
              <w:spacing w:after="0"/>
              <w:rPr>
                <w:sz w:val="17"/>
                <w:szCs w:val="17"/>
                <w:color w:val="auto"/>
              </w:rPr>
            </w:pPr>
          </w:p>
        </w:tc>
        <w:tc>
          <w:tcPr>
            <w:tcW w:w="3720" w:type="dxa"/>
            <w:vAlign w:val="bottom"/>
            <w:gridSpan w:val="2"/>
          </w:tcPr>
          <w:p>
            <w:pPr>
              <w:ind w:left="140"/>
              <w:spacing w:after="0"/>
              <w:rPr>
                <w:sz w:val="20"/>
                <w:szCs w:val="20"/>
                <w:color w:val="auto"/>
              </w:rPr>
            </w:pPr>
            <w:r>
              <w:rPr>
                <w:rFonts w:ascii="Arial" w:cs="Arial" w:eastAsia="Arial" w:hAnsi="Arial"/>
                <w:sz w:val="16"/>
                <w:szCs w:val="16"/>
                <w:color w:val="auto"/>
              </w:rPr>
              <w:t>competitive landscape, while seeking</w:t>
            </w:r>
          </w:p>
        </w:tc>
        <w:tc>
          <w:tcPr>
            <w:tcW w:w="0" w:type="dxa"/>
            <w:vAlign w:val="bottom"/>
          </w:tcPr>
          <w:p>
            <w:pPr>
              <w:spacing w:after="0"/>
              <w:rPr>
                <w:sz w:val="1"/>
                <w:szCs w:val="1"/>
                <w:color w:val="auto"/>
              </w:rPr>
            </w:pPr>
          </w:p>
        </w:tc>
      </w:tr>
      <w:tr>
        <w:trPr>
          <w:trHeight w:val="215"/>
        </w:trPr>
        <w:tc>
          <w:tcPr>
            <w:tcW w:w="3760" w:type="dxa"/>
            <w:vAlign w:val="bottom"/>
            <w:tcBorders>
              <w:right w:val="single" w:sz="8" w:color="D7282F"/>
            </w:tcBorders>
          </w:tcPr>
          <w:p>
            <w:pPr>
              <w:spacing w:after="0"/>
              <w:rPr>
                <w:sz w:val="18"/>
                <w:szCs w:val="18"/>
                <w:color w:val="auto"/>
              </w:rPr>
            </w:pPr>
          </w:p>
        </w:tc>
        <w:tc>
          <w:tcPr>
            <w:tcW w:w="3760" w:type="dxa"/>
            <w:vAlign w:val="bottom"/>
            <w:tcBorders>
              <w:right w:val="single" w:sz="8" w:color="D7282F"/>
            </w:tcBorders>
          </w:tcPr>
          <w:p>
            <w:pPr>
              <w:spacing w:after="0"/>
              <w:rPr>
                <w:sz w:val="18"/>
                <w:szCs w:val="18"/>
                <w:color w:val="auto"/>
              </w:rPr>
            </w:pPr>
          </w:p>
        </w:tc>
        <w:tc>
          <w:tcPr>
            <w:tcW w:w="3720" w:type="dxa"/>
            <w:vAlign w:val="bottom"/>
            <w:gridSpan w:val="2"/>
          </w:tcPr>
          <w:p>
            <w:pPr>
              <w:ind w:left="140"/>
              <w:spacing w:after="0"/>
              <w:rPr>
                <w:sz w:val="20"/>
                <w:szCs w:val="20"/>
                <w:color w:val="auto"/>
              </w:rPr>
            </w:pPr>
            <w:r>
              <w:rPr>
                <w:rFonts w:ascii="Arial" w:cs="Arial" w:eastAsia="Arial" w:hAnsi="Arial"/>
                <w:sz w:val="16"/>
                <w:szCs w:val="16"/>
                <w:color w:val="auto"/>
              </w:rPr>
              <w:t>shareowner feedback.</w:t>
            </w:r>
          </w:p>
        </w:tc>
        <w:tc>
          <w:tcPr>
            <w:tcW w:w="0" w:type="dxa"/>
            <w:vAlign w:val="bottom"/>
          </w:tcPr>
          <w:p>
            <w:pPr>
              <w:spacing w:after="0"/>
              <w:rPr>
                <w:sz w:val="1"/>
                <w:szCs w:val="1"/>
                <w:color w:val="auto"/>
              </w:rPr>
            </w:pPr>
          </w:p>
        </w:tc>
      </w:tr>
      <w:tr>
        <w:trPr>
          <w:trHeight w:val="123"/>
        </w:trPr>
        <w:tc>
          <w:tcPr>
            <w:tcW w:w="3760" w:type="dxa"/>
            <w:vAlign w:val="bottom"/>
            <w:tcBorders>
              <w:bottom w:val="single" w:sz="8" w:color="D7282F"/>
              <w:right w:val="single" w:sz="8" w:color="D7282F"/>
            </w:tcBorders>
          </w:tcPr>
          <w:p>
            <w:pPr>
              <w:spacing w:after="0"/>
              <w:rPr>
                <w:sz w:val="10"/>
                <w:szCs w:val="10"/>
                <w:color w:val="auto"/>
              </w:rPr>
            </w:pPr>
          </w:p>
        </w:tc>
        <w:tc>
          <w:tcPr>
            <w:tcW w:w="3760" w:type="dxa"/>
            <w:vAlign w:val="bottom"/>
            <w:tcBorders>
              <w:bottom w:val="single" w:sz="8" w:color="D7282F"/>
              <w:right w:val="single" w:sz="8" w:color="D7282F"/>
            </w:tcBorders>
          </w:tcPr>
          <w:p>
            <w:pPr>
              <w:spacing w:after="0"/>
              <w:rPr>
                <w:sz w:val="10"/>
                <w:szCs w:val="10"/>
                <w:color w:val="auto"/>
              </w:rPr>
            </w:pPr>
          </w:p>
        </w:tc>
        <w:tc>
          <w:tcPr>
            <w:tcW w:w="3700" w:type="dxa"/>
            <w:vAlign w:val="bottom"/>
            <w:tcBorders>
              <w:bottom w:val="single" w:sz="8" w:color="D7282F"/>
            </w:tcBorders>
          </w:tcPr>
          <w:p>
            <w:pPr>
              <w:spacing w:after="0"/>
              <w:rPr>
                <w:sz w:val="10"/>
                <w:szCs w:val="10"/>
                <w:color w:val="auto"/>
              </w:rPr>
            </w:pPr>
          </w:p>
        </w:tc>
        <w:tc>
          <w:tcPr>
            <w:tcW w:w="20" w:type="dxa"/>
            <w:vAlign w:val="bottom"/>
            <w:tcBorders>
              <w:bottom w:val="single" w:sz="8" w:color="D7282F"/>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3760" w:type="dxa"/>
            <w:vAlign w:val="bottom"/>
            <w:tcBorders>
              <w:bottom w:val="single" w:sz="8" w:color="D7282F"/>
            </w:tcBorders>
          </w:tcPr>
          <w:p>
            <w:pPr>
              <w:spacing w:after="0"/>
              <w:rPr>
                <w:sz w:val="21"/>
                <w:szCs w:val="21"/>
                <w:color w:val="auto"/>
              </w:rPr>
            </w:pPr>
          </w:p>
        </w:tc>
        <w:tc>
          <w:tcPr>
            <w:tcW w:w="3760" w:type="dxa"/>
            <w:vAlign w:val="bottom"/>
            <w:tcBorders>
              <w:bottom w:val="single" w:sz="8" w:color="D7282F"/>
            </w:tcBorders>
          </w:tcPr>
          <w:p>
            <w:pPr>
              <w:spacing w:after="0"/>
              <w:rPr>
                <w:sz w:val="21"/>
                <w:szCs w:val="21"/>
                <w:color w:val="auto"/>
              </w:rPr>
            </w:pPr>
          </w:p>
        </w:tc>
        <w:tc>
          <w:tcPr>
            <w:tcW w:w="3700" w:type="dxa"/>
            <w:vAlign w:val="bottom"/>
            <w:tcBorders>
              <w:bottom w:val="single" w:sz="8" w:color="D7282F"/>
            </w:tcBorders>
          </w:tcPr>
          <w:p>
            <w:pPr>
              <w:spacing w:after="0"/>
              <w:rPr>
                <w:sz w:val="21"/>
                <w:szCs w:val="21"/>
                <w:color w:val="auto"/>
              </w:rPr>
            </w:pPr>
          </w:p>
        </w:tc>
        <w:tc>
          <w:tcPr>
            <w:tcW w:w="20" w:type="dxa"/>
            <w:vAlign w:val="bottom"/>
            <w:tcBorders>
              <w:bottom w:val="single" w:sz="8" w:color="D7282F"/>
            </w:tcBorders>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3760" w:type="dxa"/>
            <w:vAlign w:val="bottom"/>
            <w:tcBorders>
              <w:left w:val="single" w:sz="8" w:color="D7282F"/>
            </w:tcBorders>
          </w:tcPr>
          <w:p>
            <w:pPr>
              <w:spacing w:after="0"/>
              <w:rPr>
                <w:sz w:val="24"/>
                <w:szCs w:val="24"/>
                <w:color w:val="auto"/>
              </w:rPr>
            </w:pPr>
          </w:p>
        </w:tc>
        <w:tc>
          <w:tcPr>
            <w:tcW w:w="3760" w:type="dxa"/>
            <w:vAlign w:val="bottom"/>
          </w:tcPr>
          <w:p>
            <w:pPr>
              <w:ind w:left="300"/>
              <w:spacing w:after="0"/>
              <w:rPr>
                <w:sz w:val="20"/>
                <w:szCs w:val="20"/>
                <w:color w:val="auto"/>
              </w:rPr>
            </w:pPr>
            <w:r>
              <w:rPr>
                <w:rFonts w:ascii="Arial" w:cs="Arial" w:eastAsia="Arial" w:hAnsi="Arial"/>
                <w:sz w:val="16"/>
                <w:szCs w:val="16"/>
                <w:b w:val="1"/>
                <w:bCs w:val="1"/>
                <w:color w:val="auto"/>
              </w:rPr>
              <w:t>ANNUAL SHAREOWNER ENGAGEMENT</w:t>
            </w:r>
          </w:p>
        </w:tc>
        <w:tc>
          <w:tcPr>
            <w:tcW w:w="3700" w:type="dxa"/>
            <w:vAlign w:val="bottom"/>
          </w:tcPr>
          <w:p>
            <w:pPr>
              <w:spacing w:after="0"/>
              <w:rPr>
                <w:sz w:val="24"/>
                <w:szCs w:val="24"/>
                <w:color w:val="auto"/>
              </w:rPr>
            </w:pPr>
          </w:p>
        </w:tc>
        <w:tc>
          <w:tcPr>
            <w:tcW w:w="20" w:type="dxa"/>
            <w:vAlign w:val="bottom"/>
            <w:shd w:val="clear" w:color="auto" w:fill="D7282F"/>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760" w:type="dxa"/>
            <w:vAlign w:val="bottom"/>
            <w:tcBorders>
              <w:left w:val="single" w:sz="8" w:color="D7282F"/>
              <w:bottom w:val="single" w:sz="8" w:color="D7282F"/>
            </w:tcBorders>
          </w:tcPr>
          <w:p>
            <w:pPr>
              <w:spacing w:after="0"/>
              <w:rPr>
                <w:sz w:val="14"/>
                <w:szCs w:val="14"/>
                <w:color w:val="auto"/>
              </w:rPr>
            </w:pPr>
          </w:p>
        </w:tc>
        <w:tc>
          <w:tcPr>
            <w:tcW w:w="3760" w:type="dxa"/>
            <w:vAlign w:val="bottom"/>
            <w:tcBorders>
              <w:bottom w:val="single" w:sz="8" w:color="D7282F"/>
            </w:tcBorders>
          </w:tcPr>
          <w:p>
            <w:pPr>
              <w:spacing w:after="0"/>
              <w:rPr>
                <w:sz w:val="14"/>
                <w:szCs w:val="14"/>
                <w:color w:val="auto"/>
              </w:rPr>
            </w:pPr>
          </w:p>
        </w:tc>
        <w:tc>
          <w:tcPr>
            <w:tcW w:w="3700" w:type="dxa"/>
            <w:vAlign w:val="bottom"/>
            <w:tcBorders>
              <w:bottom w:val="single" w:sz="8" w:color="D7282F"/>
            </w:tcBorders>
          </w:tcPr>
          <w:p>
            <w:pPr>
              <w:spacing w:after="0"/>
              <w:rPr>
                <w:sz w:val="14"/>
                <w:szCs w:val="14"/>
                <w:color w:val="auto"/>
              </w:rPr>
            </w:pPr>
          </w:p>
        </w:tc>
        <w:tc>
          <w:tcPr>
            <w:tcW w:w="20" w:type="dxa"/>
            <w:vAlign w:val="bottom"/>
            <w:tcBorders>
              <w:bottom w:val="single" w:sz="8" w:color="D7282F"/>
            </w:tcBorders>
            <w:shd w:val="clear" w:color="auto" w:fill="D7282F"/>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37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760" w:type="dxa"/>
            <w:vAlign w:val="bottom"/>
            <w:tcBorders>
              <w:left w:val="single" w:sz="8" w:color="F2F2F2"/>
              <w:right w:val="single" w:sz="8" w:color="F2F2F2"/>
            </w:tcBorders>
            <w:shd w:val="clear" w:color="auto" w:fill="F2F2F2"/>
          </w:tcPr>
          <w:p>
            <w:pPr>
              <w:spacing w:after="0"/>
              <w:rPr>
                <w:sz w:val="9"/>
                <w:szCs w:val="9"/>
                <w:color w:val="auto"/>
              </w:rPr>
            </w:pPr>
          </w:p>
        </w:tc>
        <w:tc>
          <w:tcPr>
            <w:tcW w:w="3760" w:type="dxa"/>
            <w:vAlign w:val="bottom"/>
            <w:tcBorders>
              <w:right w:val="single" w:sz="8" w:color="F2F2F2"/>
            </w:tcBorders>
            <w:shd w:val="clear" w:color="auto" w:fill="F2F2F2"/>
          </w:tcPr>
          <w:p>
            <w:pPr>
              <w:spacing w:after="0"/>
              <w:rPr>
                <w:sz w:val="9"/>
                <w:szCs w:val="9"/>
                <w:color w:val="auto"/>
              </w:rPr>
            </w:pPr>
          </w:p>
        </w:tc>
        <w:tc>
          <w:tcPr>
            <w:tcW w:w="3700" w:type="dxa"/>
            <w:vAlign w:val="bottom"/>
            <w:shd w:val="clear" w:color="auto" w:fill="F2F2F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23430" cy="255460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23430" cy="25546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SPRING</w:t>
      </w:r>
    </w:p>
    <w:p>
      <w:pPr>
        <w:spacing w:after="0" w:line="113" w:lineRule="exact"/>
        <w:rPr>
          <w:sz w:val="20"/>
          <w:szCs w:val="20"/>
          <w:color w:val="auto"/>
        </w:rPr>
      </w:pPr>
    </w:p>
    <w:p>
      <w:pPr>
        <w:ind w:left="160"/>
        <w:spacing w:after="0" w:line="257" w:lineRule="auto"/>
        <w:rPr>
          <w:sz w:val="20"/>
          <w:szCs w:val="20"/>
          <w:color w:val="auto"/>
        </w:rPr>
      </w:pPr>
      <w:r>
        <w:rPr>
          <w:rFonts w:ascii="Arial" w:cs="Arial" w:eastAsia="Arial" w:hAnsi="Arial"/>
          <w:sz w:val="16"/>
          <w:szCs w:val="16"/>
          <w:color w:val="auto"/>
        </w:rPr>
        <w:t>The Annual Report and Proxy Statement are distributed to shareowners. Management and members of the Board extend invitations to our largest shareowners to discuss matters to be voted on at the</w:t>
      </w:r>
    </w:p>
    <w:p>
      <w:pPr>
        <w:ind w:left="160" w:right="300"/>
        <w:spacing w:after="0" w:line="265" w:lineRule="auto"/>
        <w:rPr>
          <w:sz w:val="20"/>
          <w:szCs w:val="20"/>
          <w:color w:val="auto"/>
        </w:rPr>
      </w:pPr>
      <w:r>
        <w:rPr>
          <w:rFonts w:ascii="Arial" w:cs="Arial" w:eastAsia="Arial" w:hAnsi="Arial"/>
          <w:sz w:val="16"/>
          <w:szCs w:val="16"/>
          <w:color w:val="auto"/>
        </w:rPr>
        <w:t>upcoming Annual Shareowner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left="-19"/>
        <w:spacing w:after="0"/>
        <w:rPr>
          <w:sz w:val="20"/>
          <w:szCs w:val="20"/>
          <w:color w:val="auto"/>
        </w:rPr>
      </w:pPr>
      <w:r>
        <w:rPr>
          <w:rFonts w:ascii="Arial" w:cs="Arial" w:eastAsia="Arial" w:hAnsi="Arial"/>
          <w:sz w:val="16"/>
          <w:szCs w:val="16"/>
          <w:b w:val="1"/>
          <w:bCs w:val="1"/>
          <w:color w:val="auto"/>
        </w:rPr>
        <w:t>SUMMER</w:t>
      </w:r>
    </w:p>
    <w:p>
      <w:pPr>
        <w:spacing w:after="0" w:line="113"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Management reports to the Board on the just-ended proxy season, including a discussion on voting results, and shareowner feedback and what actions to take in response to the Annual Shareowner Meeting. This discussion also sets the agenda for summer/fall shareowner engagement.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left="-19"/>
        <w:spacing w:after="0"/>
        <w:rPr>
          <w:sz w:val="20"/>
          <w:szCs w:val="20"/>
          <w:color w:val="auto"/>
        </w:rPr>
      </w:pPr>
      <w:r>
        <w:rPr>
          <w:rFonts w:ascii="Arial" w:cs="Arial" w:eastAsia="Arial" w:hAnsi="Arial"/>
          <w:sz w:val="16"/>
          <w:szCs w:val="16"/>
          <w:b w:val="1"/>
          <w:bCs w:val="1"/>
          <w:color w:val="auto"/>
        </w:rPr>
        <w:t>FALL</w:t>
      </w:r>
    </w:p>
    <w:p>
      <w:pPr>
        <w:spacing w:after="0" w:line="113"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Management determines topics for upcoming shareowner discussions based on Board discussion, its review of new governance trends, regulatory developments, and the results of the recently concluded Annual Shareowner Meeting. Management and members of the Board extend invitations to the largest shareowners to engage on topics of interest.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60"/>
        <w:spacing w:after="0"/>
        <w:rPr>
          <w:sz w:val="20"/>
          <w:szCs w:val="20"/>
          <w:color w:val="auto"/>
        </w:rPr>
      </w:pPr>
      <w:r>
        <w:rPr>
          <w:rFonts w:ascii="Arial" w:cs="Arial" w:eastAsia="Arial" w:hAnsi="Arial"/>
          <w:sz w:val="16"/>
          <w:szCs w:val="16"/>
          <w:b w:val="1"/>
          <w:bCs w:val="1"/>
          <w:color w:val="auto"/>
        </w:rPr>
        <w:t>WINTER</w:t>
      </w:r>
    </w:p>
    <w:p>
      <w:pPr>
        <w:spacing w:after="0" w:line="113"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The Board implements governance changes, if appropriate, considering feedback from fall engagement with shareowners.</w:t>
      </w:r>
    </w:p>
    <w:p>
      <w:pPr>
        <w:spacing w:after="0" w:line="1742" w:lineRule="exact"/>
        <w:rPr>
          <w:sz w:val="20"/>
          <w:szCs w:val="20"/>
          <w:color w:val="auto"/>
        </w:rPr>
      </w:pPr>
    </w:p>
    <w:p>
      <w:pPr>
        <w:sectPr>
          <w:pgSz w:w="11900" w:h="16838" w:orient="portrait"/>
          <w:cols w:equalWidth="0" w:num="4">
            <w:col w:w="2620" w:space="340"/>
            <w:col w:w="2440" w:space="360"/>
            <w:col w:w="2420" w:space="380"/>
            <w:col w:w="2680"/>
          </w:cols>
          <w:pgMar w:left="320" w:top="229" w:right="339" w:bottom="1440" w:gutter="0" w:footer="0" w:header="0"/>
          <w:type w:val="continuous"/>
        </w:sectPr>
      </w:pPr>
    </w:p>
    <w:p>
      <w:pPr>
        <w:spacing w:after="0" w:line="254"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sz w:val="1"/>
          <w:szCs w:val="1"/>
          <w:color w:val="auto"/>
        </w:rPr>
        <w:drawing>
          <wp:inline distT="0" distB="0" distL="0" distR="0">
            <wp:extent cx="548640" cy="102870"/>
            <wp:effectExtent l="0" t="0" r="0" b="0"/>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2026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3" w:name="page34"/>
    <w:bookmarkEnd w:id="33"/>
    <w:p>
      <w:pPr>
        <w:jc w:val="right"/>
        <w:spacing w:after="0"/>
        <w:rPr>
          <w:sz w:val="20"/>
          <w:szCs w:val="20"/>
          <w:color w:val="auto"/>
        </w:rPr>
      </w:pPr>
      <w:r>
        <w:rPr>
          <w:rFonts w:ascii="Arial" w:cs="Arial" w:eastAsia="Arial" w:hAnsi="Arial"/>
          <w:sz w:val="13"/>
          <w:szCs w:val="13"/>
          <w:b w:val="1"/>
          <w:bCs w:val="1"/>
          <w:color w:val="6D6E71"/>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2025 SPRING AND FALL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23430" cy="78041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23430" cy="78041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TOTAL CONTACTED</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Top </w:t>
      </w:r>
      <w:r>
        <w:rPr>
          <w:rFonts w:ascii="Arial" w:cs="Arial" w:eastAsia="Arial" w:hAnsi="Arial"/>
          <w:sz w:val="43"/>
          <w:szCs w:val="43"/>
          <w:b w:val="1"/>
          <w:bCs w:val="1"/>
          <w:color w:val="auto"/>
        </w:rPr>
        <w:t>100</w:t>
      </w:r>
      <w:r>
        <w:rPr>
          <w:rFonts w:ascii="Arial" w:cs="Arial" w:eastAsia="Arial" w:hAnsi="Arial"/>
          <w:sz w:val="16"/>
          <w:szCs w:val="16"/>
          <w:color w:val="auto"/>
        </w:rPr>
        <w:t xml:space="preserve"> shareowners in the spring and</w:t>
      </w:r>
    </w:p>
    <w:p>
      <w:pPr>
        <w:spacing w:after="0" w:line="9" w:lineRule="exact"/>
        <w:rPr>
          <w:sz w:val="20"/>
          <w:szCs w:val="20"/>
          <w:color w:val="auto"/>
        </w:rPr>
      </w:pPr>
    </w:p>
    <w:p>
      <w:pPr>
        <w:ind w:left="20" w:right="500"/>
        <w:spacing w:after="0" w:line="235" w:lineRule="auto"/>
        <w:rPr>
          <w:sz w:val="20"/>
          <w:szCs w:val="20"/>
          <w:color w:val="auto"/>
        </w:rPr>
      </w:pPr>
      <w:r>
        <w:rPr>
          <w:rFonts w:ascii="Arial" w:cs="Arial" w:eastAsia="Arial" w:hAnsi="Arial"/>
          <w:sz w:val="16"/>
          <w:szCs w:val="16"/>
          <w:color w:val="auto"/>
        </w:rPr>
        <w:t>again in the fall, representing &gt;60% of shares outstanding</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ENGAGED</w:t>
      </w:r>
    </w:p>
    <w:p>
      <w:pPr>
        <w:spacing w:after="0" w:line="3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34%</w:t>
      </w:r>
    </w:p>
    <w:p>
      <w:pPr>
        <w:spacing w:after="0" w:line="283" w:lineRule="auto"/>
        <w:rPr>
          <w:sz w:val="20"/>
          <w:szCs w:val="20"/>
          <w:color w:val="auto"/>
        </w:rPr>
      </w:pPr>
      <w:r>
        <w:rPr>
          <w:rFonts w:ascii="Arial" w:cs="Arial" w:eastAsia="Arial" w:hAnsi="Arial"/>
          <w:sz w:val="16"/>
          <w:szCs w:val="16"/>
          <w:color w:val="auto"/>
        </w:rPr>
        <w:t>of shares outstanding, held by 23 of our largest shareowners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-2204085</wp:posOffset>
            </wp:positionH>
            <wp:positionV relativeFrom="paragraph">
              <wp:posOffset>109220</wp:posOffset>
            </wp:positionV>
            <wp:extent cx="7123430" cy="329184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23430" cy="32918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 ENGAGED</w:t>
      </w:r>
    </w:p>
    <w:p>
      <w:pPr>
        <w:spacing w:after="0" w:line="3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31%</w:t>
      </w:r>
    </w:p>
    <w:p>
      <w:pPr>
        <w:ind w:right="440"/>
        <w:spacing w:after="0" w:line="283" w:lineRule="auto"/>
        <w:rPr>
          <w:sz w:val="20"/>
          <w:szCs w:val="20"/>
          <w:color w:val="auto"/>
        </w:rPr>
      </w:pPr>
      <w:r>
        <w:rPr>
          <w:rFonts w:ascii="Arial" w:cs="Arial" w:eastAsia="Arial" w:hAnsi="Arial"/>
          <w:sz w:val="16"/>
          <w:szCs w:val="16"/>
          <w:color w:val="auto"/>
        </w:rPr>
        <w:t>of shares outstanding engaged by Lead Director, CGRC Chair, and/or MDCC Chair</w:t>
      </w:r>
    </w:p>
    <w:p>
      <w:pPr>
        <w:spacing w:after="0" w:line="200" w:lineRule="exact"/>
        <w:rPr>
          <w:sz w:val="20"/>
          <w:szCs w:val="20"/>
          <w:color w:val="auto"/>
        </w:rPr>
      </w:pPr>
    </w:p>
    <w:p>
      <w:pPr>
        <w:sectPr>
          <w:pgSz w:w="11900" w:h="16838" w:orient="portrait"/>
          <w:cols w:equalWidth="0" w:num="3">
            <w:col w:w="3260" w:space="220"/>
            <w:col w:w="3380" w:space="460"/>
            <w:col w:w="3920"/>
          </w:cols>
          <w:pgMar w:left="320" w:top="229" w:right="339" w:bottom="1440" w:gutter="0" w:footer="0" w:header="0"/>
          <w:type w:val="continuous"/>
        </w:sectPr>
      </w:pPr>
    </w:p>
    <w:p>
      <w:pPr>
        <w:spacing w:after="0" w:line="25"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FFFFFF"/>
        </w:rPr>
        <w:t>SPRING</w:t>
      </w:r>
    </w:p>
    <w:p>
      <w:pPr>
        <w:spacing w:after="0" w:line="216"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auto"/>
        </w:rPr>
        <w:t>Portfolio Oversight and Strategy:</w:t>
      </w:r>
    </w:p>
    <w:p>
      <w:pPr>
        <w:spacing w:after="0" w:line="46" w:lineRule="exact"/>
        <w:rPr>
          <w:sz w:val="20"/>
          <w:szCs w:val="20"/>
          <w:color w:val="auto"/>
        </w:rPr>
      </w:pPr>
    </w:p>
    <w:p>
      <w:pPr>
        <w:ind w:left="360" w:right="740" w:hanging="191"/>
        <w:spacing w:after="0" w:line="261" w:lineRule="auto"/>
        <w:tabs>
          <w:tab w:leader="none" w:pos="354" w:val="left"/>
        </w:tabs>
        <w:numPr>
          <w:ilvl w:val="0"/>
          <w:numId w:val="86"/>
        </w:numPr>
        <w:rPr>
          <w:rFonts w:ascii="Arial" w:cs="Arial" w:eastAsia="Arial" w:hAnsi="Arial"/>
          <w:sz w:val="15"/>
          <w:szCs w:val="15"/>
          <w:b w:val="1"/>
          <w:bCs w:val="1"/>
          <w:color w:val="D7282F"/>
        </w:rPr>
      </w:pPr>
      <w:r>
        <w:rPr>
          <w:rFonts w:ascii="Arial" w:cs="Arial" w:eastAsia="Arial" w:hAnsi="Arial"/>
          <w:sz w:val="15"/>
          <w:szCs w:val="15"/>
          <w:color w:val="auto"/>
        </w:rPr>
        <w:t>Discussed the Board’s oversight process for the portfolio transformation, including the separation of Honeywell Aerospace from Honeywell and related execution-planning and risk-mitigation.</w:t>
      </w:r>
    </w:p>
    <w:p>
      <w:pPr>
        <w:spacing w:after="0" w:line="2" w:lineRule="exact"/>
        <w:rPr>
          <w:rFonts w:ascii="Arial" w:cs="Arial" w:eastAsia="Arial" w:hAnsi="Arial"/>
          <w:sz w:val="15"/>
          <w:szCs w:val="15"/>
          <w:b w:val="1"/>
          <w:bCs w:val="1"/>
          <w:color w:val="D7282F"/>
        </w:rPr>
      </w:pPr>
    </w:p>
    <w:p>
      <w:pPr>
        <w:ind w:left="360" w:hanging="191"/>
        <w:spacing w:after="0"/>
        <w:tabs>
          <w:tab w:leader="none" w:pos="360" w:val="left"/>
        </w:tabs>
        <w:numPr>
          <w:ilvl w:val="0"/>
          <w:numId w:val="86"/>
        </w:numPr>
        <w:rPr>
          <w:rFonts w:ascii="Arial" w:cs="Arial" w:eastAsia="Arial" w:hAnsi="Arial"/>
          <w:sz w:val="15"/>
          <w:szCs w:val="15"/>
          <w:b w:val="1"/>
          <w:bCs w:val="1"/>
          <w:color w:val="D7282F"/>
        </w:rPr>
      </w:pPr>
      <w:r>
        <w:rPr>
          <w:rFonts w:ascii="Arial" w:cs="Arial" w:eastAsia="Arial" w:hAnsi="Arial"/>
          <w:sz w:val="15"/>
          <w:szCs w:val="15"/>
          <w:color w:val="auto"/>
        </w:rPr>
        <w:t>Most shareowners expressed positivity around the Board’s engagement in the portfolio transformation.</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auto"/>
        </w:rPr>
        <w:t>Board Composition:</w:t>
      </w:r>
    </w:p>
    <w:p>
      <w:pPr>
        <w:spacing w:after="0" w:line="46" w:lineRule="exact"/>
        <w:rPr>
          <w:sz w:val="20"/>
          <w:szCs w:val="20"/>
          <w:color w:val="auto"/>
        </w:rPr>
      </w:pPr>
    </w:p>
    <w:p>
      <w:pPr>
        <w:ind w:left="360" w:right="120" w:hanging="191"/>
        <w:spacing w:after="0" w:line="283" w:lineRule="auto"/>
        <w:tabs>
          <w:tab w:leader="none" w:pos="354" w:val="left"/>
        </w:tabs>
        <w:numPr>
          <w:ilvl w:val="0"/>
          <w:numId w:val="87"/>
        </w:numPr>
        <w:rPr>
          <w:rFonts w:ascii="Arial" w:cs="Arial" w:eastAsia="Arial" w:hAnsi="Arial"/>
          <w:sz w:val="15"/>
          <w:szCs w:val="15"/>
          <w:b w:val="1"/>
          <w:bCs w:val="1"/>
          <w:color w:val="D7282F"/>
        </w:rPr>
      </w:pPr>
      <w:r>
        <w:rPr>
          <w:rFonts w:ascii="Arial" w:cs="Arial" w:eastAsia="Arial" w:hAnsi="Arial"/>
          <w:sz w:val="15"/>
          <w:szCs w:val="15"/>
          <w:color w:val="auto"/>
        </w:rPr>
        <w:t>Discussed the Board and committee refreshment process, including the skills introduced by recent director additions and any desired skills that the Board might seek to fill with future appointments.</w:t>
      </w:r>
    </w:p>
    <w:p>
      <w:pPr>
        <w:spacing w:after="0" w:line="50"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auto"/>
        </w:rPr>
        <w:t>Board Leadership and Engagement:</w:t>
      </w:r>
    </w:p>
    <w:p>
      <w:pPr>
        <w:spacing w:after="0" w:line="46" w:lineRule="exact"/>
        <w:rPr>
          <w:sz w:val="20"/>
          <w:szCs w:val="20"/>
          <w:color w:val="auto"/>
        </w:rPr>
      </w:pPr>
    </w:p>
    <w:p>
      <w:pPr>
        <w:ind w:left="360" w:right="720" w:hanging="191"/>
        <w:spacing w:after="0" w:line="270" w:lineRule="auto"/>
        <w:tabs>
          <w:tab w:leader="none" w:pos="354" w:val="left"/>
        </w:tabs>
        <w:numPr>
          <w:ilvl w:val="0"/>
          <w:numId w:val="88"/>
        </w:numPr>
        <w:rPr>
          <w:rFonts w:ascii="Arial" w:cs="Arial" w:eastAsia="Arial" w:hAnsi="Arial"/>
          <w:sz w:val="15"/>
          <w:szCs w:val="15"/>
          <w:b w:val="1"/>
          <w:bCs w:val="1"/>
          <w:color w:val="D7282F"/>
        </w:rPr>
      </w:pPr>
      <w:r>
        <w:rPr>
          <w:rFonts w:ascii="Arial" w:cs="Arial" w:eastAsia="Arial" w:hAnsi="Arial"/>
          <w:sz w:val="15"/>
          <w:szCs w:val="15"/>
          <w:color w:val="auto"/>
        </w:rPr>
        <w:t>Discussed the dynamics of Board interaction, how the independent Lead Director engages with the Chairman and CEO and planning for Lead Director succession.</w:t>
      </w:r>
    </w:p>
    <w:p>
      <w:pPr>
        <w:spacing w:after="0" w:line="3" w:lineRule="exact"/>
        <w:rPr>
          <w:rFonts w:ascii="Arial" w:cs="Arial" w:eastAsia="Arial" w:hAnsi="Arial"/>
          <w:sz w:val="15"/>
          <w:szCs w:val="15"/>
          <w:b w:val="1"/>
          <w:bCs w:val="1"/>
          <w:color w:val="D7282F"/>
        </w:rPr>
      </w:pPr>
    </w:p>
    <w:p>
      <w:pPr>
        <w:ind w:left="360" w:hanging="191"/>
        <w:spacing w:after="0"/>
        <w:tabs>
          <w:tab w:leader="none" w:pos="360" w:val="left"/>
        </w:tabs>
        <w:numPr>
          <w:ilvl w:val="0"/>
          <w:numId w:val="88"/>
        </w:numPr>
        <w:rPr>
          <w:rFonts w:ascii="Arial" w:cs="Arial" w:eastAsia="Arial" w:hAnsi="Arial"/>
          <w:sz w:val="15"/>
          <w:szCs w:val="15"/>
          <w:b w:val="1"/>
          <w:bCs w:val="1"/>
          <w:color w:val="D7282F"/>
        </w:rPr>
      </w:pPr>
      <w:r>
        <w:rPr>
          <w:rFonts w:ascii="Arial" w:cs="Arial" w:eastAsia="Arial" w:hAnsi="Arial"/>
          <w:sz w:val="15"/>
          <w:szCs w:val="15"/>
          <w:color w:val="auto"/>
        </w:rPr>
        <w:t>Shareowners supported our robust disclosure regarding Lead Director responsibilities and the associated clarity surrounding duties related to role.</w:t>
      </w:r>
    </w:p>
    <w:p>
      <w:pPr>
        <w:spacing w:after="0" w:line="35" w:lineRule="exact"/>
        <w:rPr>
          <w:rFonts w:ascii="Arial" w:cs="Arial" w:eastAsia="Arial" w:hAnsi="Arial"/>
          <w:sz w:val="15"/>
          <w:szCs w:val="15"/>
          <w:b w:val="1"/>
          <w:bCs w:val="1"/>
          <w:color w:val="D7282F"/>
        </w:rPr>
      </w:pPr>
    </w:p>
    <w:p>
      <w:pPr>
        <w:ind w:left="360" w:right="140" w:hanging="191"/>
        <w:spacing w:after="0" w:line="277" w:lineRule="auto"/>
        <w:tabs>
          <w:tab w:leader="none" w:pos="357" w:val="left"/>
        </w:tabs>
        <w:numPr>
          <w:ilvl w:val="0"/>
          <w:numId w:val="88"/>
        </w:numPr>
        <w:rPr>
          <w:rFonts w:ascii="Arial" w:cs="Arial" w:eastAsia="Arial" w:hAnsi="Arial"/>
          <w:sz w:val="16"/>
          <w:szCs w:val="16"/>
          <w:b w:val="1"/>
          <w:bCs w:val="1"/>
          <w:color w:val="D7282F"/>
        </w:rPr>
      </w:pPr>
      <w:r>
        <w:rPr>
          <w:rFonts w:ascii="Arial" w:cs="Arial" w:eastAsia="Arial" w:hAnsi="Arial"/>
          <w:sz w:val="15"/>
          <w:szCs w:val="15"/>
          <w:color w:val="auto"/>
        </w:rPr>
        <w:t>Discussed a 2025 Annual Meeting shareowner proposal that sought to require two separate individuals to hold the Chairman and CEO positions. This proposal received only 23% support.</w:t>
      </w:r>
    </w:p>
    <w:p>
      <w:pPr>
        <w:spacing w:after="0" w:line="53"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auto"/>
        </w:rPr>
        <w:t>Executive Compensation:</w:t>
      </w:r>
    </w:p>
    <w:p>
      <w:pPr>
        <w:spacing w:after="0" w:line="46" w:lineRule="exact"/>
        <w:rPr>
          <w:sz w:val="20"/>
          <w:szCs w:val="20"/>
          <w:color w:val="auto"/>
        </w:rPr>
      </w:pPr>
    </w:p>
    <w:p>
      <w:pPr>
        <w:ind w:left="360" w:hanging="191"/>
        <w:spacing w:after="0"/>
        <w:tabs>
          <w:tab w:leader="none" w:pos="360" w:val="left"/>
        </w:tabs>
        <w:numPr>
          <w:ilvl w:val="0"/>
          <w:numId w:val="89"/>
        </w:numPr>
        <w:rPr>
          <w:rFonts w:ascii="Arial" w:cs="Arial" w:eastAsia="Arial" w:hAnsi="Arial"/>
          <w:sz w:val="15"/>
          <w:szCs w:val="15"/>
          <w:b w:val="1"/>
          <w:bCs w:val="1"/>
          <w:color w:val="D7282F"/>
        </w:rPr>
      </w:pPr>
      <w:r>
        <w:rPr>
          <w:rFonts w:ascii="Arial" w:cs="Arial" w:eastAsia="Arial" w:hAnsi="Arial"/>
          <w:sz w:val="15"/>
          <w:szCs w:val="15"/>
          <w:color w:val="auto"/>
        </w:rPr>
        <w:t>Shareowners generally expressed support for our clear disclosure of compensation decisions and design.</w:t>
      </w:r>
    </w:p>
    <w:p>
      <w:pPr>
        <w:spacing w:after="0" w:line="43" w:lineRule="exact"/>
        <w:rPr>
          <w:rFonts w:ascii="Arial" w:cs="Arial" w:eastAsia="Arial" w:hAnsi="Arial"/>
          <w:sz w:val="15"/>
          <w:szCs w:val="15"/>
          <w:b w:val="1"/>
          <w:bCs w:val="1"/>
          <w:color w:val="D7282F"/>
        </w:rPr>
      </w:pPr>
    </w:p>
    <w:p>
      <w:pPr>
        <w:ind w:left="360" w:hanging="191"/>
        <w:spacing w:after="0"/>
        <w:tabs>
          <w:tab w:leader="none" w:pos="360" w:val="left"/>
        </w:tabs>
        <w:numPr>
          <w:ilvl w:val="0"/>
          <w:numId w:val="89"/>
        </w:numPr>
        <w:rPr>
          <w:rFonts w:ascii="Arial" w:cs="Arial" w:eastAsia="Arial" w:hAnsi="Arial"/>
          <w:sz w:val="16"/>
          <w:szCs w:val="16"/>
          <w:b w:val="1"/>
          <w:bCs w:val="1"/>
          <w:color w:val="D7282F"/>
        </w:rPr>
      </w:pPr>
      <w:r>
        <w:rPr>
          <w:rFonts w:ascii="Arial" w:cs="Arial" w:eastAsia="Arial" w:hAnsi="Arial"/>
          <w:sz w:val="15"/>
          <w:szCs w:val="15"/>
          <w:color w:val="auto"/>
        </w:rPr>
        <w:t>Discussed the Say-on-Pay proposal at our 2025 Annual Meeting, which received over 93% support.</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auto"/>
        </w:rPr>
        <w:t>Liability Management Reorganization Proposal</w:t>
      </w:r>
    </w:p>
    <w:p>
      <w:pPr>
        <w:spacing w:after="0" w:line="46" w:lineRule="exact"/>
        <w:rPr>
          <w:sz w:val="20"/>
          <w:szCs w:val="20"/>
          <w:color w:val="auto"/>
        </w:rPr>
      </w:pPr>
    </w:p>
    <w:p>
      <w:pPr>
        <w:ind w:left="360" w:right="100" w:hanging="191"/>
        <w:spacing w:after="0" w:line="258" w:lineRule="auto"/>
        <w:tabs>
          <w:tab w:leader="none" w:pos="357" w:val="left"/>
        </w:tabs>
        <w:numPr>
          <w:ilvl w:val="0"/>
          <w:numId w:val="90"/>
        </w:numPr>
        <w:rPr>
          <w:rFonts w:ascii="Arial" w:cs="Arial" w:eastAsia="Arial" w:hAnsi="Arial"/>
          <w:sz w:val="16"/>
          <w:szCs w:val="16"/>
          <w:b w:val="1"/>
          <w:bCs w:val="1"/>
          <w:color w:val="D7282F"/>
        </w:rPr>
      </w:pPr>
      <w:r>
        <w:rPr>
          <w:rFonts w:ascii="Arial" w:cs="Arial" w:eastAsia="Arial" w:hAnsi="Arial"/>
          <w:sz w:val="15"/>
          <w:szCs w:val="15"/>
          <w:color w:val="auto"/>
        </w:rPr>
        <w:t>Discussed the merits of a management proposal seeking shareowner approval of a liability management reorganization proposal that would enable Honeywell to focus on its operating business, while efficiently managing potential asbestos liabilities, existing or future environmental liabilities and remediation obligations, and certain other liabilities.</w:t>
      </w:r>
    </w:p>
    <w:p>
      <w:pPr>
        <w:spacing w:after="0" w:line="11" w:lineRule="exact"/>
        <w:rPr>
          <w:rFonts w:ascii="Arial" w:cs="Arial" w:eastAsia="Arial" w:hAnsi="Arial"/>
          <w:sz w:val="16"/>
          <w:szCs w:val="16"/>
          <w:b w:val="1"/>
          <w:bCs w:val="1"/>
          <w:color w:val="D7282F"/>
        </w:rPr>
      </w:pPr>
    </w:p>
    <w:p>
      <w:pPr>
        <w:ind w:left="360" w:hanging="191"/>
        <w:spacing w:after="0"/>
        <w:tabs>
          <w:tab w:leader="none" w:pos="360" w:val="left"/>
        </w:tabs>
        <w:numPr>
          <w:ilvl w:val="0"/>
          <w:numId w:val="90"/>
        </w:numPr>
        <w:rPr>
          <w:rFonts w:ascii="Arial" w:cs="Arial" w:eastAsia="Arial" w:hAnsi="Arial"/>
          <w:sz w:val="16"/>
          <w:szCs w:val="16"/>
          <w:b w:val="1"/>
          <w:bCs w:val="1"/>
          <w:color w:val="D7282F"/>
        </w:rPr>
      </w:pPr>
      <w:r>
        <w:rPr>
          <w:rFonts w:ascii="Arial" w:cs="Arial" w:eastAsia="Arial" w:hAnsi="Arial"/>
          <w:sz w:val="15"/>
          <w:szCs w:val="15"/>
          <w:color w:val="auto"/>
        </w:rPr>
        <w:t>This proposal received overwhelming support, and the reorganization transactions were completed in June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27946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2320" cy="279463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FFFFFF"/>
        </w:rPr>
        <w:t>FALL</w:t>
      </w:r>
    </w:p>
    <w:p>
      <w:pPr>
        <w:spacing w:after="0" w:line="216"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auto"/>
        </w:rPr>
        <w:t>Portfolio Transformation:</w:t>
      </w:r>
    </w:p>
    <w:p>
      <w:pPr>
        <w:spacing w:after="0" w:line="46" w:lineRule="exact"/>
        <w:rPr>
          <w:sz w:val="20"/>
          <w:szCs w:val="20"/>
          <w:color w:val="auto"/>
        </w:rPr>
      </w:pPr>
    </w:p>
    <w:p>
      <w:pPr>
        <w:ind w:left="360" w:right="260" w:hanging="191"/>
        <w:spacing w:after="0" w:line="261" w:lineRule="auto"/>
        <w:tabs>
          <w:tab w:leader="none" w:pos="354" w:val="left"/>
        </w:tabs>
        <w:numPr>
          <w:ilvl w:val="0"/>
          <w:numId w:val="91"/>
        </w:numPr>
        <w:rPr>
          <w:rFonts w:ascii="Arial" w:cs="Arial" w:eastAsia="Arial" w:hAnsi="Arial"/>
          <w:sz w:val="15"/>
          <w:szCs w:val="15"/>
          <w:b w:val="1"/>
          <w:bCs w:val="1"/>
          <w:color w:val="D7282F"/>
        </w:rPr>
      </w:pPr>
      <w:r>
        <w:rPr>
          <w:rFonts w:ascii="Arial" w:cs="Arial" w:eastAsia="Arial" w:hAnsi="Arial"/>
          <w:sz w:val="15"/>
          <w:szCs w:val="15"/>
          <w:color w:val="auto"/>
        </w:rPr>
        <w:t>Discussed management’s and the Board’s plans to ensure operational continuity while executing the Honeywell Aerospace spin-off (without undue distraction from executing the separation), including retaining talent and reinforcing employee morale and well-being.</w:t>
      </w:r>
    </w:p>
    <w:p>
      <w:pPr>
        <w:spacing w:after="0" w:line="2" w:lineRule="exact"/>
        <w:rPr>
          <w:rFonts w:ascii="Arial" w:cs="Arial" w:eastAsia="Arial" w:hAnsi="Arial"/>
          <w:sz w:val="15"/>
          <w:szCs w:val="15"/>
          <w:b w:val="1"/>
          <w:bCs w:val="1"/>
          <w:color w:val="D7282F"/>
        </w:rPr>
      </w:pPr>
    </w:p>
    <w:p>
      <w:pPr>
        <w:ind w:left="360" w:right="320" w:hanging="191"/>
        <w:spacing w:after="0" w:line="283" w:lineRule="auto"/>
        <w:tabs>
          <w:tab w:leader="none" w:pos="354" w:val="left"/>
        </w:tabs>
        <w:numPr>
          <w:ilvl w:val="0"/>
          <w:numId w:val="91"/>
        </w:numPr>
        <w:rPr>
          <w:rFonts w:ascii="Arial" w:cs="Arial" w:eastAsia="Arial" w:hAnsi="Arial"/>
          <w:sz w:val="15"/>
          <w:szCs w:val="15"/>
          <w:b w:val="1"/>
          <w:bCs w:val="1"/>
          <w:color w:val="D7282F"/>
        </w:rPr>
      </w:pPr>
      <w:r>
        <w:rPr>
          <w:rFonts w:ascii="Arial" w:cs="Arial" w:eastAsia="Arial" w:hAnsi="Arial"/>
          <w:sz w:val="15"/>
          <w:szCs w:val="15"/>
          <w:color w:val="auto"/>
        </w:rPr>
        <w:t>Shareowners continued to express positivity around the Board’s engagement in portfolio transformation and its ability to maintain the Company’s operational focus.</w:t>
      </w:r>
    </w:p>
    <w:p>
      <w:pPr>
        <w:spacing w:after="0" w:line="50"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auto"/>
        </w:rPr>
        <w:t>Board Governance:</w:t>
      </w:r>
    </w:p>
    <w:p>
      <w:pPr>
        <w:spacing w:after="0" w:line="46" w:lineRule="exact"/>
        <w:rPr>
          <w:sz w:val="20"/>
          <w:szCs w:val="20"/>
          <w:color w:val="auto"/>
        </w:rPr>
      </w:pPr>
    </w:p>
    <w:p>
      <w:pPr>
        <w:ind w:left="360" w:right="240" w:hanging="191"/>
        <w:spacing w:after="0" w:line="270" w:lineRule="auto"/>
        <w:tabs>
          <w:tab w:leader="none" w:pos="354" w:val="left"/>
        </w:tabs>
        <w:numPr>
          <w:ilvl w:val="0"/>
          <w:numId w:val="92"/>
        </w:numPr>
        <w:rPr>
          <w:rFonts w:ascii="Arial" w:cs="Arial" w:eastAsia="Arial" w:hAnsi="Arial"/>
          <w:sz w:val="15"/>
          <w:szCs w:val="15"/>
          <w:b w:val="1"/>
          <w:bCs w:val="1"/>
          <w:color w:val="D7282F"/>
        </w:rPr>
      </w:pPr>
      <w:r>
        <w:rPr>
          <w:rFonts w:ascii="Arial" w:cs="Arial" w:eastAsia="Arial" w:hAnsi="Arial"/>
          <w:sz w:val="15"/>
          <w:szCs w:val="15"/>
          <w:color w:val="auto"/>
        </w:rPr>
        <w:t>Discussions focused on the Board’s process for assessing Board composition for the separated companies and Honeywell Aerospace leadership and director skillsets.</w:t>
      </w:r>
    </w:p>
    <w:p>
      <w:pPr>
        <w:spacing w:after="0" w:line="3" w:lineRule="exact"/>
        <w:rPr>
          <w:rFonts w:ascii="Arial" w:cs="Arial" w:eastAsia="Arial" w:hAnsi="Arial"/>
          <w:sz w:val="15"/>
          <w:szCs w:val="15"/>
          <w:b w:val="1"/>
          <w:bCs w:val="1"/>
          <w:color w:val="D7282F"/>
        </w:rPr>
      </w:pPr>
    </w:p>
    <w:p>
      <w:pPr>
        <w:ind w:left="360" w:right="160" w:hanging="191"/>
        <w:spacing w:after="0" w:line="283" w:lineRule="auto"/>
        <w:tabs>
          <w:tab w:leader="none" w:pos="354" w:val="left"/>
        </w:tabs>
        <w:numPr>
          <w:ilvl w:val="0"/>
          <w:numId w:val="92"/>
        </w:numPr>
        <w:rPr>
          <w:rFonts w:ascii="Arial" w:cs="Arial" w:eastAsia="Arial" w:hAnsi="Arial"/>
          <w:sz w:val="15"/>
          <w:szCs w:val="15"/>
          <w:b w:val="1"/>
          <w:bCs w:val="1"/>
          <w:color w:val="D7282F"/>
        </w:rPr>
      </w:pPr>
      <w:r>
        <w:rPr>
          <w:rFonts w:ascii="Arial" w:cs="Arial" w:eastAsia="Arial" w:hAnsi="Arial"/>
          <w:sz w:val="15"/>
          <w:szCs w:val="15"/>
          <w:color w:val="auto"/>
        </w:rPr>
        <w:t>Shareowners were generally appreciative of Honeywell’s feedback and insights on these topics and of the Board’s approach to establishing Board composition and governance practice for Solstice and Honeywell Aerospace.</w:t>
      </w:r>
    </w:p>
    <w:p>
      <w:pPr>
        <w:spacing w:after="0" w:line="50"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auto"/>
        </w:rPr>
        <w:t>Sustainability Disclosure:</w:t>
      </w:r>
    </w:p>
    <w:p>
      <w:pPr>
        <w:spacing w:after="0" w:line="46" w:lineRule="exact"/>
        <w:rPr>
          <w:sz w:val="20"/>
          <w:szCs w:val="20"/>
          <w:color w:val="auto"/>
        </w:rPr>
      </w:pPr>
    </w:p>
    <w:p>
      <w:pPr>
        <w:ind w:left="360" w:right="200" w:hanging="191"/>
        <w:spacing w:after="0" w:line="261" w:lineRule="auto"/>
        <w:tabs>
          <w:tab w:leader="none" w:pos="354" w:val="left"/>
        </w:tabs>
        <w:numPr>
          <w:ilvl w:val="0"/>
          <w:numId w:val="93"/>
        </w:numPr>
        <w:rPr>
          <w:rFonts w:ascii="Arial" w:cs="Arial" w:eastAsia="Arial" w:hAnsi="Arial"/>
          <w:sz w:val="15"/>
          <w:szCs w:val="15"/>
          <w:b w:val="1"/>
          <w:bCs w:val="1"/>
          <w:color w:val="D7282F"/>
        </w:rPr>
      </w:pPr>
      <w:r>
        <w:rPr>
          <w:rFonts w:ascii="Arial" w:cs="Arial" w:eastAsia="Arial" w:hAnsi="Arial"/>
          <w:sz w:val="15"/>
          <w:szCs w:val="15"/>
          <w:color w:val="auto"/>
        </w:rPr>
        <w:t>Discussed Honeywell’s sustainability goals and disclosures, how we plan to mitigate data security and cybersecurity risks during a period of transition, and the nature and extent of our use of AI and our process for responsibly managing AI-related risks.</w:t>
      </w:r>
    </w:p>
    <w:p>
      <w:pPr>
        <w:spacing w:after="0" w:line="2" w:lineRule="exact"/>
        <w:rPr>
          <w:rFonts w:ascii="Arial" w:cs="Arial" w:eastAsia="Arial" w:hAnsi="Arial"/>
          <w:sz w:val="15"/>
          <w:szCs w:val="15"/>
          <w:b w:val="1"/>
          <w:bCs w:val="1"/>
          <w:color w:val="D7282F"/>
        </w:rPr>
      </w:pPr>
    </w:p>
    <w:p>
      <w:pPr>
        <w:ind w:left="360" w:right="180" w:hanging="191"/>
        <w:spacing w:after="0" w:line="283" w:lineRule="auto"/>
        <w:tabs>
          <w:tab w:leader="none" w:pos="354" w:val="left"/>
        </w:tabs>
        <w:numPr>
          <w:ilvl w:val="0"/>
          <w:numId w:val="93"/>
        </w:numPr>
        <w:rPr>
          <w:rFonts w:ascii="Arial" w:cs="Arial" w:eastAsia="Arial" w:hAnsi="Arial"/>
          <w:sz w:val="15"/>
          <w:szCs w:val="15"/>
          <w:b w:val="1"/>
          <w:bCs w:val="1"/>
          <w:color w:val="D7282F"/>
        </w:rPr>
      </w:pPr>
      <w:r>
        <w:rPr>
          <w:rFonts w:ascii="Arial" w:cs="Arial" w:eastAsia="Arial" w:hAnsi="Arial"/>
          <w:sz w:val="15"/>
          <w:szCs w:val="15"/>
          <w:color w:val="auto"/>
        </w:rPr>
        <w:t>Most shareowners expressed support for maintaining our current levels of disclosure, our Responsible AI Framework and the Board’s oversight of AI risk more broadly.</w:t>
      </w:r>
    </w:p>
    <w:p>
      <w:pPr>
        <w:spacing w:after="0" w:line="50"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auto"/>
        </w:rPr>
        <w:t>Executive Compensation:</w:t>
      </w:r>
    </w:p>
    <w:p>
      <w:pPr>
        <w:spacing w:after="0" w:line="46" w:lineRule="exact"/>
        <w:rPr>
          <w:sz w:val="20"/>
          <w:szCs w:val="20"/>
          <w:color w:val="auto"/>
        </w:rPr>
      </w:pPr>
    </w:p>
    <w:p>
      <w:pPr>
        <w:ind w:left="360" w:right="700" w:hanging="191"/>
        <w:spacing w:after="0" w:line="283" w:lineRule="auto"/>
        <w:tabs>
          <w:tab w:leader="none" w:pos="354" w:val="left"/>
        </w:tabs>
        <w:numPr>
          <w:ilvl w:val="0"/>
          <w:numId w:val="94"/>
        </w:numPr>
        <w:rPr>
          <w:rFonts w:ascii="Arial" w:cs="Arial" w:eastAsia="Arial" w:hAnsi="Arial"/>
          <w:sz w:val="15"/>
          <w:szCs w:val="15"/>
          <w:color w:val="D7282F"/>
        </w:rPr>
      </w:pPr>
      <w:r>
        <w:rPr>
          <w:rFonts w:ascii="Arial" w:cs="Arial" w:eastAsia="Arial" w:hAnsi="Arial"/>
          <w:sz w:val="15"/>
          <w:szCs w:val="15"/>
          <w:color w:val="auto"/>
        </w:rPr>
        <w:t>Most shareowners supported the level, type and clarity of disclosure provided and continued to support the Corporate Responsibility goal as part of the executive incentive compensation plan.</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2026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29</w:t>
            </w:r>
          </w:p>
        </w:tc>
      </w:tr>
      <w:tr>
        <w:trPr>
          <w:trHeight w:val="373"/>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3"/>
          <w:szCs w:val="13"/>
          <w:b w:val="1"/>
          <w:bCs w:val="1"/>
          <w:color w:val="6D6E71"/>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BOARD LEADERSHIP STRUCTURE</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CHAIRMAN OF THE BOARD</w:t>
      </w:r>
    </w:p>
    <w:p>
      <w:pPr>
        <w:spacing w:after="0" w:line="128" w:lineRule="exact"/>
        <w:rPr>
          <w:sz w:val="20"/>
          <w:szCs w:val="20"/>
          <w:color w:val="auto"/>
        </w:rPr>
      </w:pPr>
    </w:p>
    <w:p>
      <w:pPr>
        <w:ind w:right="660"/>
        <w:spacing w:after="0" w:line="286" w:lineRule="auto"/>
        <w:rPr>
          <w:sz w:val="20"/>
          <w:szCs w:val="20"/>
          <w:color w:val="auto"/>
        </w:rPr>
      </w:pPr>
      <w:r>
        <w:rPr>
          <w:rFonts w:ascii="Arial" w:cs="Arial" w:eastAsia="Arial" w:hAnsi="Arial"/>
          <w:sz w:val="16"/>
          <w:szCs w:val="16"/>
          <w:color w:val="auto"/>
        </w:rPr>
        <w:t>Vimal Kapur has served as Chairman of the Board since June 2024. This appointment was made after careful consideration by the Board, including feedback from dialogue with shareowners.</w:t>
      </w:r>
    </w:p>
    <w:p>
      <w:pPr>
        <w:spacing w:after="0" w:line="6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Board understands the importance of this leadership decision and thoroughly explored different structures and a wide range of considerations through an open-minded and unbiased decision-making process. In reaching its decision to recombine the roles under Mr. Kapur, and to continue to have these roles combined, the Board evaluated the best leadership structure for the Company in the context of its present circumstances, taking into account the Company's strategic needs over the next phase of its transformation, Mr. Kapur's leadership qualities, the independence of the Board, and the strength of the independent Lead Director role.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393446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32320" cy="3934460"/>
                    </a:xfrm>
                    <a:prstGeom prst="rect">
                      <a:avLst/>
                    </a:prstGeom>
                    <a:noFill/>
                  </pic:spPr>
                </pic:pic>
              </a:graphicData>
            </a:graphic>
          </wp:anchor>
        </w:drawing>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FFFFFF"/>
        </w:rPr>
        <w:t>BOARD RATIONALE FOR COMBINING THE CHAIRMAN AND CEO ROLES</w:t>
      </w:r>
    </w:p>
    <w:p>
      <w:pPr>
        <w:spacing w:after="0" w:line="284" w:lineRule="exact"/>
        <w:rPr>
          <w:sz w:val="20"/>
          <w:szCs w:val="20"/>
          <w:color w:val="auto"/>
        </w:rPr>
      </w:pPr>
    </w:p>
    <w:p>
      <w:pPr>
        <w:ind w:left="360" w:right="280" w:hanging="191"/>
        <w:spacing w:after="0" w:line="265" w:lineRule="auto"/>
        <w:tabs>
          <w:tab w:leader="none" w:pos="357" w:val="left"/>
        </w:tabs>
        <w:numPr>
          <w:ilvl w:val="0"/>
          <w:numId w:val="95"/>
        </w:numPr>
        <w:rPr>
          <w:rFonts w:ascii="Arial" w:cs="Arial" w:eastAsia="Arial" w:hAnsi="Arial"/>
          <w:sz w:val="16"/>
          <w:szCs w:val="16"/>
          <w:b w:val="1"/>
          <w:bCs w:val="1"/>
          <w:color w:val="D7282F"/>
        </w:rPr>
      </w:pPr>
      <w:r>
        <w:rPr>
          <w:rFonts w:ascii="Arial" w:cs="Arial" w:eastAsia="Arial" w:hAnsi="Arial"/>
          <w:sz w:val="16"/>
          <w:szCs w:val="16"/>
          <w:color w:val="auto"/>
        </w:rPr>
        <w:t>The benefits of a unified leadership structure while the Company undertakes multiple transformational initiatives. The Board determined that combining the Chairman and CEO roles under Mr. Kapur would enable the decision-making speed and agility required to drive an ambitious organic and inorganic growth agenda while executing comprehensive portfolio transformation. Indeed, since the Board elected Mr. Kapur in January 2024, the Company has moved swiftly and decisively to:</w:t>
      </w:r>
    </w:p>
    <w:p>
      <w:pPr>
        <w:spacing w:after="0" w:line="37" w:lineRule="exact"/>
        <w:rPr>
          <w:rFonts w:ascii="Arial" w:cs="Arial" w:eastAsia="Arial" w:hAnsi="Arial"/>
          <w:sz w:val="16"/>
          <w:szCs w:val="16"/>
          <w:b w:val="1"/>
          <w:bCs w:val="1"/>
          <w:color w:val="D7282F"/>
        </w:rPr>
      </w:pPr>
    </w:p>
    <w:p>
      <w:pPr>
        <w:ind w:left="560" w:right="180" w:hanging="197"/>
        <w:spacing w:after="0" w:line="286" w:lineRule="auto"/>
        <w:tabs>
          <w:tab w:leader="none" w:pos="558" w:val="left"/>
        </w:tabs>
        <w:numPr>
          <w:ilvl w:val="1"/>
          <w:numId w:val="95"/>
        </w:numPr>
        <w:rPr>
          <w:rFonts w:ascii="Arial" w:cs="Arial" w:eastAsia="Arial" w:hAnsi="Arial"/>
          <w:sz w:val="16"/>
          <w:szCs w:val="16"/>
          <w:b w:val="1"/>
          <w:bCs w:val="1"/>
          <w:color w:val="D7282F"/>
        </w:rPr>
      </w:pPr>
      <w:r>
        <w:rPr>
          <w:rFonts w:ascii="Arial" w:cs="Arial" w:eastAsia="Arial" w:hAnsi="Arial"/>
          <w:sz w:val="16"/>
          <w:szCs w:val="16"/>
          <w:color w:val="auto"/>
        </w:rPr>
        <w:t>Deploy $11 billion to accretive acquisitions: Sundyne, the Access Solutions business from Carrier Global, Civitanavi Systems, CAES Systems, and the liquefied natural gas (LNG) business from Air Products.</w:t>
      </w:r>
    </w:p>
    <w:p>
      <w:pPr>
        <w:spacing w:after="0" w:line="20" w:lineRule="exact"/>
        <w:rPr>
          <w:rFonts w:ascii="Arial" w:cs="Arial" w:eastAsia="Arial" w:hAnsi="Arial"/>
          <w:sz w:val="16"/>
          <w:szCs w:val="16"/>
          <w:b w:val="1"/>
          <w:bCs w:val="1"/>
          <w:color w:val="D7282F"/>
        </w:rPr>
      </w:pPr>
    </w:p>
    <w:p>
      <w:pPr>
        <w:ind w:left="560" w:hanging="197"/>
        <w:spacing w:after="0"/>
        <w:tabs>
          <w:tab w:leader="none" w:pos="560" w:val="left"/>
        </w:tabs>
        <w:numPr>
          <w:ilvl w:val="1"/>
          <w:numId w:val="95"/>
        </w:numPr>
        <w:rPr>
          <w:rFonts w:ascii="Arial" w:cs="Arial" w:eastAsia="Arial" w:hAnsi="Arial"/>
          <w:sz w:val="16"/>
          <w:szCs w:val="16"/>
          <w:b w:val="1"/>
          <w:bCs w:val="1"/>
          <w:color w:val="D7282F"/>
        </w:rPr>
      </w:pPr>
      <w:r>
        <w:rPr>
          <w:rFonts w:ascii="Arial" w:cs="Arial" w:eastAsia="Arial" w:hAnsi="Arial"/>
          <w:sz w:val="16"/>
          <w:szCs w:val="16"/>
          <w:color w:val="auto"/>
        </w:rPr>
        <w:t>Complete the spin-off the Advanced Materials business into Solstice Advanced Materials, an independent, U.S. publicly-traded company.</w:t>
      </w:r>
    </w:p>
    <w:p>
      <w:pPr>
        <w:spacing w:after="0" w:line="86" w:lineRule="exact"/>
        <w:rPr>
          <w:rFonts w:ascii="Arial" w:cs="Arial" w:eastAsia="Arial" w:hAnsi="Arial"/>
          <w:sz w:val="16"/>
          <w:szCs w:val="16"/>
          <w:b w:val="1"/>
          <w:bCs w:val="1"/>
          <w:color w:val="D7282F"/>
        </w:rPr>
      </w:pPr>
    </w:p>
    <w:p>
      <w:pPr>
        <w:ind w:left="560" w:hanging="197"/>
        <w:spacing w:after="0"/>
        <w:tabs>
          <w:tab w:leader="none" w:pos="560" w:val="left"/>
        </w:tabs>
        <w:numPr>
          <w:ilvl w:val="1"/>
          <w:numId w:val="95"/>
        </w:numPr>
        <w:rPr>
          <w:rFonts w:ascii="Arial" w:cs="Arial" w:eastAsia="Arial" w:hAnsi="Arial"/>
          <w:sz w:val="16"/>
          <w:szCs w:val="16"/>
          <w:b w:val="1"/>
          <w:bCs w:val="1"/>
          <w:color w:val="D7282F"/>
        </w:rPr>
      </w:pPr>
      <w:r>
        <w:rPr>
          <w:rFonts w:ascii="Arial" w:cs="Arial" w:eastAsia="Arial" w:hAnsi="Arial"/>
          <w:sz w:val="16"/>
          <w:szCs w:val="16"/>
          <w:color w:val="auto"/>
        </w:rPr>
        <w:t>Divest the Personal Protective Equipment business.</w:t>
      </w:r>
    </w:p>
    <w:p>
      <w:pPr>
        <w:spacing w:after="0" w:line="72" w:lineRule="exact"/>
        <w:rPr>
          <w:rFonts w:ascii="Arial" w:cs="Arial" w:eastAsia="Arial" w:hAnsi="Arial"/>
          <w:sz w:val="16"/>
          <w:szCs w:val="16"/>
          <w:b w:val="1"/>
          <w:bCs w:val="1"/>
          <w:color w:val="D7282F"/>
        </w:rPr>
      </w:pPr>
    </w:p>
    <w:p>
      <w:pPr>
        <w:ind w:left="560" w:hanging="197"/>
        <w:spacing w:after="0"/>
        <w:tabs>
          <w:tab w:leader="none" w:pos="560" w:val="left"/>
        </w:tabs>
        <w:numPr>
          <w:ilvl w:val="1"/>
          <w:numId w:val="95"/>
        </w:numPr>
        <w:rPr>
          <w:rFonts w:ascii="Arial" w:cs="Arial" w:eastAsia="Arial" w:hAnsi="Arial"/>
          <w:sz w:val="16"/>
          <w:szCs w:val="16"/>
          <w:b w:val="1"/>
          <w:bCs w:val="1"/>
          <w:color w:val="D7282F"/>
        </w:rPr>
      </w:pPr>
      <w:r>
        <w:rPr>
          <w:rFonts w:ascii="Arial" w:cs="Arial" w:eastAsia="Arial" w:hAnsi="Arial"/>
          <w:sz w:val="16"/>
          <w:szCs w:val="16"/>
          <w:color w:val="auto"/>
        </w:rPr>
        <w:t>Announce the planned divestiture of the Productivity Solutions and Services and the Warehouse and Workflow Solutions businesses.</w:t>
      </w:r>
    </w:p>
    <w:p>
      <w:pPr>
        <w:spacing w:after="0" w:line="86" w:lineRule="exact"/>
        <w:rPr>
          <w:rFonts w:ascii="Arial" w:cs="Arial" w:eastAsia="Arial" w:hAnsi="Arial"/>
          <w:sz w:val="16"/>
          <w:szCs w:val="16"/>
          <w:b w:val="1"/>
          <w:bCs w:val="1"/>
          <w:color w:val="D7282F"/>
        </w:rPr>
      </w:pPr>
    </w:p>
    <w:p>
      <w:pPr>
        <w:ind w:left="560" w:right="220" w:hanging="197"/>
        <w:spacing w:after="0" w:line="299" w:lineRule="auto"/>
        <w:tabs>
          <w:tab w:leader="none" w:pos="558" w:val="left"/>
        </w:tabs>
        <w:numPr>
          <w:ilvl w:val="1"/>
          <w:numId w:val="95"/>
        </w:numPr>
        <w:rPr>
          <w:rFonts w:ascii="Arial" w:cs="Arial" w:eastAsia="Arial" w:hAnsi="Arial"/>
          <w:sz w:val="16"/>
          <w:szCs w:val="16"/>
          <w:b w:val="1"/>
          <w:bCs w:val="1"/>
          <w:color w:val="D7282F"/>
        </w:rPr>
      </w:pPr>
      <w:r>
        <w:rPr>
          <w:rFonts w:ascii="Arial" w:cs="Arial" w:eastAsia="Arial" w:hAnsi="Arial"/>
          <w:sz w:val="16"/>
          <w:szCs w:val="16"/>
          <w:color w:val="auto"/>
        </w:rPr>
        <w:t>Divest Honeywell’s Bendix asbestos liabilities, which is expected to improve annual free cash flow by more than $100 million over the next several years, and terminate the indemnification and reimbursement agreement with Resideo in exchange for the receipt of $1.6 billion.</w:t>
      </w:r>
    </w:p>
    <w:p>
      <w:pPr>
        <w:ind w:left="560" w:hanging="197"/>
        <w:spacing w:after="0"/>
        <w:tabs>
          <w:tab w:leader="none" w:pos="560" w:val="left"/>
        </w:tabs>
        <w:numPr>
          <w:ilvl w:val="1"/>
          <w:numId w:val="95"/>
        </w:numPr>
        <w:rPr>
          <w:rFonts w:ascii="Arial" w:cs="Arial" w:eastAsia="Arial" w:hAnsi="Arial"/>
          <w:sz w:val="16"/>
          <w:szCs w:val="16"/>
          <w:b w:val="1"/>
          <w:bCs w:val="1"/>
          <w:color w:val="D7282F"/>
        </w:rPr>
      </w:pPr>
      <w:r>
        <w:rPr>
          <w:rFonts w:ascii="Arial" w:cs="Arial" w:eastAsia="Arial" w:hAnsi="Arial"/>
          <w:sz w:val="16"/>
          <w:szCs w:val="16"/>
          <w:color w:val="auto"/>
        </w:rPr>
        <w:t>Announce Honeywell Connected Enterprise (HCE) 3.0, which took our software strategy to the next stage by integrating HCE into our segments.</w:t>
      </w:r>
    </w:p>
    <w:p>
      <w:pPr>
        <w:spacing w:after="0" w:line="86" w:lineRule="exact"/>
        <w:rPr>
          <w:rFonts w:ascii="Arial" w:cs="Arial" w:eastAsia="Arial" w:hAnsi="Arial"/>
          <w:sz w:val="16"/>
          <w:szCs w:val="16"/>
          <w:b w:val="1"/>
          <w:bCs w:val="1"/>
          <w:color w:val="D7282F"/>
        </w:rPr>
      </w:pPr>
    </w:p>
    <w:p>
      <w:pPr>
        <w:ind w:left="560" w:right="740" w:hanging="197"/>
        <w:spacing w:after="0" w:line="286" w:lineRule="auto"/>
        <w:tabs>
          <w:tab w:leader="none" w:pos="558" w:val="left"/>
        </w:tabs>
        <w:numPr>
          <w:ilvl w:val="1"/>
          <w:numId w:val="95"/>
        </w:numPr>
        <w:rPr>
          <w:rFonts w:ascii="Arial" w:cs="Arial" w:eastAsia="Arial" w:hAnsi="Arial"/>
          <w:sz w:val="16"/>
          <w:szCs w:val="16"/>
          <w:b w:val="1"/>
          <w:bCs w:val="1"/>
          <w:color w:val="D7282F"/>
        </w:rPr>
      </w:pPr>
      <w:r>
        <w:rPr>
          <w:rFonts w:ascii="Arial" w:cs="Arial" w:eastAsia="Arial" w:hAnsi="Arial"/>
          <w:sz w:val="16"/>
          <w:szCs w:val="16"/>
          <w:color w:val="auto"/>
        </w:rPr>
        <w:t>Announce the Company's intent to pursue a full separation of Honeywell and Honeywell Aerospace, following the comprehensive business portfolio evaluation launched in 2024 by Mr. Kapur to explore additional strategic alternatives for unlocking shareowner value.</w:t>
      </w:r>
    </w:p>
    <w:p>
      <w:pPr>
        <w:spacing w:after="0" w:line="20" w:lineRule="exact"/>
        <w:rPr>
          <w:rFonts w:ascii="Arial" w:cs="Arial" w:eastAsia="Arial" w:hAnsi="Arial"/>
          <w:sz w:val="16"/>
          <w:szCs w:val="16"/>
          <w:b w:val="1"/>
          <w:bCs w:val="1"/>
          <w:color w:val="D7282F"/>
        </w:rPr>
      </w:pPr>
    </w:p>
    <w:p>
      <w:pPr>
        <w:ind w:left="560" w:right="260" w:hanging="197"/>
        <w:spacing w:after="0" w:line="286" w:lineRule="auto"/>
        <w:tabs>
          <w:tab w:leader="none" w:pos="558" w:val="left"/>
        </w:tabs>
        <w:numPr>
          <w:ilvl w:val="1"/>
          <w:numId w:val="95"/>
        </w:numPr>
        <w:rPr>
          <w:rFonts w:ascii="Arial" w:cs="Arial" w:eastAsia="Arial" w:hAnsi="Arial"/>
          <w:sz w:val="16"/>
          <w:szCs w:val="16"/>
          <w:b w:val="1"/>
          <w:bCs w:val="1"/>
          <w:color w:val="D7282F"/>
        </w:rPr>
      </w:pPr>
      <w:r>
        <w:rPr>
          <w:rFonts w:ascii="Arial" w:cs="Arial" w:eastAsia="Arial" w:hAnsi="Arial"/>
          <w:sz w:val="16"/>
          <w:szCs w:val="16"/>
          <w:color w:val="auto"/>
        </w:rPr>
        <w:t>Enter into an agreement to acquire Johnson Matthey’s Catalyst Technologies business segment, a leading provider of catalyst manufacturing and process technology licensing.</w:t>
      </w:r>
    </w:p>
    <w:p>
      <w:pPr>
        <w:spacing w:after="0" w:line="20" w:lineRule="exact"/>
        <w:rPr>
          <w:rFonts w:ascii="Arial" w:cs="Arial" w:eastAsia="Arial" w:hAnsi="Arial"/>
          <w:sz w:val="16"/>
          <w:szCs w:val="16"/>
          <w:b w:val="1"/>
          <w:bCs w:val="1"/>
          <w:color w:val="D7282F"/>
        </w:rPr>
      </w:pPr>
    </w:p>
    <w:p>
      <w:pPr>
        <w:ind w:left="360" w:right="180" w:hanging="191"/>
        <w:spacing w:after="0" w:line="299" w:lineRule="auto"/>
        <w:tabs>
          <w:tab w:leader="none" w:pos="357" w:val="left"/>
        </w:tabs>
        <w:numPr>
          <w:ilvl w:val="0"/>
          <w:numId w:val="95"/>
        </w:numPr>
        <w:rPr>
          <w:rFonts w:ascii="Arial" w:cs="Arial" w:eastAsia="Arial" w:hAnsi="Arial"/>
          <w:sz w:val="16"/>
          <w:szCs w:val="16"/>
          <w:b w:val="1"/>
          <w:bCs w:val="1"/>
          <w:color w:val="D7282F"/>
        </w:rPr>
      </w:pPr>
      <w:r>
        <w:rPr>
          <w:rFonts w:ascii="Arial" w:cs="Arial" w:eastAsia="Arial" w:hAnsi="Arial"/>
          <w:sz w:val="16"/>
          <w:szCs w:val="16"/>
          <w:color w:val="auto"/>
        </w:rPr>
        <w:t>The Board's evaluation of Mr. Kapur's leadership and effectiveness since becoming CEO and its confidence in Vimal's judgment and character, which was earned over the course of his more than 35-year career at Honeywell.</w:t>
      </w:r>
    </w:p>
    <w:p>
      <w:pPr>
        <w:ind w:left="360" w:hanging="191"/>
        <w:spacing w:after="0"/>
        <w:tabs>
          <w:tab w:leader="none" w:pos="360" w:val="left"/>
        </w:tabs>
        <w:numPr>
          <w:ilvl w:val="0"/>
          <w:numId w:val="95"/>
        </w:numPr>
        <w:rPr>
          <w:rFonts w:ascii="Arial" w:cs="Arial" w:eastAsia="Arial" w:hAnsi="Arial"/>
          <w:sz w:val="16"/>
          <w:szCs w:val="16"/>
          <w:b w:val="1"/>
          <w:bCs w:val="1"/>
          <w:color w:val="D7282F"/>
        </w:rPr>
      </w:pPr>
      <w:r>
        <w:rPr>
          <w:rFonts w:ascii="Arial" w:cs="Arial" w:eastAsia="Arial" w:hAnsi="Arial"/>
          <w:sz w:val="16"/>
          <w:szCs w:val="16"/>
          <w:color w:val="auto"/>
        </w:rPr>
        <w:t>The Company's historical track record of performance and effective risk management under a unified Chairman and CEO leadership structure.</w:t>
      </w:r>
    </w:p>
    <w:p>
      <w:pPr>
        <w:spacing w:after="0" w:line="86" w:lineRule="exact"/>
        <w:rPr>
          <w:rFonts w:ascii="Arial" w:cs="Arial" w:eastAsia="Arial" w:hAnsi="Arial"/>
          <w:sz w:val="16"/>
          <w:szCs w:val="16"/>
          <w:b w:val="1"/>
          <w:bCs w:val="1"/>
          <w:color w:val="D7282F"/>
        </w:rPr>
      </w:pPr>
    </w:p>
    <w:p>
      <w:pPr>
        <w:ind w:left="360" w:hanging="191"/>
        <w:spacing w:after="0"/>
        <w:tabs>
          <w:tab w:leader="none" w:pos="360" w:val="left"/>
        </w:tabs>
        <w:numPr>
          <w:ilvl w:val="0"/>
          <w:numId w:val="95"/>
        </w:numPr>
        <w:rPr>
          <w:rFonts w:ascii="Arial" w:cs="Arial" w:eastAsia="Arial" w:hAnsi="Arial"/>
          <w:sz w:val="16"/>
          <w:szCs w:val="16"/>
          <w:b w:val="1"/>
          <w:bCs w:val="1"/>
          <w:color w:val="D7282F"/>
        </w:rPr>
      </w:pPr>
      <w:r>
        <w:rPr>
          <w:rFonts w:ascii="Arial" w:cs="Arial" w:eastAsia="Arial" w:hAnsi="Arial"/>
          <w:sz w:val="16"/>
          <w:szCs w:val="16"/>
          <w:color w:val="auto"/>
        </w:rPr>
        <w:t>The highly independent nature of the Board, where Mr. Kapur is the only non-independent director.</w:t>
      </w:r>
    </w:p>
    <w:p>
      <w:pPr>
        <w:spacing w:after="0" w:line="86" w:lineRule="exact"/>
        <w:rPr>
          <w:rFonts w:ascii="Arial" w:cs="Arial" w:eastAsia="Arial" w:hAnsi="Arial"/>
          <w:sz w:val="16"/>
          <w:szCs w:val="16"/>
          <w:b w:val="1"/>
          <w:bCs w:val="1"/>
          <w:color w:val="D7282F"/>
        </w:rPr>
      </w:pPr>
    </w:p>
    <w:p>
      <w:pPr>
        <w:ind w:left="360" w:hanging="191"/>
        <w:spacing w:after="0"/>
        <w:tabs>
          <w:tab w:leader="none" w:pos="360" w:val="left"/>
        </w:tabs>
        <w:numPr>
          <w:ilvl w:val="0"/>
          <w:numId w:val="95"/>
        </w:numPr>
        <w:rPr>
          <w:rFonts w:ascii="Arial" w:cs="Arial" w:eastAsia="Arial" w:hAnsi="Arial"/>
          <w:sz w:val="16"/>
          <w:szCs w:val="16"/>
          <w:b w:val="1"/>
          <w:bCs w:val="1"/>
          <w:color w:val="D7282F"/>
        </w:rPr>
      </w:pPr>
      <w:r>
        <w:rPr>
          <w:rFonts w:ascii="Arial" w:cs="Arial" w:eastAsia="Arial" w:hAnsi="Arial"/>
          <w:sz w:val="16"/>
          <w:szCs w:val="16"/>
          <w:color w:val="auto"/>
        </w:rPr>
        <w:t>The strength and experience of Honeywell's independent directors, nine of whom have experience serving as CEOs.</w:t>
      </w:r>
    </w:p>
    <w:p>
      <w:pPr>
        <w:spacing w:after="0" w:line="72" w:lineRule="exact"/>
        <w:rPr>
          <w:rFonts w:ascii="Arial" w:cs="Arial" w:eastAsia="Arial" w:hAnsi="Arial"/>
          <w:sz w:val="16"/>
          <w:szCs w:val="16"/>
          <w:b w:val="1"/>
          <w:bCs w:val="1"/>
          <w:color w:val="D7282F"/>
        </w:rPr>
      </w:pPr>
    </w:p>
    <w:p>
      <w:pPr>
        <w:ind w:left="360" w:right="320" w:hanging="191"/>
        <w:spacing w:after="0" w:line="304" w:lineRule="auto"/>
        <w:tabs>
          <w:tab w:leader="none" w:pos="357" w:val="left"/>
        </w:tabs>
        <w:numPr>
          <w:ilvl w:val="0"/>
          <w:numId w:val="95"/>
        </w:numPr>
        <w:rPr>
          <w:rFonts w:ascii="Arial" w:cs="Arial" w:eastAsia="Arial" w:hAnsi="Arial"/>
          <w:sz w:val="16"/>
          <w:szCs w:val="16"/>
          <w:b w:val="1"/>
          <w:bCs w:val="1"/>
          <w:color w:val="D7282F"/>
        </w:rPr>
      </w:pPr>
      <w:r>
        <w:rPr>
          <w:rFonts w:ascii="Arial" w:cs="Arial" w:eastAsia="Arial" w:hAnsi="Arial"/>
          <w:sz w:val="16"/>
          <w:szCs w:val="16"/>
          <w:color w:val="auto"/>
        </w:rPr>
        <w:t>The robust roles, responsibilities, and authorities of the independent Lead Director role under the Company's Corporate Governance Guidelines, as described further below.</w:t>
      </w:r>
    </w:p>
    <w:p>
      <w:pPr>
        <w:spacing w:after="0" w:line="330" w:lineRule="exact"/>
        <w:rPr>
          <w:sz w:val="20"/>
          <w:szCs w:val="20"/>
          <w:color w:val="auto"/>
        </w:rPr>
      </w:pPr>
    </w:p>
    <w:p>
      <w:pPr>
        <w:ind w:right="400"/>
        <w:spacing w:after="0" w:line="275" w:lineRule="auto"/>
        <w:rPr>
          <w:sz w:val="20"/>
          <w:szCs w:val="20"/>
          <w:color w:val="auto"/>
        </w:rPr>
      </w:pPr>
      <w:r>
        <w:rPr>
          <w:rFonts w:ascii="Arial" w:cs="Arial" w:eastAsia="Arial" w:hAnsi="Arial"/>
          <w:sz w:val="16"/>
          <w:szCs w:val="16"/>
          <w:color w:val="auto"/>
        </w:rPr>
        <w:t>Since deciding to combine these roles, the Board has regularly reconsidered the appropriate leadership structure for the Board given the then-present circumstances of Honeywell, its strategic needs, its competitive environment, input from Honeywell shareowners, and other relevant factors. The Board continues to believe that maintaining combined Chairman and CEO roles under Mr. Kapur is in the best interests of shareowners.</w:t>
      </w:r>
    </w:p>
    <w:p>
      <w:pPr>
        <w:spacing w:after="0" w:line="56" w:lineRule="exact"/>
        <w:rPr>
          <w:sz w:val="20"/>
          <w:szCs w:val="20"/>
          <w:color w:val="auto"/>
        </w:rPr>
      </w:pPr>
    </w:p>
    <w:p>
      <w:pPr>
        <w:jc w:val="both"/>
        <w:ind w:right="160"/>
        <w:spacing w:after="0" w:line="271" w:lineRule="auto"/>
        <w:rPr>
          <w:sz w:val="20"/>
          <w:szCs w:val="20"/>
          <w:color w:val="auto"/>
        </w:rPr>
      </w:pPr>
      <w:r>
        <w:rPr>
          <w:rFonts w:ascii="Arial" w:cs="Arial" w:eastAsia="Arial" w:hAnsi="Arial"/>
          <w:sz w:val="16"/>
          <w:szCs w:val="16"/>
          <w:color w:val="auto"/>
        </w:rPr>
        <w:t>Honeywell's Corporate Governance Guidelines do not establish a fixed rule as to whether the offices of Chairman and CEO should be vested in the same person or two different people but rather specify that Honeywell's Board leadership structure is best considered as part of corporate governance and CEO succession planning processes. The Board believes that the decision as to whether the positions of Chairman and CEO should be combined or separated, and whether an executive or an independent director should serve as Chairman if the roles are split, should be based upon the particular circumstances</w:t>
      </w:r>
    </w:p>
    <w:p>
      <w:pPr>
        <w:spacing w:after="0" w:line="196"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30</w:t>
      </w:r>
      <w:r>
        <w:rPr>
          <w:sz w:val="20"/>
          <w:szCs w:val="20"/>
          <w:color w:val="auto"/>
        </w:rPr>
        <w:tab/>
      </w:r>
      <w:r>
        <w:rPr>
          <w:sz w:val="1"/>
          <w:szCs w:val="1"/>
          <w:color w:val="auto"/>
        </w:rPr>
        <w:drawing>
          <wp:inline distT="0" distB="0" distL="0" distR="0">
            <wp:extent cx="548640" cy="102870"/>
            <wp:effectExtent l="0" t="0" r="0" b="0"/>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2026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5" w:name="page36"/>
    <w:bookmarkEnd w:id="35"/>
    <w:p>
      <w:pPr>
        <w:jc w:val="right"/>
        <w:spacing w:after="0"/>
        <w:rPr>
          <w:sz w:val="20"/>
          <w:szCs w:val="20"/>
          <w:color w:val="auto"/>
        </w:rPr>
      </w:pPr>
      <w:r>
        <w:rPr>
          <w:rFonts w:ascii="Arial" w:cs="Arial" w:eastAsia="Arial" w:hAnsi="Arial"/>
          <w:sz w:val="13"/>
          <w:szCs w:val="13"/>
          <w:b w:val="1"/>
          <w:bCs w:val="1"/>
          <w:color w:val="6D6E71"/>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facing the Company. Maintaining a flexible policy allows the Board to exercise its best business judgment to choose the leadership structure that best serves the interests of the Company and its shareowners at any particular time. The Board believes its risk oversight framework would be effective under a variety of leadership structures.</w:t>
      </w:r>
    </w:p>
    <w:p>
      <w:pPr>
        <w:spacing w:after="0" w:line="56"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The Board carefully weighed feedback from its shareowners as part of the deliberations leading up to its decision to combine the roles under Mr. Kapur in 2024, as well as its subsequent determinations to retain this structure. The Board has engaged with, and intends to continue to engage with, shareowners on this topic during its regular shareowner engagement meetings. The Company has heard a range of views during those meetings, with most shareowners expressing confidence that the Honeywell Board understands the importance of good corporate governance and has the ability and insight to make the right decisions regarding its ongoing leadership structure, specifically the determination of whether and when to separate and combine the roles of Chairman and CEO.</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INDEPENDENT LEAD DIRECTOR</w:t>
      </w:r>
    </w:p>
    <w:p>
      <w:pPr>
        <w:spacing w:after="0" w:line="128"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The independent Lead Director serves as the de facto leader of Honeywell's independent directors and the focal point for ensuring that the Board as a whole is providing appropriate independent oversight of management. The Company's Corporate Governance Guidelines explicitly mandate that if the Chairman is not independent, then an independent Lead Director will be elected by the independent directors and will assume the same roles, responsibilities, and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352298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32320" cy="3522980"/>
                    </a:xfrm>
                    <a:prstGeom prst="rect">
                      <a:avLst/>
                    </a:prstGeom>
                    <a:noFill/>
                  </pic:spPr>
                </pic:pic>
              </a:graphicData>
            </a:graphic>
          </wp:anchor>
        </w:drawing>
      </w:r>
    </w:p>
    <w:p>
      <w:pPr>
        <w:spacing w:after="0" w:line="29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FFFFFF"/>
        </w:rPr>
        <w:t>INDEPENDENT LEAD DIRECTOR ROLES, RESPONSIBILITIES, AND AUTHORITIES</w:t>
      </w:r>
    </w:p>
    <w:p>
      <w:pPr>
        <w:spacing w:after="0" w:line="338" w:lineRule="exact"/>
        <w:rPr>
          <w:sz w:val="20"/>
          <w:szCs w:val="20"/>
          <w:color w:val="auto"/>
        </w:rPr>
      </w:pPr>
    </w:p>
    <w:p>
      <w:pPr>
        <w:ind w:left="160" w:right="440"/>
        <w:spacing w:after="0" w:line="286" w:lineRule="auto"/>
        <w:rPr>
          <w:sz w:val="20"/>
          <w:szCs w:val="20"/>
          <w:color w:val="auto"/>
        </w:rPr>
      </w:pPr>
      <w:r>
        <w:rPr>
          <w:rFonts w:ascii="Arial" w:cs="Arial" w:eastAsia="Arial" w:hAnsi="Arial"/>
          <w:sz w:val="16"/>
          <w:szCs w:val="16"/>
          <w:color w:val="auto"/>
        </w:rPr>
        <w:t>The roles, responsibilities, and authorities of the independent Lead Director are robust and designed to ensure effective independent oversight. They include the following:</w:t>
      </w:r>
    </w:p>
    <w:p>
      <w:pPr>
        <w:spacing w:after="0" w:line="61" w:lineRule="exact"/>
        <w:rPr>
          <w:sz w:val="20"/>
          <w:szCs w:val="20"/>
          <w:color w:val="auto"/>
        </w:rPr>
      </w:pPr>
    </w:p>
    <w:p>
      <w:pPr>
        <w:ind w:left="360" w:right="120" w:hanging="191"/>
        <w:spacing w:after="0" w:line="286" w:lineRule="auto"/>
        <w:tabs>
          <w:tab w:leader="none" w:pos="357" w:val="left"/>
        </w:tabs>
        <w:numPr>
          <w:ilvl w:val="0"/>
          <w:numId w:val="96"/>
        </w:numPr>
        <w:rPr>
          <w:rFonts w:ascii="Arial" w:cs="Arial" w:eastAsia="Arial" w:hAnsi="Arial"/>
          <w:sz w:val="16"/>
          <w:szCs w:val="16"/>
          <w:b w:val="1"/>
          <w:bCs w:val="1"/>
          <w:color w:val="D7282F"/>
        </w:rPr>
      </w:pPr>
      <w:r>
        <w:rPr>
          <w:rFonts w:ascii="Arial" w:cs="Arial" w:eastAsia="Arial" w:hAnsi="Arial"/>
          <w:sz w:val="16"/>
          <w:szCs w:val="16"/>
          <w:color w:val="auto"/>
        </w:rPr>
        <w:t>Work with the CEO and Chairman, the CGRC, and the full Board to recruit and select Board candidates, including identification and prioritization of the specific skillsets, experience, and knowledge that candidates must possess.</w:t>
      </w:r>
    </w:p>
    <w:p>
      <w:pPr>
        <w:spacing w:after="0" w:line="20" w:lineRule="exact"/>
        <w:rPr>
          <w:rFonts w:ascii="Arial" w:cs="Arial" w:eastAsia="Arial" w:hAnsi="Arial"/>
          <w:sz w:val="16"/>
          <w:szCs w:val="16"/>
          <w:b w:val="1"/>
          <w:bCs w:val="1"/>
          <w:color w:val="D7282F"/>
        </w:rPr>
      </w:pPr>
    </w:p>
    <w:p>
      <w:pPr>
        <w:ind w:left="360" w:right="40" w:hanging="191"/>
        <w:spacing w:after="0" w:line="286" w:lineRule="auto"/>
        <w:tabs>
          <w:tab w:leader="none" w:pos="357" w:val="left"/>
        </w:tabs>
        <w:numPr>
          <w:ilvl w:val="0"/>
          <w:numId w:val="96"/>
        </w:numPr>
        <w:rPr>
          <w:rFonts w:ascii="Arial" w:cs="Arial" w:eastAsia="Arial" w:hAnsi="Arial"/>
          <w:sz w:val="16"/>
          <w:szCs w:val="16"/>
          <w:b w:val="1"/>
          <w:bCs w:val="1"/>
          <w:color w:val="D7282F"/>
        </w:rPr>
      </w:pPr>
      <w:r>
        <w:rPr>
          <w:rFonts w:ascii="Arial" w:cs="Arial" w:eastAsia="Arial" w:hAnsi="Arial"/>
          <w:sz w:val="16"/>
          <w:szCs w:val="16"/>
          <w:color w:val="auto"/>
        </w:rPr>
        <w:t>Review, approve, and make changes to Board meeting agendas and Board meeting schedules, including to add or remove agenda items and to ensure that there is sufficient time for discussion of all agenda items.</w:t>
      </w:r>
    </w:p>
    <w:p>
      <w:pPr>
        <w:spacing w:after="0" w:line="20" w:lineRule="exact"/>
        <w:rPr>
          <w:rFonts w:ascii="Arial" w:cs="Arial" w:eastAsia="Arial" w:hAnsi="Arial"/>
          <w:sz w:val="16"/>
          <w:szCs w:val="16"/>
          <w:b w:val="1"/>
          <w:bCs w:val="1"/>
          <w:color w:val="D7282F"/>
        </w:rPr>
      </w:pPr>
    </w:p>
    <w:p>
      <w:pPr>
        <w:ind w:left="360" w:hanging="191"/>
        <w:spacing w:after="0"/>
        <w:tabs>
          <w:tab w:leader="none" w:pos="360" w:val="left"/>
        </w:tabs>
        <w:numPr>
          <w:ilvl w:val="0"/>
          <w:numId w:val="96"/>
        </w:numPr>
        <w:rPr>
          <w:rFonts w:ascii="Arial" w:cs="Arial" w:eastAsia="Arial" w:hAnsi="Arial"/>
          <w:sz w:val="16"/>
          <w:szCs w:val="16"/>
          <w:b w:val="1"/>
          <w:bCs w:val="1"/>
          <w:color w:val="D7282F"/>
        </w:rPr>
      </w:pPr>
      <w:r>
        <w:rPr>
          <w:rFonts w:ascii="Arial" w:cs="Arial" w:eastAsia="Arial" w:hAnsi="Arial"/>
          <w:sz w:val="16"/>
          <w:szCs w:val="16"/>
          <w:color w:val="auto"/>
        </w:rPr>
        <w:t>Review, and when appropriate, make changes to presentation material and other written information provided to directors for Board meetings.</w:t>
      </w:r>
    </w:p>
    <w:p>
      <w:pPr>
        <w:spacing w:after="0" w:line="72" w:lineRule="exact"/>
        <w:rPr>
          <w:rFonts w:ascii="Arial" w:cs="Arial" w:eastAsia="Arial" w:hAnsi="Arial"/>
          <w:sz w:val="16"/>
          <w:szCs w:val="16"/>
          <w:b w:val="1"/>
          <w:bCs w:val="1"/>
          <w:color w:val="D7282F"/>
        </w:rPr>
      </w:pPr>
    </w:p>
    <w:p>
      <w:pPr>
        <w:ind w:left="360" w:right="700" w:hanging="191"/>
        <w:spacing w:after="0" w:line="304" w:lineRule="auto"/>
        <w:tabs>
          <w:tab w:leader="none" w:pos="357" w:val="left"/>
        </w:tabs>
        <w:numPr>
          <w:ilvl w:val="0"/>
          <w:numId w:val="96"/>
        </w:numPr>
        <w:rPr>
          <w:rFonts w:ascii="Arial" w:cs="Arial" w:eastAsia="Arial" w:hAnsi="Arial"/>
          <w:sz w:val="16"/>
          <w:szCs w:val="16"/>
          <w:b w:val="1"/>
          <w:bCs w:val="1"/>
          <w:color w:val="D7282F"/>
        </w:rPr>
      </w:pPr>
      <w:r>
        <w:rPr>
          <w:rFonts w:ascii="Arial" w:cs="Arial" w:eastAsia="Arial" w:hAnsi="Arial"/>
          <w:sz w:val="16"/>
          <w:szCs w:val="16"/>
          <w:color w:val="auto"/>
        </w:rPr>
        <w:t>Preside at all Board meetings at which the Chairman is not present, including executive sessions of the independent directors, and apprise the Chairman of the issues considered.</w:t>
      </w:r>
    </w:p>
    <w:p>
      <w:pPr>
        <w:spacing w:after="0" w:line="6" w:lineRule="exact"/>
        <w:rPr>
          <w:rFonts w:ascii="Arial" w:cs="Arial" w:eastAsia="Arial" w:hAnsi="Arial"/>
          <w:sz w:val="16"/>
          <w:szCs w:val="16"/>
          <w:b w:val="1"/>
          <w:bCs w:val="1"/>
          <w:color w:val="D7282F"/>
        </w:rPr>
      </w:pPr>
    </w:p>
    <w:p>
      <w:pPr>
        <w:ind w:left="360" w:hanging="191"/>
        <w:spacing w:after="0"/>
        <w:tabs>
          <w:tab w:leader="none" w:pos="360" w:val="left"/>
        </w:tabs>
        <w:numPr>
          <w:ilvl w:val="0"/>
          <w:numId w:val="96"/>
        </w:numPr>
        <w:rPr>
          <w:rFonts w:ascii="Arial" w:cs="Arial" w:eastAsia="Arial" w:hAnsi="Arial"/>
          <w:sz w:val="16"/>
          <w:szCs w:val="16"/>
          <w:b w:val="1"/>
          <w:bCs w:val="1"/>
          <w:color w:val="D7282F"/>
        </w:rPr>
      </w:pPr>
      <w:r>
        <w:rPr>
          <w:rFonts w:ascii="Arial" w:cs="Arial" w:eastAsia="Arial" w:hAnsi="Arial"/>
          <w:sz w:val="16"/>
          <w:szCs w:val="16"/>
          <w:color w:val="auto"/>
        </w:rPr>
        <w:t>Serve as liaison between the Chairman and the independent directors.</w:t>
      </w:r>
    </w:p>
    <w:p>
      <w:pPr>
        <w:spacing w:after="0" w:line="72" w:lineRule="exact"/>
        <w:rPr>
          <w:rFonts w:ascii="Arial" w:cs="Arial" w:eastAsia="Arial" w:hAnsi="Arial"/>
          <w:sz w:val="16"/>
          <w:szCs w:val="16"/>
          <w:b w:val="1"/>
          <w:bCs w:val="1"/>
          <w:color w:val="D7282F"/>
        </w:rPr>
      </w:pPr>
    </w:p>
    <w:p>
      <w:pPr>
        <w:ind w:left="360" w:right="380" w:hanging="191"/>
        <w:spacing w:after="0" w:line="299" w:lineRule="auto"/>
        <w:tabs>
          <w:tab w:leader="none" w:pos="357" w:val="left"/>
        </w:tabs>
        <w:numPr>
          <w:ilvl w:val="0"/>
          <w:numId w:val="96"/>
        </w:numPr>
        <w:rPr>
          <w:rFonts w:ascii="Arial" w:cs="Arial" w:eastAsia="Arial" w:hAnsi="Arial"/>
          <w:sz w:val="16"/>
          <w:szCs w:val="16"/>
          <w:b w:val="1"/>
          <w:bCs w:val="1"/>
          <w:color w:val="D7282F"/>
        </w:rPr>
      </w:pPr>
      <w:r>
        <w:rPr>
          <w:rFonts w:ascii="Arial" w:cs="Arial" w:eastAsia="Arial" w:hAnsi="Arial"/>
          <w:sz w:val="16"/>
          <w:szCs w:val="16"/>
          <w:color w:val="auto"/>
        </w:rPr>
        <w:t>Lead the Board's annual self-evaluation process, including presentation of general observations from individual director conversations to the Board and, where applicable, communication of specific feedback to individual directors.</w:t>
      </w:r>
    </w:p>
    <w:p>
      <w:pPr>
        <w:ind w:left="360" w:hanging="191"/>
        <w:spacing w:after="0"/>
        <w:tabs>
          <w:tab w:leader="none" w:pos="360" w:val="left"/>
        </w:tabs>
        <w:numPr>
          <w:ilvl w:val="0"/>
          <w:numId w:val="96"/>
        </w:numPr>
        <w:rPr>
          <w:rFonts w:ascii="Arial" w:cs="Arial" w:eastAsia="Arial" w:hAnsi="Arial"/>
          <w:sz w:val="16"/>
          <w:szCs w:val="16"/>
          <w:b w:val="1"/>
          <w:bCs w:val="1"/>
          <w:color w:val="D7282F"/>
        </w:rPr>
      </w:pPr>
      <w:r>
        <w:rPr>
          <w:rFonts w:ascii="Arial" w:cs="Arial" w:eastAsia="Arial" w:hAnsi="Arial"/>
          <w:sz w:val="16"/>
          <w:szCs w:val="16"/>
          <w:color w:val="auto"/>
        </w:rPr>
        <w:t>Be available for consultation and direct communication with the Company’s shareowners.</w:t>
      </w:r>
    </w:p>
    <w:p>
      <w:pPr>
        <w:spacing w:after="0" w:line="86" w:lineRule="exact"/>
        <w:rPr>
          <w:rFonts w:ascii="Arial" w:cs="Arial" w:eastAsia="Arial" w:hAnsi="Arial"/>
          <w:sz w:val="16"/>
          <w:szCs w:val="16"/>
          <w:b w:val="1"/>
          <w:bCs w:val="1"/>
          <w:color w:val="D7282F"/>
        </w:rPr>
      </w:pPr>
    </w:p>
    <w:p>
      <w:pPr>
        <w:ind w:left="360" w:hanging="191"/>
        <w:spacing w:after="0"/>
        <w:tabs>
          <w:tab w:leader="none" w:pos="360" w:val="left"/>
        </w:tabs>
        <w:numPr>
          <w:ilvl w:val="0"/>
          <w:numId w:val="96"/>
        </w:numPr>
        <w:rPr>
          <w:rFonts w:ascii="Arial" w:cs="Arial" w:eastAsia="Arial" w:hAnsi="Arial"/>
          <w:sz w:val="16"/>
          <w:szCs w:val="16"/>
          <w:b w:val="1"/>
          <w:bCs w:val="1"/>
          <w:color w:val="D7282F"/>
        </w:rPr>
      </w:pPr>
      <w:r>
        <w:rPr>
          <w:rFonts w:ascii="Arial" w:cs="Arial" w:eastAsia="Arial" w:hAnsi="Arial"/>
          <w:sz w:val="16"/>
          <w:szCs w:val="16"/>
          <w:color w:val="auto"/>
        </w:rPr>
        <w:t>Call meetings of the independent directors when necessary and appropriate.</w:t>
      </w:r>
    </w:p>
    <w:p>
      <w:pPr>
        <w:spacing w:after="0" w:line="86" w:lineRule="exact"/>
        <w:rPr>
          <w:rFonts w:ascii="Arial" w:cs="Arial" w:eastAsia="Arial" w:hAnsi="Arial"/>
          <w:sz w:val="16"/>
          <w:szCs w:val="16"/>
          <w:b w:val="1"/>
          <w:bCs w:val="1"/>
          <w:color w:val="D7282F"/>
        </w:rPr>
      </w:pPr>
    </w:p>
    <w:p>
      <w:pPr>
        <w:ind w:left="360" w:hanging="191"/>
        <w:spacing w:after="0"/>
        <w:tabs>
          <w:tab w:leader="none" w:pos="360" w:val="left"/>
        </w:tabs>
        <w:numPr>
          <w:ilvl w:val="0"/>
          <w:numId w:val="96"/>
        </w:numPr>
        <w:rPr>
          <w:rFonts w:ascii="Arial" w:cs="Arial" w:eastAsia="Arial" w:hAnsi="Arial"/>
          <w:sz w:val="16"/>
          <w:szCs w:val="16"/>
          <w:b w:val="1"/>
          <w:bCs w:val="1"/>
          <w:color w:val="D7282F"/>
        </w:rPr>
      </w:pPr>
      <w:r>
        <w:rPr>
          <w:rFonts w:ascii="Arial" w:cs="Arial" w:eastAsia="Arial" w:hAnsi="Arial"/>
          <w:sz w:val="16"/>
          <w:szCs w:val="16"/>
          <w:color w:val="auto"/>
        </w:rPr>
        <w:t>Call special meetings of the Board when necessary and appropriate.</w:t>
      </w:r>
    </w:p>
    <w:p>
      <w:pPr>
        <w:spacing w:after="0" w:line="86" w:lineRule="exact"/>
        <w:rPr>
          <w:rFonts w:ascii="Arial" w:cs="Arial" w:eastAsia="Arial" w:hAnsi="Arial"/>
          <w:sz w:val="16"/>
          <w:szCs w:val="16"/>
          <w:b w:val="1"/>
          <w:bCs w:val="1"/>
          <w:color w:val="D7282F"/>
        </w:rPr>
      </w:pPr>
    </w:p>
    <w:p>
      <w:pPr>
        <w:ind w:left="360" w:hanging="191"/>
        <w:spacing w:after="0"/>
        <w:tabs>
          <w:tab w:leader="none" w:pos="360" w:val="left"/>
        </w:tabs>
        <w:numPr>
          <w:ilvl w:val="0"/>
          <w:numId w:val="96"/>
        </w:numPr>
        <w:rPr>
          <w:rFonts w:ascii="Arial" w:cs="Arial" w:eastAsia="Arial" w:hAnsi="Arial"/>
          <w:sz w:val="16"/>
          <w:szCs w:val="16"/>
          <w:b w:val="1"/>
          <w:bCs w:val="1"/>
          <w:color w:val="D7282F"/>
        </w:rPr>
      </w:pPr>
      <w:r>
        <w:rPr>
          <w:rFonts w:ascii="Arial" w:cs="Arial" w:eastAsia="Arial" w:hAnsi="Arial"/>
          <w:sz w:val="16"/>
          <w:szCs w:val="16"/>
          <w:color w:val="auto"/>
        </w:rPr>
        <w:t>Retain outside professionals on behalf of the Board.</w:t>
      </w:r>
    </w:p>
    <w:p>
      <w:pPr>
        <w:spacing w:after="0" w:line="72" w:lineRule="exact"/>
        <w:rPr>
          <w:rFonts w:ascii="Arial" w:cs="Arial" w:eastAsia="Arial" w:hAnsi="Arial"/>
          <w:sz w:val="16"/>
          <w:szCs w:val="16"/>
          <w:b w:val="1"/>
          <w:bCs w:val="1"/>
          <w:color w:val="D7282F"/>
        </w:rPr>
      </w:pPr>
    </w:p>
    <w:p>
      <w:pPr>
        <w:ind w:left="360" w:hanging="191"/>
        <w:spacing w:after="0"/>
        <w:tabs>
          <w:tab w:leader="none" w:pos="360" w:val="left"/>
        </w:tabs>
        <w:numPr>
          <w:ilvl w:val="0"/>
          <w:numId w:val="96"/>
        </w:numPr>
        <w:rPr>
          <w:rFonts w:ascii="Arial" w:cs="Arial" w:eastAsia="Arial" w:hAnsi="Arial"/>
          <w:sz w:val="16"/>
          <w:szCs w:val="16"/>
          <w:b w:val="1"/>
          <w:bCs w:val="1"/>
          <w:color w:val="D7282F"/>
        </w:rPr>
      </w:pPr>
      <w:r>
        <w:rPr>
          <w:rFonts w:ascii="Arial" w:cs="Arial" w:eastAsia="Arial" w:hAnsi="Arial"/>
          <w:sz w:val="16"/>
          <w:szCs w:val="16"/>
          <w:color w:val="auto"/>
        </w:rPr>
        <w:t>Consult with management about what information is to be sent to the Board.</w:t>
      </w:r>
    </w:p>
    <w:p>
      <w:pPr>
        <w:spacing w:after="0" w:line="86" w:lineRule="exact"/>
        <w:rPr>
          <w:rFonts w:ascii="Arial" w:cs="Arial" w:eastAsia="Arial" w:hAnsi="Arial"/>
          <w:sz w:val="16"/>
          <w:szCs w:val="16"/>
          <w:b w:val="1"/>
          <w:bCs w:val="1"/>
          <w:color w:val="D7282F"/>
        </w:rPr>
      </w:pPr>
    </w:p>
    <w:p>
      <w:pPr>
        <w:ind w:left="360" w:hanging="191"/>
        <w:spacing w:after="0"/>
        <w:tabs>
          <w:tab w:leader="none" w:pos="360" w:val="left"/>
        </w:tabs>
        <w:numPr>
          <w:ilvl w:val="0"/>
          <w:numId w:val="96"/>
        </w:numPr>
        <w:rPr>
          <w:rFonts w:ascii="Arial" w:cs="Arial" w:eastAsia="Arial" w:hAnsi="Arial"/>
          <w:sz w:val="16"/>
          <w:szCs w:val="16"/>
          <w:b w:val="1"/>
          <w:bCs w:val="1"/>
          <w:color w:val="D7282F"/>
        </w:rPr>
      </w:pPr>
      <w:r>
        <w:rPr>
          <w:rFonts w:ascii="Arial" w:cs="Arial" w:eastAsia="Arial" w:hAnsi="Arial"/>
          <w:sz w:val="16"/>
          <w:szCs w:val="16"/>
          <w:color w:val="auto"/>
        </w:rPr>
        <w:t>Identify key strategic direction and operational issues upon which the Board’s annual core agenda is based.</w:t>
      </w:r>
    </w:p>
    <w:p>
      <w:pPr>
        <w:spacing w:after="0" w:line="86" w:lineRule="exact"/>
        <w:rPr>
          <w:rFonts w:ascii="Arial" w:cs="Arial" w:eastAsia="Arial" w:hAnsi="Arial"/>
          <w:sz w:val="16"/>
          <w:szCs w:val="16"/>
          <w:b w:val="1"/>
          <w:bCs w:val="1"/>
          <w:color w:val="D7282F"/>
        </w:rPr>
      </w:pPr>
    </w:p>
    <w:p>
      <w:pPr>
        <w:ind w:left="360" w:hanging="191"/>
        <w:spacing w:after="0"/>
        <w:tabs>
          <w:tab w:leader="none" w:pos="360" w:val="left"/>
        </w:tabs>
        <w:numPr>
          <w:ilvl w:val="0"/>
          <w:numId w:val="96"/>
        </w:numPr>
        <w:rPr>
          <w:rFonts w:ascii="Arial" w:cs="Arial" w:eastAsia="Arial" w:hAnsi="Arial"/>
          <w:sz w:val="16"/>
          <w:szCs w:val="16"/>
          <w:b w:val="1"/>
          <w:bCs w:val="1"/>
          <w:color w:val="D7282F"/>
        </w:rPr>
      </w:pPr>
      <w:r>
        <w:rPr>
          <w:rFonts w:ascii="Arial" w:cs="Arial" w:eastAsia="Arial" w:hAnsi="Arial"/>
          <w:sz w:val="16"/>
          <w:szCs w:val="16"/>
          <w:color w:val="auto"/>
        </w:rPr>
        <w:t>Serve as an ex officio member of each committee on which he or she does not otherwise serve.</w:t>
      </w:r>
    </w:p>
    <w:p>
      <w:pPr>
        <w:spacing w:after="0" w:line="343"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The independent Lead Director is selected biennially by Honeywell’s independent directors to serve a two-year term, considering the independent Lead Director selection criteria memorialized in the Company's Corporate Governance Guidelines. Taking these criteria into account, the independent directors unanimously elected Michael W. Lamach to serve as Lead Director for a term that will commence on the date of the Annual Meeting and expire at the 2028 Annual Meeting of Shareowners. Mr. Lamach has served on the Board for two years, and as the former Chairman and Chief Executive Officer of Trane Technologies plc as it executed its separation from Ingersoll-Rand, has significant experience leading a large public company through a portfolio transformation and thereafter.</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2026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31</w:t>
            </w:r>
          </w:p>
        </w:tc>
      </w:tr>
      <w:tr>
        <w:trPr>
          <w:trHeight w:val="373"/>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6" w:name="page37"/>
    <w:bookmarkEnd w:id="36"/>
    <w:p>
      <w:pPr>
        <w:spacing w:after="0"/>
        <w:rPr>
          <w:sz w:val="20"/>
          <w:szCs w:val="20"/>
          <w:color w:val="auto"/>
        </w:rPr>
      </w:pPr>
      <w:r>
        <w:rPr>
          <w:rFonts w:ascii="Arial" w:cs="Arial" w:eastAsia="Arial" w:hAnsi="Arial"/>
          <w:sz w:val="13"/>
          <w:szCs w:val="13"/>
          <w:b w:val="1"/>
          <w:bCs w:val="1"/>
          <w:color w:val="6D6E71"/>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3820" w:type="dxa"/>
            <w:vAlign w:val="bottom"/>
            <w:tcBorders>
              <w:right w:val="single" w:sz="8" w:color="auto"/>
            </w:tcBorders>
            <w:shd w:val="clear" w:color="auto" w:fill="D7282F"/>
          </w:tcPr>
          <w:p>
            <w:pPr>
              <w:ind w:left="100"/>
              <w:spacing w:after="0"/>
              <w:rPr>
                <w:sz w:val="20"/>
                <w:szCs w:val="20"/>
                <w:color w:val="auto"/>
              </w:rPr>
            </w:pPr>
            <w:r>
              <w:rPr>
                <w:rFonts w:ascii="Arial" w:cs="Arial" w:eastAsia="Arial" w:hAnsi="Arial"/>
                <w:sz w:val="18"/>
                <w:szCs w:val="18"/>
                <w:b w:val="1"/>
                <w:bCs w:val="1"/>
                <w:color w:val="FFFFFF"/>
              </w:rPr>
              <w:t>SELECTION CRITERIA</w:t>
            </w:r>
          </w:p>
        </w:tc>
        <w:tc>
          <w:tcPr>
            <w:tcW w:w="7400" w:type="dxa"/>
            <w:vAlign w:val="bottom"/>
            <w:shd w:val="clear" w:color="auto" w:fill="000000"/>
          </w:tcPr>
          <w:p>
            <w:pPr>
              <w:ind w:left="100"/>
              <w:spacing w:after="0"/>
              <w:rPr>
                <w:sz w:val="20"/>
                <w:szCs w:val="20"/>
                <w:color w:val="auto"/>
              </w:rPr>
            </w:pPr>
            <w:r>
              <w:rPr>
                <w:rFonts w:ascii="Arial" w:cs="Arial" w:eastAsia="Arial" w:hAnsi="Arial"/>
                <w:sz w:val="18"/>
                <w:szCs w:val="18"/>
                <w:b w:val="1"/>
                <w:bCs w:val="1"/>
                <w:color w:val="FFFFFF"/>
              </w:rPr>
              <w:t>MR. LAMACH'S QUALIFICATIONS</w:t>
            </w:r>
          </w:p>
        </w:tc>
      </w:tr>
      <w:tr>
        <w:trPr>
          <w:trHeight w:val="83"/>
        </w:trPr>
        <w:tc>
          <w:tcPr>
            <w:tcW w:w="3820" w:type="dxa"/>
            <w:vAlign w:val="bottom"/>
            <w:tcBorders>
              <w:right w:val="single" w:sz="8" w:color="auto"/>
            </w:tcBorders>
            <w:shd w:val="clear" w:color="auto" w:fill="D7282F"/>
          </w:tcPr>
          <w:p>
            <w:pPr>
              <w:spacing w:after="0"/>
              <w:rPr>
                <w:sz w:val="7"/>
                <w:szCs w:val="7"/>
                <w:color w:val="auto"/>
              </w:rPr>
            </w:pPr>
          </w:p>
        </w:tc>
        <w:tc>
          <w:tcPr>
            <w:tcW w:w="7400" w:type="dxa"/>
            <w:vAlign w:val="bottom"/>
            <w:shd w:val="clear" w:color="auto" w:fill="000000"/>
          </w:tcPr>
          <w:p>
            <w:pPr>
              <w:spacing w:after="0"/>
              <w:rPr>
                <w:sz w:val="7"/>
                <w:szCs w:val="7"/>
                <w:color w:val="auto"/>
              </w:rPr>
            </w:pPr>
          </w:p>
        </w:tc>
      </w:tr>
      <w:tr>
        <w:trPr>
          <w:trHeight w:val="229"/>
        </w:trPr>
        <w:tc>
          <w:tcPr>
            <w:tcW w:w="3820" w:type="dxa"/>
            <w:vAlign w:val="bottom"/>
            <w:tcBorders>
              <w:right w:val="single" w:sz="8" w:color="D7282F"/>
            </w:tcBorders>
          </w:tcPr>
          <w:p>
            <w:pPr>
              <w:ind w:left="100"/>
              <w:spacing w:after="0"/>
              <w:rPr>
                <w:sz w:val="20"/>
                <w:szCs w:val="20"/>
                <w:color w:val="auto"/>
              </w:rPr>
            </w:pPr>
            <w:r>
              <w:rPr>
                <w:rFonts w:ascii="Arial" w:cs="Arial" w:eastAsia="Arial" w:hAnsi="Arial"/>
                <w:sz w:val="16"/>
                <w:szCs w:val="16"/>
                <w:b w:val="1"/>
                <w:bCs w:val="1"/>
                <w:color w:val="D7282F"/>
              </w:rPr>
              <w:t xml:space="preserve">Commitment. </w:t>
            </w:r>
            <w:r>
              <w:rPr>
                <w:rFonts w:ascii="Arial" w:cs="Arial" w:eastAsia="Arial" w:hAnsi="Arial"/>
                <w:sz w:val="16"/>
                <w:szCs w:val="16"/>
                <w:color w:val="000000"/>
              </w:rPr>
              <w:t>Able to commit to the level of</w:t>
            </w:r>
          </w:p>
        </w:tc>
        <w:tc>
          <w:tcPr>
            <w:tcW w:w="7400" w:type="dxa"/>
            <w:vAlign w:val="bottom"/>
          </w:tcPr>
          <w:p>
            <w:pPr>
              <w:ind w:left="340"/>
              <w:spacing w:after="0"/>
              <w:rPr>
                <w:sz w:val="20"/>
                <w:szCs w:val="20"/>
                <w:color w:val="auto"/>
              </w:rPr>
            </w:pPr>
            <w:r>
              <w:rPr>
                <w:rFonts w:ascii="Arial" w:cs="Arial" w:eastAsia="Arial" w:hAnsi="Arial"/>
                <w:sz w:val="16"/>
                <w:szCs w:val="16"/>
                <w:color w:val="auto"/>
              </w:rPr>
              <w:t>Mr. Lamach excelled in his role as Audit Chair, which required a significant time commitment and</w:t>
            </w:r>
          </w:p>
        </w:tc>
      </w:tr>
      <w:tr>
        <w:trPr>
          <w:trHeight w:val="188"/>
        </w:trPr>
        <w:tc>
          <w:tcPr>
            <w:tcW w:w="3820" w:type="dxa"/>
            <w:vAlign w:val="bottom"/>
            <w:tcBorders>
              <w:right w:val="single" w:sz="8" w:color="D7282F"/>
            </w:tcBorders>
          </w:tcPr>
          <w:p>
            <w:pPr>
              <w:ind w:left="100"/>
              <w:spacing w:after="0"/>
              <w:rPr>
                <w:sz w:val="20"/>
                <w:szCs w:val="20"/>
                <w:color w:val="auto"/>
              </w:rPr>
            </w:pPr>
            <w:r>
              <w:rPr>
                <w:rFonts w:ascii="Arial" w:cs="Arial" w:eastAsia="Arial" w:hAnsi="Arial"/>
                <w:sz w:val="16"/>
                <w:szCs w:val="16"/>
                <w:color w:val="auto"/>
              </w:rPr>
              <w:t>engagement required to meet the responsibilities</w:t>
            </w:r>
          </w:p>
        </w:tc>
        <w:tc>
          <w:tcPr>
            <w:tcW w:w="7400" w:type="dxa"/>
            <w:vAlign w:val="bottom"/>
          </w:tcPr>
          <w:p>
            <w:pPr>
              <w:ind w:left="340"/>
              <w:spacing w:after="0"/>
              <w:rPr>
                <w:sz w:val="20"/>
                <w:szCs w:val="20"/>
                <w:color w:val="auto"/>
              </w:rPr>
            </w:pPr>
            <w:r>
              <w:rPr>
                <w:rFonts w:ascii="Arial" w:cs="Arial" w:eastAsia="Arial" w:hAnsi="Arial"/>
                <w:sz w:val="16"/>
                <w:szCs w:val="16"/>
                <w:color w:val="auto"/>
              </w:rPr>
              <w:t>proactive engagement with management and his fellow directors to oversee the significant</w:t>
            </w:r>
          </w:p>
        </w:tc>
      </w:tr>
      <w:tr>
        <w:trPr>
          <w:trHeight w:val="228"/>
        </w:trPr>
        <w:tc>
          <w:tcPr>
            <w:tcW w:w="3820" w:type="dxa"/>
            <w:vAlign w:val="bottom"/>
            <w:tcBorders>
              <w:right w:val="single" w:sz="8" w:color="D7282F"/>
            </w:tcBorders>
          </w:tcPr>
          <w:p>
            <w:pPr>
              <w:ind w:left="100"/>
              <w:spacing w:after="0"/>
              <w:rPr>
                <w:sz w:val="20"/>
                <w:szCs w:val="20"/>
                <w:color w:val="auto"/>
              </w:rPr>
            </w:pPr>
            <w:r>
              <w:rPr>
                <w:rFonts w:ascii="Arial" w:cs="Arial" w:eastAsia="Arial" w:hAnsi="Arial"/>
                <w:sz w:val="16"/>
                <w:szCs w:val="16"/>
                <w:color w:val="auto"/>
              </w:rPr>
              <w:t>of the role.</w:t>
            </w:r>
          </w:p>
        </w:tc>
        <w:tc>
          <w:tcPr>
            <w:tcW w:w="7400" w:type="dxa"/>
            <w:vAlign w:val="bottom"/>
          </w:tcPr>
          <w:p>
            <w:pPr>
              <w:ind w:left="340"/>
              <w:spacing w:after="0"/>
              <w:rPr>
                <w:sz w:val="20"/>
                <w:szCs w:val="20"/>
                <w:color w:val="auto"/>
              </w:rPr>
            </w:pPr>
            <w:r>
              <w:rPr>
                <w:rFonts w:ascii="Arial" w:cs="Arial" w:eastAsia="Arial" w:hAnsi="Arial"/>
                <w:sz w:val="16"/>
                <w:szCs w:val="16"/>
                <w:color w:val="auto"/>
              </w:rPr>
              <w:t>portfolio transformation and simplification activities that have taken place during his tenure.</w:t>
            </w:r>
          </w:p>
        </w:tc>
      </w:tr>
      <w:tr>
        <w:trPr>
          <w:trHeight w:val="83"/>
        </w:trPr>
        <w:tc>
          <w:tcPr>
            <w:tcW w:w="3820" w:type="dxa"/>
            <w:vAlign w:val="bottom"/>
            <w:tcBorders>
              <w:bottom w:val="single" w:sz="8" w:color="939598"/>
              <w:right w:val="single" w:sz="8" w:color="D7282F"/>
            </w:tcBorders>
          </w:tcPr>
          <w:p>
            <w:pPr>
              <w:spacing w:after="0"/>
              <w:rPr>
                <w:sz w:val="7"/>
                <w:szCs w:val="7"/>
                <w:color w:val="auto"/>
              </w:rPr>
            </w:pPr>
          </w:p>
        </w:tc>
        <w:tc>
          <w:tcPr>
            <w:tcW w:w="7400" w:type="dxa"/>
            <w:vAlign w:val="bottom"/>
            <w:tcBorders>
              <w:bottom w:val="single" w:sz="8" w:color="939598"/>
            </w:tcBorders>
          </w:tcPr>
          <w:p>
            <w:pPr>
              <w:spacing w:after="0"/>
              <w:rPr>
                <w:sz w:val="7"/>
                <w:szCs w:val="7"/>
                <w:color w:val="auto"/>
              </w:rPr>
            </w:pPr>
          </w:p>
        </w:tc>
      </w:tr>
      <w:tr>
        <w:trPr>
          <w:trHeight w:val="223"/>
        </w:trPr>
        <w:tc>
          <w:tcPr>
            <w:tcW w:w="3820" w:type="dxa"/>
            <w:vAlign w:val="bottom"/>
            <w:tcBorders>
              <w:right w:val="single" w:sz="8" w:color="D7282F"/>
            </w:tcBorders>
          </w:tcPr>
          <w:p>
            <w:pPr>
              <w:ind w:left="100"/>
              <w:spacing w:after="0"/>
              <w:rPr>
                <w:sz w:val="20"/>
                <w:szCs w:val="20"/>
                <w:color w:val="auto"/>
              </w:rPr>
            </w:pPr>
            <w:r>
              <w:rPr>
                <w:rFonts w:ascii="Arial" w:cs="Arial" w:eastAsia="Arial" w:hAnsi="Arial"/>
                <w:sz w:val="16"/>
                <w:szCs w:val="16"/>
                <w:b w:val="1"/>
                <w:bCs w:val="1"/>
                <w:color w:val="D7282F"/>
              </w:rPr>
              <w:t xml:space="preserve">Effective Communication. </w:t>
            </w:r>
            <w:r>
              <w:rPr>
                <w:rFonts w:ascii="Arial" w:cs="Arial" w:eastAsia="Arial" w:hAnsi="Arial"/>
                <w:sz w:val="16"/>
                <w:szCs w:val="16"/>
                <w:color w:val="000000"/>
              </w:rPr>
              <w:t>Able to facilitate</w:t>
            </w:r>
          </w:p>
        </w:tc>
        <w:tc>
          <w:tcPr>
            <w:tcW w:w="7400" w:type="dxa"/>
            <w:vAlign w:val="bottom"/>
          </w:tcPr>
          <w:p>
            <w:pPr>
              <w:ind w:left="340"/>
              <w:spacing w:after="0"/>
              <w:rPr>
                <w:sz w:val="20"/>
                <w:szCs w:val="20"/>
                <w:color w:val="auto"/>
              </w:rPr>
            </w:pPr>
            <w:r>
              <w:rPr>
                <w:rFonts w:ascii="Arial" w:cs="Arial" w:eastAsia="Arial" w:hAnsi="Arial"/>
                <w:sz w:val="16"/>
                <w:szCs w:val="16"/>
                <w:color w:val="auto"/>
              </w:rPr>
              <w:t>As Audit Chair, Mr. Lamach demonstrated effective communication and engagement with directors</w:t>
            </w:r>
          </w:p>
        </w:tc>
      </w:tr>
      <w:tr>
        <w:trPr>
          <w:trHeight w:val="188"/>
        </w:trPr>
        <w:tc>
          <w:tcPr>
            <w:tcW w:w="3820" w:type="dxa"/>
            <w:vAlign w:val="bottom"/>
            <w:tcBorders>
              <w:right w:val="single" w:sz="8" w:color="D7282F"/>
            </w:tcBorders>
          </w:tcPr>
          <w:p>
            <w:pPr>
              <w:ind w:left="100"/>
              <w:spacing w:after="0"/>
              <w:rPr>
                <w:sz w:val="20"/>
                <w:szCs w:val="20"/>
                <w:color w:val="auto"/>
              </w:rPr>
            </w:pPr>
            <w:r>
              <w:rPr>
                <w:rFonts w:ascii="Arial" w:cs="Arial" w:eastAsia="Arial" w:hAnsi="Arial"/>
                <w:sz w:val="16"/>
                <w:szCs w:val="16"/>
                <w:color w:val="auto"/>
              </w:rPr>
              <w:t>discussions among Board members and engage</w:t>
            </w:r>
          </w:p>
        </w:tc>
        <w:tc>
          <w:tcPr>
            <w:tcW w:w="7400" w:type="dxa"/>
            <w:vAlign w:val="bottom"/>
          </w:tcPr>
          <w:p>
            <w:pPr>
              <w:ind w:left="340"/>
              <w:spacing w:after="0"/>
              <w:rPr>
                <w:sz w:val="20"/>
                <w:szCs w:val="20"/>
                <w:color w:val="auto"/>
              </w:rPr>
            </w:pPr>
            <w:r>
              <w:rPr>
                <w:rFonts w:ascii="Arial" w:cs="Arial" w:eastAsia="Arial" w:hAnsi="Arial"/>
                <w:sz w:val="16"/>
                <w:szCs w:val="16"/>
                <w:color w:val="auto"/>
              </w:rPr>
              <w:t>and management, particularly during the Company's evaluation of acquisition and portfolio</w:t>
            </w:r>
          </w:p>
        </w:tc>
      </w:tr>
      <w:tr>
        <w:trPr>
          <w:trHeight w:val="203"/>
        </w:trPr>
        <w:tc>
          <w:tcPr>
            <w:tcW w:w="3820" w:type="dxa"/>
            <w:vAlign w:val="bottom"/>
            <w:tcBorders>
              <w:right w:val="single" w:sz="8" w:color="D7282F"/>
            </w:tcBorders>
          </w:tcPr>
          <w:p>
            <w:pPr>
              <w:ind w:left="100"/>
              <w:spacing w:after="0"/>
              <w:rPr>
                <w:sz w:val="20"/>
                <w:szCs w:val="20"/>
                <w:color w:val="auto"/>
              </w:rPr>
            </w:pPr>
            <w:r>
              <w:rPr>
                <w:rFonts w:ascii="Arial" w:cs="Arial" w:eastAsia="Arial" w:hAnsi="Arial"/>
                <w:sz w:val="16"/>
                <w:szCs w:val="16"/>
                <w:color w:val="auto"/>
              </w:rPr>
              <w:t>with shareowners and key stakeholders.</w:t>
            </w:r>
          </w:p>
        </w:tc>
        <w:tc>
          <w:tcPr>
            <w:tcW w:w="7400" w:type="dxa"/>
            <w:vAlign w:val="bottom"/>
          </w:tcPr>
          <w:p>
            <w:pPr>
              <w:ind w:left="340"/>
              <w:spacing w:after="0"/>
              <w:rPr>
                <w:sz w:val="20"/>
                <w:szCs w:val="20"/>
                <w:color w:val="auto"/>
              </w:rPr>
            </w:pPr>
            <w:r>
              <w:rPr>
                <w:rFonts w:ascii="Arial" w:cs="Arial" w:eastAsia="Arial" w:hAnsi="Arial"/>
                <w:sz w:val="16"/>
                <w:szCs w:val="16"/>
                <w:color w:val="auto"/>
              </w:rPr>
              <w:t>transformation opportunities, culminating in the decision to pursue a full separation from</w:t>
            </w:r>
          </w:p>
        </w:tc>
      </w:tr>
      <w:tr>
        <w:trPr>
          <w:trHeight w:val="189"/>
        </w:trPr>
        <w:tc>
          <w:tcPr>
            <w:tcW w:w="3820" w:type="dxa"/>
            <w:vAlign w:val="bottom"/>
            <w:tcBorders>
              <w:right w:val="single" w:sz="8" w:color="D7282F"/>
            </w:tcBorders>
          </w:tcPr>
          <w:p>
            <w:pPr>
              <w:spacing w:after="0"/>
              <w:rPr>
                <w:sz w:val="16"/>
                <w:szCs w:val="16"/>
                <w:color w:val="auto"/>
              </w:rPr>
            </w:pPr>
          </w:p>
        </w:tc>
        <w:tc>
          <w:tcPr>
            <w:tcW w:w="7400" w:type="dxa"/>
            <w:vAlign w:val="bottom"/>
          </w:tcPr>
          <w:p>
            <w:pPr>
              <w:ind w:left="340"/>
              <w:spacing w:after="0"/>
              <w:rPr>
                <w:sz w:val="20"/>
                <w:szCs w:val="20"/>
                <w:color w:val="auto"/>
              </w:rPr>
            </w:pPr>
            <w:r>
              <w:rPr>
                <w:rFonts w:ascii="Arial" w:cs="Arial" w:eastAsia="Arial" w:hAnsi="Arial"/>
                <w:sz w:val="16"/>
                <w:szCs w:val="16"/>
                <w:color w:val="auto"/>
              </w:rPr>
              <w:t>Honeywell Aerospace. During the CEO transition and portfolio review, he engaged effectively with</w:t>
            </w:r>
          </w:p>
        </w:tc>
      </w:tr>
      <w:tr>
        <w:trPr>
          <w:trHeight w:val="215"/>
        </w:trPr>
        <w:tc>
          <w:tcPr>
            <w:tcW w:w="3820" w:type="dxa"/>
            <w:vAlign w:val="bottom"/>
            <w:tcBorders>
              <w:right w:val="single" w:sz="8" w:color="D7282F"/>
            </w:tcBorders>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6"/>
                <w:szCs w:val="16"/>
                <w:color w:val="auto"/>
              </w:rPr>
              <w:t>directors, management and key stakeholders to support clear and informed decision-making.</w:t>
            </w:r>
          </w:p>
        </w:tc>
      </w:tr>
      <w:tr>
        <w:trPr>
          <w:trHeight w:val="97"/>
        </w:trPr>
        <w:tc>
          <w:tcPr>
            <w:tcW w:w="3820" w:type="dxa"/>
            <w:vAlign w:val="bottom"/>
            <w:tcBorders>
              <w:bottom w:val="single" w:sz="8" w:color="939598"/>
              <w:right w:val="single" w:sz="8" w:color="D7282F"/>
            </w:tcBorders>
          </w:tcPr>
          <w:p>
            <w:pPr>
              <w:spacing w:after="0"/>
              <w:rPr>
                <w:sz w:val="8"/>
                <w:szCs w:val="8"/>
                <w:color w:val="auto"/>
              </w:rPr>
            </w:pPr>
          </w:p>
        </w:tc>
        <w:tc>
          <w:tcPr>
            <w:tcW w:w="7400" w:type="dxa"/>
            <w:vAlign w:val="bottom"/>
            <w:tcBorders>
              <w:bottom w:val="single" w:sz="8" w:color="939598"/>
            </w:tcBorders>
          </w:tcPr>
          <w:p>
            <w:pPr>
              <w:spacing w:after="0"/>
              <w:rPr>
                <w:sz w:val="8"/>
                <w:szCs w:val="8"/>
                <w:color w:val="auto"/>
              </w:rPr>
            </w:pPr>
          </w:p>
        </w:tc>
      </w:tr>
      <w:tr>
        <w:trPr>
          <w:trHeight w:val="223"/>
        </w:trPr>
        <w:tc>
          <w:tcPr>
            <w:tcW w:w="3820" w:type="dxa"/>
            <w:vAlign w:val="bottom"/>
            <w:tcBorders>
              <w:right w:val="single" w:sz="8" w:color="D7282F"/>
            </w:tcBorders>
          </w:tcPr>
          <w:p>
            <w:pPr>
              <w:ind w:left="100"/>
              <w:spacing w:after="0"/>
              <w:rPr>
                <w:sz w:val="20"/>
                <w:szCs w:val="20"/>
                <w:color w:val="auto"/>
              </w:rPr>
            </w:pPr>
            <w:r>
              <w:rPr>
                <w:rFonts w:ascii="Arial" w:cs="Arial" w:eastAsia="Arial" w:hAnsi="Arial"/>
                <w:sz w:val="16"/>
                <w:szCs w:val="16"/>
                <w:b w:val="1"/>
                <w:bCs w:val="1"/>
                <w:color w:val="D7282F"/>
              </w:rPr>
              <w:t xml:space="preserve">Rapport. </w:t>
            </w:r>
            <w:r>
              <w:rPr>
                <w:rFonts w:ascii="Arial" w:cs="Arial" w:eastAsia="Arial" w:hAnsi="Arial"/>
                <w:sz w:val="16"/>
                <w:szCs w:val="16"/>
                <w:color w:val="000000"/>
              </w:rPr>
              <w:t>Strong rapport with other members of</w:t>
            </w:r>
          </w:p>
        </w:tc>
        <w:tc>
          <w:tcPr>
            <w:tcW w:w="7400" w:type="dxa"/>
            <w:vAlign w:val="bottom"/>
          </w:tcPr>
          <w:p>
            <w:pPr>
              <w:ind w:left="340"/>
              <w:spacing w:after="0"/>
              <w:rPr>
                <w:sz w:val="20"/>
                <w:szCs w:val="20"/>
                <w:color w:val="auto"/>
              </w:rPr>
            </w:pPr>
            <w:r>
              <w:rPr>
                <w:rFonts w:ascii="Arial" w:cs="Arial" w:eastAsia="Arial" w:hAnsi="Arial"/>
                <w:sz w:val="16"/>
                <w:szCs w:val="16"/>
                <w:color w:val="auto"/>
              </w:rPr>
              <w:t>Mr. Lamach is held in high esteem by his fellow Board members and has developed a strong</w:t>
            </w:r>
          </w:p>
        </w:tc>
      </w:tr>
      <w:tr>
        <w:trPr>
          <w:trHeight w:val="202"/>
        </w:trPr>
        <w:tc>
          <w:tcPr>
            <w:tcW w:w="3820" w:type="dxa"/>
            <w:vAlign w:val="bottom"/>
            <w:tcBorders>
              <w:right w:val="single" w:sz="8" w:color="D7282F"/>
            </w:tcBorders>
          </w:tcPr>
          <w:p>
            <w:pPr>
              <w:ind w:left="100"/>
              <w:spacing w:after="0"/>
              <w:rPr>
                <w:sz w:val="20"/>
                <w:szCs w:val="20"/>
                <w:color w:val="auto"/>
              </w:rPr>
            </w:pPr>
            <w:r>
              <w:rPr>
                <w:rFonts w:ascii="Arial" w:cs="Arial" w:eastAsia="Arial" w:hAnsi="Arial"/>
                <w:sz w:val="16"/>
                <w:szCs w:val="16"/>
                <w:color w:val="auto"/>
              </w:rPr>
              <w:t>the Board.</w:t>
            </w:r>
          </w:p>
        </w:tc>
        <w:tc>
          <w:tcPr>
            <w:tcW w:w="7400" w:type="dxa"/>
            <w:vAlign w:val="bottom"/>
          </w:tcPr>
          <w:p>
            <w:pPr>
              <w:ind w:left="340"/>
              <w:spacing w:after="0"/>
              <w:rPr>
                <w:sz w:val="20"/>
                <w:szCs w:val="20"/>
                <w:color w:val="auto"/>
              </w:rPr>
            </w:pPr>
            <w:r>
              <w:rPr>
                <w:rFonts w:ascii="Arial" w:cs="Arial" w:eastAsia="Arial" w:hAnsi="Arial"/>
                <w:sz w:val="16"/>
                <w:szCs w:val="16"/>
                <w:color w:val="auto"/>
              </w:rPr>
              <w:t>rapport with each director. He is frequently looked to for his perspective during discussions in the</w:t>
            </w:r>
          </w:p>
        </w:tc>
      </w:tr>
      <w:tr>
        <w:trPr>
          <w:trHeight w:val="215"/>
        </w:trPr>
        <w:tc>
          <w:tcPr>
            <w:tcW w:w="3820" w:type="dxa"/>
            <w:vAlign w:val="bottom"/>
            <w:tcBorders>
              <w:right w:val="single" w:sz="8" w:color="D7282F"/>
            </w:tcBorders>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6"/>
                <w:szCs w:val="16"/>
                <w:color w:val="auto"/>
              </w:rPr>
              <w:t>boardroom.</w:t>
            </w:r>
          </w:p>
        </w:tc>
      </w:tr>
      <w:tr>
        <w:trPr>
          <w:trHeight w:val="83"/>
        </w:trPr>
        <w:tc>
          <w:tcPr>
            <w:tcW w:w="3820" w:type="dxa"/>
            <w:vAlign w:val="bottom"/>
            <w:tcBorders>
              <w:bottom w:val="single" w:sz="8" w:color="939598"/>
              <w:right w:val="single" w:sz="8" w:color="D7282F"/>
            </w:tcBorders>
          </w:tcPr>
          <w:p>
            <w:pPr>
              <w:spacing w:after="0"/>
              <w:rPr>
                <w:sz w:val="7"/>
                <w:szCs w:val="7"/>
                <w:color w:val="auto"/>
              </w:rPr>
            </w:pPr>
          </w:p>
        </w:tc>
        <w:tc>
          <w:tcPr>
            <w:tcW w:w="7400" w:type="dxa"/>
            <w:vAlign w:val="bottom"/>
            <w:tcBorders>
              <w:bottom w:val="single" w:sz="8" w:color="939598"/>
            </w:tcBorders>
          </w:tcPr>
          <w:p>
            <w:pPr>
              <w:spacing w:after="0"/>
              <w:rPr>
                <w:sz w:val="7"/>
                <w:szCs w:val="7"/>
                <w:color w:val="auto"/>
              </w:rPr>
            </w:pPr>
          </w:p>
        </w:tc>
      </w:tr>
      <w:tr>
        <w:trPr>
          <w:trHeight w:val="223"/>
        </w:trPr>
        <w:tc>
          <w:tcPr>
            <w:tcW w:w="3820" w:type="dxa"/>
            <w:vAlign w:val="bottom"/>
            <w:tcBorders>
              <w:right w:val="single" w:sz="8" w:color="D7282F"/>
            </w:tcBorders>
          </w:tcPr>
          <w:p>
            <w:pPr>
              <w:ind w:left="100"/>
              <w:spacing w:after="0"/>
              <w:rPr>
                <w:sz w:val="20"/>
                <w:szCs w:val="20"/>
                <w:color w:val="auto"/>
              </w:rPr>
            </w:pPr>
            <w:r>
              <w:rPr>
                <w:rFonts w:ascii="Arial" w:cs="Arial" w:eastAsia="Arial" w:hAnsi="Arial"/>
                <w:sz w:val="16"/>
                <w:szCs w:val="16"/>
                <w:b w:val="1"/>
                <w:bCs w:val="1"/>
                <w:color w:val="D7282F"/>
              </w:rPr>
              <w:t xml:space="preserve">Integrity. </w:t>
            </w:r>
            <w:r>
              <w:rPr>
                <w:rFonts w:ascii="Arial" w:cs="Arial" w:eastAsia="Arial" w:hAnsi="Arial"/>
                <w:sz w:val="16"/>
                <w:szCs w:val="16"/>
                <w:color w:val="000000"/>
              </w:rPr>
              <w:t>High personal integrity and</w:t>
            </w:r>
          </w:p>
        </w:tc>
        <w:tc>
          <w:tcPr>
            <w:tcW w:w="7400" w:type="dxa"/>
            <w:vAlign w:val="bottom"/>
          </w:tcPr>
          <w:p>
            <w:pPr>
              <w:ind w:left="340"/>
              <w:spacing w:after="0"/>
              <w:rPr>
                <w:sz w:val="20"/>
                <w:szCs w:val="20"/>
                <w:color w:val="auto"/>
              </w:rPr>
            </w:pPr>
            <w:r>
              <w:rPr>
                <w:rFonts w:ascii="Arial" w:cs="Arial" w:eastAsia="Arial" w:hAnsi="Arial"/>
                <w:sz w:val="16"/>
                <w:szCs w:val="16"/>
                <w:color w:val="auto"/>
              </w:rPr>
              <w:t>Mr. Lamach has conducted himself in accordance with the highest ethical standards throughout</w:t>
            </w:r>
          </w:p>
        </w:tc>
      </w:tr>
      <w:tr>
        <w:trPr>
          <w:trHeight w:val="202"/>
        </w:trPr>
        <w:tc>
          <w:tcPr>
            <w:tcW w:w="3820" w:type="dxa"/>
            <w:vAlign w:val="bottom"/>
            <w:tcBorders>
              <w:right w:val="single" w:sz="8" w:color="D7282F"/>
            </w:tcBorders>
          </w:tcPr>
          <w:p>
            <w:pPr>
              <w:ind w:left="100"/>
              <w:spacing w:after="0"/>
              <w:rPr>
                <w:sz w:val="20"/>
                <w:szCs w:val="20"/>
                <w:color w:val="auto"/>
              </w:rPr>
            </w:pPr>
            <w:r>
              <w:rPr>
                <w:rFonts w:ascii="Arial" w:cs="Arial" w:eastAsia="Arial" w:hAnsi="Arial"/>
                <w:sz w:val="16"/>
                <w:szCs w:val="16"/>
                <w:color w:val="auto"/>
              </w:rPr>
              <w:t>ethical character.</w:t>
            </w:r>
          </w:p>
        </w:tc>
        <w:tc>
          <w:tcPr>
            <w:tcW w:w="7400" w:type="dxa"/>
            <w:vAlign w:val="bottom"/>
          </w:tcPr>
          <w:p>
            <w:pPr>
              <w:ind w:left="340"/>
              <w:spacing w:after="0"/>
              <w:rPr>
                <w:sz w:val="20"/>
                <w:szCs w:val="20"/>
                <w:color w:val="auto"/>
              </w:rPr>
            </w:pPr>
            <w:r>
              <w:rPr>
                <w:rFonts w:ascii="Arial" w:cs="Arial" w:eastAsia="Arial" w:hAnsi="Arial"/>
                <w:sz w:val="16"/>
                <w:szCs w:val="16"/>
                <w:color w:val="auto"/>
              </w:rPr>
              <w:t>his career. As Chair of the Audit Committee, Mr. Lamach leads the Board’s oversight of</w:t>
            </w:r>
          </w:p>
        </w:tc>
      </w:tr>
      <w:tr>
        <w:trPr>
          <w:trHeight w:val="189"/>
        </w:trPr>
        <w:tc>
          <w:tcPr>
            <w:tcW w:w="3820" w:type="dxa"/>
            <w:vAlign w:val="bottom"/>
            <w:tcBorders>
              <w:right w:val="single" w:sz="8" w:color="D7282F"/>
            </w:tcBorders>
          </w:tcPr>
          <w:p>
            <w:pPr>
              <w:spacing w:after="0"/>
              <w:rPr>
                <w:sz w:val="16"/>
                <w:szCs w:val="16"/>
                <w:color w:val="auto"/>
              </w:rPr>
            </w:pPr>
          </w:p>
        </w:tc>
        <w:tc>
          <w:tcPr>
            <w:tcW w:w="7400" w:type="dxa"/>
            <w:vAlign w:val="bottom"/>
          </w:tcPr>
          <w:p>
            <w:pPr>
              <w:ind w:left="340"/>
              <w:spacing w:after="0"/>
              <w:rPr>
                <w:sz w:val="20"/>
                <w:szCs w:val="20"/>
                <w:color w:val="auto"/>
              </w:rPr>
            </w:pPr>
            <w:r>
              <w:rPr>
                <w:rFonts w:ascii="Arial" w:cs="Arial" w:eastAsia="Arial" w:hAnsi="Arial"/>
                <w:sz w:val="16"/>
                <w:szCs w:val="16"/>
                <w:color w:val="auto"/>
              </w:rPr>
              <w:t>compliance matters, controls and investigations. Mr. Lamach also supported the 2024 amendment</w:t>
            </w:r>
          </w:p>
        </w:tc>
      </w:tr>
      <w:tr>
        <w:trPr>
          <w:trHeight w:val="189"/>
        </w:trPr>
        <w:tc>
          <w:tcPr>
            <w:tcW w:w="3820" w:type="dxa"/>
            <w:vAlign w:val="bottom"/>
            <w:tcBorders>
              <w:right w:val="single" w:sz="8" w:color="D7282F"/>
            </w:tcBorders>
          </w:tcPr>
          <w:p>
            <w:pPr>
              <w:spacing w:after="0"/>
              <w:rPr>
                <w:sz w:val="16"/>
                <w:szCs w:val="16"/>
                <w:color w:val="auto"/>
              </w:rPr>
            </w:pPr>
          </w:p>
        </w:tc>
        <w:tc>
          <w:tcPr>
            <w:tcW w:w="7400" w:type="dxa"/>
            <w:vAlign w:val="bottom"/>
          </w:tcPr>
          <w:p>
            <w:pPr>
              <w:ind w:left="340"/>
              <w:spacing w:after="0"/>
              <w:rPr>
                <w:sz w:val="20"/>
                <w:szCs w:val="20"/>
                <w:color w:val="auto"/>
              </w:rPr>
            </w:pPr>
            <w:r>
              <w:rPr>
                <w:rFonts w:ascii="Arial" w:cs="Arial" w:eastAsia="Arial" w:hAnsi="Arial"/>
                <w:sz w:val="16"/>
                <w:szCs w:val="16"/>
                <w:color w:val="auto"/>
              </w:rPr>
              <w:t>of the Audit Committee charter to specify that the Chief Compliance Officer be invited to all</w:t>
            </w:r>
          </w:p>
        </w:tc>
      </w:tr>
      <w:tr>
        <w:trPr>
          <w:trHeight w:val="215"/>
        </w:trPr>
        <w:tc>
          <w:tcPr>
            <w:tcW w:w="3820" w:type="dxa"/>
            <w:vAlign w:val="bottom"/>
            <w:tcBorders>
              <w:right w:val="single" w:sz="8" w:color="D7282F"/>
            </w:tcBorders>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6"/>
                <w:szCs w:val="16"/>
                <w:color w:val="auto"/>
              </w:rPr>
              <w:t>committee meetings.</w:t>
            </w:r>
          </w:p>
        </w:tc>
      </w:tr>
      <w:tr>
        <w:trPr>
          <w:trHeight w:val="97"/>
        </w:trPr>
        <w:tc>
          <w:tcPr>
            <w:tcW w:w="3820" w:type="dxa"/>
            <w:vAlign w:val="bottom"/>
            <w:tcBorders>
              <w:bottom w:val="single" w:sz="8" w:color="939598"/>
              <w:right w:val="single" w:sz="8" w:color="D7282F"/>
            </w:tcBorders>
          </w:tcPr>
          <w:p>
            <w:pPr>
              <w:spacing w:after="0"/>
              <w:rPr>
                <w:sz w:val="8"/>
                <w:szCs w:val="8"/>
                <w:color w:val="auto"/>
              </w:rPr>
            </w:pPr>
          </w:p>
        </w:tc>
        <w:tc>
          <w:tcPr>
            <w:tcW w:w="7400" w:type="dxa"/>
            <w:vAlign w:val="bottom"/>
            <w:tcBorders>
              <w:bottom w:val="single" w:sz="8" w:color="939598"/>
            </w:tcBorders>
          </w:tcPr>
          <w:p>
            <w:pPr>
              <w:spacing w:after="0"/>
              <w:rPr>
                <w:sz w:val="8"/>
                <w:szCs w:val="8"/>
                <w:color w:val="auto"/>
              </w:rPr>
            </w:pPr>
          </w:p>
        </w:tc>
      </w:tr>
      <w:tr>
        <w:trPr>
          <w:trHeight w:val="223"/>
        </w:trPr>
        <w:tc>
          <w:tcPr>
            <w:tcW w:w="3820" w:type="dxa"/>
            <w:vAlign w:val="bottom"/>
            <w:tcBorders>
              <w:right w:val="single" w:sz="8" w:color="D7282F"/>
            </w:tcBorders>
          </w:tcPr>
          <w:p>
            <w:pPr>
              <w:ind w:left="100"/>
              <w:spacing w:after="0"/>
              <w:rPr>
                <w:sz w:val="20"/>
                <w:szCs w:val="20"/>
                <w:color w:val="auto"/>
              </w:rPr>
            </w:pPr>
            <w:r>
              <w:rPr>
                <w:rFonts w:ascii="Arial" w:cs="Arial" w:eastAsia="Arial" w:hAnsi="Arial"/>
                <w:sz w:val="16"/>
                <w:szCs w:val="16"/>
                <w:b w:val="1"/>
                <w:bCs w:val="1"/>
                <w:color w:val="D7282F"/>
              </w:rPr>
              <w:t xml:space="preserve">Skillset. </w:t>
            </w:r>
            <w:r>
              <w:rPr>
                <w:rFonts w:ascii="Arial" w:cs="Arial" w:eastAsia="Arial" w:hAnsi="Arial"/>
                <w:sz w:val="16"/>
                <w:szCs w:val="16"/>
                <w:color w:val="000000"/>
              </w:rPr>
              <w:t>Skills and experience broadly in line with</w:t>
            </w:r>
          </w:p>
        </w:tc>
        <w:tc>
          <w:tcPr>
            <w:tcW w:w="7400" w:type="dxa"/>
            <w:vAlign w:val="bottom"/>
          </w:tcPr>
          <w:p>
            <w:pPr>
              <w:ind w:left="340"/>
              <w:spacing w:after="0"/>
              <w:rPr>
                <w:sz w:val="20"/>
                <w:szCs w:val="20"/>
                <w:color w:val="auto"/>
              </w:rPr>
            </w:pPr>
            <w:r>
              <w:rPr>
                <w:rFonts w:ascii="Arial" w:cs="Arial" w:eastAsia="Arial" w:hAnsi="Arial"/>
                <w:sz w:val="16"/>
                <w:szCs w:val="16"/>
                <w:color w:val="auto"/>
              </w:rPr>
              <w:t>Mr. Lamach's qualifications and experience are strongly aligned with the strategic skills and core</w:t>
            </w:r>
          </w:p>
        </w:tc>
      </w:tr>
      <w:tr>
        <w:trPr>
          <w:trHeight w:val="202"/>
        </w:trPr>
        <w:tc>
          <w:tcPr>
            <w:tcW w:w="3820" w:type="dxa"/>
            <w:vAlign w:val="bottom"/>
            <w:tcBorders>
              <w:right w:val="single" w:sz="8" w:color="D7282F"/>
            </w:tcBorders>
          </w:tcPr>
          <w:p>
            <w:pPr>
              <w:ind w:left="100"/>
              <w:spacing w:after="0"/>
              <w:rPr>
                <w:sz w:val="20"/>
                <w:szCs w:val="20"/>
                <w:color w:val="auto"/>
              </w:rPr>
            </w:pPr>
            <w:r>
              <w:rPr>
                <w:rFonts w:ascii="Arial" w:cs="Arial" w:eastAsia="Arial" w:hAnsi="Arial"/>
                <w:sz w:val="16"/>
                <w:szCs w:val="16"/>
                <w:color w:val="auto"/>
              </w:rPr>
              <w:t>Honeywell’s corporate strategy.</w:t>
            </w:r>
          </w:p>
        </w:tc>
        <w:tc>
          <w:tcPr>
            <w:tcW w:w="7400" w:type="dxa"/>
            <w:vAlign w:val="bottom"/>
          </w:tcPr>
          <w:p>
            <w:pPr>
              <w:ind w:left="340"/>
              <w:spacing w:after="0"/>
              <w:rPr>
                <w:sz w:val="20"/>
                <w:szCs w:val="20"/>
                <w:color w:val="auto"/>
              </w:rPr>
            </w:pPr>
            <w:r>
              <w:rPr>
                <w:rFonts w:ascii="Arial" w:cs="Arial" w:eastAsia="Arial" w:hAnsi="Arial"/>
                <w:sz w:val="16"/>
                <w:szCs w:val="16"/>
                <w:color w:val="auto"/>
              </w:rPr>
              <w:t>competencies that are critical for Honeywell Board members. As the former Chair and CEO of</w:t>
            </w:r>
          </w:p>
        </w:tc>
      </w:tr>
      <w:tr>
        <w:trPr>
          <w:trHeight w:val="189"/>
        </w:trPr>
        <w:tc>
          <w:tcPr>
            <w:tcW w:w="3820" w:type="dxa"/>
            <w:vAlign w:val="bottom"/>
            <w:tcBorders>
              <w:right w:val="single" w:sz="8" w:color="D7282F"/>
            </w:tcBorders>
          </w:tcPr>
          <w:p>
            <w:pPr>
              <w:spacing w:after="0"/>
              <w:rPr>
                <w:sz w:val="16"/>
                <w:szCs w:val="16"/>
                <w:color w:val="auto"/>
              </w:rPr>
            </w:pPr>
          </w:p>
        </w:tc>
        <w:tc>
          <w:tcPr>
            <w:tcW w:w="7400" w:type="dxa"/>
            <w:vAlign w:val="bottom"/>
          </w:tcPr>
          <w:p>
            <w:pPr>
              <w:ind w:left="340"/>
              <w:spacing w:after="0"/>
              <w:rPr>
                <w:sz w:val="20"/>
                <w:szCs w:val="20"/>
                <w:color w:val="auto"/>
              </w:rPr>
            </w:pPr>
            <w:r>
              <w:rPr>
                <w:rFonts w:ascii="Arial" w:cs="Arial" w:eastAsia="Arial" w:hAnsi="Arial"/>
                <w:sz w:val="16"/>
                <w:szCs w:val="16"/>
                <w:color w:val="auto"/>
              </w:rPr>
              <w:t>Trane Technologies, Mr. Lamach led a large, public company, including through a complex spin-off</w:t>
            </w:r>
          </w:p>
        </w:tc>
      </w:tr>
      <w:tr>
        <w:trPr>
          <w:trHeight w:val="189"/>
        </w:trPr>
        <w:tc>
          <w:tcPr>
            <w:tcW w:w="3820" w:type="dxa"/>
            <w:vAlign w:val="bottom"/>
            <w:tcBorders>
              <w:right w:val="single" w:sz="8" w:color="D7282F"/>
            </w:tcBorders>
          </w:tcPr>
          <w:p>
            <w:pPr>
              <w:spacing w:after="0"/>
              <w:rPr>
                <w:sz w:val="16"/>
                <w:szCs w:val="16"/>
                <w:color w:val="auto"/>
              </w:rPr>
            </w:pPr>
          </w:p>
        </w:tc>
        <w:tc>
          <w:tcPr>
            <w:tcW w:w="7400" w:type="dxa"/>
            <w:vAlign w:val="bottom"/>
          </w:tcPr>
          <w:p>
            <w:pPr>
              <w:ind w:left="340"/>
              <w:spacing w:after="0"/>
              <w:rPr>
                <w:sz w:val="20"/>
                <w:szCs w:val="20"/>
                <w:color w:val="auto"/>
              </w:rPr>
            </w:pPr>
            <w:r>
              <w:rPr>
                <w:rFonts w:ascii="Arial" w:cs="Arial" w:eastAsia="Arial" w:hAnsi="Arial"/>
                <w:sz w:val="16"/>
                <w:szCs w:val="16"/>
                <w:color w:val="auto"/>
              </w:rPr>
              <w:t>transaction, and had a strong reputation for driving growth and sustainable value creation. He has</w:t>
            </w:r>
          </w:p>
        </w:tc>
      </w:tr>
      <w:tr>
        <w:trPr>
          <w:trHeight w:val="189"/>
        </w:trPr>
        <w:tc>
          <w:tcPr>
            <w:tcW w:w="3820" w:type="dxa"/>
            <w:vAlign w:val="bottom"/>
            <w:tcBorders>
              <w:right w:val="single" w:sz="8" w:color="D7282F"/>
            </w:tcBorders>
          </w:tcPr>
          <w:p>
            <w:pPr>
              <w:spacing w:after="0"/>
              <w:rPr>
                <w:sz w:val="16"/>
                <w:szCs w:val="16"/>
                <w:color w:val="auto"/>
              </w:rPr>
            </w:pPr>
          </w:p>
        </w:tc>
        <w:tc>
          <w:tcPr>
            <w:tcW w:w="7400" w:type="dxa"/>
            <w:vAlign w:val="bottom"/>
          </w:tcPr>
          <w:p>
            <w:pPr>
              <w:ind w:left="340"/>
              <w:spacing w:after="0"/>
              <w:rPr>
                <w:sz w:val="20"/>
                <w:szCs w:val="20"/>
                <w:color w:val="auto"/>
              </w:rPr>
            </w:pPr>
            <w:r>
              <w:rPr>
                <w:rFonts w:ascii="Arial" w:cs="Arial" w:eastAsia="Arial" w:hAnsi="Arial"/>
                <w:sz w:val="16"/>
                <w:szCs w:val="16"/>
                <w:color w:val="auto"/>
              </w:rPr>
              <w:t>deep knowledge in sustainability, as well as engineering, mergers and acquisitions and enterprise-</w:t>
            </w:r>
          </w:p>
        </w:tc>
      </w:tr>
      <w:tr>
        <w:trPr>
          <w:trHeight w:val="176"/>
        </w:trPr>
        <w:tc>
          <w:tcPr>
            <w:tcW w:w="3820" w:type="dxa"/>
            <w:vAlign w:val="bottom"/>
            <w:tcBorders>
              <w:right w:val="single" w:sz="8" w:color="D7282F"/>
            </w:tcBorders>
          </w:tcPr>
          <w:p>
            <w:pPr>
              <w:spacing w:after="0"/>
              <w:rPr>
                <w:sz w:val="15"/>
                <w:szCs w:val="15"/>
                <w:color w:val="auto"/>
              </w:rPr>
            </w:pPr>
          </w:p>
        </w:tc>
        <w:tc>
          <w:tcPr>
            <w:tcW w:w="7400" w:type="dxa"/>
            <w:vAlign w:val="bottom"/>
          </w:tcPr>
          <w:p>
            <w:pPr>
              <w:ind w:left="340"/>
              <w:spacing w:after="0" w:line="175" w:lineRule="exact"/>
              <w:rPr>
                <w:sz w:val="20"/>
                <w:szCs w:val="20"/>
                <w:color w:val="auto"/>
              </w:rPr>
            </w:pPr>
            <w:r>
              <w:rPr>
                <w:rFonts w:ascii="Arial" w:cs="Arial" w:eastAsia="Arial" w:hAnsi="Arial"/>
                <w:sz w:val="16"/>
                <w:szCs w:val="16"/>
                <w:color w:val="auto"/>
              </w:rPr>
              <w:t>wide digital transformation and operations, and his experiences are well-aligned with the two key</w:t>
            </w:r>
          </w:p>
        </w:tc>
      </w:tr>
      <w:tr>
        <w:trPr>
          <w:trHeight w:val="189"/>
        </w:trPr>
        <w:tc>
          <w:tcPr>
            <w:tcW w:w="3820" w:type="dxa"/>
            <w:vAlign w:val="bottom"/>
            <w:tcBorders>
              <w:right w:val="single" w:sz="8" w:color="D7282F"/>
            </w:tcBorders>
          </w:tcPr>
          <w:p>
            <w:pPr>
              <w:spacing w:after="0"/>
              <w:rPr>
                <w:sz w:val="16"/>
                <w:szCs w:val="16"/>
                <w:color w:val="auto"/>
              </w:rPr>
            </w:pPr>
          </w:p>
        </w:tc>
        <w:tc>
          <w:tcPr>
            <w:tcW w:w="7400" w:type="dxa"/>
            <w:vAlign w:val="bottom"/>
          </w:tcPr>
          <w:p>
            <w:pPr>
              <w:ind w:left="340"/>
              <w:spacing w:after="0"/>
              <w:rPr>
                <w:sz w:val="20"/>
                <w:szCs w:val="20"/>
                <w:color w:val="auto"/>
              </w:rPr>
            </w:pPr>
            <w:r>
              <w:rPr>
                <w:rFonts w:ascii="Arial" w:cs="Arial" w:eastAsia="Arial" w:hAnsi="Arial"/>
                <w:sz w:val="16"/>
                <w:szCs w:val="16"/>
                <w:color w:val="auto"/>
              </w:rPr>
              <w:t>megatrends that will define Honeywell's strategy after the Honeywell and Honeywell Aerospace</w:t>
            </w:r>
          </w:p>
        </w:tc>
      </w:tr>
      <w:tr>
        <w:trPr>
          <w:trHeight w:val="215"/>
        </w:trPr>
        <w:tc>
          <w:tcPr>
            <w:tcW w:w="3820" w:type="dxa"/>
            <w:vAlign w:val="bottom"/>
            <w:tcBorders>
              <w:right w:val="single" w:sz="8" w:color="D7282F"/>
            </w:tcBorders>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6"/>
                <w:szCs w:val="16"/>
                <w:color w:val="auto"/>
              </w:rPr>
              <w:t>separation, namely Automation and Energy Transition.</w:t>
            </w:r>
          </w:p>
        </w:tc>
      </w:tr>
      <w:tr>
        <w:trPr>
          <w:trHeight w:val="97"/>
        </w:trPr>
        <w:tc>
          <w:tcPr>
            <w:tcW w:w="3820" w:type="dxa"/>
            <w:vAlign w:val="bottom"/>
            <w:tcBorders>
              <w:bottom w:val="single" w:sz="8" w:color="939598"/>
              <w:right w:val="single" w:sz="8" w:color="D7282F"/>
            </w:tcBorders>
          </w:tcPr>
          <w:p>
            <w:pPr>
              <w:spacing w:after="0"/>
              <w:rPr>
                <w:sz w:val="8"/>
                <w:szCs w:val="8"/>
                <w:color w:val="auto"/>
              </w:rPr>
            </w:pPr>
          </w:p>
        </w:tc>
        <w:tc>
          <w:tcPr>
            <w:tcW w:w="7400" w:type="dxa"/>
            <w:vAlign w:val="bottom"/>
            <w:tcBorders>
              <w:bottom w:val="single" w:sz="8" w:color="939598"/>
            </w:tcBorders>
          </w:tcPr>
          <w:p>
            <w:pPr>
              <w:spacing w:after="0"/>
              <w:rPr>
                <w:sz w:val="8"/>
                <w:szCs w:val="8"/>
                <w:color w:val="auto"/>
              </w:rPr>
            </w:pPr>
          </w:p>
        </w:tc>
      </w:tr>
      <w:tr>
        <w:trPr>
          <w:trHeight w:val="223"/>
        </w:trPr>
        <w:tc>
          <w:tcPr>
            <w:tcW w:w="3820" w:type="dxa"/>
            <w:vAlign w:val="bottom"/>
            <w:tcBorders>
              <w:right w:val="single" w:sz="8" w:color="D7282F"/>
            </w:tcBorders>
          </w:tcPr>
          <w:p>
            <w:pPr>
              <w:ind w:left="100"/>
              <w:spacing w:after="0"/>
              <w:rPr>
                <w:sz w:val="20"/>
                <w:szCs w:val="20"/>
                <w:color w:val="auto"/>
              </w:rPr>
            </w:pPr>
            <w:r>
              <w:rPr>
                <w:rFonts w:ascii="Arial" w:cs="Arial" w:eastAsia="Arial" w:hAnsi="Arial"/>
                <w:sz w:val="16"/>
                <w:szCs w:val="16"/>
                <w:b w:val="1"/>
                <w:bCs w:val="1"/>
                <w:color w:val="D7282F"/>
              </w:rPr>
              <w:t xml:space="preserve">Independence. </w:t>
            </w:r>
            <w:r>
              <w:rPr>
                <w:rFonts w:ascii="Arial" w:cs="Arial" w:eastAsia="Arial" w:hAnsi="Arial"/>
                <w:sz w:val="16"/>
                <w:szCs w:val="16"/>
                <w:color w:val="000000"/>
              </w:rPr>
              <w:t>Independent under SEC and</w:t>
            </w:r>
          </w:p>
        </w:tc>
        <w:tc>
          <w:tcPr>
            <w:tcW w:w="7400" w:type="dxa"/>
            <w:vAlign w:val="bottom"/>
          </w:tcPr>
          <w:p>
            <w:pPr>
              <w:ind w:left="340"/>
              <w:spacing w:after="0"/>
              <w:rPr>
                <w:sz w:val="20"/>
                <w:szCs w:val="20"/>
                <w:color w:val="auto"/>
              </w:rPr>
            </w:pPr>
            <w:r>
              <w:rPr>
                <w:rFonts w:ascii="Arial" w:cs="Arial" w:eastAsia="Arial" w:hAnsi="Arial"/>
                <w:sz w:val="16"/>
                <w:szCs w:val="16"/>
                <w:color w:val="auto"/>
              </w:rPr>
              <w:t>Mr. Lamach qualifies as an independent director in accordance with SEC, Nasdaq, and</w:t>
            </w:r>
          </w:p>
        </w:tc>
      </w:tr>
      <w:tr>
        <w:trPr>
          <w:trHeight w:val="228"/>
        </w:trPr>
        <w:tc>
          <w:tcPr>
            <w:tcW w:w="3820" w:type="dxa"/>
            <w:vAlign w:val="bottom"/>
            <w:tcBorders>
              <w:right w:val="single" w:sz="8" w:color="D7282F"/>
            </w:tcBorders>
          </w:tcPr>
          <w:p>
            <w:pPr>
              <w:ind w:left="100"/>
              <w:spacing w:after="0"/>
              <w:rPr>
                <w:sz w:val="20"/>
                <w:szCs w:val="20"/>
                <w:color w:val="auto"/>
              </w:rPr>
            </w:pPr>
            <w:r>
              <w:rPr>
                <w:rFonts w:ascii="Arial" w:cs="Arial" w:eastAsia="Arial" w:hAnsi="Arial"/>
                <w:sz w:val="16"/>
                <w:szCs w:val="16"/>
                <w:color w:val="auto"/>
              </w:rPr>
              <w:t>Nasdaq requirements.</w:t>
            </w:r>
          </w:p>
        </w:tc>
        <w:tc>
          <w:tcPr>
            <w:tcW w:w="7400" w:type="dxa"/>
            <w:vAlign w:val="bottom"/>
          </w:tcPr>
          <w:p>
            <w:pPr>
              <w:ind w:left="340"/>
              <w:spacing w:after="0"/>
              <w:rPr>
                <w:sz w:val="20"/>
                <w:szCs w:val="20"/>
                <w:color w:val="auto"/>
              </w:rPr>
            </w:pPr>
            <w:r>
              <w:rPr>
                <w:rFonts w:ascii="Arial" w:cs="Arial" w:eastAsia="Arial" w:hAnsi="Arial"/>
                <w:sz w:val="16"/>
                <w:szCs w:val="16"/>
                <w:color w:val="auto"/>
              </w:rPr>
              <w:t>Honeywell's corporate governance standards.</w:t>
            </w:r>
          </w:p>
        </w:tc>
      </w:tr>
      <w:tr>
        <w:trPr>
          <w:trHeight w:val="110"/>
        </w:trPr>
        <w:tc>
          <w:tcPr>
            <w:tcW w:w="3820" w:type="dxa"/>
            <w:vAlign w:val="bottom"/>
            <w:tcBorders>
              <w:bottom w:val="single" w:sz="8" w:color="D7282F"/>
              <w:right w:val="single" w:sz="8" w:color="D7282F"/>
            </w:tcBorders>
          </w:tcPr>
          <w:p>
            <w:pPr>
              <w:spacing w:after="0"/>
              <w:rPr>
                <w:sz w:val="9"/>
                <w:szCs w:val="9"/>
                <w:color w:val="auto"/>
              </w:rPr>
            </w:pPr>
          </w:p>
        </w:tc>
        <w:tc>
          <w:tcPr>
            <w:tcW w:w="7400" w:type="dxa"/>
            <w:vAlign w:val="bottom"/>
            <w:tcBorders>
              <w:bottom w:val="single" w:sz="8" w:color="D7282F"/>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-4036695</wp:posOffset>
            </wp:positionV>
            <wp:extent cx="8890" cy="17145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890" cy="171450"/>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-3779520</wp:posOffset>
            </wp:positionV>
            <wp:extent cx="85725" cy="6858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5725" cy="68580"/>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-3308350</wp:posOffset>
            </wp:positionV>
            <wp:extent cx="85725" cy="6858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5725" cy="68580"/>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-2588260</wp:posOffset>
            </wp:positionV>
            <wp:extent cx="85725" cy="6858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5725" cy="68580"/>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-2116455</wp:posOffset>
            </wp:positionV>
            <wp:extent cx="85725" cy="6858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5725" cy="68580"/>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-1396365</wp:posOffset>
            </wp:positionV>
            <wp:extent cx="85725" cy="6858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5725" cy="68580"/>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-325120</wp:posOffset>
            </wp:positionV>
            <wp:extent cx="85725" cy="6858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5725" cy="68580"/>
                    </a:xfrm>
                    <a:prstGeom prst="rect">
                      <a:avLst/>
                    </a:prstGeom>
                    <a:noFill/>
                  </pic:spPr>
                </pic:pic>
              </a:graphicData>
            </a:graphic>
          </wp:anchor>
        </w:drawing>
      </w:r>
    </w:p>
    <w:p>
      <w:pPr>
        <w:spacing w:after="0" w:line="346"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DIRECTOR INDEPENDENCE</w:t>
      </w:r>
    </w:p>
    <w:p>
      <w:pPr>
        <w:spacing w:after="0" w:line="141" w:lineRule="exact"/>
        <w:rPr>
          <w:sz w:val="20"/>
          <w:szCs w:val="20"/>
          <w:color w:val="auto"/>
        </w:rPr>
      </w:pPr>
    </w:p>
    <w:p>
      <w:pPr>
        <w:ind w:right="860"/>
        <w:spacing w:after="0" w:line="286" w:lineRule="auto"/>
        <w:rPr>
          <w:sz w:val="20"/>
          <w:szCs w:val="20"/>
          <w:color w:val="auto"/>
        </w:rPr>
      </w:pPr>
      <w:r>
        <w:rPr>
          <w:rFonts w:ascii="Arial" w:cs="Arial" w:eastAsia="Arial" w:hAnsi="Arial"/>
          <w:sz w:val="16"/>
          <w:szCs w:val="16"/>
          <w:color w:val="auto"/>
        </w:rPr>
        <w:t>Honeywell’s Corporate Governance Guidelines state, “the Board intends that, at all times, a substantial majority of its directors will be considered independent under relevant Nasdaq and SEC guidelines.”</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AFFIRMATIVE DETERMINATION OF INDEPENDENCE</w:t>
      </w:r>
    </w:p>
    <w:p>
      <w:pPr>
        <w:spacing w:after="0" w:line="141"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To fulfill this intent, the Board regularly reviews the independence of each non-employee director to make an affirmative determination of independence. Specifically, the CGRC conducts an annual review of the independence of the directors and reports its findings to the full Board. This year, based on the report and recommendation of the CGRC, the Board has determined that each of the non-employee director nominees standing for election to the Board at the Annual Meeting — Messrs. Angove, Arnold, Ayer, Davis, Lamach, Steinberg, Watson, and Williamson and Mses. Flint, Lieblein and Nooyi — satisfies the independence criteria in the applicable Nasdaq listing standards and SEC rules (including, where applicable, the enhanced criteria with respect to members of the Audit Committee and the MDCC). Kevin Burke, Rose Lee and Robin L. Washington, who served on the Board in 2025, also satisfied the independence criteria in the applicable Nasdaq listing standards and SEC rules. Our current Chairman and CEO, Mr. Kapur, is not independent. Each Board committee member qualifies as a non-employee director within the meaning of Rule 16b-3 under the Securities Exchange Act of 1934, as amended (the Exchange Act). Members of the Audit Committee and MDCC currently meet and, during the year ended December 31, 2025, met the additional independence requirements of Nasdaq applicable to audit committee and compensation committee members.</w:t>
      </w:r>
    </w:p>
    <w:p>
      <w:pPr>
        <w:spacing w:after="0" w:line="218"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sz w:val="1"/>
          <w:szCs w:val="1"/>
          <w:color w:val="auto"/>
        </w:rPr>
        <w:drawing>
          <wp:inline distT="0" distB="0" distL="0" distR="0">
            <wp:extent cx="548640" cy="102870"/>
            <wp:effectExtent l="0" t="0" r="0" b="0"/>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2026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7" w:name="page38"/>
    <w:bookmarkEnd w:id="37"/>
    <w:p>
      <w:pPr>
        <w:jc w:val="right"/>
        <w:spacing w:after="0"/>
        <w:rPr>
          <w:sz w:val="20"/>
          <w:szCs w:val="20"/>
          <w:color w:val="auto"/>
        </w:rPr>
      </w:pPr>
      <w:r>
        <w:rPr>
          <w:rFonts w:ascii="Arial" w:cs="Arial" w:eastAsia="Arial" w:hAnsi="Arial"/>
          <w:sz w:val="13"/>
          <w:szCs w:val="13"/>
          <w:b w:val="1"/>
          <w:bCs w:val="1"/>
          <w:color w:val="6D6E71"/>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CRITERIA FOR DIRECTOR INDEPENDENCE</w:t>
      </w:r>
    </w:p>
    <w:p>
      <w:pPr>
        <w:spacing w:after="0" w:line="114"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For a director to be considered independent, the Board must determine that the director does not have any relationships with Honeywell that would interfere with the exercise of independent judgment in carrying out the responsibilities of a director. The Board considered all relevant facts and circumstances in making its determinations, including the following:</w:t>
      </w:r>
    </w:p>
    <w:p>
      <w:pPr>
        <w:spacing w:after="0" w:line="56" w:lineRule="exact"/>
        <w:rPr>
          <w:sz w:val="20"/>
          <w:szCs w:val="20"/>
          <w:color w:val="auto"/>
        </w:rPr>
      </w:pPr>
    </w:p>
    <w:p>
      <w:pPr>
        <w:ind w:left="200" w:right="180" w:hanging="192"/>
        <w:spacing w:after="0" w:line="286" w:lineRule="auto"/>
        <w:tabs>
          <w:tab w:leader="none" w:pos="197" w:val="left"/>
        </w:tabs>
        <w:numPr>
          <w:ilvl w:val="0"/>
          <w:numId w:val="97"/>
        </w:numPr>
        <w:rPr>
          <w:rFonts w:ascii="Arial" w:cs="Arial" w:eastAsia="Arial" w:hAnsi="Arial"/>
          <w:sz w:val="16"/>
          <w:szCs w:val="16"/>
          <w:b w:val="1"/>
          <w:bCs w:val="1"/>
          <w:color w:val="D7282F"/>
        </w:rPr>
      </w:pPr>
      <w:r>
        <w:rPr>
          <w:rFonts w:ascii="Arial" w:cs="Arial" w:eastAsia="Arial" w:hAnsi="Arial"/>
          <w:sz w:val="16"/>
          <w:szCs w:val="16"/>
          <w:color w:val="auto"/>
        </w:rPr>
        <w:t>No non-employee director or nominee receives any direct compensation from Honeywell other than under the director compensation program described in this Proxy Statement.</w:t>
      </w:r>
    </w:p>
    <w:p>
      <w:pPr>
        <w:spacing w:after="0" w:line="7" w:lineRule="exact"/>
        <w:rPr>
          <w:rFonts w:ascii="Arial" w:cs="Arial" w:eastAsia="Arial" w:hAnsi="Arial"/>
          <w:sz w:val="16"/>
          <w:szCs w:val="16"/>
          <w:b w:val="1"/>
          <w:bCs w:val="1"/>
          <w:color w:val="D7282F"/>
        </w:rPr>
      </w:pPr>
    </w:p>
    <w:p>
      <w:pPr>
        <w:ind w:left="200" w:right="20" w:hanging="192"/>
        <w:spacing w:after="0" w:line="286" w:lineRule="auto"/>
        <w:tabs>
          <w:tab w:leader="none" w:pos="197" w:val="left"/>
        </w:tabs>
        <w:numPr>
          <w:ilvl w:val="0"/>
          <w:numId w:val="97"/>
        </w:numPr>
        <w:rPr>
          <w:rFonts w:ascii="Arial" w:cs="Arial" w:eastAsia="Arial" w:hAnsi="Arial"/>
          <w:sz w:val="16"/>
          <w:szCs w:val="16"/>
          <w:b w:val="1"/>
          <w:bCs w:val="1"/>
          <w:color w:val="D7282F"/>
        </w:rPr>
      </w:pPr>
      <w:r>
        <w:rPr>
          <w:rFonts w:ascii="Arial" w:cs="Arial" w:eastAsia="Arial" w:hAnsi="Arial"/>
          <w:sz w:val="16"/>
          <w:szCs w:val="16"/>
          <w:color w:val="auto"/>
        </w:rPr>
        <w:t>No immediate family member (within the meaning of the Nasdaq listing standards) of any non-employee director or nominee receives direct compensation from Honeywell other than compensation received for service as a non-executive employee.</w:t>
      </w:r>
    </w:p>
    <w:p>
      <w:pPr>
        <w:spacing w:after="0" w:line="7" w:lineRule="exact"/>
        <w:rPr>
          <w:rFonts w:ascii="Arial" w:cs="Arial" w:eastAsia="Arial" w:hAnsi="Arial"/>
          <w:sz w:val="16"/>
          <w:szCs w:val="16"/>
          <w:b w:val="1"/>
          <w:bCs w:val="1"/>
          <w:color w:val="D7282F"/>
        </w:rPr>
      </w:pPr>
    </w:p>
    <w:p>
      <w:pPr>
        <w:ind w:left="200" w:hanging="192"/>
        <w:spacing w:after="0"/>
        <w:tabs>
          <w:tab w:leader="none" w:pos="200" w:val="left"/>
        </w:tabs>
        <w:numPr>
          <w:ilvl w:val="0"/>
          <w:numId w:val="97"/>
        </w:numPr>
        <w:rPr>
          <w:rFonts w:ascii="Arial" w:cs="Arial" w:eastAsia="Arial" w:hAnsi="Arial"/>
          <w:sz w:val="16"/>
          <w:szCs w:val="16"/>
          <w:b w:val="1"/>
          <w:bCs w:val="1"/>
          <w:color w:val="D7282F"/>
        </w:rPr>
      </w:pPr>
      <w:r>
        <w:rPr>
          <w:rFonts w:ascii="Arial" w:cs="Arial" w:eastAsia="Arial" w:hAnsi="Arial"/>
          <w:sz w:val="16"/>
          <w:szCs w:val="16"/>
          <w:color w:val="auto"/>
        </w:rPr>
        <w:t>No non-employee director or nominee is affiliated with Honeywell or any of its subsidiaries or affiliates.</w:t>
      </w:r>
    </w:p>
    <w:p>
      <w:pPr>
        <w:spacing w:after="0" w:line="86" w:lineRule="exact"/>
        <w:rPr>
          <w:rFonts w:ascii="Arial" w:cs="Arial" w:eastAsia="Arial" w:hAnsi="Arial"/>
          <w:sz w:val="16"/>
          <w:szCs w:val="16"/>
          <w:b w:val="1"/>
          <w:bCs w:val="1"/>
          <w:color w:val="D7282F"/>
        </w:rPr>
      </w:pPr>
    </w:p>
    <w:p>
      <w:pPr>
        <w:ind w:left="200" w:right="60" w:hanging="192"/>
        <w:spacing w:after="0" w:line="266" w:lineRule="auto"/>
        <w:tabs>
          <w:tab w:leader="none" w:pos="197" w:val="left"/>
        </w:tabs>
        <w:numPr>
          <w:ilvl w:val="0"/>
          <w:numId w:val="97"/>
        </w:numPr>
        <w:rPr>
          <w:rFonts w:ascii="Arial" w:cs="Arial" w:eastAsia="Arial" w:hAnsi="Arial"/>
          <w:sz w:val="16"/>
          <w:szCs w:val="16"/>
          <w:b w:val="1"/>
          <w:bCs w:val="1"/>
          <w:color w:val="D7282F"/>
        </w:rPr>
      </w:pPr>
      <w:r>
        <w:rPr>
          <w:rFonts w:ascii="Arial" w:cs="Arial" w:eastAsia="Arial" w:hAnsi="Arial"/>
          <w:sz w:val="16"/>
          <w:szCs w:val="16"/>
          <w:color w:val="auto"/>
        </w:rPr>
        <w:t>No non-employee director or nominee is an employee of Honeywell’s independent accountants, and no non-employee director or nominee (or any of their respective immediate family members) is a current partner of Honeywell’s independent accountants, or, within the last three years, was a partner or employee of Honeywell’s independent accountants and personally worked on Honeywell’s audit.</w:t>
      </w:r>
    </w:p>
    <w:p>
      <w:pPr>
        <w:spacing w:after="0" w:line="22" w:lineRule="exact"/>
        <w:rPr>
          <w:rFonts w:ascii="Arial" w:cs="Arial" w:eastAsia="Arial" w:hAnsi="Arial"/>
          <w:sz w:val="16"/>
          <w:szCs w:val="16"/>
          <w:b w:val="1"/>
          <w:bCs w:val="1"/>
          <w:color w:val="D7282F"/>
        </w:rPr>
      </w:pPr>
    </w:p>
    <w:p>
      <w:pPr>
        <w:ind w:left="200" w:right="380" w:hanging="192"/>
        <w:spacing w:after="0" w:line="286" w:lineRule="auto"/>
        <w:tabs>
          <w:tab w:leader="none" w:pos="197" w:val="left"/>
        </w:tabs>
        <w:numPr>
          <w:ilvl w:val="0"/>
          <w:numId w:val="97"/>
        </w:numPr>
        <w:rPr>
          <w:rFonts w:ascii="Arial" w:cs="Arial" w:eastAsia="Arial" w:hAnsi="Arial"/>
          <w:sz w:val="16"/>
          <w:szCs w:val="16"/>
          <w:b w:val="1"/>
          <w:bCs w:val="1"/>
          <w:color w:val="D7282F"/>
        </w:rPr>
      </w:pPr>
      <w:r>
        <w:rPr>
          <w:rFonts w:ascii="Arial" w:cs="Arial" w:eastAsia="Arial" w:hAnsi="Arial"/>
          <w:sz w:val="16"/>
          <w:szCs w:val="16"/>
          <w:color w:val="auto"/>
        </w:rPr>
        <w:t>No non-employee director or nominee is a member, partner, or principal of any law firm, accounting firm, or investment banking firm that receives any consulting, advisory, or other fees from Honeywell.</w:t>
      </w:r>
    </w:p>
    <w:p>
      <w:pPr>
        <w:spacing w:after="0" w:line="20" w:lineRule="exact"/>
        <w:rPr>
          <w:rFonts w:ascii="Arial" w:cs="Arial" w:eastAsia="Arial" w:hAnsi="Arial"/>
          <w:sz w:val="16"/>
          <w:szCs w:val="16"/>
          <w:b w:val="1"/>
          <w:bCs w:val="1"/>
          <w:color w:val="D7282F"/>
        </w:rPr>
      </w:pPr>
    </w:p>
    <w:p>
      <w:pPr>
        <w:ind w:left="200" w:hanging="192"/>
        <w:spacing w:after="0"/>
        <w:tabs>
          <w:tab w:leader="none" w:pos="200" w:val="left"/>
        </w:tabs>
        <w:numPr>
          <w:ilvl w:val="0"/>
          <w:numId w:val="97"/>
        </w:numPr>
        <w:rPr>
          <w:rFonts w:ascii="Arial" w:cs="Arial" w:eastAsia="Arial" w:hAnsi="Arial"/>
          <w:sz w:val="16"/>
          <w:szCs w:val="16"/>
          <w:b w:val="1"/>
          <w:bCs w:val="1"/>
          <w:color w:val="D7282F"/>
        </w:rPr>
      </w:pPr>
      <w:r>
        <w:rPr>
          <w:rFonts w:ascii="Arial" w:cs="Arial" w:eastAsia="Arial" w:hAnsi="Arial"/>
          <w:sz w:val="16"/>
          <w:szCs w:val="16"/>
          <w:color w:val="auto"/>
        </w:rPr>
        <w:t>No non-employee director or nominee has an immediate family member who is, or was during the past three years, an executive officer of Honeywell.</w:t>
      </w:r>
    </w:p>
    <w:p>
      <w:pPr>
        <w:spacing w:after="0" w:line="72" w:lineRule="exact"/>
        <w:rPr>
          <w:rFonts w:ascii="Arial" w:cs="Arial" w:eastAsia="Arial" w:hAnsi="Arial"/>
          <w:sz w:val="16"/>
          <w:szCs w:val="16"/>
          <w:b w:val="1"/>
          <w:bCs w:val="1"/>
          <w:color w:val="D7282F"/>
        </w:rPr>
      </w:pPr>
    </w:p>
    <w:p>
      <w:pPr>
        <w:ind w:left="200" w:right="80" w:hanging="192"/>
        <w:spacing w:after="0" w:line="286" w:lineRule="auto"/>
        <w:tabs>
          <w:tab w:leader="none" w:pos="197" w:val="left"/>
        </w:tabs>
        <w:numPr>
          <w:ilvl w:val="0"/>
          <w:numId w:val="97"/>
        </w:numPr>
        <w:rPr>
          <w:rFonts w:ascii="Arial" w:cs="Arial" w:eastAsia="Arial" w:hAnsi="Arial"/>
          <w:sz w:val="16"/>
          <w:szCs w:val="16"/>
          <w:b w:val="1"/>
          <w:bCs w:val="1"/>
          <w:color w:val="D7282F"/>
        </w:rPr>
      </w:pPr>
      <w:r>
        <w:rPr>
          <w:rFonts w:ascii="Arial" w:cs="Arial" w:eastAsia="Arial" w:hAnsi="Arial"/>
          <w:sz w:val="16"/>
          <w:szCs w:val="16"/>
          <w:color w:val="auto"/>
        </w:rPr>
        <w:t>No Honeywell executive officer is on the compensation committee of the board of directors of a company that employs any of our non-employee directors or nominees (or any of their respective immediate family members) as an executive officer.</w:t>
      </w:r>
    </w:p>
    <w:p>
      <w:pPr>
        <w:spacing w:after="0" w:line="7" w:lineRule="exact"/>
        <w:rPr>
          <w:rFonts w:ascii="Arial" w:cs="Arial" w:eastAsia="Arial" w:hAnsi="Arial"/>
          <w:sz w:val="16"/>
          <w:szCs w:val="16"/>
          <w:b w:val="1"/>
          <w:bCs w:val="1"/>
          <w:color w:val="D7282F"/>
        </w:rPr>
      </w:pPr>
    </w:p>
    <w:p>
      <w:pPr>
        <w:ind w:left="200" w:right="180" w:hanging="192"/>
        <w:spacing w:after="0" w:line="286" w:lineRule="auto"/>
        <w:tabs>
          <w:tab w:leader="none" w:pos="197" w:val="left"/>
        </w:tabs>
        <w:numPr>
          <w:ilvl w:val="0"/>
          <w:numId w:val="97"/>
        </w:numPr>
        <w:rPr>
          <w:rFonts w:ascii="Arial" w:cs="Arial" w:eastAsia="Arial" w:hAnsi="Arial"/>
          <w:sz w:val="16"/>
          <w:szCs w:val="16"/>
          <w:b w:val="1"/>
          <w:bCs w:val="1"/>
          <w:color w:val="D7282F"/>
        </w:rPr>
      </w:pPr>
      <w:r>
        <w:rPr>
          <w:rFonts w:ascii="Arial" w:cs="Arial" w:eastAsia="Arial" w:hAnsi="Arial"/>
          <w:sz w:val="16"/>
          <w:szCs w:val="16"/>
          <w:color w:val="auto"/>
        </w:rPr>
        <w:t>No non-employee director or nominee (or any of their respective immediate family members) is indebted to Honeywell, nor is Honeywell indebted to any non-employee director or nominee (or any of their respective immediate family members).</w:t>
      </w:r>
    </w:p>
    <w:p>
      <w:pPr>
        <w:spacing w:after="0" w:line="20" w:lineRule="exact"/>
        <w:rPr>
          <w:rFonts w:ascii="Arial" w:cs="Arial" w:eastAsia="Arial" w:hAnsi="Arial"/>
          <w:sz w:val="16"/>
          <w:szCs w:val="16"/>
          <w:b w:val="1"/>
          <w:bCs w:val="1"/>
          <w:color w:val="D7282F"/>
        </w:rPr>
      </w:pPr>
    </w:p>
    <w:p>
      <w:pPr>
        <w:ind w:left="200" w:right="180" w:hanging="192"/>
        <w:spacing w:after="0" w:line="286" w:lineRule="auto"/>
        <w:tabs>
          <w:tab w:leader="none" w:pos="197" w:val="left"/>
        </w:tabs>
        <w:numPr>
          <w:ilvl w:val="0"/>
          <w:numId w:val="97"/>
        </w:numPr>
        <w:rPr>
          <w:rFonts w:ascii="Arial" w:cs="Arial" w:eastAsia="Arial" w:hAnsi="Arial"/>
          <w:sz w:val="16"/>
          <w:szCs w:val="16"/>
          <w:b w:val="1"/>
          <w:bCs w:val="1"/>
          <w:color w:val="D7282F"/>
        </w:rPr>
      </w:pPr>
      <w:r>
        <w:rPr>
          <w:rFonts w:ascii="Arial" w:cs="Arial" w:eastAsia="Arial" w:hAnsi="Arial"/>
          <w:sz w:val="16"/>
          <w:szCs w:val="16"/>
          <w:color w:val="auto"/>
        </w:rPr>
        <w:t>No non-employee director or nominee is an executive officer of a charitable or other tax-exempt organization that received contributions from Honeywell outside our director charitable match program.</w:t>
      </w:r>
    </w:p>
    <w:p>
      <w:pPr>
        <w:spacing w:after="0" w:line="7" w:lineRule="exact"/>
        <w:rPr>
          <w:rFonts w:ascii="Arial" w:cs="Arial" w:eastAsia="Arial" w:hAnsi="Arial"/>
          <w:sz w:val="16"/>
          <w:szCs w:val="16"/>
          <w:b w:val="1"/>
          <w:bCs w:val="1"/>
          <w:color w:val="D7282F"/>
        </w:rPr>
      </w:pPr>
    </w:p>
    <w:p>
      <w:pPr>
        <w:ind w:left="200" w:right="20" w:hanging="192"/>
        <w:spacing w:after="0" w:line="259" w:lineRule="auto"/>
        <w:tabs>
          <w:tab w:leader="none" w:pos="197" w:val="left"/>
        </w:tabs>
        <w:numPr>
          <w:ilvl w:val="0"/>
          <w:numId w:val="97"/>
        </w:numPr>
        <w:rPr>
          <w:rFonts w:ascii="Arial" w:cs="Arial" w:eastAsia="Arial" w:hAnsi="Arial"/>
          <w:sz w:val="16"/>
          <w:szCs w:val="16"/>
          <w:b w:val="1"/>
          <w:bCs w:val="1"/>
          <w:color w:val="D7282F"/>
        </w:rPr>
      </w:pPr>
      <w:r>
        <w:rPr>
          <w:rFonts w:ascii="Arial" w:cs="Arial" w:eastAsia="Arial" w:hAnsi="Arial"/>
          <w:sz w:val="16"/>
          <w:szCs w:val="16"/>
          <w:color w:val="auto"/>
        </w:rPr>
        <w:t>Honeywell has commercial relationships (purchase and/or sale of products and services) with companies at which our directors serve or have served as officers within the past three years (Mr. Arnold — Eaton Corporation, Mr. Angove — Blue Yonder Group, Inc., Ms. Flint — Greater Toronto Airports Authority, Ms. Lee — Cornerstone Building Brands, Inc., Ms. Washington — Salesforce, Inc., and Mr. Williamson — Thermo Fisher Scientific Inc.). In each case:</w:t>
      </w:r>
    </w:p>
    <w:p>
      <w:pPr>
        <w:spacing w:after="0" w:line="69" w:lineRule="exact"/>
        <w:rPr>
          <w:rFonts w:ascii="Arial" w:cs="Arial" w:eastAsia="Arial" w:hAnsi="Arial"/>
          <w:sz w:val="16"/>
          <w:szCs w:val="16"/>
          <w:b w:val="1"/>
          <w:bCs w:val="1"/>
          <w:color w:val="D7282F"/>
        </w:rPr>
      </w:pPr>
    </w:p>
    <w:p>
      <w:pPr>
        <w:ind w:left="400" w:right="80" w:hanging="198"/>
        <w:spacing w:after="0" w:line="286" w:lineRule="auto"/>
        <w:tabs>
          <w:tab w:leader="none" w:pos="397" w:val="left"/>
        </w:tabs>
        <w:numPr>
          <w:ilvl w:val="1"/>
          <w:numId w:val="97"/>
        </w:numPr>
        <w:rPr>
          <w:rFonts w:ascii="Arial" w:cs="Arial" w:eastAsia="Arial" w:hAnsi="Arial"/>
          <w:sz w:val="16"/>
          <w:szCs w:val="16"/>
          <w:b w:val="1"/>
          <w:bCs w:val="1"/>
          <w:color w:val="D7282F"/>
        </w:rPr>
      </w:pPr>
      <w:r>
        <w:rPr>
          <w:rFonts w:ascii="Arial" w:cs="Arial" w:eastAsia="Arial" w:hAnsi="Arial"/>
          <w:sz w:val="16"/>
          <w:szCs w:val="16"/>
          <w:color w:val="auto"/>
        </w:rPr>
        <w:t>The relevant products and services were provided on terms and conditions determined on an arm’s-length basis and consistent with those provided by or to similarly situated customers and suppliers;</w:t>
      </w:r>
    </w:p>
    <w:p>
      <w:pPr>
        <w:spacing w:after="0" w:line="20" w:lineRule="exact"/>
        <w:rPr>
          <w:rFonts w:ascii="Arial" w:cs="Arial" w:eastAsia="Arial" w:hAnsi="Arial"/>
          <w:sz w:val="16"/>
          <w:szCs w:val="16"/>
          <w:b w:val="1"/>
          <w:bCs w:val="1"/>
          <w:color w:val="D7282F"/>
        </w:rPr>
      </w:pPr>
    </w:p>
    <w:p>
      <w:pPr>
        <w:ind w:left="400" w:hanging="198"/>
        <w:spacing w:after="0"/>
        <w:tabs>
          <w:tab w:leader="none" w:pos="400" w:val="left"/>
        </w:tabs>
        <w:numPr>
          <w:ilvl w:val="1"/>
          <w:numId w:val="97"/>
        </w:numPr>
        <w:rPr>
          <w:rFonts w:ascii="Arial" w:cs="Arial" w:eastAsia="Arial" w:hAnsi="Arial"/>
          <w:sz w:val="16"/>
          <w:szCs w:val="16"/>
          <w:b w:val="1"/>
          <w:bCs w:val="1"/>
          <w:color w:val="D7282F"/>
        </w:rPr>
      </w:pPr>
      <w:r>
        <w:rPr>
          <w:rFonts w:ascii="Arial" w:cs="Arial" w:eastAsia="Arial" w:hAnsi="Arial"/>
          <w:sz w:val="16"/>
          <w:szCs w:val="16"/>
          <w:color w:val="auto"/>
        </w:rPr>
        <w:t>The relevant director did not initiate or negotiate the relevant transaction, each of which was in the ordinary course of business of both companies; and</w:t>
      </w:r>
    </w:p>
    <w:p>
      <w:pPr>
        <w:spacing w:after="0" w:line="72" w:lineRule="exact"/>
        <w:rPr>
          <w:rFonts w:ascii="Arial" w:cs="Arial" w:eastAsia="Arial" w:hAnsi="Arial"/>
          <w:sz w:val="16"/>
          <w:szCs w:val="16"/>
          <w:b w:val="1"/>
          <w:bCs w:val="1"/>
          <w:color w:val="D7282F"/>
        </w:rPr>
      </w:pPr>
    </w:p>
    <w:p>
      <w:pPr>
        <w:ind w:left="400" w:right="60" w:hanging="198"/>
        <w:spacing w:after="0" w:line="262" w:lineRule="auto"/>
        <w:tabs>
          <w:tab w:leader="none" w:pos="397" w:val="left"/>
        </w:tabs>
        <w:numPr>
          <w:ilvl w:val="1"/>
          <w:numId w:val="97"/>
        </w:numPr>
        <w:rPr>
          <w:rFonts w:ascii="Arial" w:cs="Arial" w:eastAsia="Arial" w:hAnsi="Arial"/>
          <w:sz w:val="16"/>
          <w:szCs w:val="16"/>
          <w:b w:val="1"/>
          <w:bCs w:val="1"/>
          <w:color w:val="D7282F"/>
        </w:rPr>
      </w:pPr>
      <w:r>
        <w:rPr>
          <w:rFonts w:ascii="Arial" w:cs="Arial" w:eastAsia="Arial" w:hAnsi="Arial"/>
          <w:sz w:val="16"/>
          <w:szCs w:val="16"/>
          <w:color w:val="auto"/>
        </w:rPr>
        <w:t>The combined amount of such purchases and sales was less than 1% of the consolidated gross sales of each of Honeywell and the other company in each of the last three completed fiscal years. This level is significantly below the requirements of the Nasdaq listing standards for director independence, which use a threshold of 5% of consolidated gross revenues and apply it to each of purchases and sales rather than the combination of the two.</w:t>
      </w:r>
    </w:p>
    <w:p>
      <w:pPr>
        <w:spacing w:after="0" w:line="220" w:lineRule="exact"/>
        <w:rPr>
          <w:rFonts w:ascii="Arial" w:cs="Arial" w:eastAsia="Arial" w:hAnsi="Arial"/>
          <w:sz w:val="16"/>
          <w:szCs w:val="16"/>
          <w:b w:val="1"/>
          <w:bCs w:val="1"/>
          <w:color w:val="D7282F"/>
        </w:rPr>
      </w:pPr>
    </w:p>
    <w:p>
      <w:pPr>
        <w:ind w:left="200" w:right="20" w:hanging="192"/>
        <w:spacing w:after="0" w:line="271" w:lineRule="auto"/>
        <w:tabs>
          <w:tab w:leader="none" w:pos="197" w:val="left"/>
        </w:tabs>
        <w:numPr>
          <w:ilvl w:val="0"/>
          <w:numId w:val="97"/>
        </w:numPr>
        <w:rPr>
          <w:rFonts w:ascii="Arial" w:cs="Arial" w:eastAsia="Arial" w:hAnsi="Arial"/>
          <w:sz w:val="16"/>
          <w:szCs w:val="16"/>
          <w:b w:val="1"/>
          <w:bCs w:val="1"/>
          <w:color w:val="D7282F"/>
        </w:rPr>
      </w:pPr>
      <w:r>
        <w:rPr>
          <w:rFonts w:ascii="Arial" w:cs="Arial" w:eastAsia="Arial" w:hAnsi="Arial"/>
          <w:sz w:val="16"/>
          <w:szCs w:val="16"/>
          <w:color w:val="auto"/>
        </w:rPr>
        <w:t>While a non-employee director’s or nominee’s service as an outside director of another company with which Honeywell does business would generally not be expected to raise independence issues, the Board also considered those relationships and confirmed the absence of any material commercial relationships with any such company. Specifically, those commercial relationships were in the ordinary course of business for Honeywell and the other companies involved and were on terms and conditions available to similarly situated customers and suppliers.</w:t>
      </w:r>
    </w:p>
    <w:p>
      <w:pPr>
        <w:spacing w:after="0" w:line="60"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The above information was derived from Honeywell’s books and records and responses to questionnaires completed by directors in connection with the preparation of this Proxy Statement.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2026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33</w:t>
            </w:r>
          </w:p>
        </w:tc>
      </w:tr>
      <w:tr>
        <w:trPr>
          <w:trHeight w:val="373"/>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8" w:name="page39"/>
    <w:bookmarkEnd w:id="38"/>
    <w:p>
      <w:pPr>
        <w:spacing w:after="0"/>
        <w:rPr>
          <w:sz w:val="20"/>
          <w:szCs w:val="20"/>
          <w:color w:val="auto"/>
        </w:rPr>
      </w:pPr>
      <w:r>
        <w:rPr>
          <w:rFonts w:ascii="Arial" w:cs="Arial" w:eastAsia="Arial" w:hAnsi="Arial"/>
          <w:sz w:val="13"/>
          <w:szCs w:val="13"/>
          <w:b w:val="1"/>
          <w:bCs w:val="1"/>
          <w:color w:val="6D6E71"/>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BOARD PRACTICES AND PROCEDURES</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BOARD AND COMMITTEE MEETINGS</w:t>
      </w:r>
    </w:p>
    <w:p>
      <w:pPr>
        <w:spacing w:after="0" w:line="128" w:lineRule="exact"/>
        <w:rPr>
          <w:sz w:val="20"/>
          <w:szCs w:val="20"/>
          <w:color w:val="auto"/>
        </w:rPr>
      </w:pPr>
    </w:p>
    <w:p>
      <w:pPr>
        <w:ind w:left="200" w:right="80" w:hanging="192"/>
        <w:spacing w:after="0" w:line="275" w:lineRule="auto"/>
        <w:tabs>
          <w:tab w:leader="none" w:pos="197" w:val="left"/>
        </w:tabs>
        <w:numPr>
          <w:ilvl w:val="0"/>
          <w:numId w:val="98"/>
        </w:numPr>
        <w:rPr>
          <w:rFonts w:ascii="Arial" w:cs="Arial" w:eastAsia="Arial" w:hAnsi="Arial"/>
          <w:sz w:val="16"/>
          <w:szCs w:val="16"/>
          <w:b w:val="1"/>
          <w:bCs w:val="1"/>
          <w:color w:val="D7282F"/>
        </w:rPr>
      </w:pPr>
      <w:r>
        <w:rPr>
          <w:rFonts w:ascii="Arial" w:cs="Arial" w:eastAsia="Arial" w:hAnsi="Arial"/>
          <w:sz w:val="16"/>
          <w:szCs w:val="16"/>
          <w:b w:val="1"/>
          <w:bCs w:val="1"/>
          <w:color w:val="auto"/>
        </w:rPr>
        <w:t xml:space="preserve">Agenda. </w:t>
      </w:r>
      <w:r>
        <w:rPr>
          <w:rFonts w:ascii="Arial" w:cs="Arial" w:eastAsia="Arial" w:hAnsi="Arial"/>
          <w:sz w:val="16"/>
          <w:szCs w:val="16"/>
          <w:color w:val="auto"/>
        </w:rPr>
        <w:t>The Board and its committees perform an annual review of the agenda items to be considered for each meeting. During that review and</w:t>
      </w:r>
      <w:r>
        <w:rPr>
          <w:rFonts w:ascii="Arial" w:cs="Arial" w:eastAsia="Arial" w:hAnsi="Arial"/>
          <w:sz w:val="16"/>
          <w:szCs w:val="16"/>
          <w:b w:val="1"/>
          <w:bCs w:val="1"/>
          <w:color w:val="auto"/>
        </w:rPr>
        <w:t xml:space="preserve"> </w:t>
      </w:r>
      <w:r>
        <w:rPr>
          <w:rFonts w:ascii="Arial" w:cs="Arial" w:eastAsia="Arial" w:hAnsi="Arial"/>
          <w:sz w:val="16"/>
          <w:szCs w:val="16"/>
          <w:color w:val="auto"/>
        </w:rPr>
        <w:t>throughout the year, each Board and committee member is encouraged to suggest items for inclusion on future agendas. The independent Lead Director and Chairman each have the responsibility to approve agendas.</w:t>
      </w:r>
    </w:p>
    <w:p>
      <w:pPr>
        <w:spacing w:after="0" w:line="15" w:lineRule="exact"/>
        <w:rPr>
          <w:rFonts w:ascii="Arial" w:cs="Arial" w:eastAsia="Arial" w:hAnsi="Arial"/>
          <w:sz w:val="16"/>
          <w:szCs w:val="16"/>
          <w:b w:val="1"/>
          <w:bCs w:val="1"/>
          <w:color w:val="D7282F"/>
        </w:rPr>
      </w:pPr>
    </w:p>
    <w:p>
      <w:pPr>
        <w:ind w:left="200" w:right="220" w:hanging="192"/>
        <w:spacing w:after="0" w:line="261" w:lineRule="auto"/>
        <w:tabs>
          <w:tab w:leader="none" w:pos="197" w:val="left"/>
        </w:tabs>
        <w:numPr>
          <w:ilvl w:val="0"/>
          <w:numId w:val="98"/>
        </w:numPr>
        <w:rPr>
          <w:rFonts w:ascii="Arial" w:cs="Arial" w:eastAsia="Arial" w:hAnsi="Arial"/>
          <w:sz w:val="16"/>
          <w:szCs w:val="16"/>
          <w:b w:val="1"/>
          <w:bCs w:val="1"/>
          <w:color w:val="D7282F"/>
        </w:rPr>
      </w:pPr>
      <w:r>
        <w:rPr>
          <w:rFonts w:ascii="Arial" w:cs="Arial" w:eastAsia="Arial" w:hAnsi="Arial"/>
          <w:sz w:val="16"/>
          <w:szCs w:val="16"/>
          <w:b w:val="1"/>
          <w:bCs w:val="1"/>
          <w:color w:val="auto"/>
        </w:rPr>
        <w:t xml:space="preserve">Number of Meetings and Attendance. </w:t>
      </w:r>
      <w:r>
        <w:rPr>
          <w:rFonts w:ascii="Arial" w:cs="Arial" w:eastAsia="Arial" w:hAnsi="Arial"/>
          <w:sz w:val="16"/>
          <w:szCs w:val="16"/>
          <w:color w:val="auto"/>
        </w:rPr>
        <w:t>In 2025, the Board held six regularly scheduled meetings and two special meetings, and the committees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collectively held 16 regularly scheduled meetings and nine special meetings. The Board had 100% meeting attendance of regularly scheduled meetings and 91% attendance at special meetings. The directors’ average attendance rate at regularly scheduled meetings of the committees of which they are members was 96% and 94% at special committee meetings. Each of the directors participated in at least 97% of the aggregate of the total number of Board meetings held during the period for which he or she was a director and the total number of meetings held by all Board committees on which he or she served (during the period he or she served).</w:t>
      </w:r>
    </w:p>
    <w:p>
      <w:pPr>
        <w:spacing w:after="0" w:line="41" w:lineRule="exact"/>
        <w:rPr>
          <w:rFonts w:ascii="Arial" w:cs="Arial" w:eastAsia="Arial" w:hAnsi="Arial"/>
          <w:sz w:val="16"/>
          <w:szCs w:val="16"/>
          <w:b w:val="1"/>
          <w:bCs w:val="1"/>
          <w:color w:val="D7282F"/>
        </w:rPr>
      </w:pPr>
    </w:p>
    <w:p>
      <w:pPr>
        <w:ind w:left="200" w:right="520" w:hanging="192"/>
        <w:spacing w:after="0" w:line="286" w:lineRule="auto"/>
        <w:tabs>
          <w:tab w:leader="none" w:pos="197" w:val="left"/>
        </w:tabs>
        <w:numPr>
          <w:ilvl w:val="0"/>
          <w:numId w:val="98"/>
        </w:numPr>
        <w:rPr>
          <w:rFonts w:ascii="Arial" w:cs="Arial" w:eastAsia="Arial" w:hAnsi="Arial"/>
          <w:sz w:val="16"/>
          <w:szCs w:val="16"/>
          <w:b w:val="1"/>
          <w:bCs w:val="1"/>
          <w:color w:val="D7282F"/>
        </w:rPr>
      </w:pPr>
      <w:r>
        <w:rPr>
          <w:rFonts w:ascii="Arial" w:cs="Arial" w:eastAsia="Arial" w:hAnsi="Arial"/>
          <w:sz w:val="16"/>
          <w:szCs w:val="16"/>
          <w:b w:val="1"/>
          <w:bCs w:val="1"/>
          <w:color w:val="auto"/>
        </w:rPr>
        <w:t xml:space="preserve">Special Meetings. </w:t>
      </w:r>
      <w:r>
        <w:rPr>
          <w:rFonts w:ascii="Arial" w:cs="Arial" w:eastAsia="Arial" w:hAnsi="Arial"/>
          <w:sz w:val="16"/>
          <w:szCs w:val="16"/>
          <w:color w:val="auto"/>
        </w:rPr>
        <w:t>The Chairman, the CEO, the independent Lead Director, the CGRC Chair, and, at the request of two independent directors, the</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Corporate Secretary, are empowered and authorized to call special meetings of the Board at any time and for any reason.</w:t>
      </w:r>
    </w:p>
    <w:p>
      <w:pPr>
        <w:spacing w:after="0" w:line="20" w:lineRule="exact"/>
        <w:rPr>
          <w:rFonts w:ascii="Arial" w:cs="Arial" w:eastAsia="Arial" w:hAnsi="Arial"/>
          <w:sz w:val="16"/>
          <w:szCs w:val="16"/>
          <w:b w:val="1"/>
          <w:bCs w:val="1"/>
          <w:color w:val="D7282F"/>
        </w:rPr>
      </w:pPr>
    </w:p>
    <w:p>
      <w:pPr>
        <w:ind w:left="200" w:right="440" w:hanging="192"/>
        <w:spacing w:after="0" w:line="304" w:lineRule="auto"/>
        <w:tabs>
          <w:tab w:leader="none" w:pos="197" w:val="left"/>
        </w:tabs>
        <w:numPr>
          <w:ilvl w:val="0"/>
          <w:numId w:val="98"/>
        </w:numPr>
        <w:rPr>
          <w:rFonts w:ascii="Arial" w:cs="Arial" w:eastAsia="Arial" w:hAnsi="Arial"/>
          <w:sz w:val="16"/>
          <w:szCs w:val="16"/>
          <w:b w:val="1"/>
          <w:bCs w:val="1"/>
          <w:color w:val="D7282F"/>
        </w:rPr>
      </w:pPr>
      <w:r>
        <w:rPr>
          <w:rFonts w:ascii="Arial" w:cs="Arial" w:eastAsia="Arial" w:hAnsi="Arial"/>
          <w:sz w:val="16"/>
          <w:szCs w:val="16"/>
          <w:b w:val="1"/>
          <w:bCs w:val="1"/>
          <w:color w:val="auto"/>
        </w:rPr>
        <w:t xml:space="preserve">Board Meeting Materials. </w:t>
      </w:r>
      <w:r>
        <w:rPr>
          <w:rFonts w:ascii="Arial" w:cs="Arial" w:eastAsia="Arial" w:hAnsi="Arial"/>
          <w:sz w:val="16"/>
          <w:szCs w:val="16"/>
          <w:color w:val="auto"/>
        </w:rPr>
        <w:t>Each director receives in advance the written material to be considered at every meeting of the Board and of each Board</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(regardless of committee membership) and can provide comments and suggestions.</w:t>
      </w:r>
    </w:p>
    <w:p>
      <w:pPr>
        <w:sectPr>
          <w:pgSz w:w="11900" w:h="16838" w:orient="portrait"/>
          <w:cols w:equalWidth="0" w:num="1">
            <w:col w:w="11220"/>
          </w:cols>
          <w:pgMar w:left="320" w:top="230" w:right="35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SELF-EVALUATION</w:t>
      </w:r>
    </w:p>
    <w:p>
      <w:pPr>
        <w:spacing w:after="0" w:line="26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220" w:type="dxa"/>
            <w:vAlign w:val="bottom"/>
            <w:tcBorders>
              <w:right w:val="single" w:sz="8" w:color="D7282F"/>
            </w:tcBorders>
            <w:gridSpan w:val="2"/>
          </w:tcPr>
          <w:p>
            <w:pPr>
              <w:spacing w:after="0"/>
              <w:rPr>
                <w:sz w:val="20"/>
                <w:szCs w:val="20"/>
                <w:color w:val="auto"/>
              </w:rPr>
            </w:pPr>
            <w:r>
              <w:rPr>
                <w:rFonts w:ascii="Arial" w:cs="Arial" w:eastAsia="Arial" w:hAnsi="Arial"/>
                <w:sz w:val="16"/>
                <w:szCs w:val="16"/>
                <w:b w:val="1"/>
                <w:bCs w:val="1"/>
                <w:color w:val="auto"/>
              </w:rPr>
              <w:t>DEVELOP</w:t>
            </w:r>
          </w:p>
        </w:tc>
        <w:tc>
          <w:tcPr>
            <w:tcW w:w="2220" w:type="dxa"/>
            <w:vAlign w:val="bottom"/>
            <w:tcBorders>
              <w:right w:val="single" w:sz="8" w:color="D7282F"/>
            </w:tcBorders>
            <w:gridSpan w:val="2"/>
          </w:tcPr>
          <w:p>
            <w:pPr>
              <w:ind w:left="140"/>
              <w:spacing w:after="0"/>
              <w:rPr>
                <w:sz w:val="20"/>
                <w:szCs w:val="20"/>
                <w:color w:val="auto"/>
              </w:rPr>
            </w:pPr>
            <w:r>
              <w:rPr>
                <w:rFonts w:ascii="Arial" w:cs="Arial" w:eastAsia="Arial" w:hAnsi="Arial"/>
                <w:sz w:val="16"/>
                <w:szCs w:val="16"/>
                <w:b w:val="1"/>
                <w:bCs w:val="1"/>
                <w:color w:val="auto"/>
              </w:rPr>
              <w:t>LAUNCH</w:t>
            </w:r>
          </w:p>
        </w:tc>
        <w:tc>
          <w:tcPr>
            <w:tcW w:w="2300" w:type="dxa"/>
            <w:vAlign w:val="bottom"/>
            <w:tcBorders>
              <w:right w:val="single" w:sz="8" w:color="D7282F"/>
            </w:tcBorders>
            <w:gridSpan w:val="2"/>
          </w:tcPr>
          <w:p>
            <w:pPr>
              <w:ind w:left="140"/>
              <w:spacing w:after="0"/>
              <w:rPr>
                <w:sz w:val="20"/>
                <w:szCs w:val="20"/>
                <w:color w:val="auto"/>
              </w:rPr>
            </w:pPr>
            <w:r>
              <w:rPr>
                <w:rFonts w:ascii="Arial" w:cs="Arial" w:eastAsia="Arial" w:hAnsi="Arial"/>
                <w:sz w:val="16"/>
                <w:szCs w:val="16"/>
                <w:b w:val="1"/>
                <w:bCs w:val="1"/>
                <w:color w:val="auto"/>
              </w:rPr>
              <w:t>REVIEW</w:t>
            </w:r>
          </w:p>
        </w:tc>
      </w:tr>
      <w:tr>
        <w:trPr>
          <w:trHeight w:val="209"/>
        </w:trPr>
        <w:tc>
          <w:tcPr>
            <w:tcW w:w="1460" w:type="dxa"/>
            <w:vAlign w:val="bottom"/>
          </w:tcPr>
          <w:p>
            <w:pPr>
              <w:spacing w:after="0"/>
              <w:rPr>
                <w:sz w:val="20"/>
                <w:szCs w:val="20"/>
                <w:color w:val="auto"/>
              </w:rPr>
            </w:pPr>
            <w:r>
              <w:rPr>
                <w:rFonts w:ascii="Arial" w:cs="Arial" w:eastAsia="Arial" w:hAnsi="Arial"/>
                <w:sz w:val="16"/>
                <w:szCs w:val="16"/>
                <w:b w:val="1"/>
                <w:bCs w:val="1"/>
                <w:color w:val="auto"/>
              </w:rPr>
              <w:t>QUESTIONNAIRE</w:t>
            </w:r>
          </w:p>
        </w:tc>
        <w:tc>
          <w:tcPr>
            <w:tcW w:w="760" w:type="dxa"/>
            <w:vAlign w:val="bottom"/>
            <w:tcBorders>
              <w:top w:val="single" w:sz="8" w:color="D7282F"/>
              <w:right w:val="single" w:sz="8" w:color="D7282F"/>
            </w:tcBorders>
          </w:tcPr>
          <w:p>
            <w:pPr>
              <w:spacing w:after="0"/>
              <w:rPr>
                <w:sz w:val="18"/>
                <w:szCs w:val="18"/>
                <w:color w:val="auto"/>
              </w:rPr>
            </w:pPr>
          </w:p>
        </w:tc>
        <w:tc>
          <w:tcPr>
            <w:tcW w:w="1320" w:type="dxa"/>
            <w:vAlign w:val="bottom"/>
          </w:tcPr>
          <w:p>
            <w:pPr>
              <w:ind w:left="140"/>
              <w:spacing w:after="0"/>
              <w:rPr>
                <w:sz w:val="20"/>
                <w:szCs w:val="20"/>
                <w:color w:val="auto"/>
              </w:rPr>
            </w:pPr>
            <w:r>
              <w:rPr>
                <w:rFonts w:ascii="Arial" w:cs="Arial" w:eastAsia="Arial" w:hAnsi="Arial"/>
                <w:sz w:val="16"/>
                <w:szCs w:val="16"/>
                <w:b w:val="1"/>
                <w:bCs w:val="1"/>
                <w:color w:val="auto"/>
              </w:rPr>
              <w:t>EVALUATION</w:t>
            </w:r>
          </w:p>
        </w:tc>
        <w:tc>
          <w:tcPr>
            <w:tcW w:w="900" w:type="dxa"/>
            <w:vAlign w:val="bottom"/>
            <w:tcBorders>
              <w:top w:val="single" w:sz="8" w:color="D7282F"/>
              <w:right w:val="single" w:sz="8" w:color="D7282F"/>
            </w:tcBorders>
          </w:tcPr>
          <w:p>
            <w:pPr>
              <w:spacing w:after="0"/>
              <w:rPr>
                <w:sz w:val="18"/>
                <w:szCs w:val="18"/>
                <w:color w:val="auto"/>
              </w:rPr>
            </w:pPr>
          </w:p>
        </w:tc>
        <w:tc>
          <w:tcPr>
            <w:tcW w:w="1160" w:type="dxa"/>
            <w:vAlign w:val="bottom"/>
          </w:tcPr>
          <w:p>
            <w:pPr>
              <w:ind w:left="140"/>
              <w:spacing w:after="0"/>
              <w:rPr>
                <w:sz w:val="20"/>
                <w:szCs w:val="20"/>
                <w:color w:val="auto"/>
              </w:rPr>
            </w:pPr>
            <w:r>
              <w:rPr>
                <w:rFonts w:ascii="Arial" w:cs="Arial" w:eastAsia="Arial" w:hAnsi="Arial"/>
                <w:sz w:val="16"/>
                <w:szCs w:val="16"/>
                <w:b w:val="1"/>
                <w:bCs w:val="1"/>
                <w:color w:val="auto"/>
              </w:rPr>
              <w:t>FEEDBACK</w:t>
            </w:r>
          </w:p>
        </w:tc>
        <w:tc>
          <w:tcPr>
            <w:tcW w:w="1140" w:type="dxa"/>
            <w:vAlign w:val="bottom"/>
            <w:tcBorders>
              <w:top w:val="single" w:sz="8" w:color="D7282F"/>
              <w:right w:val="single" w:sz="8" w:color="D7282F"/>
            </w:tcBorders>
          </w:tcPr>
          <w:p>
            <w:pPr>
              <w:spacing w:after="0"/>
              <w:rPr>
                <w:sz w:val="18"/>
                <w:szCs w:val="18"/>
                <w:color w:val="auto"/>
              </w:rPr>
            </w:pPr>
          </w:p>
        </w:tc>
      </w:tr>
      <w:tr>
        <w:trPr>
          <w:trHeight w:val="391"/>
        </w:trPr>
        <w:tc>
          <w:tcPr>
            <w:tcW w:w="2220" w:type="dxa"/>
            <w:vAlign w:val="bottom"/>
            <w:gridSpan w:val="2"/>
          </w:tcPr>
          <w:p>
            <w:pPr>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The formal self-</w:t>
            </w:r>
          </w:p>
        </w:tc>
        <w:tc>
          <w:tcPr>
            <w:tcW w:w="2220" w:type="dxa"/>
            <w:vAlign w:val="bottom"/>
            <w:gridSpan w:val="2"/>
          </w:tcPr>
          <w:p>
            <w:pPr>
              <w:ind w:left="12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Members of our Board,</w:t>
            </w:r>
          </w:p>
        </w:tc>
        <w:tc>
          <w:tcPr>
            <w:tcW w:w="2300" w:type="dxa"/>
            <w:vAlign w:val="bottom"/>
            <w:gridSpan w:val="2"/>
          </w:tcPr>
          <w:p>
            <w:pPr>
              <w:ind w:left="12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Director feedback is</w:t>
            </w:r>
          </w:p>
        </w:tc>
      </w:tr>
      <w:tr>
        <w:trPr>
          <w:trHeight w:val="189"/>
        </w:trPr>
        <w:tc>
          <w:tcPr>
            <w:tcW w:w="2220" w:type="dxa"/>
            <w:vAlign w:val="bottom"/>
            <w:gridSpan w:val="2"/>
          </w:tcPr>
          <w:p>
            <w:pPr>
              <w:ind w:left="200"/>
              <w:spacing w:after="0"/>
              <w:rPr>
                <w:sz w:val="20"/>
                <w:szCs w:val="20"/>
                <w:color w:val="auto"/>
              </w:rPr>
            </w:pPr>
            <w:r>
              <w:rPr>
                <w:rFonts w:ascii="Arial" w:cs="Arial" w:eastAsia="Arial" w:hAnsi="Arial"/>
                <w:sz w:val="16"/>
                <w:szCs w:val="16"/>
                <w:color w:val="auto"/>
              </w:rPr>
              <w:t>evaluation is in the form</w:t>
            </w:r>
          </w:p>
        </w:tc>
        <w:tc>
          <w:tcPr>
            <w:tcW w:w="2220" w:type="dxa"/>
            <w:vAlign w:val="bottom"/>
            <w:gridSpan w:val="2"/>
          </w:tcPr>
          <w:p>
            <w:pPr>
              <w:ind w:left="320"/>
              <w:spacing w:after="0"/>
              <w:rPr>
                <w:sz w:val="20"/>
                <w:szCs w:val="20"/>
                <w:color w:val="auto"/>
              </w:rPr>
            </w:pPr>
            <w:r>
              <w:rPr>
                <w:rFonts w:ascii="Arial" w:cs="Arial" w:eastAsia="Arial" w:hAnsi="Arial"/>
                <w:sz w:val="16"/>
                <w:szCs w:val="16"/>
                <w:color w:val="auto"/>
              </w:rPr>
              <w:t>and each committee,</w:t>
            </w:r>
          </w:p>
        </w:tc>
        <w:tc>
          <w:tcPr>
            <w:tcW w:w="2300" w:type="dxa"/>
            <w:vAlign w:val="bottom"/>
            <w:gridSpan w:val="2"/>
          </w:tcPr>
          <w:p>
            <w:pPr>
              <w:ind w:left="320"/>
              <w:spacing w:after="0"/>
              <w:rPr>
                <w:sz w:val="20"/>
                <w:szCs w:val="20"/>
                <w:color w:val="auto"/>
              </w:rPr>
            </w:pPr>
            <w:r>
              <w:rPr>
                <w:rFonts w:ascii="Arial" w:cs="Arial" w:eastAsia="Arial" w:hAnsi="Arial"/>
                <w:sz w:val="16"/>
                <w:szCs w:val="16"/>
                <w:color w:val="auto"/>
              </w:rPr>
              <w:t>solicited from the formal</w:t>
            </w:r>
          </w:p>
        </w:tc>
      </w:tr>
      <w:tr>
        <w:trPr>
          <w:trHeight w:val="203"/>
        </w:trPr>
        <w:tc>
          <w:tcPr>
            <w:tcW w:w="2220" w:type="dxa"/>
            <w:vAlign w:val="bottom"/>
            <w:gridSpan w:val="2"/>
          </w:tcPr>
          <w:p>
            <w:pPr>
              <w:ind w:left="200"/>
              <w:spacing w:after="0"/>
              <w:rPr>
                <w:sz w:val="20"/>
                <w:szCs w:val="20"/>
                <w:color w:val="auto"/>
              </w:rPr>
            </w:pPr>
            <w:r>
              <w:rPr>
                <w:rFonts w:ascii="Arial" w:cs="Arial" w:eastAsia="Arial" w:hAnsi="Arial"/>
                <w:sz w:val="16"/>
                <w:szCs w:val="16"/>
                <w:color w:val="auto"/>
              </w:rPr>
              <w:t>of written questionnaires</w:t>
            </w:r>
          </w:p>
        </w:tc>
        <w:tc>
          <w:tcPr>
            <w:tcW w:w="2220" w:type="dxa"/>
            <w:vAlign w:val="bottom"/>
            <w:gridSpan w:val="2"/>
          </w:tcPr>
          <w:p>
            <w:pPr>
              <w:ind w:left="320"/>
              <w:spacing w:after="0"/>
              <w:rPr>
                <w:sz w:val="20"/>
                <w:szCs w:val="20"/>
                <w:color w:val="auto"/>
              </w:rPr>
            </w:pPr>
            <w:r>
              <w:rPr>
                <w:rFonts w:ascii="Arial" w:cs="Arial" w:eastAsia="Arial" w:hAnsi="Arial"/>
                <w:sz w:val="16"/>
                <w:szCs w:val="16"/>
                <w:color w:val="auto"/>
              </w:rPr>
              <w:t>participate in the formal</w:t>
            </w:r>
          </w:p>
        </w:tc>
        <w:tc>
          <w:tcPr>
            <w:tcW w:w="2300" w:type="dxa"/>
            <w:vAlign w:val="bottom"/>
            <w:gridSpan w:val="2"/>
          </w:tcPr>
          <w:p>
            <w:pPr>
              <w:ind w:left="320"/>
              <w:spacing w:after="0"/>
              <w:rPr>
                <w:sz w:val="20"/>
                <w:szCs w:val="20"/>
                <w:color w:val="auto"/>
              </w:rPr>
            </w:pPr>
            <w:r>
              <w:rPr>
                <w:rFonts w:ascii="Arial" w:cs="Arial" w:eastAsia="Arial" w:hAnsi="Arial"/>
                <w:sz w:val="16"/>
                <w:szCs w:val="16"/>
                <w:color w:val="auto"/>
              </w:rPr>
              <w:t>self-evaluation process</w:t>
            </w:r>
          </w:p>
        </w:tc>
      </w:tr>
      <w:tr>
        <w:trPr>
          <w:trHeight w:val="189"/>
        </w:trPr>
        <w:tc>
          <w:tcPr>
            <w:tcW w:w="2220" w:type="dxa"/>
            <w:vAlign w:val="bottom"/>
            <w:gridSpan w:val="2"/>
          </w:tcPr>
          <w:p>
            <w:pPr>
              <w:ind w:left="200"/>
              <w:spacing w:after="0"/>
              <w:rPr>
                <w:sz w:val="20"/>
                <w:szCs w:val="20"/>
                <w:color w:val="auto"/>
              </w:rPr>
            </w:pPr>
            <w:r>
              <w:rPr>
                <w:rFonts w:ascii="Arial" w:cs="Arial" w:eastAsia="Arial" w:hAnsi="Arial"/>
                <w:sz w:val="16"/>
                <w:szCs w:val="16"/>
                <w:color w:val="auto"/>
              </w:rPr>
              <w:t>administered by Board</w:t>
            </w:r>
          </w:p>
        </w:tc>
        <w:tc>
          <w:tcPr>
            <w:tcW w:w="2220" w:type="dxa"/>
            <w:vAlign w:val="bottom"/>
            <w:gridSpan w:val="2"/>
          </w:tcPr>
          <w:p>
            <w:pPr>
              <w:ind w:left="320"/>
              <w:spacing w:after="0"/>
              <w:rPr>
                <w:sz w:val="20"/>
                <w:szCs w:val="20"/>
                <w:color w:val="auto"/>
              </w:rPr>
            </w:pPr>
            <w:r>
              <w:rPr>
                <w:rFonts w:ascii="Arial" w:cs="Arial" w:eastAsia="Arial" w:hAnsi="Arial"/>
                <w:sz w:val="16"/>
                <w:szCs w:val="16"/>
                <w:color w:val="auto"/>
              </w:rPr>
              <w:t>evaluation process,</w:t>
            </w:r>
          </w:p>
        </w:tc>
        <w:tc>
          <w:tcPr>
            <w:tcW w:w="2300" w:type="dxa"/>
            <w:vAlign w:val="bottom"/>
            <w:gridSpan w:val="2"/>
          </w:tcPr>
          <w:p>
            <w:pPr>
              <w:ind w:left="320"/>
              <w:spacing w:after="0"/>
              <w:rPr>
                <w:sz w:val="20"/>
                <w:szCs w:val="20"/>
                <w:color w:val="auto"/>
              </w:rPr>
            </w:pPr>
            <w:r>
              <w:rPr>
                <w:rFonts w:ascii="Arial" w:cs="Arial" w:eastAsia="Arial" w:hAnsi="Arial"/>
                <w:sz w:val="16"/>
                <w:szCs w:val="16"/>
                <w:color w:val="auto"/>
              </w:rPr>
              <w:t>and is shared verbatim</w:t>
            </w:r>
          </w:p>
        </w:tc>
      </w:tr>
      <w:tr>
        <w:trPr>
          <w:trHeight w:val="189"/>
        </w:trPr>
        <w:tc>
          <w:tcPr>
            <w:tcW w:w="2220" w:type="dxa"/>
            <w:vAlign w:val="bottom"/>
            <w:gridSpan w:val="2"/>
          </w:tcPr>
          <w:p>
            <w:pPr>
              <w:ind w:left="200"/>
              <w:spacing w:after="0"/>
              <w:rPr>
                <w:sz w:val="20"/>
                <w:szCs w:val="20"/>
                <w:color w:val="auto"/>
              </w:rPr>
            </w:pPr>
            <w:r>
              <w:rPr>
                <w:rFonts w:ascii="Arial" w:cs="Arial" w:eastAsia="Arial" w:hAnsi="Arial"/>
                <w:sz w:val="16"/>
                <w:szCs w:val="16"/>
                <w:color w:val="auto"/>
              </w:rPr>
              <w:t>members, management,</w:t>
            </w:r>
          </w:p>
        </w:tc>
        <w:tc>
          <w:tcPr>
            <w:tcW w:w="2220" w:type="dxa"/>
            <w:vAlign w:val="bottom"/>
            <w:gridSpan w:val="2"/>
          </w:tcPr>
          <w:p>
            <w:pPr>
              <w:ind w:left="320"/>
              <w:spacing w:after="0"/>
              <w:rPr>
                <w:sz w:val="20"/>
                <w:szCs w:val="20"/>
                <w:color w:val="auto"/>
              </w:rPr>
            </w:pPr>
            <w:r>
              <w:rPr>
                <w:rFonts w:ascii="Arial" w:cs="Arial" w:eastAsia="Arial" w:hAnsi="Arial"/>
                <w:sz w:val="16"/>
                <w:szCs w:val="16"/>
                <w:color w:val="auto"/>
              </w:rPr>
              <w:t>responding to questions</w:t>
            </w:r>
          </w:p>
        </w:tc>
        <w:tc>
          <w:tcPr>
            <w:tcW w:w="2300" w:type="dxa"/>
            <w:vAlign w:val="bottom"/>
            <w:gridSpan w:val="2"/>
          </w:tcPr>
          <w:p>
            <w:pPr>
              <w:ind w:left="320"/>
              <w:spacing w:after="0"/>
              <w:rPr>
                <w:sz w:val="20"/>
                <w:szCs w:val="20"/>
                <w:color w:val="auto"/>
              </w:rPr>
            </w:pPr>
            <w:r>
              <w:rPr>
                <w:rFonts w:ascii="Arial" w:cs="Arial" w:eastAsia="Arial" w:hAnsi="Arial"/>
                <w:sz w:val="16"/>
                <w:szCs w:val="16"/>
                <w:color w:val="auto"/>
              </w:rPr>
              <w:t>on an anonymous basis</w:t>
            </w:r>
          </w:p>
        </w:tc>
      </w:tr>
      <w:tr>
        <w:trPr>
          <w:trHeight w:val="203"/>
        </w:trPr>
        <w:tc>
          <w:tcPr>
            <w:tcW w:w="2220" w:type="dxa"/>
            <w:vAlign w:val="bottom"/>
            <w:gridSpan w:val="2"/>
          </w:tcPr>
          <w:p>
            <w:pPr>
              <w:ind w:left="200"/>
              <w:spacing w:after="0"/>
              <w:rPr>
                <w:sz w:val="20"/>
                <w:szCs w:val="20"/>
                <w:color w:val="auto"/>
              </w:rPr>
            </w:pPr>
            <w:r>
              <w:rPr>
                <w:rFonts w:ascii="Arial" w:cs="Arial" w:eastAsia="Arial" w:hAnsi="Arial"/>
                <w:sz w:val="16"/>
                <w:szCs w:val="16"/>
                <w:color w:val="auto"/>
              </w:rPr>
              <w:t>or third parties. Each</w:t>
            </w:r>
          </w:p>
        </w:tc>
        <w:tc>
          <w:tcPr>
            <w:tcW w:w="2220" w:type="dxa"/>
            <w:vAlign w:val="bottom"/>
            <w:gridSpan w:val="2"/>
          </w:tcPr>
          <w:p>
            <w:pPr>
              <w:ind w:left="320"/>
              <w:spacing w:after="0"/>
              <w:rPr>
                <w:sz w:val="20"/>
                <w:szCs w:val="20"/>
                <w:color w:val="auto"/>
              </w:rPr>
            </w:pPr>
            <w:r>
              <w:rPr>
                <w:rFonts w:ascii="Arial" w:cs="Arial" w:eastAsia="Arial" w:hAnsi="Arial"/>
                <w:sz w:val="16"/>
                <w:szCs w:val="16"/>
                <w:color w:val="auto"/>
              </w:rPr>
              <w:t>designed to elicit</w:t>
            </w:r>
          </w:p>
        </w:tc>
        <w:tc>
          <w:tcPr>
            <w:tcW w:w="2300" w:type="dxa"/>
            <w:vAlign w:val="bottom"/>
            <w:gridSpan w:val="2"/>
          </w:tcPr>
          <w:p>
            <w:pPr>
              <w:ind w:left="320"/>
              <w:spacing w:after="0"/>
              <w:rPr>
                <w:sz w:val="20"/>
                <w:szCs w:val="20"/>
                <w:color w:val="auto"/>
              </w:rPr>
            </w:pPr>
            <w:r>
              <w:rPr>
                <w:rFonts w:ascii="Arial" w:cs="Arial" w:eastAsia="Arial" w:hAnsi="Arial"/>
                <w:sz w:val="16"/>
                <w:szCs w:val="16"/>
                <w:color w:val="auto"/>
              </w:rPr>
              <w:t>with the entire Board and</w:t>
            </w:r>
          </w:p>
        </w:tc>
      </w:tr>
      <w:tr>
        <w:trPr>
          <w:trHeight w:val="189"/>
        </w:trPr>
        <w:tc>
          <w:tcPr>
            <w:tcW w:w="2220" w:type="dxa"/>
            <w:vAlign w:val="bottom"/>
            <w:gridSpan w:val="2"/>
          </w:tcPr>
          <w:p>
            <w:pPr>
              <w:ind w:left="200"/>
              <w:spacing w:after="0"/>
              <w:rPr>
                <w:sz w:val="20"/>
                <w:szCs w:val="20"/>
                <w:color w:val="auto"/>
              </w:rPr>
            </w:pPr>
            <w:r>
              <w:rPr>
                <w:rFonts w:ascii="Arial" w:cs="Arial" w:eastAsia="Arial" w:hAnsi="Arial"/>
                <w:sz w:val="16"/>
                <w:szCs w:val="16"/>
                <w:color w:val="auto"/>
              </w:rPr>
              <w:t>year, the independent</w:t>
            </w:r>
          </w:p>
        </w:tc>
        <w:tc>
          <w:tcPr>
            <w:tcW w:w="2220" w:type="dxa"/>
            <w:vAlign w:val="bottom"/>
            <w:gridSpan w:val="2"/>
          </w:tcPr>
          <w:p>
            <w:pPr>
              <w:ind w:left="320"/>
              <w:spacing w:after="0"/>
              <w:rPr>
                <w:sz w:val="20"/>
                <w:szCs w:val="20"/>
                <w:color w:val="auto"/>
              </w:rPr>
            </w:pPr>
            <w:r>
              <w:rPr>
                <w:rFonts w:ascii="Arial" w:cs="Arial" w:eastAsia="Arial" w:hAnsi="Arial"/>
                <w:sz w:val="16"/>
                <w:szCs w:val="16"/>
                <w:color w:val="auto"/>
              </w:rPr>
              <w:t>information to be used</w:t>
            </w:r>
          </w:p>
        </w:tc>
        <w:tc>
          <w:tcPr>
            <w:tcW w:w="2300" w:type="dxa"/>
            <w:vAlign w:val="bottom"/>
            <w:gridSpan w:val="2"/>
          </w:tcPr>
          <w:p>
            <w:pPr>
              <w:ind w:left="320"/>
              <w:spacing w:after="0"/>
              <w:rPr>
                <w:sz w:val="20"/>
                <w:szCs w:val="20"/>
                <w:color w:val="auto"/>
              </w:rPr>
            </w:pPr>
            <w:r>
              <w:rPr>
                <w:rFonts w:ascii="Arial" w:cs="Arial" w:eastAsia="Arial" w:hAnsi="Arial"/>
                <w:sz w:val="16"/>
                <w:szCs w:val="16"/>
                <w:color w:val="auto"/>
              </w:rPr>
              <w:t>committee and, where</w:t>
            </w:r>
          </w:p>
        </w:tc>
      </w:tr>
      <w:tr>
        <w:trPr>
          <w:trHeight w:val="189"/>
        </w:trPr>
        <w:tc>
          <w:tcPr>
            <w:tcW w:w="2220" w:type="dxa"/>
            <w:vAlign w:val="bottom"/>
            <w:gridSpan w:val="2"/>
          </w:tcPr>
          <w:p>
            <w:pPr>
              <w:ind w:left="200"/>
              <w:spacing w:after="0"/>
              <w:rPr>
                <w:sz w:val="20"/>
                <w:szCs w:val="20"/>
                <w:color w:val="auto"/>
              </w:rPr>
            </w:pPr>
            <w:r>
              <w:rPr>
                <w:rFonts w:ascii="Arial" w:cs="Arial" w:eastAsia="Arial" w:hAnsi="Arial"/>
                <w:sz w:val="16"/>
                <w:szCs w:val="16"/>
                <w:color w:val="auto"/>
              </w:rPr>
              <w:t>Lead Director and the</w:t>
            </w:r>
          </w:p>
        </w:tc>
        <w:tc>
          <w:tcPr>
            <w:tcW w:w="2220" w:type="dxa"/>
            <w:vAlign w:val="bottom"/>
            <w:gridSpan w:val="2"/>
          </w:tcPr>
          <w:p>
            <w:pPr>
              <w:ind w:left="320"/>
              <w:spacing w:after="0"/>
              <w:rPr>
                <w:sz w:val="20"/>
                <w:szCs w:val="20"/>
                <w:color w:val="auto"/>
              </w:rPr>
            </w:pPr>
            <w:r>
              <w:rPr>
                <w:rFonts w:ascii="Arial" w:cs="Arial" w:eastAsia="Arial" w:hAnsi="Arial"/>
                <w:sz w:val="16"/>
                <w:szCs w:val="16"/>
                <w:color w:val="auto"/>
              </w:rPr>
              <w:t>for improving Board</w:t>
            </w:r>
          </w:p>
        </w:tc>
        <w:tc>
          <w:tcPr>
            <w:tcW w:w="2300" w:type="dxa"/>
            <w:vAlign w:val="bottom"/>
            <w:gridSpan w:val="2"/>
          </w:tcPr>
          <w:p>
            <w:pPr>
              <w:ind w:left="320"/>
              <w:spacing w:after="0"/>
              <w:rPr>
                <w:sz w:val="20"/>
                <w:szCs w:val="20"/>
                <w:color w:val="auto"/>
              </w:rPr>
            </w:pPr>
            <w:r>
              <w:rPr>
                <w:rFonts w:ascii="Arial" w:cs="Arial" w:eastAsia="Arial" w:hAnsi="Arial"/>
                <w:sz w:val="16"/>
                <w:szCs w:val="16"/>
                <w:color w:val="auto"/>
              </w:rPr>
              <w:t>appropriate, addressed</w:t>
            </w:r>
          </w:p>
        </w:tc>
      </w:tr>
      <w:tr>
        <w:trPr>
          <w:trHeight w:val="203"/>
        </w:trPr>
        <w:tc>
          <w:tcPr>
            <w:tcW w:w="2220" w:type="dxa"/>
            <w:vAlign w:val="bottom"/>
            <w:gridSpan w:val="2"/>
          </w:tcPr>
          <w:p>
            <w:pPr>
              <w:ind w:left="200"/>
              <w:spacing w:after="0"/>
              <w:rPr>
                <w:sz w:val="20"/>
                <w:szCs w:val="20"/>
                <w:color w:val="auto"/>
              </w:rPr>
            </w:pPr>
            <w:r>
              <w:rPr>
                <w:rFonts w:ascii="Arial" w:cs="Arial" w:eastAsia="Arial" w:hAnsi="Arial"/>
                <w:sz w:val="16"/>
                <w:szCs w:val="16"/>
                <w:color w:val="auto"/>
              </w:rPr>
              <w:t>CGRC discuss, consider,</w:t>
            </w:r>
          </w:p>
        </w:tc>
        <w:tc>
          <w:tcPr>
            <w:tcW w:w="2220" w:type="dxa"/>
            <w:vAlign w:val="bottom"/>
            <w:gridSpan w:val="2"/>
          </w:tcPr>
          <w:p>
            <w:pPr>
              <w:ind w:left="320"/>
              <w:spacing w:after="0"/>
              <w:rPr>
                <w:sz w:val="20"/>
                <w:szCs w:val="20"/>
                <w:color w:val="auto"/>
              </w:rPr>
            </w:pPr>
            <w:r>
              <w:rPr>
                <w:rFonts w:ascii="Arial" w:cs="Arial" w:eastAsia="Arial" w:hAnsi="Arial"/>
                <w:sz w:val="16"/>
                <w:szCs w:val="16"/>
                <w:color w:val="auto"/>
              </w:rPr>
              <w:t>and committee</w:t>
            </w:r>
          </w:p>
        </w:tc>
        <w:tc>
          <w:tcPr>
            <w:tcW w:w="2300" w:type="dxa"/>
            <w:vAlign w:val="bottom"/>
            <w:gridSpan w:val="2"/>
          </w:tcPr>
          <w:p>
            <w:pPr>
              <w:ind w:left="320"/>
              <w:spacing w:after="0"/>
              <w:rPr>
                <w:sz w:val="20"/>
                <w:szCs w:val="20"/>
                <w:color w:val="auto"/>
              </w:rPr>
            </w:pPr>
            <w:r>
              <w:rPr>
                <w:rFonts w:ascii="Arial" w:cs="Arial" w:eastAsia="Arial" w:hAnsi="Arial"/>
                <w:sz w:val="16"/>
                <w:szCs w:val="16"/>
                <w:color w:val="auto"/>
              </w:rPr>
              <w:t>with management.</w:t>
            </w:r>
          </w:p>
        </w:tc>
      </w:tr>
      <w:tr>
        <w:trPr>
          <w:trHeight w:val="189"/>
        </w:trPr>
        <w:tc>
          <w:tcPr>
            <w:tcW w:w="2220" w:type="dxa"/>
            <w:vAlign w:val="bottom"/>
            <w:gridSpan w:val="2"/>
          </w:tcPr>
          <w:p>
            <w:pPr>
              <w:ind w:left="200"/>
              <w:spacing w:after="0"/>
              <w:rPr>
                <w:sz w:val="20"/>
                <w:szCs w:val="20"/>
                <w:color w:val="auto"/>
              </w:rPr>
            </w:pPr>
            <w:r>
              <w:rPr>
                <w:rFonts w:ascii="Arial" w:cs="Arial" w:eastAsia="Arial" w:hAnsi="Arial"/>
                <w:sz w:val="16"/>
                <w:szCs w:val="16"/>
                <w:color w:val="auto"/>
              </w:rPr>
              <w:t>and approve the form of</w:t>
            </w:r>
          </w:p>
        </w:tc>
        <w:tc>
          <w:tcPr>
            <w:tcW w:w="2220" w:type="dxa"/>
            <w:vAlign w:val="bottom"/>
            <w:gridSpan w:val="2"/>
          </w:tcPr>
          <w:p>
            <w:pPr>
              <w:ind w:left="320"/>
              <w:spacing w:after="0"/>
              <w:rPr>
                <w:sz w:val="20"/>
                <w:szCs w:val="20"/>
                <w:color w:val="auto"/>
              </w:rPr>
            </w:pPr>
            <w:r>
              <w:rPr>
                <w:rFonts w:ascii="Arial" w:cs="Arial" w:eastAsia="Arial" w:hAnsi="Arial"/>
                <w:sz w:val="16"/>
                <w:szCs w:val="16"/>
                <w:color w:val="auto"/>
              </w:rPr>
              <w:t>effectiveness.</w:t>
            </w:r>
          </w:p>
        </w:tc>
        <w:tc>
          <w:tcPr>
            <w:tcW w:w="1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5"/>
        </w:trPr>
        <w:tc>
          <w:tcPr>
            <w:tcW w:w="2220" w:type="dxa"/>
            <w:vAlign w:val="bottom"/>
            <w:gridSpan w:val="2"/>
          </w:tcPr>
          <w:p>
            <w:pPr>
              <w:ind w:left="200"/>
              <w:spacing w:after="0"/>
              <w:rPr>
                <w:sz w:val="20"/>
                <w:szCs w:val="20"/>
                <w:color w:val="auto"/>
              </w:rPr>
            </w:pPr>
            <w:r>
              <w:rPr>
                <w:rFonts w:ascii="Arial" w:cs="Arial" w:eastAsia="Arial" w:hAnsi="Arial"/>
                <w:sz w:val="16"/>
                <w:szCs w:val="16"/>
                <w:color w:val="auto"/>
              </w:rPr>
              <w:t>the evaluation.</w:t>
            </w:r>
          </w:p>
        </w:tc>
        <w:tc>
          <w:tcPr>
            <w:tcW w:w="1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RESPOND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-124460</wp:posOffset>
            </wp:positionV>
            <wp:extent cx="771525" cy="28257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71525" cy="282575"/>
                    </a:xfrm>
                    <a:prstGeom prst="rect">
                      <a:avLst/>
                    </a:prstGeom>
                    <a:noFill/>
                  </pic:spPr>
                </pic:pic>
              </a:graphicData>
            </a:graphic>
          </wp:anchor>
        </w:drawing>
      </w:r>
    </w:p>
    <w:p>
      <w:pPr>
        <w:spacing w:after="0" w:line="1"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TO INPUT</w:t>
      </w:r>
    </w:p>
    <w:p>
      <w:pPr>
        <w:spacing w:after="0" w:line="232" w:lineRule="exact"/>
        <w:rPr>
          <w:sz w:val="20"/>
          <w:szCs w:val="20"/>
          <w:color w:val="auto"/>
        </w:rPr>
      </w:pPr>
    </w:p>
    <w:p>
      <w:pPr>
        <w:ind w:left="188" w:right="1300" w:hanging="188"/>
        <w:spacing w:after="0" w:line="257" w:lineRule="auto"/>
        <w:tabs>
          <w:tab w:leader="none" w:pos="185" w:val="left"/>
        </w:tabs>
        <w:numPr>
          <w:ilvl w:val="0"/>
          <w:numId w:val="99"/>
        </w:numPr>
        <w:rPr>
          <w:rFonts w:ascii="Arial" w:cs="Arial" w:eastAsia="Arial" w:hAnsi="Arial"/>
          <w:sz w:val="16"/>
          <w:szCs w:val="16"/>
          <w:b w:val="1"/>
          <w:bCs w:val="1"/>
          <w:color w:val="D7282F"/>
        </w:rPr>
      </w:pPr>
      <w:r>
        <w:rPr>
          <w:rFonts w:ascii="Arial" w:cs="Arial" w:eastAsia="Arial" w:hAnsi="Arial"/>
          <w:sz w:val="16"/>
          <w:szCs w:val="16"/>
          <w:color w:val="auto"/>
        </w:rPr>
        <w:t>In response to feedback from the evaluation process, the Board and committees work with management to take concrete steps to improve policies, processes, and procedures to further Board and committee effectiveness.</w:t>
      </w:r>
    </w:p>
    <w:p>
      <w:pPr>
        <w:spacing w:after="0" w:line="200" w:lineRule="exact"/>
        <w:rPr>
          <w:sz w:val="20"/>
          <w:szCs w:val="20"/>
          <w:color w:val="auto"/>
        </w:rPr>
      </w:pPr>
    </w:p>
    <w:p>
      <w:pPr>
        <w:sectPr>
          <w:pgSz w:w="11900" w:h="16838" w:orient="portrait"/>
          <w:cols w:equalWidth="0" w:num="2">
            <w:col w:w="7860" w:space="132"/>
            <w:col w:w="3228"/>
          </w:cols>
          <w:pgMar w:left="320" w:top="230" w:right="359" w:bottom="1440" w:gutter="0" w:footer="0" w:header="0"/>
          <w:type w:val="continuous"/>
        </w:sectPr>
      </w:pPr>
    </w:p>
    <w:p>
      <w:pPr>
        <w:spacing w:after="0" w:line="76" w:lineRule="exact"/>
        <w:rPr>
          <w:sz w:val="20"/>
          <w:szCs w:val="20"/>
          <w:color w:val="auto"/>
        </w:rPr>
      </w:pPr>
    </w:p>
    <w:p>
      <w:pPr>
        <w:ind w:right="240"/>
        <w:spacing w:after="0" w:line="265" w:lineRule="auto"/>
        <w:rPr>
          <w:sz w:val="20"/>
          <w:szCs w:val="20"/>
          <w:color w:val="auto"/>
        </w:rPr>
      </w:pPr>
      <w:r>
        <w:rPr>
          <w:rFonts w:ascii="Arial" w:cs="Arial" w:eastAsia="Arial" w:hAnsi="Arial"/>
          <w:sz w:val="16"/>
          <w:szCs w:val="16"/>
          <w:color w:val="auto"/>
        </w:rPr>
        <w:t>Beginning in 2025, the Board augmented the above self-evaluation process to include individual conversations with each director based on questions designed to elicit more nuanced feedback on the Board's performance as a whole as well as insights into individual director performance. Following these conversations, the Chairman of the Board and the independent Lead Director present observations that are generally applicable to the Board and communicates observations regarding an individual director's performance to the applicable director.</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EVALUATION AND NOMINATION OF DIRECTOR CANDIDATES</w:t>
      </w:r>
    </w:p>
    <w:p>
      <w:pPr>
        <w:spacing w:after="0" w:line="128"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Primary responsibility for identifying and evaluating director candidates and for recommending re-nomination of incumbent directors resides with the CGRC, which consists entirely of independent directors under applicable SEC rules and Nasdaq listing standards. Honeywell’s independent Lead Director is formally charged with the responsibility of working with the Chairman and CEO, CGRC, and the full Board to help identify and prioritize the specific skillsets, experience, and knowledge that director candidates must possess. The CGRC and independent Lead Director then establish criteria for director nominees based on these inputs.</w:t>
      </w:r>
    </w:p>
    <w:p>
      <w:pPr>
        <w:spacing w:after="0" w:line="64"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On May 28, 2025, Honeywell entered into a cooperation agreement with Elliott Investment Management L.P., and certain affiliates pursuant to which the Board agreed to increase its size to 12 members and appoint Mr. Marc Steinberg as an independent director, effective May 31, 2025, with an initial term expiring at this Annual Meeting. As part of the agreement, the parties also agreed to include Mr. Steinberg in the Company’s slate of nominees for election at this Annual Meeting and to certain voting commitments, customary standstill restrictions and mutual non-disparagement provisions. Prior to entering into the cooperation agreement, Mr. Steinberg was evaluated in accordance with the procedures described in this section.</w:t>
      </w:r>
    </w:p>
    <w:p>
      <w:pPr>
        <w:spacing w:after="0" w:line="218"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sz w:val="1"/>
          <w:szCs w:val="1"/>
          <w:color w:val="auto"/>
        </w:rPr>
        <w:drawing>
          <wp:inline distT="0" distB="0" distL="0" distR="0">
            <wp:extent cx="548640" cy="102870"/>
            <wp:effectExtent l="0" t="0" r="0" b="0"/>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2026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247015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type w:val="continuous"/>
        </w:sectPr>
      </w:pPr>
    </w:p>
    <w:bookmarkStart w:id="39" w:name="page40"/>
    <w:bookmarkEnd w:id="39"/>
    <w:p>
      <w:pPr>
        <w:jc w:val="right"/>
        <w:spacing w:after="0"/>
        <w:rPr>
          <w:sz w:val="20"/>
          <w:szCs w:val="20"/>
          <w:color w:val="auto"/>
        </w:rPr>
      </w:pPr>
      <w:r>
        <w:rPr>
          <w:rFonts w:ascii="Arial" w:cs="Arial" w:eastAsia="Arial" w:hAnsi="Arial"/>
          <w:sz w:val="13"/>
          <w:szCs w:val="13"/>
          <w:b w:val="1"/>
          <w:bCs w:val="1"/>
          <w:color w:val="6D6E71"/>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October 2025, Mr. Arnold was recommended as a director candidate by a Board member and was evaluated in accordance with the procedures described in this section.</w:t>
      </w:r>
    </w:p>
    <w:p>
      <w:pPr>
        <w:spacing w:after="0" w:line="61" w:lineRule="exact"/>
        <w:rPr>
          <w:sz w:val="20"/>
          <w:szCs w:val="20"/>
          <w:color w:val="auto"/>
        </w:rPr>
      </w:pPr>
    </w:p>
    <w:p>
      <w:pPr>
        <w:ind w:right="620"/>
        <w:spacing w:after="0" w:line="286" w:lineRule="auto"/>
        <w:rPr>
          <w:sz w:val="20"/>
          <w:szCs w:val="20"/>
          <w:color w:val="auto"/>
        </w:rPr>
      </w:pPr>
      <w:r>
        <w:rPr>
          <w:rFonts w:ascii="Arial" w:cs="Arial" w:eastAsia="Arial" w:hAnsi="Arial"/>
          <w:sz w:val="16"/>
          <w:szCs w:val="16"/>
          <w:color w:val="auto"/>
        </w:rPr>
        <w:t>In November 2025, Ms. Nooyi was recommended as a director candidate by a Board member and was evaluated in accordance with the procedures described in this section.</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describes the Board’s procedures for identifying and nominating directors for election.</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120" w:type="dxa"/>
            <w:vAlign w:val="bottom"/>
          </w:tcPr>
          <w:p>
            <w:pPr>
              <w:spacing w:after="0"/>
              <w:rPr>
                <w:sz w:val="24"/>
                <w:szCs w:val="24"/>
                <w:color w:val="auto"/>
              </w:rPr>
            </w:pPr>
          </w:p>
        </w:tc>
        <w:tc>
          <w:tcPr>
            <w:tcW w:w="240" w:type="dxa"/>
            <w:vAlign w:val="bottom"/>
            <w:shd w:val="clear" w:color="auto" w:fill="D7282F"/>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ind w:left="20"/>
              <w:spacing w:after="0"/>
              <w:rPr>
                <w:sz w:val="20"/>
                <w:szCs w:val="20"/>
                <w:color w:val="auto"/>
              </w:rPr>
            </w:pPr>
            <w:r>
              <w:rPr>
                <w:rFonts w:ascii="Arial" w:cs="Arial" w:eastAsia="Arial" w:hAnsi="Arial"/>
                <w:sz w:val="16"/>
                <w:szCs w:val="16"/>
                <w:b w:val="1"/>
                <w:bCs w:val="1"/>
                <w:color w:val="auto"/>
              </w:rPr>
              <w:t>ASSESS</w:t>
            </w:r>
          </w:p>
        </w:tc>
        <w:tc>
          <w:tcPr>
            <w:tcW w:w="7340" w:type="dxa"/>
            <w:vAlign w:val="bottom"/>
          </w:tcPr>
          <w:p>
            <w:pPr>
              <w:ind w:left="14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From time to time, the Board fills vacancies in its membership, including vacancies arising from</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240" w:type="dxa"/>
            <w:vAlign w:val="bottom"/>
            <w:shd w:val="clear" w:color="auto" w:fill="D7282F"/>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340" w:type="dxa"/>
            <w:vAlign w:val="bottom"/>
          </w:tcPr>
          <w:p>
            <w:pPr>
              <w:ind w:left="340"/>
              <w:spacing w:after="0"/>
              <w:rPr>
                <w:sz w:val="20"/>
                <w:szCs w:val="20"/>
                <w:color w:val="auto"/>
              </w:rPr>
            </w:pPr>
            <w:r>
              <w:rPr>
                <w:rFonts w:ascii="Arial" w:cs="Arial" w:eastAsia="Arial" w:hAnsi="Arial"/>
                <w:sz w:val="16"/>
                <w:szCs w:val="16"/>
                <w:color w:val="auto"/>
              </w:rPr>
              <w:t>increases in the size of the Board, using the evaluation and nomination process.</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1120" w:type="dxa"/>
            <w:vAlign w:val="bottom"/>
          </w:tcPr>
          <w:p>
            <w:pPr>
              <w:spacing w:after="0"/>
              <w:rPr>
                <w:sz w:val="7"/>
                <w:szCs w:val="7"/>
                <w:color w:val="auto"/>
              </w:rPr>
            </w:pPr>
          </w:p>
        </w:tc>
        <w:tc>
          <w:tcPr>
            <w:tcW w:w="240" w:type="dxa"/>
            <w:vAlign w:val="bottom"/>
            <w:shd w:val="clear" w:color="auto" w:fill="D7282F"/>
          </w:tcPr>
          <w:p>
            <w:pPr>
              <w:spacing w:after="0"/>
              <w:rPr>
                <w:sz w:val="7"/>
                <w:szCs w:val="7"/>
                <w:color w:val="auto"/>
              </w:rPr>
            </w:pPr>
          </w:p>
        </w:tc>
        <w:tc>
          <w:tcPr>
            <w:tcW w:w="1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73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Borders>
              <w:bottom w:val="single" w:sz="8" w:color="D7282F"/>
            </w:tcBorders>
          </w:tcPr>
          <w:p>
            <w:pPr>
              <w:spacing w:after="0"/>
              <w:rPr>
                <w:sz w:val="16"/>
                <w:szCs w:val="16"/>
                <w:color w:val="auto"/>
              </w:rPr>
            </w:pPr>
          </w:p>
        </w:tc>
        <w:tc>
          <w:tcPr>
            <w:tcW w:w="7340" w:type="dxa"/>
            <w:vAlign w:val="bottom"/>
            <w:tcBorders>
              <w:bottom w:val="single" w:sz="8" w:color="D7282F"/>
            </w:tcBorders>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IDENTIFY</w:t>
            </w:r>
          </w:p>
        </w:tc>
        <w:tc>
          <w:tcPr>
            <w:tcW w:w="7340" w:type="dxa"/>
            <w:vAlign w:val="bottom"/>
            <w:vMerge w:val="restart"/>
          </w:tcPr>
          <w:p>
            <w:pPr>
              <w:ind w:left="14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Potential director candidates meeting the criteria established by the CGRC and independent</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120" w:type="dxa"/>
            <w:vAlign w:val="bottom"/>
          </w:tcPr>
          <w:p>
            <w:pPr>
              <w:spacing w:after="0"/>
              <w:rPr>
                <w:sz w:val="22"/>
                <w:szCs w:val="22"/>
                <w:color w:val="auto"/>
              </w:rPr>
            </w:pPr>
          </w:p>
        </w:tc>
        <w:tc>
          <w:tcPr>
            <w:tcW w:w="240" w:type="dxa"/>
            <w:vAlign w:val="bottom"/>
            <w:shd w:val="clear" w:color="auto" w:fill="D7282F"/>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vMerge w:val="continue"/>
          </w:tcPr>
          <w:p>
            <w:pPr>
              <w:spacing w:after="0"/>
              <w:rPr>
                <w:sz w:val="22"/>
                <w:szCs w:val="22"/>
                <w:color w:val="auto"/>
              </w:rPr>
            </w:pPr>
          </w:p>
        </w:tc>
        <w:tc>
          <w:tcPr>
            <w:tcW w:w="7340" w:type="dxa"/>
            <w:vAlign w:val="bottom"/>
            <w:vMerge w:val="continue"/>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240" w:type="dxa"/>
            <w:vAlign w:val="bottom"/>
            <w:shd w:val="clear" w:color="auto" w:fill="D7282F"/>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340" w:type="dxa"/>
            <w:vAlign w:val="bottom"/>
          </w:tcPr>
          <w:p>
            <w:pPr>
              <w:ind w:left="340"/>
              <w:spacing w:after="0"/>
              <w:rPr>
                <w:sz w:val="20"/>
                <w:szCs w:val="20"/>
                <w:color w:val="auto"/>
              </w:rPr>
            </w:pPr>
            <w:r>
              <w:rPr>
                <w:rFonts w:ascii="Arial" w:cs="Arial" w:eastAsia="Arial" w:hAnsi="Arial"/>
                <w:sz w:val="16"/>
                <w:szCs w:val="16"/>
                <w:color w:val="auto"/>
              </w:rPr>
              <w:t>Lead Director are identified either by reputation, existing Board members, or shareowners.</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120" w:type="dxa"/>
            <w:vAlign w:val="bottom"/>
          </w:tcPr>
          <w:p>
            <w:pPr>
              <w:spacing w:after="0"/>
              <w:rPr>
                <w:sz w:val="21"/>
                <w:szCs w:val="21"/>
                <w:color w:val="auto"/>
              </w:rPr>
            </w:pPr>
          </w:p>
        </w:tc>
        <w:tc>
          <w:tcPr>
            <w:tcW w:w="240" w:type="dxa"/>
            <w:vAlign w:val="bottom"/>
            <w:shd w:val="clear" w:color="auto" w:fill="D7282F"/>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340" w:type="dxa"/>
            <w:vAlign w:val="bottom"/>
          </w:tcPr>
          <w:p>
            <w:pPr>
              <w:ind w:left="14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The CGRC is also authorized, at the expense of Honeywell, to retain search firms to identify</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240" w:type="dxa"/>
            <w:vAlign w:val="bottom"/>
            <w:shd w:val="clear" w:color="auto" w:fill="D7282F"/>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340" w:type="dxa"/>
            <w:vAlign w:val="bottom"/>
          </w:tcPr>
          <w:p>
            <w:pPr>
              <w:ind w:left="340"/>
              <w:spacing w:after="0"/>
              <w:rPr>
                <w:sz w:val="20"/>
                <w:szCs w:val="20"/>
                <w:color w:val="auto"/>
              </w:rPr>
            </w:pPr>
            <w:r>
              <w:rPr>
                <w:rFonts w:ascii="Arial" w:cs="Arial" w:eastAsia="Arial" w:hAnsi="Arial"/>
                <w:sz w:val="16"/>
                <w:szCs w:val="16"/>
                <w:color w:val="auto"/>
              </w:rPr>
              <w:t>potential director candidates, as well as other external advisors, including for purposes of</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240" w:type="dxa"/>
            <w:vAlign w:val="bottom"/>
            <w:shd w:val="clear" w:color="auto" w:fill="D7282F"/>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340" w:type="dxa"/>
            <w:vAlign w:val="bottom"/>
          </w:tcPr>
          <w:p>
            <w:pPr>
              <w:ind w:left="340"/>
              <w:spacing w:after="0"/>
              <w:rPr>
                <w:sz w:val="20"/>
                <w:szCs w:val="20"/>
                <w:color w:val="auto"/>
              </w:rPr>
            </w:pPr>
            <w:r>
              <w:rPr>
                <w:rFonts w:ascii="Arial" w:cs="Arial" w:eastAsia="Arial" w:hAnsi="Arial"/>
                <w:sz w:val="16"/>
                <w:szCs w:val="16"/>
                <w:color w:val="auto"/>
              </w:rPr>
              <w:t>performing background reviews of potential candidates.</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120" w:type="dxa"/>
            <w:vAlign w:val="bottom"/>
          </w:tcPr>
          <w:p>
            <w:pPr>
              <w:spacing w:after="0"/>
              <w:rPr>
                <w:sz w:val="21"/>
                <w:szCs w:val="21"/>
                <w:color w:val="auto"/>
              </w:rPr>
            </w:pPr>
          </w:p>
        </w:tc>
        <w:tc>
          <w:tcPr>
            <w:tcW w:w="240" w:type="dxa"/>
            <w:vAlign w:val="bottom"/>
            <w:shd w:val="clear" w:color="auto" w:fill="D7282F"/>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340" w:type="dxa"/>
            <w:vAlign w:val="bottom"/>
          </w:tcPr>
          <w:p>
            <w:pPr>
              <w:ind w:left="14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Search firms retained by the CGRC are provided guidance as to the particular experience, skills,</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240" w:type="dxa"/>
            <w:vAlign w:val="bottom"/>
            <w:shd w:val="clear" w:color="auto" w:fill="D7282F"/>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340" w:type="dxa"/>
            <w:vAlign w:val="bottom"/>
          </w:tcPr>
          <w:p>
            <w:pPr>
              <w:ind w:left="340"/>
              <w:spacing w:after="0"/>
              <w:rPr>
                <w:sz w:val="20"/>
                <w:szCs w:val="20"/>
                <w:color w:val="auto"/>
              </w:rPr>
            </w:pPr>
            <w:r>
              <w:rPr>
                <w:rFonts w:ascii="Arial" w:cs="Arial" w:eastAsia="Arial" w:hAnsi="Arial"/>
                <w:sz w:val="16"/>
                <w:szCs w:val="16"/>
                <w:color w:val="auto"/>
              </w:rPr>
              <w:t>or other characteristics that the Board is then seeking.</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120" w:type="dxa"/>
            <w:vAlign w:val="bottom"/>
          </w:tcPr>
          <w:p>
            <w:pPr>
              <w:spacing w:after="0"/>
              <w:rPr>
                <w:sz w:val="21"/>
                <w:szCs w:val="21"/>
                <w:color w:val="auto"/>
              </w:rPr>
            </w:pPr>
          </w:p>
        </w:tc>
        <w:tc>
          <w:tcPr>
            <w:tcW w:w="240" w:type="dxa"/>
            <w:vAlign w:val="bottom"/>
            <w:shd w:val="clear" w:color="auto" w:fill="D7282F"/>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340" w:type="dxa"/>
            <w:vAlign w:val="bottom"/>
          </w:tcPr>
          <w:p>
            <w:pPr>
              <w:ind w:left="14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The CGRC may delegate responsibility for day-to-day management and oversight of a search</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120" w:type="dxa"/>
            <w:vAlign w:val="bottom"/>
          </w:tcPr>
          <w:p>
            <w:pPr>
              <w:spacing w:after="0"/>
              <w:rPr>
                <w:sz w:val="16"/>
                <w:szCs w:val="16"/>
                <w:color w:val="auto"/>
              </w:rPr>
            </w:pPr>
          </w:p>
        </w:tc>
        <w:tc>
          <w:tcPr>
            <w:tcW w:w="240" w:type="dxa"/>
            <w:vAlign w:val="bottom"/>
            <w:shd w:val="clear" w:color="auto" w:fill="D7282F"/>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340" w:type="dxa"/>
            <w:vAlign w:val="bottom"/>
          </w:tcPr>
          <w:p>
            <w:pPr>
              <w:ind w:left="340"/>
              <w:spacing w:after="0"/>
              <w:rPr>
                <w:sz w:val="20"/>
                <w:szCs w:val="20"/>
                <w:color w:val="auto"/>
              </w:rPr>
            </w:pPr>
            <w:r>
              <w:rPr>
                <w:rFonts w:ascii="Arial" w:cs="Arial" w:eastAsia="Arial" w:hAnsi="Arial"/>
                <w:sz w:val="16"/>
                <w:szCs w:val="16"/>
                <w:color w:val="auto"/>
              </w:rPr>
              <w:t>firm engagement to the Chairman of the Board, the Senior Vice President and General Counsel,</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240" w:type="dxa"/>
            <w:vAlign w:val="bottom"/>
            <w:shd w:val="clear" w:color="auto" w:fill="D7282F"/>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340" w:type="dxa"/>
            <w:vAlign w:val="bottom"/>
          </w:tcPr>
          <w:p>
            <w:pPr>
              <w:ind w:left="340"/>
              <w:spacing w:after="0"/>
              <w:rPr>
                <w:sz w:val="20"/>
                <w:szCs w:val="20"/>
                <w:color w:val="auto"/>
              </w:rPr>
            </w:pPr>
            <w:r>
              <w:rPr>
                <w:rFonts w:ascii="Arial" w:cs="Arial" w:eastAsia="Arial" w:hAnsi="Arial"/>
                <w:sz w:val="16"/>
                <w:szCs w:val="16"/>
                <w:color w:val="auto"/>
              </w:rPr>
              <w:t>and/or the Senior Vice President and Chief Human Resources Officer.</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1120" w:type="dxa"/>
            <w:vAlign w:val="bottom"/>
          </w:tcPr>
          <w:p>
            <w:pPr>
              <w:spacing w:after="0"/>
              <w:rPr>
                <w:sz w:val="7"/>
                <w:szCs w:val="7"/>
                <w:color w:val="auto"/>
              </w:rPr>
            </w:pPr>
          </w:p>
        </w:tc>
        <w:tc>
          <w:tcPr>
            <w:tcW w:w="240" w:type="dxa"/>
            <w:vAlign w:val="bottom"/>
            <w:shd w:val="clear" w:color="auto" w:fill="D7282F"/>
          </w:tcPr>
          <w:p>
            <w:pPr>
              <w:spacing w:after="0"/>
              <w:rPr>
                <w:sz w:val="7"/>
                <w:szCs w:val="7"/>
                <w:color w:val="auto"/>
              </w:rPr>
            </w:pPr>
          </w:p>
        </w:tc>
        <w:tc>
          <w:tcPr>
            <w:tcW w:w="1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73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Borders>
              <w:bottom w:val="single" w:sz="8" w:color="D7282F"/>
            </w:tcBorders>
          </w:tcPr>
          <w:p>
            <w:pPr>
              <w:spacing w:after="0"/>
              <w:rPr>
                <w:sz w:val="16"/>
                <w:szCs w:val="16"/>
                <w:color w:val="auto"/>
              </w:rPr>
            </w:pPr>
          </w:p>
        </w:tc>
        <w:tc>
          <w:tcPr>
            <w:tcW w:w="7340" w:type="dxa"/>
            <w:vAlign w:val="bottom"/>
            <w:tcBorders>
              <w:bottom w:val="single" w:sz="8" w:color="D7282F"/>
            </w:tcBorders>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EVALUATE</w:t>
            </w:r>
          </w:p>
        </w:tc>
        <w:tc>
          <w:tcPr>
            <w:tcW w:w="7340" w:type="dxa"/>
            <w:vAlign w:val="bottom"/>
            <w:vMerge w:val="restart"/>
          </w:tcPr>
          <w:p>
            <w:pPr>
              <w:ind w:left="14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Candidates are interviewed by the Chairman and CEO, the independent Lead Director, or Chair</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120" w:type="dxa"/>
            <w:vAlign w:val="bottom"/>
          </w:tcPr>
          <w:p>
            <w:pPr>
              <w:spacing w:after="0"/>
              <w:rPr>
                <w:sz w:val="22"/>
                <w:szCs w:val="22"/>
                <w:color w:val="auto"/>
              </w:rPr>
            </w:pPr>
          </w:p>
        </w:tc>
        <w:tc>
          <w:tcPr>
            <w:tcW w:w="240" w:type="dxa"/>
            <w:vAlign w:val="bottom"/>
            <w:shd w:val="clear" w:color="auto" w:fill="D7282F"/>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vMerge w:val="continue"/>
          </w:tcPr>
          <w:p>
            <w:pPr>
              <w:spacing w:after="0"/>
              <w:rPr>
                <w:sz w:val="22"/>
                <w:szCs w:val="22"/>
                <w:color w:val="auto"/>
              </w:rPr>
            </w:pPr>
          </w:p>
        </w:tc>
        <w:tc>
          <w:tcPr>
            <w:tcW w:w="7340" w:type="dxa"/>
            <w:vAlign w:val="bottom"/>
            <w:vMerge w:val="continue"/>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240" w:type="dxa"/>
            <w:vAlign w:val="bottom"/>
            <w:shd w:val="clear" w:color="auto" w:fill="D7282F"/>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340" w:type="dxa"/>
            <w:vAlign w:val="bottom"/>
          </w:tcPr>
          <w:p>
            <w:pPr>
              <w:ind w:left="340"/>
              <w:spacing w:after="0"/>
              <w:rPr>
                <w:sz w:val="20"/>
                <w:szCs w:val="20"/>
                <w:color w:val="auto"/>
              </w:rPr>
            </w:pPr>
            <w:r>
              <w:rPr>
                <w:rFonts w:ascii="Arial" w:cs="Arial" w:eastAsia="Arial" w:hAnsi="Arial"/>
                <w:sz w:val="16"/>
                <w:szCs w:val="16"/>
                <w:color w:val="auto"/>
              </w:rPr>
              <w:t>of the CGRC, and such other directors or officers as may be requested by the Chairman and</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120" w:type="dxa"/>
            <w:vAlign w:val="bottom"/>
          </w:tcPr>
          <w:p>
            <w:pPr>
              <w:spacing w:after="0"/>
              <w:rPr>
                <w:sz w:val="16"/>
                <w:szCs w:val="16"/>
                <w:color w:val="auto"/>
              </w:rPr>
            </w:pPr>
          </w:p>
        </w:tc>
        <w:tc>
          <w:tcPr>
            <w:tcW w:w="240" w:type="dxa"/>
            <w:vAlign w:val="bottom"/>
            <w:shd w:val="clear" w:color="auto" w:fill="D7282F"/>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340" w:type="dxa"/>
            <w:vAlign w:val="bottom"/>
          </w:tcPr>
          <w:p>
            <w:pPr>
              <w:ind w:left="340"/>
              <w:spacing w:after="0"/>
              <w:rPr>
                <w:sz w:val="20"/>
                <w:szCs w:val="20"/>
                <w:color w:val="auto"/>
              </w:rPr>
            </w:pPr>
            <w:r>
              <w:rPr>
                <w:rFonts w:ascii="Arial" w:cs="Arial" w:eastAsia="Arial" w:hAnsi="Arial"/>
                <w:sz w:val="16"/>
                <w:szCs w:val="16"/>
                <w:color w:val="auto"/>
              </w:rPr>
              <w:t>CEO or independent Lead Director, to ensure that candidates not only possess the requisite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240" w:type="dxa"/>
            <w:vAlign w:val="bottom"/>
            <w:shd w:val="clear" w:color="auto" w:fill="D7282F"/>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340" w:type="dxa"/>
            <w:vAlign w:val="bottom"/>
          </w:tcPr>
          <w:p>
            <w:pPr>
              <w:ind w:left="340"/>
              <w:spacing w:after="0"/>
              <w:rPr>
                <w:sz w:val="20"/>
                <w:szCs w:val="20"/>
                <w:color w:val="auto"/>
              </w:rPr>
            </w:pPr>
            <w:r>
              <w:rPr>
                <w:rFonts w:ascii="Arial" w:cs="Arial" w:eastAsia="Arial" w:hAnsi="Arial"/>
                <w:sz w:val="16"/>
                <w:szCs w:val="16"/>
                <w:color w:val="auto"/>
              </w:rPr>
              <w:t>skills and characteristics, but also the personality, leadership traits, work ethic, and</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240" w:type="dxa"/>
            <w:vAlign w:val="bottom"/>
            <w:shd w:val="clear" w:color="auto" w:fill="D7282F"/>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340" w:type="dxa"/>
            <w:vAlign w:val="bottom"/>
          </w:tcPr>
          <w:p>
            <w:pPr>
              <w:ind w:left="340"/>
              <w:spacing w:after="0"/>
              <w:rPr>
                <w:sz w:val="20"/>
                <w:szCs w:val="20"/>
                <w:color w:val="auto"/>
              </w:rPr>
            </w:pPr>
            <w:r>
              <w:rPr>
                <w:rFonts w:ascii="Arial" w:cs="Arial" w:eastAsia="Arial" w:hAnsi="Arial"/>
                <w:sz w:val="16"/>
                <w:szCs w:val="16"/>
                <w:color w:val="auto"/>
              </w:rPr>
              <w:t>independence of thought to effectively contribute as a member of the Board.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120" w:type="dxa"/>
            <w:vAlign w:val="bottom"/>
          </w:tcPr>
          <w:p>
            <w:pPr>
              <w:spacing w:after="0"/>
              <w:rPr>
                <w:sz w:val="21"/>
                <w:szCs w:val="21"/>
                <w:color w:val="auto"/>
              </w:rPr>
            </w:pPr>
          </w:p>
        </w:tc>
        <w:tc>
          <w:tcPr>
            <w:tcW w:w="240" w:type="dxa"/>
            <w:vAlign w:val="bottom"/>
            <w:shd w:val="clear" w:color="auto" w:fill="D7282F"/>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340" w:type="dxa"/>
            <w:vAlign w:val="bottom"/>
          </w:tcPr>
          <w:p>
            <w:pPr>
              <w:ind w:left="14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To ensure that the Board continues to evolve in a manner that serves the changing business and</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120" w:type="dxa"/>
            <w:vAlign w:val="bottom"/>
          </w:tcPr>
          <w:p>
            <w:pPr>
              <w:spacing w:after="0"/>
              <w:rPr>
                <w:sz w:val="16"/>
                <w:szCs w:val="16"/>
                <w:color w:val="auto"/>
              </w:rPr>
            </w:pPr>
          </w:p>
        </w:tc>
        <w:tc>
          <w:tcPr>
            <w:tcW w:w="240" w:type="dxa"/>
            <w:vAlign w:val="bottom"/>
            <w:shd w:val="clear" w:color="auto" w:fill="D7282F"/>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340" w:type="dxa"/>
            <w:vAlign w:val="bottom"/>
          </w:tcPr>
          <w:p>
            <w:pPr>
              <w:ind w:left="340"/>
              <w:spacing w:after="0"/>
              <w:rPr>
                <w:sz w:val="20"/>
                <w:szCs w:val="20"/>
                <w:color w:val="auto"/>
              </w:rPr>
            </w:pPr>
            <w:r>
              <w:rPr>
                <w:rFonts w:ascii="Arial" w:cs="Arial" w:eastAsia="Arial" w:hAnsi="Arial"/>
                <w:sz w:val="16"/>
                <w:szCs w:val="16"/>
                <w:color w:val="auto"/>
              </w:rPr>
              <w:t>strategic needs of the Company, before recommending for re-nomination a slate of incumbent</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20" w:type="dxa"/>
            <w:vAlign w:val="bottom"/>
          </w:tcPr>
          <w:p>
            <w:pPr>
              <w:spacing w:after="0"/>
              <w:rPr>
                <w:sz w:val="16"/>
                <w:szCs w:val="16"/>
                <w:color w:val="auto"/>
              </w:rPr>
            </w:pPr>
          </w:p>
        </w:tc>
        <w:tc>
          <w:tcPr>
            <w:tcW w:w="240" w:type="dxa"/>
            <w:vAlign w:val="bottom"/>
            <w:shd w:val="clear" w:color="auto" w:fill="D7282F"/>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340" w:type="dxa"/>
            <w:vAlign w:val="bottom"/>
          </w:tcPr>
          <w:p>
            <w:pPr>
              <w:ind w:left="340"/>
              <w:spacing w:after="0"/>
              <w:rPr>
                <w:sz w:val="20"/>
                <w:szCs w:val="20"/>
                <w:color w:val="auto"/>
              </w:rPr>
            </w:pPr>
            <w:r>
              <w:rPr>
                <w:rFonts w:ascii="Arial" w:cs="Arial" w:eastAsia="Arial" w:hAnsi="Arial"/>
                <w:sz w:val="16"/>
                <w:szCs w:val="16"/>
                <w:color w:val="auto"/>
              </w:rPr>
              <w:t>directors for an additional term, the CGRC also evaluates whether incumbent directors possess</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240" w:type="dxa"/>
            <w:vAlign w:val="bottom"/>
            <w:shd w:val="clear" w:color="auto" w:fill="D7282F"/>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340" w:type="dxa"/>
            <w:vAlign w:val="bottom"/>
          </w:tcPr>
          <w:p>
            <w:pPr>
              <w:ind w:left="340"/>
              <w:spacing w:after="0"/>
              <w:rPr>
                <w:sz w:val="20"/>
                <w:szCs w:val="20"/>
                <w:color w:val="auto"/>
              </w:rPr>
            </w:pPr>
            <w:r>
              <w:rPr>
                <w:rFonts w:ascii="Arial" w:cs="Arial" w:eastAsia="Arial" w:hAnsi="Arial"/>
                <w:sz w:val="16"/>
                <w:szCs w:val="16"/>
                <w:color w:val="auto"/>
              </w:rPr>
              <w:t>the requisite skills and perspective, both individually and collectively. This evaluation is based</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120" w:type="dxa"/>
            <w:vAlign w:val="bottom"/>
          </w:tcPr>
          <w:p>
            <w:pPr>
              <w:spacing w:after="0"/>
              <w:rPr>
                <w:sz w:val="16"/>
                <w:szCs w:val="16"/>
                <w:color w:val="auto"/>
              </w:rPr>
            </w:pPr>
          </w:p>
        </w:tc>
        <w:tc>
          <w:tcPr>
            <w:tcW w:w="240" w:type="dxa"/>
            <w:vAlign w:val="bottom"/>
            <w:shd w:val="clear" w:color="auto" w:fill="D7282F"/>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340" w:type="dxa"/>
            <w:vAlign w:val="bottom"/>
          </w:tcPr>
          <w:p>
            <w:pPr>
              <w:ind w:left="340"/>
              <w:spacing w:after="0"/>
              <w:rPr>
                <w:sz w:val="20"/>
                <w:szCs w:val="20"/>
                <w:color w:val="auto"/>
              </w:rPr>
            </w:pPr>
            <w:r>
              <w:rPr>
                <w:rFonts w:ascii="Arial" w:cs="Arial" w:eastAsia="Arial" w:hAnsi="Arial"/>
                <w:sz w:val="16"/>
                <w:szCs w:val="16"/>
                <w:color w:val="auto"/>
              </w:rPr>
              <w:t>primarily on the results of the annual review it performs with the Board of the requisite skills and</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240" w:type="dxa"/>
            <w:vAlign w:val="bottom"/>
            <w:shd w:val="clear" w:color="auto" w:fill="D7282F"/>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340" w:type="dxa"/>
            <w:vAlign w:val="bottom"/>
          </w:tcPr>
          <w:p>
            <w:pPr>
              <w:ind w:left="340"/>
              <w:spacing w:after="0"/>
              <w:rPr>
                <w:sz w:val="20"/>
                <w:szCs w:val="20"/>
                <w:color w:val="auto"/>
              </w:rPr>
            </w:pPr>
            <w:r>
              <w:rPr>
                <w:rFonts w:ascii="Arial" w:cs="Arial" w:eastAsia="Arial" w:hAnsi="Arial"/>
                <w:sz w:val="16"/>
                <w:szCs w:val="16"/>
                <w:color w:val="auto"/>
              </w:rPr>
              <w:t>characteristics of Board members, as well as the composition of the Board as a whole and the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240" w:type="dxa"/>
            <w:vAlign w:val="bottom"/>
            <w:shd w:val="clear" w:color="auto" w:fill="D7282F"/>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340" w:type="dxa"/>
            <w:vAlign w:val="bottom"/>
          </w:tcPr>
          <w:p>
            <w:pPr>
              <w:ind w:left="340"/>
              <w:spacing w:after="0"/>
              <w:rPr>
                <w:sz w:val="20"/>
                <w:szCs w:val="20"/>
                <w:color w:val="auto"/>
              </w:rPr>
            </w:pPr>
            <w:r>
              <w:rPr>
                <w:rFonts w:ascii="Arial" w:cs="Arial" w:eastAsia="Arial" w:hAnsi="Arial"/>
                <w:sz w:val="16"/>
                <w:szCs w:val="16"/>
                <w:color w:val="auto"/>
              </w:rPr>
              <w:t>results of the Board’s annual self-evaluation.</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1120" w:type="dxa"/>
            <w:vAlign w:val="bottom"/>
          </w:tcPr>
          <w:p>
            <w:pPr>
              <w:spacing w:after="0"/>
              <w:rPr>
                <w:sz w:val="6"/>
                <w:szCs w:val="6"/>
                <w:color w:val="auto"/>
              </w:rPr>
            </w:pPr>
          </w:p>
        </w:tc>
        <w:tc>
          <w:tcPr>
            <w:tcW w:w="240" w:type="dxa"/>
            <w:vAlign w:val="bottom"/>
            <w:shd w:val="clear" w:color="auto" w:fill="D7282F"/>
          </w:tcPr>
          <w:p>
            <w:pPr>
              <w:spacing w:after="0"/>
              <w:rPr>
                <w:sz w:val="6"/>
                <w:szCs w:val="6"/>
                <w:color w:val="auto"/>
              </w:rPr>
            </w:pPr>
          </w:p>
        </w:tc>
        <w:tc>
          <w:tcPr>
            <w:tcW w:w="1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Borders>
              <w:bottom w:val="single" w:sz="8" w:color="D7282F"/>
            </w:tcBorders>
          </w:tcPr>
          <w:p>
            <w:pPr>
              <w:spacing w:after="0"/>
              <w:rPr>
                <w:sz w:val="16"/>
                <w:szCs w:val="16"/>
                <w:color w:val="auto"/>
              </w:rPr>
            </w:pPr>
          </w:p>
        </w:tc>
        <w:tc>
          <w:tcPr>
            <w:tcW w:w="7340" w:type="dxa"/>
            <w:vAlign w:val="bottom"/>
            <w:tcBorders>
              <w:bottom w:val="single" w:sz="8" w:color="D7282F"/>
            </w:tcBorders>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RECOMMEND</w:t>
            </w:r>
          </w:p>
        </w:tc>
        <w:tc>
          <w:tcPr>
            <w:tcW w:w="7340" w:type="dxa"/>
            <w:vAlign w:val="bottom"/>
            <w:vMerge w:val="restart"/>
          </w:tcPr>
          <w:p>
            <w:pPr>
              <w:ind w:left="14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The Board nominates the successful candidate for election to the Board at the Annual Meeting of</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120" w:type="dxa"/>
            <w:vAlign w:val="bottom"/>
          </w:tcPr>
          <w:p>
            <w:pPr>
              <w:spacing w:after="0"/>
              <w:rPr>
                <w:sz w:val="22"/>
                <w:szCs w:val="22"/>
                <w:color w:val="auto"/>
              </w:rPr>
            </w:pPr>
          </w:p>
        </w:tc>
        <w:tc>
          <w:tcPr>
            <w:tcW w:w="240" w:type="dxa"/>
            <w:vAlign w:val="bottom"/>
            <w:shd w:val="clear" w:color="auto" w:fill="D7282F"/>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vMerge w:val="continue"/>
          </w:tcPr>
          <w:p>
            <w:pPr>
              <w:spacing w:after="0"/>
              <w:rPr>
                <w:sz w:val="22"/>
                <w:szCs w:val="22"/>
                <w:color w:val="auto"/>
              </w:rPr>
            </w:pPr>
          </w:p>
        </w:tc>
        <w:tc>
          <w:tcPr>
            <w:tcW w:w="7340" w:type="dxa"/>
            <w:vAlign w:val="bottom"/>
            <w:vMerge w:val="continue"/>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240" w:type="dxa"/>
            <w:vAlign w:val="bottom"/>
            <w:shd w:val="clear" w:color="auto" w:fill="D7282F"/>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340" w:type="dxa"/>
            <w:vAlign w:val="bottom"/>
          </w:tcPr>
          <w:p>
            <w:pPr>
              <w:ind w:left="340"/>
              <w:spacing w:after="0"/>
              <w:rPr>
                <w:sz w:val="20"/>
                <w:szCs w:val="20"/>
                <w:color w:val="auto"/>
              </w:rPr>
            </w:pPr>
            <w:r>
              <w:rPr>
                <w:rFonts w:ascii="Arial" w:cs="Arial" w:eastAsia="Arial" w:hAnsi="Arial"/>
                <w:sz w:val="16"/>
                <w:szCs w:val="16"/>
                <w:color w:val="auto"/>
              </w:rPr>
              <w:t>Shareowners or, if filling a vacancy in Board membership that arose between Annual Meetings of</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240" w:type="dxa"/>
            <w:vAlign w:val="bottom"/>
            <w:shd w:val="clear" w:color="auto" w:fill="D7282F"/>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340" w:type="dxa"/>
            <w:vAlign w:val="bottom"/>
          </w:tcPr>
          <w:p>
            <w:pPr>
              <w:ind w:left="340"/>
              <w:spacing w:after="0"/>
              <w:rPr>
                <w:sz w:val="20"/>
                <w:szCs w:val="20"/>
                <w:color w:val="auto"/>
              </w:rPr>
            </w:pPr>
            <w:r>
              <w:rPr>
                <w:rFonts w:ascii="Arial" w:cs="Arial" w:eastAsia="Arial" w:hAnsi="Arial"/>
                <w:sz w:val="16"/>
                <w:szCs w:val="16"/>
                <w:color w:val="auto"/>
              </w:rPr>
              <w:t>Shareowners, appoints the candidate to the Board as a director.</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1120" w:type="dxa"/>
            <w:vAlign w:val="bottom"/>
          </w:tcPr>
          <w:p>
            <w:pPr>
              <w:spacing w:after="0"/>
              <w:rPr>
                <w:sz w:val="9"/>
                <w:szCs w:val="9"/>
                <w:color w:val="auto"/>
              </w:rPr>
            </w:pPr>
          </w:p>
        </w:tc>
        <w:tc>
          <w:tcPr>
            <w:tcW w:w="240" w:type="dxa"/>
            <w:vAlign w:val="bottom"/>
            <w:shd w:val="clear" w:color="auto" w:fill="D7282F"/>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Borders>
              <w:bottom w:val="single" w:sz="8" w:color="D7282F"/>
            </w:tcBorders>
          </w:tcPr>
          <w:p>
            <w:pPr>
              <w:spacing w:after="0"/>
              <w:rPr>
                <w:sz w:val="9"/>
                <w:szCs w:val="9"/>
                <w:color w:val="auto"/>
              </w:rPr>
            </w:pPr>
          </w:p>
        </w:tc>
        <w:tc>
          <w:tcPr>
            <w:tcW w:w="7340" w:type="dxa"/>
            <w:vAlign w:val="bottom"/>
            <w:tcBorders>
              <w:bottom w:val="single" w:sz="8" w:color="D7282F"/>
            </w:tcBorders>
          </w:tcPr>
          <w:p>
            <w:pPr>
              <w:spacing w:after="0"/>
              <w:rPr>
                <w:sz w:val="9"/>
                <w:szCs w:val="9"/>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586"/>
        </w:trPr>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340" w:type="dxa"/>
            <w:vAlign w:val="bottom"/>
          </w:tcPr>
          <w:p>
            <w:pPr>
              <w:ind w:left="4040"/>
              <w:spacing w:after="0"/>
              <w:rPr>
                <w:sz w:val="20"/>
                <w:szCs w:val="20"/>
                <w:color w:val="auto"/>
              </w:rPr>
            </w:pPr>
            <w:r>
              <w:rPr>
                <w:rFonts w:ascii="Arial" w:cs="Arial" w:eastAsia="Arial" w:hAnsi="Arial"/>
                <w:sz w:val="13"/>
                <w:szCs w:val="13"/>
                <w:b w:val="1"/>
                <w:bCs w:val="1"/>
                <w:color w:val="6D6E71"/>
              </w:rPr>
              <w:t>2026 NOTICE AND PROXY STATEMENT   |</w:t>
            </w:r>
          </w:p>
        </w:tc>
        <w:tc>
          <w:tcPr>
            <w:tcW w:w="1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1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3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-4911725</wp:posOffset>
            </wp:positionV>
            <wp:extent cx="85725" cy="514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5725" cy="5143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-3188335</wp:posOffset>
            </wp:positionV>
            <wp:extent cx="85725" cy="514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5725" cy="5143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-1311275</wp:posOffset>
            </wp:positionV>
            <wp:extent cx="85725" cy="514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5725" cy="5143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0" w:name="page41"/>
    <w:bookmarkEnd w:id="40"/>
    <w:p>
      <w:pPr>
        <w:spacing w:after="0"/>
        <w:rPr>
          <w:sz w:val="20"/>
          <w:szCs w:val="20"/>
          <w:color w:val="auto"/>
        </w:rPr>
      </w:pPr>
      <w:r>
        <w:rPr>
          <w:rFonts w:ascii="Arial" w:cs="Arial" w:eastAsia="Arial" w:hAnsi="Arial"/>
          <w:sz w:val="13"/>
          <w:szCs w:val="13"/>
          <w:b w:val="1"/>
          <w:bCs w:val="1"/>
          <w:color w:val="6D6E71"/>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OTHER BEST PRACTICE BOARD 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2343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120" w:type="dxa"/>
            <w:vAlign w:val="bottom"/>
            <w:gridSpan w:val="2"/>
          </w:tcPr>
          <w:p>
            <w:pPr>
              <w:ind w:left="20"/>
              <w:spacing w:after="0"/>
              <w:rPr>
                <w:sz w:val="20"/>
                <w:szCs w:val="20"/>
                <w:color w:val="auto"/>
              </w:rPr>
            </w:pPr>
            <w:r>
              <w:rPr>
                <w:rFonts w:ascii="Arial" w:cs="Arial" w:eastAsia="Arial" w:hAnsi="Arial"/>
                <w:sz w:val="16"/>
                <w:szCs w:val="16"/>
                <w:b w:val="1"/>
                <w:bCs w:val="1"/>
                <w:color w:val="auto"/>
              </w:rPr>
              <w:t>ANNUAL SHAREOWNER</w:t>
            </w:r>
          </w:p>
        </w:tc>
        <w:tc>
          <w:tcPr>
            <w:tcW w:w="9120" w:type="dxa"/>
            <w:vAlign w:val="bottom"/>
            <w:gridSpan w:val="2"/>
          </w:tcPr>
          <w:p>
            <w:pPr>
              <w:ind w:left="140"/>
              <w:spacing w:after="0"/>
              <w:rPr>
                <w:sz w:val="20"/>
                <w:szCs w:val="20"/>
                <w:color w:val="auto"/>
              </w:rPr>
            </w:pPr>
            <w:r>
              <w:rPr>
                <w:rFonts w:ascii="Arial" w:cs="Arial" w:eastAsia="Arial" w:hAnsi="Arial"/>
                <w:sz w:val="16"/>
                <w:szCs w:val="16"/>
                <w:color w:val="auto"/>
              </w:rPr>
              <w:t>Honeywell’s Corporate Governance Guidelines encourage all directors to attend our Annual Meeting of Shareowners. All of</w:t>
            </w:r>
          </w:p>
        </w:tc>
        <w:tc>
          <w:tcPr>
            <w:tcW w:w="0" w:type="dxa"/>
            <w:vAlign w:val="bottom"/>
          </w:tcPr>
          <w:p>
            <w:pPr>
              <w:spacing w:after="0"/>
              <w:rPr>
                <w:sz w:val="1"/>
                <w:szCs w:val="1"/>
                <w:color w:val="auto"/>
              </w:rPr>
            </w:pPr>
          </w:p>
        </w:tc>
      </w:tr>
      <w:tr>
        <w:trPr>
          <w:trHeight w:val="223"/>
        </w:trPr>
        <w:tc>
          <w:tcPr>
            <w:tcW w:w="2120" w:type="dxa"/>
            <w:vAlign w:val="bottom"/>
            <w:gridSpan w:val="2"/>
          </w:tcPr>
          <w:p>
            <w:pPr>
              <w:ind w:left="20"/>
              <w:spacing w:after="0"/>
              <w:rPr>
                <w:sz w:val="20"/>
                <w:szCs w:val="20"/>
                <w:color w:val="auto"/>
              </w:rPr>
            </w:pPr>
            <w:r>
              <w:rPr>
                <w:rFonts w:ascii="Arial" w:cs="Arial" w:eastAsia="Arial" w:hAnsi="Arial"/>
                <w:sz w:val="16"/>
                <w:szCs w:val="16"/>
                <w:b w:val="1"/>
                <w:bCs w:val="1"/>
                <w:color w:val="auto"/>
              </w:rPr>
              <w:t>MEETING ATTENDANCE</w:t>
            </w:r>
          </w:p>
        </w:tc>
        <w:tc>
          <w:tcPr>
            <w:tcW w:w="9120" w:type="dxa"/>
            <w:vAlign w:val="bottom"/>
            <w:gridSpan w:val="2"/>
          </w:tcPr>
          <w:p>
            <w:pPr>
              <w:ind w:left="140"/>
              <w:spacing w:after="0"/>
              <w:rPr>
                <w:sz w:val="20"/>
                <w:szCs w:val="20"/>
                <w:color w:val="auto"/>
              </w:rPr>
            </w:pPr>
            <w:r>
              <w:rPr>
                <w:rFonts w:ascii="Arial" w:cs="Arial" w:eastAsia="Arial" w:hAnsi="Arial"/>
                <w:sz w:val="16"/>
                <w:szCs w:val="16"/>
                <w:color w:val="auto"/>
              </w:rPr>
              <w:t>our then-serving directors attended the Company's 2025 Annual Meeting.</w:t>
            </w:r>
          </w:p>
        </w:tc>
        <w:tc>
          <w:tcPr>
            <w:tcW w:w="0" w:type="dxa"/>
            <w:vAlign w:val="bottom"/>
          </w:tcPr>
          <w:p>
            <w:pPr>
              <w:spacing w:after="0"/>
              <w:rPr>
                <w:sz w:val="1"/>
                <w:szCs w:val="1"/>
                <w:color w:val="auto"/>
              </w:rPr>
            </w:pPr>
          </w:p>
        </w:tc>
      </w:tr>
      <w:tr>
        <w:trPr>
          <w:trHeight w:val="129"/>
        </w:trPr>
        <w:tc>
          <w:tcPr>
            <w:tcW w:w="1640" w:type="dxa"/>
            <w:vAlign w:val="bottom"/>
            <w:tcBorders>
              <w:bottom w:val="single" w:sz="8" w:color="939598"/>
            </w:tcBorders>
          </w:tcPr>
          <w:p>
            <w:pPr>
              <w:spacing w:after="0"/>
              <w:rPr>
                <w:sz w:val="11"/>
                <w:szCs w:val="11"/>
                <w:color w:val="auto"/>
              </w:rPr>
            </w:pPr>
          </w:p>
        </w:tc>
        <w:tc>
          <w:tcPr>
            <w:tcW w:w="480" w:type="dxa"/>
            <w:vAlign w:val="bottom"/>
            <w:tcBorders>
              <w:bottom w:val="single" w:sz="8" w:color="939598"/>
            </w:tcBorders>
          </w:tcPr>
          <w:p>
            <w:pPr>
              <w:spacing w:after="0"/>
              <w:rPr>
                <w:sz w:val="11"/>
                <w:szCs w:val="11"/>
                <w:color w:val="auto"/>
              </w:rPr>
            </w:pPr>
          </w:p>
        </w:tc>
        <w:tc>
          <w:tcPr>
            <w:tcW w:w="9100" w:type="dxa"/>
            <w:vAlign w:val="bottom"/>
            <w:tcBorders>
              <w:bottom w:val="single" w:sz="8" w:color="939598"/>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1640" w:type="dxa"/>
            <w:vAlign w:val="bottom"/>
          </w:tcPr>
          <w:p>
            <w:pPr>
              <w:ind w:left="20"/>
              <w:spacing w:after="0"/>
              <w:rPr>
                <w:sz w:val="20"/>
                <w:szCs w:val="20"/>
                <w:color w:val="auto"/>
              </w:rPr>
            </w:pPr>
            <w:r>
              <w:rPr>
                <w:rFonts w:ascii="Arial" w:cs="Arial" w:eastAsia="Arial" w:hAnsi="Arial"/>
                <w:sz w:val="16"/>
                <w:szCs w:val="16"/>
                <w:b w:val="1"/>
                <w:bCs w:val="1"/>
                <w:color w:val="auto"/>
                <w:w w:val="99"/>
              </w:rPr>
              <w:t>ENGAGEMENT WITH</w:t>
            </w:r>
          </w:p>
        </w:tc>
        <w:tc>
          <w:tcPr>
            <w:tcW w:w="480" w:type="dxa"/>
            <w:vAlign w:val="bottom"/>
          </w:tcPr>
          <w:p>
            <w:pPr>
              <w:spacing w:after="0"/>
              <w:rPr>
                <w:sz w:val="20"/>
                <w:szCs w:val="20"/>
                <w:color w:val="auto"/>
              </w:rPr>
            </w:pPr>
          </w:p>
        </w:tc>
        <w:tc>
          <w:tcPr>
            <w:tcW w:w="9120" w:type="dxa"/>
            <w:vAlign w:val="bottom"/>
            <w:gridSpan w:val="2"/>
          </w:tcPr>
          <w:p>
            <w:pPr>
              <w:ind w:left="140"/>
              <w:spacing w:after="0"/>
              <w:rPr>
                <w:sz w:val="20"/>
                <w:szCs w:val="20"/>
                <w:color w:val="auto"/>
              </w:rPr>
            </w:pPr>
            <w:r>
              <w:rPr>
                <w:rFonts w:ascii="Arial" w:cs="Arial" w:eastAsia="Arial" w:hAnsi="Arial"/>
                <w:sz w:val="16"/>
                <w:szCs w:val="16"/>
                <w:color w:val="auto"/>
              </w:rPr>
              <w:t>The Board and its committees provide feedback to management, and management is required to answer questions raised by</w:t>
            </w:r>
          </w:p>
        </w:tc>
        <w:tc>
          <w:tcPr>
            <w:tcW w:w="0" w:type="dxa"/>
            <w:vAlign w:val="bottom"/>
          </w:tcPr>
          <w:p>
            <w:pPr>
              <w:spacing w:after="0"/>
              <w:rPr>
                <w:sz w:val="1"/>
                <w:szCs w:val="1"/>
                <w:color w:val="auto"/>
              </w:rPr>
            </w:pPr>
          </w:p>
        </w:tc>
      </w:tr>
      <w:tr>
        <w:trPr>
          <w:trHeight w:val="189"/>
        </w:trPr>
        <w:tc>
          <w:tcPr>
            <w:tcW w:w="1640" w:type="dxa"/>
            <w:vAlign w:val="bottom"/>
          </w:tcPr>
          <w:p>
            <w:pPr>
              <w:ind w:left="20"/>
              <w:spacing w:after="0"/>
              <w:rPr>
                <w:sz w:val="20"/>
                <w:szCs w:val="20"/>
                <w:color w:val="auto"/>
              </w:rPr>
            </w:pPr>
            <w:r>
              <w:rPr>
                <w:rFonts w:ascii="Arial" w:cs="Arial" w:eastAsia="Arial" w:hAnsi="Arial"/>
                <w:sz w:val="16"/>
                <w:szCs w:val="16"/>
                <w:b w:val="1"/>
                <w:bCs w:val="1"/>
                <w:color w:val="auto"/>
              </w:rPr>
              <w:t>MANAGEMENT</w:t>
            </w:r>
          </w:p>
        </w:tc>
        <w:tc>
          <w:tcPr>
            <w:tcW w:w="480" w:type="dxa"/>
            <w:vAlign w:val="bottom"/>
          </w:tcPr>
          <w:p>
            <w:pPr>
              <w:spacing w:after="0"/>
              <w:rPr>
                <w:sz w:val="16"/>
                <w:szCs w:val="16"/>
                <w:color w:val="auto"/>
              </w:rPr>
            </w:pPr>
          </w:p>
        </w:tc>
        <w:tc>
          <w:tcPr>
            <w:tcW w:w="9120" w:type="dxa"/>
            <w:vAlign w:val="bottom"/>
            <w:gridSpan w:val="2"/>
          </w:tcPr>
          <w:p>
            <w:pPr>
              <w:ind w:left="140"/>
              <w:spacing w:after="0"/>
              <w:rPr>
                <w:sz w:val="20"/>
                <w:szCs w:val="20"/>
                <w:color w:val="auto"/>
              </w:rPr>
            </w:pPr>
            <w:r>
              <w:rPr>
                <w:rFonts w:ascii="Arial" w:cs="Arial" w:eastAsia="Arial" w:hAnsi="Arial"/>
                <w:sz w:val="16"/>
                <w:szCs w:val="16"/>
                <w:color w:val="auto"/>
              </w:rPr>
              <w:t>the directors during Board and committee meetings. Our senior management meets regularly with the Board, including yearly</w:t>
            </w:r>
          </w:p>
        </w:tc>
        <w:tc>
          <w:tcPr>
            <w:tcW w:w="0" w:type="dxa"/>
            <w:vAlign w:val="bottom"/>
          </w:tcPr>
          <w:p>
            <w:pPr>
              <w:spacing w:after="0"/>
              <w:rPr>
                <w:sz w:val="1"/>
                <w:szCs w:val="1"/>
                <w:color w:val="auto"/>
              </w:rPr>
            </w:pPr>
          </w:p>
        </w:tc>
      </w:tr>
      <w:tr>
        <w:trPr>
          <w:trHeight w:val="215"/>
        </w:trPr>
        <w:tc>
          <w:tcPr>
            <w:tcW w:w="1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120" w:type="dxa"/>
            <w:vAlign w:val="bottom"/>
            <w:gridSpan w:val="2"/>
          </w:tcPr>
          <w:p>
            <w:pPr>
              <w:ind w:left="140"/>
              <w:spacing w:after="0"/>
              <w:rPr>
                <w:sz w:val="20"/>
                <w:szCs w:val="20"/>
                <w:color w:val="auto"/>
              </w:rPr>
            </w:pPr>
            <w:r>
              <w:rPr>
                <w:rFonts w:ascii="Arial" w:cs="Arial" w:eastAsia="Arial" w:hAnsi="Arial"/>
                <w:sz w:val="16"/>
                <w:szCs w:val="16"/>
                <w:color w:val="auto"/>
              </w:rPr>
              <w:t>reviews of each business’ long-term strategic plan and annual operating plan.</w:t>
            </w:r>
          </w:p>
        </w:tc>
        <w:tc>
          <w:tcPr>
            <w:tcW w:w="0" w:type="dxa"/>
            <w:vAlign w:val="bottom"/>
          </w:tcPr>
          <w:p>
            <w:pPr>
              <w:spacing w:after="0"/>
              <w:rPr>
                <w:sz w:val="1"/>
                <w:szCs w:val="1"/>
                <w:color w:val="auto"/>
              </w:rPr>
            </w:pPr>
          </w:p>
        </w:tc>
      </w:tr>
      <w:tr>
        <w:trPr>
          <w:trHeight w:val="137"/>
        </w:trPr>
        <w:tc>
          <w:tcPr>
            <w:tcW w:w="2120" w:type="dxa"/>
            <w:vAlign w:val="bottom"/>
            <w:tcBorders>
              <w:bottom w:val="single" w:sz="8" w:color="939598"/>
            </w:tcBorders>
            <w:gridSpan w:val="2"/>
          </w:tcPr>
          <w:p>
            <w:pPr>
              <w:spacing w:after="0"/>
              <w:rPr>
                <w:sz w:val="11"/>
                <w:szCs w:val="11"/>
                <w:color w:val="auto"/>
              </w:rPr>
            </w:pPr>
          </w:p>
        </w:tc>
        <w:tc>
          <w:tcPr>
            <w:tcW w:w="9100" w:type="dxa"/>
            <w:vAlign w:val="bottom"/>
            <w:tcBorders>
              <w:bottom w:val="single" w:sz="8" w:color="939598"/>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2120" w:type="dxa"/>
            <w:vAlign w:val="bottom"/>
            <w:gridSpan w:val="2"/>
          </w:tcPr>
          <w:p>
            <w:pPr>
              <w:ind w:left="20"/>
              <w:spacing w:after="0"/>
              <w:rPr>
                <w:sz w:val="20"/>
                <w:szCs w:val="20"/>
                <w:color w:val="auto"/>
              </w:rPr>
            </w:pPr>
            <w:r>
              <w:rPr>
                <w:rFonts w:ascii="Arial" w:cs="Arial" w:eastAsia="Arial" w:hAnsi="Arial"/>
                <w:sz w:val="16"/>
                <w:szCs w:val="16"/>
                <w:b w:val="1"/>
                <w:bCs w:val="1"/>
                <w:color w:val="auto"/>
              </w:rPr>
              <w:t>DIRECTOR EDUCATION</w:t>
            </w:r>
          </w:p>
        </w:tc>
        <w:tc>
          <w:tcPr>
            <w:tcW w:w="9120" w:type="dxa"/>
            <w:vAlign w:val="bottom"/>
            <w:gridSpan w:val="2"/>
          </w:tcPr>
          <w:p>
            <w:pPr>
              <w:ind w:left="140"/>
              <w:spacing w:after="0"/>
              <w:rPr>
                <w:sz w:val="20"/>
                <w:szCs w:val="20"/>
                <w:color w:val="auto"/>
              </w:rPr>
            </w:pPr>
            <w:r>
              <w:rPr>
                <w:rFonts w:ascii="Arial" w:cs="Arial" w:eastAsia="Arial" w:hAnsi="Arial"/>
                <w:sz w:val="16"/>
                <w:szCs w:val="16"/>
                <w:color w:val="auto"/>
              </w:rPr>
              <w:t>Honeywell’s Board believes that director education is vital to the ability of directors to fulfill their roles and supports Board</w:t>
            </w:r>
          </w:p>
        </w:tc>
        <w:tc>
          <w:tcPr>
            <w:tcW w:w="0" w:type="dxa"/>
            <w:vAlign w:val="bottom"/>
          </w:tcPr>
          <w:p>
            <w:pPr>
              <w:spacing w:after="0"/>
              <w:rPr>
                <w:sz w:val="1"/>
                <w:szCs w:val="1"/>
                <w:color w:val="auto"/>
              </w:rPr>
            </w:pPr>
          </w:p>
        </w:tc>
      </w:tr>
      <w:tr>
        <w:trPr>
          <w:trHeight w:val="189"/>
        </w:trPr>
        <w:tc>
          <w:tcPr>
            <w:tcW w:w="1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120" w:type="dxa"/>
            <w:vAlign w:val="bottom"/>
            <w:gridSpan w:val="2"/>
          </w:tcPr>
          <w:p>
            <w:pPr>
              <w:ind w:left="140"/>
              <w:spacing w:after="0"/>
              <w:rPr>
                <w:sz w:val="20"/>
                <w:szCs w:val="20"/>
                <w:color w:val="auto"/>
              </w:rPr>
            </w:pPr>
            <w:r>
              <w:rPr>
                <w:rFonts w:ascii="Arial" w:cs="Arial" w:eastAsia="Arial" w:hAnsi="Arial"/>
                <w:sz w:val="16"/>
                <w:szCs w:val="16"/>
                <w:color w:val="auto"/>
              </w:rPr>
              <w:t>members in their continuous learning. Directors may enroll in continuing education programs at Honeywell’s expense on</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120" w:type="dxa"/>
            <w:vAlign w:val="bottom"/>
            <w:gridSpan w:val="2"/>
          </w:tcPr>
          <w:p>
            <w:pPr>
              <w:ind w:left="140"/>
              <w:spacing w:after="0"/>
              <w:rPr>
                <w:sz w:val="20"/>
                <w:szCs w:val="20"/>
                <w:color w:val="auto"/>
              </w:rPr>
            </w:pPr>
            <w:r>
              <w:rPr>
                <w:rFonts w:ascii="Arial" w:cs="Arial" w:eastAsia="Arial" w:hAnsi="Arial"/>
                <w:sz w:val="16"/>
                <w:szCs w:val="16"/>
                <w:color w:val="auto"/>
              </w:rPr>
              <w:t>corporate governance and critical issues associated with a director’s service on a public company board. The Board also</w:t>
            </w:r>
          </w:p>
        </w:tc>
        <w:tc>
          <w:tcPr>
            <w:tcW w:w="0" w:type="dxa"/>
            <w:vAlign w:val="bottom"/>
          </w:tcPr>
          <w:p>
            <w:pPr>
              <w:spacing w:after="0"/>
              <w:rPr>
                <w:sz w:val="1"/>
                <w:szCs w:val="1"/>
                <w:color w:val="auto"/>
              </w:rPr>
            </w:pPr>
          </w:p>
        </w:tc>
      </w:tr>
      <w:tr>
        <w:trPr>
          <w:trHeight w:val="189"/>
        </w:trPr>
        <w:tc>
          <w:tcPr>
            <w:tcW w:w="1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120" w:type="dxa"/>
            <w:vAlign w:val="bottom"/>
            <w:gridSpan w:val="2"/>
          </w:tcPr>
          <w:p>
            <w:pPr>
              <w:ind w:left="140"/>
              <w:spacing w:after="0"/>
              <w:rPr>
                <w:sz w:val="20"/>
                <w:szCs w:val="20"/>
                <w:color w:val="auto"/>
              </w:rPr>
            </w:pPr>
            <w:r>
              <w:rPr>
                <w:rFonts w:ascii="Arial" w:cs="Arial" w:eastAsia="Arial" w:hAnsi="Arial"/>
                <w:sz w:val="16"/>
                <w:szCs w:val="16"/>
                <w:color w:val="auto"/>
              </w:rPr>
              <w:t>hears regularly from management on numerous subjects, including investor sentiments, shareowner activism, regulatory</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120" w:type="dxa"/>
            <w:vAlign w:val="bottom"/>
            <w:gridSpan w:val="2"/>
          </w:tcPr>
          <w:p>
            <w:pPr>
              <w:ind w:left="140"/>
              <w:spacing w:after="0"/>
              <w:rPr>
                <w:sz w:val="20"/>
                <w:szCs w:val="20"/>
                <w:color w:val="auto"/>
              </w:rPr>
            </w:pPr>
            <w:r>
              <w:rPr>
                <w:rFonts w:ascii="Arial" w:cs="Arial" w:eastAsia="Arial" w:hAnsi="Arial"/>
                <w:sz w:val="16"/>
                <w:szCs w:val="16"/>
                <w:color w:val="auto"/>
              </w:rPr>
              <w:t>developments, corporate responsibility-related matters, data privacy, geopolitical developments, supply chain risk,</w:t>
            </w:r>
          </w:p>
        </w:tc>
        <w:tc>
          <w:tcPr>
            <w:tcW w:w="0" w:type="dxa"/>
            <w:vAlign w:val="bottom"/>
          </w:tcPr>
          <w:p>
            <w:pPr>
              <w:spacing w:after="0"/>
              <w:rPr>
                <w:sz w:val="1"/>
                <w:szCs w:val="1"/>
                <w:color w:val="auto"/>
              </w:rPr>
            </w:pPr>
          </w:p>
        </w:tc>
      </w:tr>
      <w:tr>
        <w:trPr>
          <w:trHeight w:val="189"/>
        </w:trPr>
        <w:tc>
          <w:tcPr>
            <w:tcW w:w="1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120" w:type="dxa"/>
            <w:vAlign w:val="bottom"/>
            <w:gridSpan w:val="2"/>
          </w:tcPr>
          <w:p>
            <w:pPr>
              <w:ind w:left="140"/>
              <w:spacing w:after="0"/>
              <w:rPr>
                <w:sz w:val="20"/>
                <w:szCs w:val="20"/>
                <w:color w:val="auto"/>
              </w:rPr>
            </w:pPr>
            <w:r>
              <w:rPr>
                <w:rFonts w:ascii="Arial" w:cs="Arial" w:eastAsia="Arial" w:hAnsi="Arial"/>
                <w:sz w:val="16"/>
                <w:szCs w:val="16"/>
                <w:color w:val="auto"/>
              </w:rPr>
              <w:t>cybersecurity, and AI. In addition, the Board periodically participates in site visits to Honeywell’s facilities and has multiple</w:t>
            </w:r>
          </w:p>
        </w:tc>
        <w:tc>
          <w:tcPr>
            <w:tcW w:w="0" w:type="dxa"/>
            <w:vAlign w:val="bottom"/>
          </w:tcPr>
          <w:p>
            <w:pPr>
              <w:spacing w:after="0"/>
              <w:rPr>
                <w:sz w:val="1"/>
                <w:szCs w:val="1"/>
                <w:color w:val="auto"/>
              </w:rPr>
            </w:pPr>
          </w:p>
        </w:tc>
      </w:tr>
      <w:tr>
        <w:trPr>
          <w:trHeight w:val="215"/>
        </w:trPr>
        <w:tc>
          <w:tcPr>
            <w:tcW w:w="1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120" w:type="dxa"/>
            <w:vAlign w:val="bottom"/>
            <w:gridSpan w:val="2"/>
          </w:tcPr>
          <w:p>
            <w:pPr>
              <w:ind w:left="140"/>
              <w:spacing w:after="0"/>
              <w:rPr>
                <w:sz w:val="20"/>
                <w:szCs w:val="20"/>
                <w:color w:val="auto"/>
              </w:rPr>
            </w:pPr>
            <w:r>
              <w:rPr>
                <w:rFonts w:ascii="Arial" w:cs="Arial" w:eastAsia="Arial" w:hAnsi="Arial"/>
                <w:sz w:val="16"/>
                <w:szCs w:val="16"/>
                <w:color w:val="auto"/>
              </w:rPr>
              <w:t>opportunities to engage with employees across our businesses.</w:t>
            </w:r>
          </w:p>
        </w:tc>
        <w:tc>
          <w:tcPr>
            <w:tcW w:w="0" w:type="dxa"/>
            <w:vAlign w:val="bottom"/>
          </w:tcPr>
          <w:p>
            <w:pPr>
              <w:spacing w:after="0"/>
              <w:rPr>
                <w:sz w:val="1"/>
                <w:szCs w:val="1"/>
                <w:color w:val="auto"/>
              </w:rPr>
            </w:pPr>
          </w:p>
        </w:tc>
      </w:tr>
      <w:tr>
        <w:trPr>
          <w:trHeight w:val="83"/>
        </w:trPr>
        <w:tc>
          <w:tcPr>
            <w:tcW w:w="2120" w:type="dxa"/>
            <w:vAlign w:val="bottom"/>
            <w:tcBorders>
              <w:bottom w:val="single" w:sz="8" w:color="939598"/>
            </w:tcBorders>
            <w:gridSpan w:val="2"/>
          </w:tcPr>
          <w:p>
            <w:pPr>
              <w:spacing w:after="0"/>
              <w:rPr>
                <w:sz w:val="7"/>
                <w:szCs w:val="7"/>
                <w:color w:val="auto"/>
              </w:rPr>
            </w:pPr>
          </w:p>
        </w:tc>
        <w:tc>
          <w:tcPr>
            <w:tcW w:w="9100" w:type="dxa"/>
            <w:vAlign w:val="bottom"/>
            <w:tcBorders>
              <w:bottom w:val="single" w:sz="8" w:color="939598"/>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2"/>
          </w:tcPr>
          <w:p>
            <w:pPr>
              <w:ind w:left="20"/>
              <w:spacing w:after="0"/>
              <w:rPr>
                <w:sz w:val="20"/>
                <w:szCs w:val="20"/>
                <w:color w:val="auto"/>
              </w:rPr>
            </w:pPr>
            <w:r>
              <w:rPr>
                <w:rFonts w:ascii="Arial" w:cs="Arial" w:eastAsia="Arial" w:hAnsi="Arial"/>
                <w:sz w:val="16"/>
                <w:szCs w:val="16"/>
                <w:b w:val="1"/>
                <w:bCs w:val="1"/>
                <w:color w:val="auto"/>
              </w:rPr>
              <w:t>DIRECTOR ORIENTATION</w:t>
            </w:r>
          </w:p>
        </w:tc>
        <w:tc>
          <w:tcPr>
            <w:tcW w:w="9120" w:type="dxa"/>
            <w:vAlign w:val="bottom"/>
            <w:gridSpan w:val="2"/>
          </w:tcPr>
          <w:p>
            <w:pPr>
              <w:ind w:left="140"/>
              <w:spacing w:after="0"/>
              <w:rPr>
                <w:sz w:val="20"/>
                <w:szCs w:val="20"/>
                <w:color w:val="auto"/>
              </w:rPr>
            </w:pPr>
            <w:r>
              <w:rPr>
                <w:rFonts w:ascii="Arial" w:cs="Arial" w:eastAsia="Arial" w:hAnsi="Arial"/>
                <w:sz w:val="16"/>
                <w:szCs w:val="16"/>
                <w:color w:val="auto"/>
              </w:rPr>
              <w:t>All new directors participate in the Company’s director orientation program during the first year on the Board. New directors</w:t>
            </w:r>
          </w:p>
        </w:tc>
        <w:tc>
          <w:tcPr>
            <w:tcW w:w="0" w:type="dxa"/>
            <w:vAlign w:val="bottom"/>
          </w:tcPr>
          <w:p>
            <w:pPr>
              <w:spacing w:after="0"/>
              <w:rPr>
                <w:sz w:val="1"/>
                <w:szCs w:val="1"/>
                <w:color w:val="auto"/>
              </w:rPr>
            </w:pPr>
          </w:p>
        </w:tc>
      </w:tr>
      <w:tr>
        <w:trPr>
          <w:trHeight w:val="189"/>
        </w:trPr>
        <w:tc>
          <w:tcPr>
            <w:tcW w:w="1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120" w:type="dxa"/>
            <w:vAlign w:val="bottom"/>
            <w:gridSpan w:val="2"/>
          </w:tcPr>
          <w:p>
            <w:pPr>
              <w:ind w:left="140"/>
              <w:spacing w:after="0"/>
              <w:rPr>
                <w:sz w:val="20"/>
                <w:szCs w:val="20"/>
                <w:color w:val="auto"/>
              </w:rPr>
            </w:pPr>
            <w:r>
              <w:rPr>
                <w:rFonts w:ascii="Arial" w:cs="Arial" w:eastAsia="Arial" w:hAnsi="Arial"/>
                <w:sz w:val="16"/>
                <w:szCs w:val="16"/>
                <w:color w:val="auto"/>
              </w:rPr>
              <w:t>receive an extensive suite of onboarding materials covering director responsibilities, corporate governance practices and</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120" w:type="dxa"/>
            <w:vAlign w:val="bottom"/>
            <w:gridSpan w:val="2"/>
          </w:tcPr>
          <w:p>
            <w:pPr>
              <w:ind w:left="140"/>
              <w:spacing w:after="0"/>
              <w:rPr>
                <w:sz w:val="20"/>
                <w:szCs w:val="20"/>
                <w:color w:val="auto"/>
              </w:rPr>
            </w:pPr>
            <w:r>
              <w:rPr>
                <w:rFonts w:ascii="Arial" w:cs="Arial" w:eastAsia="Arial" w:hAnsi="Arial"/>
                <w:sz w:val="16"/>
                <w:szCs w:val="16"/>
                <w:color w:val="auto"/>
              </w:rPr>
              <w:t>policies, business strategies, leadership structure, and long-term plans. Participation in regular Board and committee</w:t>
            </w:r>
          </w:p>
        </w:tc>
        <w:tc>
          <w:tcPr>
            <w:tcW w:w="0" w:type="dxa"/>
            <w:vAlign w:val="bottom"/>
          </w:tcPr>
          <w:p>
            <w:pPr>
              <w:spacing w:after="0"/>
              <w:rPr>
                <w:sz w:val="1"/>
                <w:szCs w:val="1"/>
                <w:color w:val="auto"/>
              </w:rPr>
            </w:pPr>
          </w:p>
        </w:tc>
      </w:tr>
      <w:tr>
        <w:trPr>
          <w:trHeight w:val="189"/>
        </w:trPr>
        <w:tc>
          <w:tcPr>
            <w:tcW w:w="1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120" w:type="dxa"/>
            <w:vAlign w:val="bottom"/>
            <w:gridSpan w:val="2"/>
          </w:tcPr>
          <w:p>
            <w:pPr>
              <w:ind w:left="140"/>
              <w:spacing w:after="0"/>
              <w:rPr>
                <w:sz w:val="20"/>
                <w:szCs w:val="20"/>
                <w:color w:val="auto"/>
              </w:rPr>
            </w:pPr>
            <w:r>
              <w:rPr>
                <w:rFonts w:ascii="Arial" w:cs="Arial" w:eastAsia="Arial" w:hAnsi="Arial"/>
                <w:sz w:val="16"/>
                <w:szCs w:val="16"/>
                <w:color w:val="auto"/>
              </w:rPr>
              <w:t>meetings also provides new directors with a strong foundation for understanding Honeywell’s businesses, connects directors</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120" w:type="dxa"/>
            <w:vAlign w:val="bottom"/>
            <w:gridSpan w:val="2"/>
          </w:tcPr>
          <w:p>
            <w:pPr>
              <w:ind w:left="140"/>
              <w:spacing w:after="0"/>
              <w:rPr>
                <w:sz w:val="20"/>
                <w:szCs w:val="20"/>
                <w:color w:val="auto"/>
              </w:rPr>
            </w:pPr>
            <w:r>
              <w:rPr>
                <w:rFonts w:ascii="Arial" w:cs="Arial" w:eastAsia="Arial" w:hAnsi="Arial"/>
                <w:sz w:val="16"/>
                <w:szCs w:val="16"/>
                <w:color w:val="auto"/>
              </w:rPr>
              <w:t>with members of management with whom they will interact, and accelerates their effectiveness to engage fully in Board</w:t>
            </w:r>
          </w:p>
        </w:tc>
        <w:tc>
          <w:tcPr>
            <w:tcW w:w="0" w:type="dxa"/>
            <w:vAlign w:val="bottom"/>
          </w:tcPr>
          <w:p>
            <w:pPr>
              <w:spacing w:after="0"/>
              <w:rPr>
                <w:sz w:val="1"/>
                <w:szCs w:val="1"/>
                <w:color w:val="auto"/>
              </w:rPr>
            </w:pPr>
          </w:p>
        </w:tc>
      </w:tr>
      <w:tr>
        <w:trPr>
          <w:trHeight w:val="189"/>
        </w:trPr>
        <w:tc>
          <w:tcPr>
            <w:tcW w:w="1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120" w:type="dxa"/>
            <w:vAlign w:val="bottom"/>
            <w:gridSpan w:val="2"/>
          </w:tcPr>
          <w:p>
            <w:pPr>
              <w:ind w:left="140"/>
              <w:spacing w:after="0"/>
              <w:rPr>
                <w:sz w:val="20"/>
                <w:szCs w:val="20"/>
                <w:color w:val="auto"/>
              </w:rPr>
            </w:pPr>
            <w:r>
              <w:rPr>
                <w:rFonts w:ascii="Arial" w:cs="Arial" w:eastAsia="Arial" w:hAnsi="Arial"/>
                <w:sz w:val="16"/>
                <w:szCs w:val="16"/>
                <w:color w:val="auto"/>
              </w:rPr>
              <w:t>deliberations. Directors have access to additional orientation and educational opportunities upon acceptance of new or</w:t>
            </w:r>
          </w:p>
        </w:tc>
        <w:tc>
          <w:tcPr>
            <w:tcW w:w="0" w:type="dxa"/>
            <w:vAlign w:val="bottom"/>
          </w:tcPr>
          <w:p>
            <w:pPr>
              <w:spacing w:after="0"/>
              <w:rPr>
                <w:sz w:val="1"/>
                <w:szCs w:val="1"/>
                <w:color w:val="auto"/>
              </w:rPr>
            </w:pPr>
          </w:p>
        </w:tc>
      </w:tr>
      <w:tr>
        <w:trPr>
          <w:trHeight w:val="215"/>
        </w:trPr>
        <w:tc>
          <w:tcPr>
            <w:tcW w:w="1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120" w:type="dxa"/>
            <w:vAlign w:val="bottom"/>
            <w:gridSpan w:val="2"/>
          </w:tcPr>
          <w:p>
            <w:pPr>
              <w:ind w:left="140"/>
              <w:spacing w:after="0"/>
              <w:rPr>
                <w:sz w:val="20"/>
                <w:szCs w:val="20"/>
                <w:color w:val="auto"/>
              </w:rPr>
            </w:pPr>
            <w:r>
              <w:rPr>
                <w:rFonts w:ascii="Arial" w:cs="Arial" w:eastAsia="Arial" w:hAnsi="Arial"/>
                <w:sz w:val="16"/>
                <w:szCs w:val="16"/>
                <w:color w:val="auto"/>
              </w:rPr>
              <w:t>additional responsibilities on the Board or its committees.</w:t>
            </w:r>
          </w:p>
        </w:tc>
        <w:tc>
          <w:tcPr>
            <w:tcW w:w="0" w:type="dxa"/>
            <w:vAlign w:val="bottom"/>
          </w:tcPr>
          <w:p>
            <w:pPr>
              <w:spacing w:after="0"/>
              <w:rPr>
                <w:sz w:val="1"/>
                <w:szCs w:val="1"/>
                <w:color w:val="auto"/>
              </w:rPr>
            </w:pPr>
          </w:p>
        </w:tc>
      </w:tr>
      <w:tr>
        <w:trPr>
          <w:trHeight w:val="137"/>
        </w:trPr>
        <w:tc>
          <w:tcPr>
            <w:tcW w:w="1640" w:type="dxa"/>
            <w:vAlign w:val="bottom"/>
            <w:tcBorders>
              <w:bottom w:val="single" w:sz="8" w:color="939598"/>
            </w:tcBorders>
          </w:tcPr>
          <w:p>
            <w:pPr>
              <w:spacing w:after="0"/>
              <w:rPr>
                <w:sz w:val="11"/>
                <w:szCs w:val="11"/>
                <w:color w:val="auto"/>
              </w:rPr>
            </w:pPr>
          </w:p>
        </w:tc>
        <w:tc>
          <w:tcPr>
            <w:tcW w:w="480" w:type="dxa"/>
            <w:vAlign w:val="bottom"/>
            <w:tcBorders>
              <w:bottom w:val="single" w:sz="8" w:color="939598"/>
            </w:tcBorders>
          </w:tcPr>
          <w:p>
            <w:pPr>
              <w:spacing w:after="0"/>
              <w:rPr>
                <w:sz w:val="11"/>
                <w:szCs w:val="11"/>
                <w:color w:val="auto"/>
              </w:rPr>
            </w:pPr>
          </w:p>
        </w:tc>
        <w:tc>
          <w:tcPr>
            <w:tcW w:w="9100" w:type="dxa"/>
            <w:vAlign w:val="bottom"/>
            <w:tcBorders>
              <w:bottom w:val="single" w:sz="8" w:color="939598"/>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1640" w:type="dxa"/>
            <w:vAlign w:val="bottom"/>
          </w:tcPr>
          <w:p>
            <w:pPr>
              <w:ind w:left="20"/>
              <w:spacing w:after="0"/>
              <w:rPr>
                <w:sz w:val="20"/>
                <w:szCs w:val="20"/>
                <w:color w:val="auto"/>
              </w:rPr>
            </w:pPr>
            <w:r>
              <w:rPr>
                <w:rFonts w:ascii="Arial" w:cs="Arial" w:eastAsia="Arial" w:hAnsi="Arial"/>
                <w:sz w:val="16"/>
                <w:szCs w:val="16"/>
                <w:b w:val="1"/>
                <w:bCs w:val="1"/>
                <w:color w:val="auto"/>
              </w:rPr>
              <w:t>OTHER BOARD</w:t>
            </w:r>
          </w:p>
        </w:tc>
        <w:tc>
          <w:tcPr>
            <w:tcW w:w="480" w:type="dxa"/>
            <w:vAlign w:val="bottom"/>
          </w:tcPr>
          <w:p>
            <w:pPr>
              <w:spacing w:after="0"/>
              <w:rPr>
                <w:sz w:val="20"/>
                <w:szCs w:val="20"/>
                <w:color w:val="auto"/>
              </w:rPr>
            </w:pPr>
          </w:p>
        </w:tc>
        <w:tc>
          <w:tcPr>
            <w:tcW w:w="9120" w:type="dxa"/>
            <w:vAlign w:val="bottom"/>
            <w:gridSpan w:val="2"/>
          </w:tcPr>
          <w:p>
            <w:pPr>
              <w:ind w:left="140"/>
              <w:spacing w:after="0"/>
              <w:rPr>
                <w:sz w:val="20"/>
                <w:szCs w:val="20"/>
                <w:color w:val="auto"/>
              </w:rPr>
            </w:pPr>
            <w:r>
              <w:rPr>
                <w:rFonts w:ascii="Arial" w:cs="Arial" w:eastAsia="Arial" w:hAnsi="Arial"/>
                <w:sz w:val="16"/>
                <w:szCs w:val="16"/>
                <w:color w:val="auto"/>
              </w:rPr>
              <w:t>Pursuant to our Corporate Governance Guidelines, directors should not serve on more than four public company boards</w:t>
            </w:r>
          </w:p>
        </w:tc>
        <w:tc>
          <w:tcPr>
            <w:tcW w:w="0" w:type="dxa"/>
            <w:vAlign w:val="bottom"/>
          </w:tcPr>
          <w:p>
            <w:pPr>
              <w:spacing w:after="0"/>
              <w:rPr>
                <w:sz w:val="1"/>
                <w:szCs w:val="1"/>
                <w:color w:val="auto"/>
              </w:rPr>
            </w:pPr>
          </w:p>
        </w:tc>
      </w:tr>
      <w:tr>
        <w:trPr>
          <w:trHeight w:val="189"/>
        </w:trPr>
        <w:tc>
          <w:tcPr>
            <w:tcW w:w="1640" w:type="dxa"/>
            <w:vAlign w:val="bottom"/>
          </w:tcPr>
          <w:p>
            <w:pPr>
              <w:ind w:left="20"/>
              <w:spacing w:after="0"/>
              <w:rPr>
                <w:sz w:val="20"/>
                <w:szCs w:val="20"/>
                <w:color w:val="auto"/>
              </w:rPr>
            </w:pPr>
            <w:r>
              <w:rPr>
                <w:rFonts w:ascii="Arial" w:cs="Arial" w:eastAsia="Arial" w:hAnsi="Arial"/>
                <w:sz w:val="16"/>
                <w:szCs w:val="16"/>
                <w:b w:val="1"/>
                <w:bCs w:val="1"/>
                <w:color w:val="auto"/>
              </w:rPr>
              <w:t>MEMBERSHIPS</w:t>
            </w:r>
          </w:p>
        </w:tc>
        <w:tc>
          <w:tcPr>
            <w:tcW w:w="480" w:type="dxa"/>
            <w:vAlign w:val="bottom"/>
          </w:tcPr>
          <w:p>
            <w:pPr>
              <w:spacing w:after="0"/>
              <w:rPr>
                <w:sz w:val="16"/>
                <w:szCs w:val="16"/>
                <w:color w:val="auto"/>
              </w:rPr>
            </w:pPr>
          </w:p>
        </w:tc>
        <w:tc>
          <w:tcPr>
            <w:tcW w:w="9120" w:type="dxa"/>
            <w:vAlign w:val="bottom"/>
            <w:gridSpan w:val="2"/>
          </w:tcPr>
          <w:p>
            <w:pPr>
              <w:ind w:left="140"/>
              <w:spacing w:after="0"/>
              <w:rPr>
                <w:sz w:val="20"/>
                <w:szCs w:val="20"/>
                <w:color w:val="auto"/>
              </w:rPr>
            </w:pPr>
            <w:r>
              <w:rPr>
                <w:rFonts w:ascii="Arial" w:cs="Arial" w:eastAsia="Arial" w:hAnsi="Arial"/>
                <w:sz w:val="16"/>
                <w:szCs w:val="16"/>
                <w:color w:val="auto"/>
              </w:rPr>
              <w:t>(including the Honeywell Board), and directors who serve as chief executive officer of a public company should not serve on</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120" w:type="dxa"/>
            <w:vAlign w:val="bottom"/>
            <w:gridSpan w:val="2"/>
          </w:tcPr>
          <w:p>
            <w:pPr>
              <w:ind w:left="140"/>
              <w:spacing w:after="0"/>
              <w:rPr>
                <w:sz w:val="20"/>
                <w:szCs w:val="20"/>
                <w:color w:val="auto"/>
              </w:rPr>
            </w:pPr>
            <w:r>
              <w:rPr>
                <w:rFonts w:ascii="Arial" w:cs="Arial" w:eastAsia="Arial" w:hAnsi="Arial"/>
                <w:sz w:val="16"/>
                <w:szCs w:val="16"/>
                <w:color w:val="auto"/>
              </w:rPr>
              <w:t>more than two public company boards (excluding the board of the company of which such director is the chief executive</w:t>
            </w:r>
          </w:p>
        </w:tc>
        <w:tc>
          <w:tcPr>
            <w:tcW w:w="0" w:type="dxa"/>
            <w:vAlign w:val="bottom"/>
          </w:tcPr>
          <w:p>
            <w:pPr>
              <w:spacing w:after="0"/>
              <w:rPr>
                <w:sz w:val="1"/>
                <w:szCs w:val="1"/>
                <w:color w:val="auto"/>
              </w:rPr>
            </w:pPr>
          </w:p>
        </w:tc>
      </w:tr>
      <w:tr>
        <w:trPr>
          <w:trHeight w:val="189"/>
        </w:trPr>
        <w:tc>
          <w:tcPr>
            <w:tcW w:w="1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120" w:type="dxa"/>
            <w:vAlign w:val="bottom"/>
            <w:gridSpan w:val="2"/>
          </w:tcPr>
          <w:p>
            <w:pPr>
              <w:ind w:left="140"/>
              <w:spacing w:after="0"/>
              <w:rPr>
                <w:sz w:val="20"/>
                <w:szCs w:val="20"/>
                <w:color w:val="auto"/>
              </w:rPr>
            </w:pPr>
            <w:r>
              <w:rPr>
                <w:rFonts w:ascii="Arial" w:cs="Arial" w:eastAsia="Arial" w:hAnsi="Arial"/>
                <w:sz w:val="16"/>
                <w:szCs w:val="16"/>
                <w:color w:val="auto"/>
              </w:rPr>
              <w:t>officer). Directors should advise the Chairman in advance of accepting an invitation to serve on another public company</w:t>
            </w:r>
          </w:p>
        </w:tc>
        <w:tc>
          <w:tcPr>
            <w:tcW w:w="0" w:type="dxa"/>
            <w:vAlign w:val="bottom"/>
          </w:tcPr>
          <w:p>
            <w:pPr>
              <w:spacing w:after="0"/>
              <w:rPr>
                <w:sz w:val="1"/>
                <w:szCs w:val="1"/>
                <w:color w:val="auto"/>
              </w:rPr>
            </w:pPr>
          </w:p>
        </w:tc>
      </w:tr>
      <w:tr>
        <w:trPr>
          <w:trHeight w:val="215"/>
        </w:trPr>
        <w:tc>
          <w:tcPr>
            <w:tcW w:w="1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120" w:type="dxa"/>
            <w:vAlign w:val="bottom"/>
            <w:gridSpan w:val="2"/>
          </w:tcPr>
          <w:p>
            <w:pPr>
              <w:ind w:left="140"/>
              <w:spacing w:after="0"/>
              <w:rPr>
                <w:sz w:val="20"/>
                <w:szCs w:val="20"/>
                <w:color w:val="auto"/>
              </w:rPr>
            </w:pPr>
            <w:r>
              <w:rPr>
                <w:rFonts w:ascii="Arial" w:cs="Arial" w:eastAsia="Arial" w:hAnsi="Arial"/>
                <w:sz w:val="16"/>
                <w:szCs w:val="16"/>
                <w:color w:val="auto"/>
              </w:rPr>
              <w:t>board.</w:t>
            </w:r>
          </w:p>
        </w:tc>
        <w:tc>
          <w:tcPr>
            <w:tcW w:w="0" w:type="dxa"/>
            <w:vAlign w:val="bottom"/>
          </w:tcPr>
          <w:p>
            <w:pPr>
              <w:spacing w:after="0"/>
              <w:rPr>
                <w:sz w:val="1"/>
                <w:szCs w:val="1"/>
                <w:color w:val="auto"/>
              </w:rPr>
            </w:pPr>
          </w:p>
        </w:tc>
      </w:tr>
      <w:tr>
        <w:trPr>
          <w:trHeight w:val="137"/>
        </w:trPr>
        <w:tc>
          <w:tcPr>
            <w:tcW w:w="1640" w:type="dxa"/>
            <w:vAlign w:val="bottom"/>
            <w:tcBorders>
              <w:bottom w:val="single" w:sz="8" w:color="939598"/>
            </w:tcBorders>
          </w:tcPr>
          <w:p>
            <w:pPr>
              <w:spacing w:after="0"/>
              <w:rPr>
                <w:sz w:val="11"/>
                <w:szCs w:val="11"/>
                <w:color w:val="auto"/>
              </w:rPr>
            </w:pPr>
          </w:p>
        </w:tc>
        <w:tc>
          <w:tcPr>
            <w:tcW w:w="480" w:type="dxa"/>
            <w:vAlign w:val="bottom"/>
            <w:tcBorders>
              <w:bottom w:val="single" w:sz="8" w:color="939598"/>
            </w:tcBorders>
          </w:tcPr>
          <w:p>
            <w:pPr>
              <w:spacing w:after="0"/>
              <w:rPr>
                <w:sz w:val="11"/>
                <w:szCs w:val="11"/>
                <w:color w:val="auto"/>
              </w:rPr>
            </w:pPr>
          </w:p>
        </w:tc>
        <w:tc>
          <w:tcPr>
            <w:tcW w:w="9100" w:type="dxa"/>
            <w:vAlign w:val="bottom"/>
            <w:tcBorders>
              <w:bottom w:val="single" w:sz="8" w:color="939598"/>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16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TIME COMMITMENT</w:t>
            </w:r>
          </w:p>
        </w:tc>
        <w:tc>
          <w:tcPr>
            <w:tcW w:w="480" w:type="dxa"/>
            <w:vAlign w:val="bottom"/>
          </w:tcPr>
          <w:p>
            <w:pPr>
              <w:spacing w:after="0"/>
              <w:rPr>
                <w:sz w:val="20"/>
                <w:szCs w:val="20"/>
                <w:color w:val="auto"/>
              </w:rPr>
            </w:pPr>
          </w:p>
        </w:tc>
        <w:tc>
          <w:tcPr>
            <w:tcW w:w="9120" w:type="dxa"/>
            <w:vAlign w:val="bottom"/>
            <w:gridSpan w:val="2"/>
          </w:tcPr>
          <w:p>
            <w:pPr>
              <w:ind w:left="140"/>
              <w:spacing w:after="0"/>
              <w:rPr>
                <w:sz w:val="20"/>
                <w:szCs w:val="20"/>
                <w:color w:val="auto"/>
              </w:rPr>
            </w:pPr>
            <w:r>
              <w:rPr>
                <w:rFonts w:ascii="Arial" w:cs="Arial" w:eastAsia="Arial" w:hAnsi="Arial"/>
                <w:sz w:val="16"/>
                <w:szCs w:val="16"/>
                <w:color w:val="auto"/>
              </w:rPr>
              <w:t>In addition to the board membership limits described above, the Corporate Governance Guidelines provide that, as part of</w:t>
            </w:r>
          </w:p>
        </w:tc>
        <w:tc>
          <w:tcPr>
            <w:tcW w:w="0" w:type="dxa"/>
            <w:vAlign w:val="bottom"/>
          </w:tcPr>
          <w:p>
            <w:pPr>
              <w:spacing w:after="0"/>
              <w:rPr>
                <w:sz w:val="1"/>
                <w:szCs w:val="1"/>
                <w:color w:val="auto"/>
              </w:rPr>
            </w:pPr>
          </w:p>
        </w:tc>
      </w:tr>
      <w:tr>
        <w:trPr>
          <w:trHeight w:val="142"/>
        </w:trPr>
        <w:tc>
          <w:tcPr>
            <w:tcW w:w="164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9120" w:type="dxa"/>
            <w:vAlign w:val="bottom"/>
            <w:gridSpan w:val="2"/>
            <w:vMerge w:val="restart"/>
          </w:tcPr>
          <w:p>
            <w:pPr>
              <w:ind w:left="140"/>
              <w:spacing w:after="0"/>
              <w:rPr>
                <w:sz w:val="20"/>
                <w:szCs w:val="20"/>
                <w:color w:val="auto"/>
              </w:rPr>
            </w:pPr>
            <w:r>
              <w:rPr>
                <w:rFonts w:ascii="Arial" w:cs="Arial" w:eastAsia="Arial" w:hAnsi="Arial"/>
                <w:sz w:val="16"/>
                <w:szCs w:val="16"/>
                <w:color w:val="auto"/>
              </w:rPr>
              <w:t>the CGRC’s annual review of the requisite skills and characteristics of Board members, the CGRC will consider the ability of</w:t>
            </w:r>
          </w:p>
        </w:tc>
        <w:tc>
          <w:tcPr>
            <w:tcW w:w="0" w:type="dxa"/>
            <w:vAlign w:val="bottom"/>
          </w:tcPr>
          <w:p>
            <w:pPr>
              <w:spacing w:after="0"/>
              <w:rPr>
                <w:sz w:val="1"/>
                <w:szCs w:val="1"/>
                <w:color w:val="auto"/>
              </w:rPr>
            </w:pPr>
          </w:p>
        </w:tc>
      </w:tr>
      <w:tr>
        <w:trPr>
          <w:trHeight w:val="47"/>
        </w:trPr>
        <w:tc>
          <w:tcPr>
            <w:tcW w:w="1640" w:type="dxa"/>
            <w:vAlign w:val="bottom"/>
          </w:tcPr>
          <w:p>
            <w:pPr>
              <w:spacing w:after="0"/>
              <w:rPr>
                <w:sz w:val="4"/>
                <w:szCs w:val="4"/>
                <w:color w:val="auto"/>
              </w:rPr>
            </w:pPr>
          </w:p>
        </w:tc>
        <w:tc>
          <w:tcPr>
            <w:tcW w:w="480" w:type="dxa"/>
            <w:vAlign w:val="bottom"/>
          </w:tcPr>
          <w:p>
            <w:pPr>
              <w:spacing w:after="0"/>
              <w:rPr>
                <w:sz w:val="4"/>
                <w:szCs w:val="4"/>
                <w:color w:val="auto"/>
              </w:rPr>
            </w:pPr>
          </w:p>
        </w:tc>
        <w:tc>
          <w:tcPr>
            <w:tcW w:w="9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1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120" w:type="dxa"/>
            <w:vAlign w:val="bottom"/>
            <w:gridSpan w:val="2"/>
          </w:tcPr>
          <w:p>
            <w:pPr>
              <w:ind w:left="140"/>
              <w:spacing w:after="0"/>
              <w:rPr>
                <w:sz w:val="20"/>
                <w:szCs w:val="20"/>
                <w:color w:val="auto"/>
              </w:rPr>
            </w:pPr>
            <w:r>
              <w:rPr>
                <w:rFonts w:ascii="Arial" w:cs="Arial" w:eastAsia="Arial" w:hAnsi="Arial"/>
                <w:sz w:val="16"/>
                <w:szCs w:val="16"/>
                <w:color w:val="auto"/>
              </w:rPr>
              <w:t>Board members (and candidates for membership) to devote sufficient time to performing their duties in an effective manner.</w:t>
            </w:r>
          </w:p>
        </w:tc>
        <w:tc>
          <w:tcPr>
            <w:tcW w:w="0" w:type="dxa"/>
            <w:vAlign w:val="bottom"/>
          </w:tcPr>
          <w:p>
            <w:pPr>
              <w:spacing w:after="0"/>
              <w:rPr>
                <w:sz w:val="1"/>
                <w:szCs w:val="1"/>
                <w:color w:val="auto"/>
              </w:rPr>
            </w:pPr>
          </w:p>
        </w:tc>
      </w:tr>
      <w:tr>
        <w:trPr>
          <w:trHeight w:val="83"/>
        </w:trPr>
        <w:tc>
          <w:tcPr>
            <w:tcW w:w="1640" w:type="dxa"/>
            <w:vAlign w:val="bottom"/>
            <w:tcBorders>
              <w:bottom w:val="single" w:sz="8" w:color="939598"/>
            </w:tcBorders>
          </w:tcPr>
          <w:p>
            <w:pPr>
              <w:spacing w:after="0"/>
              <w:rPr>
                <w:sz w:val="7"/>
                <w:szCs w:val="7"/>
                <w:color w:val="auto"/>
              </w:rPr>
            </w:pPr>
          </w:p>
        </w:tc>
        <w:tc>
          <w:tcPr>
            <w:tcW w:w="480" w:type="dxa"/>
            <w:vAlign w:val="bottom"/>
            <w:tcBorders>
              <w:bottom w:val="single" w:sz="8" w:color="939598"/>
            </w:tcBorders>
          </w:tcPr>
          <w:p>
            <w:pPr>
              <w:spacing w:after="0"/>
              <w:rPr>
                <w:sz w:val="7"/>
                <w:szCs w:val="7"/>
                <w:color w:val="auto"/>
              </w:rPr>
            </w:pPr>
          </w:p>
        </w:tc>
        <w:tc>
          <w:tcPr>
            <w:tcW w:w="9100" w:type="dxa"/>
            <w:vAlign w:val="bottom"/>
            <w:tcBorders>
              <w:bottom w:val="single" w:sz="8" w:color="939598"/>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1640" w:type="dxa"/>
            <w:vAlign w:val="bottom"/>
          </w:tcPr>
          <w:p>
            <w:pPr>
              <w:ind w:left="20"/>
              <w:spacing w:after="0"/>
              <w:rPr>
                <w:sz w:val="20"/>
                <w:szCs w:val="20"/>
                <w:color w:val="auto"/>
              </w:rPr>
            </w:pPr>
            <w:r>
              <w:rPr>
                <w:rFonts w:ascii="Arial" w:cs="Arial" w:eastAsia="Arial" w:hAnsi="Arial"/>
                <w:sz w:val="16"/>
                <w:szCs w:val="16"/>
                <w:b w:val="1"/>
                <w:bCs w:val="1"/>
                <w:color w:val="auto"/>
              </w:rPr>
              <w:t>RETIREMENT AGE</w:t>
            </w:r>
          </w:p>
        </w:tc>
        <w:tc>
          <w:tcPr>
            <w:tcW w:w="480" w:type="dxa"/>
            <w:vAlign w:val="bottom"/>
          </w:tcPr>
          <w:p>
            <w:pPr>
              <w:spacing w:after="0"/>
              <w:rPr>
                <w:sz w:val="20"/>
                <w:szCs w:val="20"/>
                <w:color w:val="auto"/>
              </w:rPr>
            </w:pPr>
          </w:p>
        </w:tc>
        <w:tc>
          <w:tcPr>
            <w:tcW w:w="9120" w:type="dxa"/>
            <w:vAlign w:val="bottom"/>
            <w:gridSpan w:val="2"/>
          </w:tcPr>
          <w:p>
            <w:pPr>
              <w:ind w:left="140"/>
              <w:spacing w:after="0"/>
              <w:rPr>
                <w:sz w:val="20"/>
                <w:szCs w:val="20"/>
                <w:color w:val="auto"/>
              </w:rPr>
            </w:pPr>
            <w:r>
              <w:rPr>
                <w:rFonts w:ascii="Arial" w:cs="Arial" w:eastAsia="Arial" w:hAnsi="Arial"/>
                <w:sz w:val="16"/>
                <w:szCs w:val="16"/>
                <w:color w:val="auto"/>
              </w:rPr>
              <w:t>Per Board policy, unless the Board otherwise determines, non-employee directors will retire from the Board upon the first</w:t>
            </w:r>
          </w:p>
        </w:tc>
        <w:tc>
          <w:tcPr>
            <w:tcW w:w="0" w:type="dxa"/>
            <w:vAlign w:val="bottom"/>
          </w:tcPr>
          <w:p>
            <w:pPr>
              <w:spacing w:after="0"/>
              <w:rPr>
                <w:sz w:val="1"/>
                <w:szCs w:val="1"/>
                <w:color w:val="auto"/>
              </w:rPr>
            </w:pPr>
          </w:p>
        </w:tc>
      </w:tr>
      <w:tr>
        <w:trPr>
          <w:trHeight w:val="223"/>
        </w:trPr>
        <w:tc>
          <w:tcPr>
            <w:tcW w:w="1640" w:type="dxa"/>
            <w:vAlign w:val="bottom"/>
          </w:tcPr>
          <w:p>
            <w:pPr>
              <w:ind w:left="20"/>
              <w:spacing w:after="0"/>
              <w:rPr>
                <w:sz w:val="20"/>
                <w:szCs w:val="20"/>
                <w:color w:val="auto"/>
              </w:rPr>
            </w:pPr>
            <w:r>
              <w:rPr>
                <w:rFonts w:ascii="Arial" w:cs="Arial" w:eastAsia="Arial" w:hAnsi="Arial"/>
                <w:sz w:val="16"/>
                <w:szCs w:val="16"/>
                <w:b w:val="1"/>
                <w:bCs w:val="1"/>
                <w:color w:val="auto"/>
              </w:rPr>
              <w:t>POLICY</w:t>
            </w:r>
          </w:p>
        </w:tc>
        <w:tc>
          <w:tcPr>
            <w:tcW w:w="480" w:type="dxa"/>
            <w:vAlign w:val="bottom"/>
          </w:tcPr>
          <w:p>
            <w:pPr>
              <w:spacing w:after="0"/>
              <w:rPr>
                <w:sz w:val="19"/>
                <w:szCs w:val="19"/>
                <w:color w:val="auto"/>
              </w:rPr>
            </w:pPr>
          </w:p>
        </w:tc>
        <w:tc>
          <w:tcPr>
            <w:tcW w:w="9120" w:type="dxa"/>
            <w:vAlign w:val="bottom"/>
            <w:gridSpan w:val="2"/>
          </w:tcPr>
          <w:p>
            <w:pPr>
              <w:ind w:left="140"/>
              <w:spacing w:after="0"/>
              <w:rPr>
                <w:sz w:val="20"/>
                <w:szCs w:val="20"/>
                <w:color w:val="auto"/>
              </w:rPr>
            </w:pPr>
            <w:r>
              <w:rPr>
                <w:rFonts w:ascii="Arial" w:cs="Arial" w:eastAsia="Arial" w:hAnsi="Arial"/>
                <w:sz w:val="16"/>
                <w:szCs w:val="16"/>
                <w:color w:val="auto"/>
              </w:rPr>
              <w:t>Annual Meeting of Shareowners after reaching the age of 75.</w:t>
            </w:r>
          </w:p>
        </w:tc>
        <w:tc>
          <w:tcPr>
            <w:tcW w:w="0" w:type="dxa"/>
            <w:vAlign w:val="bottom"/>
          </w:tcPr>
          <w:p>
            <w:pPr>
              <w:spacing w:after="0"/>
              <w:rPr>
                <w:sz w:val="1"/>
                <w:szCs w:val="1"/>
                <w:color w:val="auto"/>
              </w:rPr>
            </w:pPr>
          </w:p>
        </w:tc>
      </w:tr>
      <w:tr>
        <w:trPr>
          <w:trHeight w:val="75"/>
        </w:trPr>
        <w:tc>
          <w:tcPr>
            <w:tcW w:w="1640" w:type="dxa"/>
            <w:vAlign w:val="bottom"/>
            <w:tcBorders>
              <w:bottom w:val="single" w:sz="8" w:color="939598"/>
            </w:tcBorders>
          </w:tcPr>
          <w:p>
            <w:pPr>
              <w:spacing w:after="0"/>
              <w:rPr>
                <w:sz w:val="6"/>
                <w:szCs w:val="6"/>
                <w:color w:val="auto"/>
              </w:rPr>
            </w:pPr>
          </w:p>
        </w:tc>
        <w:tc>
          <w:tcPr>
            <w:tcW w:w="480" w:type="dxa"/>
            <w:vAlign w:val="bottom"/>
            <w:tcBorders>
              <w:bottom w:val="single" w:sz="8" w:color="939598"/>
            </w:tcBorders>
          </w:tcPr>
          <w:p>
            <w:pPr>
              <w:spacing w:after="0"/>
              <w:rPr>
                <w:sz w:val="6"/>
                <w:szCs w:val="6"/>
                <w:color w:val="auto"/>
              </w:rPr>
            </w:pPr>
          </w:p>
        </w:tc>
        <w:tc>
          <w:tcPr>
            <w:tcW w:w="9100" w:type="dxa"/>
            <w:vAlign w:val="bottom"/>
            <w:tcBorders>
              <w:bottom w:val="single" w:sz="8" w:color="939598"/>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1640" w:type="dxa"/>
            <w:vAlign w:val="bottom"/>
          </w:tcPr>
          <w:p>
            <w:pPr>
              <w:ind w:left="20"/>
              <w:spacing w:after="0"/>
              <w:rPr>
                <w:sz w:val="20"/>
                <w:szCs w:val="20"/>
                <w:color w:val="auto"/>
              </w:rPr>
            </w:pPr>
            <w:r>
              <w:rPr>
                <w:rFonts w:ascii="Arial" w:cs="Arial" w:eastAsia="Arial" w:hAnsi="Arial"/>
                <w:sz w:val="16"/>
                <w:szCs w:val="16"/>
                <w:b w:val="1"/>
                <w:bCs w:val="1"/>
                <w:color w:val="auto"/>
              </w:rPr>
              <w:t>CHANGE IN JOB</w:t>
            </w:r>
          </w:p>
        </w:tc>
        <w:tc>
          <w:tcPr>
            <w:tcW w:w="480" w:type="dxa"/>
            <w:vAlign w:val="bottom"/>
          </w:tcPr>
          <w:p>
            <w:pPr>
              <w:spacing w:after="0"/>
              <w:rPr>
                <w:sz w:val="20"/>
                <w:szCs w:val="20"/>
                <w:color w:val="auto"/>
              </w:rPr>
            </w:pPr>
          </w:p>
        </w:tc>
        <w:tc>
          <w:tcPr>
            <w:tcW w:w="9120" w:type="dxa"/>
            <w:vAlign w:val="bottom"/>
            <w:gridSpan w:val="2"/>
          </w:tcPr>
          <w:p>
            <w:pPr>
              <w:ind w:left="140"/>
              <w:spacing w:after="0"/>
              <w:rPr>
                <w:sz w:val="20"/>
                <w:szCs w:val="20"/>
                <w:color w:val="auto"/>
              </w:rPr>
            </w:pPr>
            <w:r>
              <w:rPr>
                <w:rFonts w:ascii="Arial" w:cs="Arial" w:eastAsia="Arial" w:hAnsi="Arial"/>
                <w:sz w:val="16"/>
                <w:szCs w:val="16"/>
                <w:color w:val="auto"/>
              </w:rPr>
              <w:t>The Corporate Governance Guidelines also provide that directors should offer to tender their resignation in the event of a</w:t>
            </w:r>
          </w:p>
        </w:tc>
        <w:tc>
          <w:tcPr>
            <w:tcW w:w="0" w:type="dxa"/>
            <w:vAlign w:val="bottom"/>
          </w:tcPr>
          <w:p>
            <w:pPr>
              <w:spacing w:after="0"/>
              <w:rPr>
                <w:sz w:val="1"/>
                <w:szCs w:val="1"/>
                <w:color w:val="auto"/>
              </w:rPr>
            </w:pPr>
          </w:p>
        </w:tc>
      </w:tr>
      <w:tr>
        <w:trPr>
          <w:trHeight w:val="189"/>
        </w:trPr>
        <w:tc>
          <w:tcPr>
            <w:tcW w:w="1640" w:type="dxa"/>
            <w:vAlign w:val="bottom"/>
          </w:tcPr>
          <w:p>
            <w:pPr>
              <w:ind w:left="20"/>
              <w:spacing w:after="0"/>
              <w:rPr>
                <w:sz w:val="20"/>
                <w:szCs w:val="20"/>
                <w:color w:val="auto"/>
              </w:rPr>
            </w:pPr>
            <w:r>
              <w:rPr>
                <w:rFonts w:ascii="Arial" w:cs="Arial" w:eastAsia="Arial" w:hAnsi="Arial"/>
                <w:sz w:val="16"/>
                <w:szCs w:val="16"/>
                <w:b w:val="1"/>
                <w:bCs w:val="1"/>
                <w:color w:val="auto"/>
              </w:rPr>
              <w:t>RESPONSIBILITIES</w:t>
            </w:r>
          </w:p>
        </w:tc>
        <w:tc>
          <w:tcPr>
            <w:tcW w:w="480" w:type="dxa"/>
            <w:vAlign w:val="bottom"/>
          </w:tcPr>
          <w:p>
            <w:pPr>
              <w:spacing w:after="0"/>
              <w:rPr>
                <w:sz w:val="16"/>
                <w:szCs w:val="16"/>
                <w:color w:val="auto"/>
              </w:rPr>
            </w:pPr>
          </w:p>
        </w:tc>
        <w:tc>
          <w:tcPr>
            <w:tcW w:w="9120" w:type="dxa"/>
            <w:vAlign w:val="bottom"/>
            <w:gridSpan w:val="2"/>
          </w:tcPr>
          <w:p>
            <w:pPr>
              <w:ind w:left="140"/>
              <w:spacing w:after="0"/>
              <w:rPr>
                <w:sz w:val="20"/>
                <w:szCs w:val="20"/>
                <w:color w:val="auto"/>
              </w:rPr>
            </w:pPr>
            <w:r>
              <w:rPr>
                <w:rFonts w:ascii="Arial" w:cs="Arial" w:eastAsia="Arial" w:hAnsi="Arial"/>
                <w:sz w:val="16"/>
                <w:szCs w:val="16"/>
                <w:color w:val="auto"/>
              </w:rPr>
              <w:t>change in the principal job responsibilities that they held at the time of their election to the Board or the principal job</w:t>
            </w:r>
          </w:p>
        </w:tc>
        <w:tc>
          <w:tcPr>
            <w:tcW w:w="0" w:type="dxa"/>
            <w:vAlign w:val="bottom"/>
          </w:tcPr>
          <w:p>
            <w:pPr>
              <w:spacing w:after="0"/>
              <w:rPr>
                <w:sz w:val="1"/>
                <w:szCs w:val="1"/>
                <w:color w:val="auto"/>
              </w:rPr>
            </w:pPr>
          </w:p>
        </w:tc>
      </w:tr>
      <w:tr>
        <w:trPr>
          <w:trHeight w:val="215"/>
        </w:trPr>
        <w:tc>
          <w:tcPr>
            <w:tcW w:w="1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120" w:type="dxa"/>
            <w:vAlign w:val="bottom"/>
            <w:gridSpan w:val="2"/>
          </w:tcPr>
          <w:p>
            <w:pPr>
              <w:ind w:left="140"/>
              <w:spacing w:after="0"/>
              <w:rPr>
                <w:sz w:val="20"/>
                <w:szCs w:val="20"/>
                <w:color w:val="auto"/>
              </w:rPr>
            </w:pPr>
            <w:r>
              <w:rPr>
                <w:rFonts w:ascii="Arial" w:cs="Arial" w:eastAsia="Arial" w:hAnsi="Arial"/>
                <w:sz w:val="16"/>
                <w:szCs w:val="16"/>
                <w:color w:val="auto"/>
              </w:rPr>
              <w:t>responsibilities taken subsequent to their election to the Board.</w:t>
            </w:r>
          </w:p>
        </w:tc>
        <w:tc>
          <w:tcPr>
            <w:tcW w:w="0" w:type="dxa"/>
            <w:vAlign w:val="bottom"/>
          </w:tcPr>
          <w:p>
            <w:pPr>
              <w:spacing w:after="0"/>
              <w:rPr>
                <w:sz w:val="1"/>
                <w:szCs w:val="1"/>
                <w:color w:val="auto"/>
              </w:rPr>
            </w:pPr>
          </w:p>
        </w:tc>
      </w:tr>
      <w:tr>
        <w:trPr>
          <w:trHeight w:val="83"/>
        </w:trPr>
        <w:tc>
          <w:tcPr>
            <w:tcW w:w="1640" w:type="dxa"/>
            <w:vAlign w:val="bottom"/>
            <w:tcBorders>
              <w:bottom w:val="single" w:sz="8" w:color="D7282F"/>
            </w:tcBorders>
          </w:tcPr>
          <w:p>
            <w:pPr>
              <w:spacing w:after="0"/>
              <w:rPr>
                <w:sz w:val="7"/>
                <w:szCs w:val="7"/>
                <w:color w:val="auto"/>
              </w:rPr>
            </w:pPr>
          </w:p>
        </w:tc>
        <w:tc>
          <w:tcPr>
            <w:tcW w:w="9580" w:type="dxa"/>
            <w:vAlign w:val="bottom"/>
            <w:tcBorders>
              <w:bottom w:val="single" w:sz="8" w:color="D7282F"/>
            </w:tcBorders>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6"/>
        </w:trPr>
        <w:tc>
          <w:tcPr>
            <w:tcW w:w="1640" w:type="dxa"/>
            <w:vAlign w:val="bottom"/>
          </w:tcPr>
          <w:p>
            <w:pPr>
              <w:ind w:left="20"/>
              <w:spacing w:after="0"/>
              <w:rPr>
                <w:sz w:val="20"/>
                <w:szCs w:val="20"/>
                <w:color w:val="auto"/>
              </w:rPr>
            </w:pPr>
            <w:r>
              <w:rPr>
                <w:rFonts w:ascii="Arial" w:cs="Arial" w:eastAsia="Arial" w:hAnsi="Arial"/>
                <w:sz w:val="18"/>
                <w:szCs w:val="18"/>
                <w:b w:val="1"/>
                <w:bCs w:val="1"/>
                <w:color w:val="auto"/>
              </w:rPr>
              <w:t>36</w:t>
            </w:r>
          </w:p>
        </w:tc>
        <w:tc>
          <w:tcPr>
            <w:tcW w:w="9600" w:type="dxa"/>
            <w:vAlign w:val="bottom"/>
            <w:gridSpan w:val="3"/>
          </w:tcPr>
          <w:p>
            <w:pPr>
              <w:spacing w:after="0"/>
              <w:rPr>
                <w:sz w:val="20"/>
                <w:szCs w:val="20"/>
                <w:color w:val="auto"/>
              </w:rPr>
            </w:pPr>
            <w:r>
              <w:rPr>
                <w:rFonts w:ascii="Arial" w:cs="Arial" w:eastAsia="Arial" w:hAnsi="Arial"/>
                <w:sz w:val="13"/>
                <w:szCs w:val="13"/>
                <w:b w:val="1"/>
                <w:bCs w:val="1"/>
                <w:color w:val="6D6E71"/>
              </w:rPr>
              <w:t>|   2026 NOTICE AND PROXY STATEMENT</w:t>
            </w:r>
          </w:p>
        </w:tc>
        <w:tc>
          <w:tcPr>
            <w:tcW w:w="0" w:type="dxa"/>
            <w:vAlign w:val="bottom"/>
          </w:tcPr>
          <w:p>
            <w:pPr>
              <w:spacing w:after="0"/>
              <w:rPr>
                <w:sz w:val="1"/>
                <w:szCs w:val="1"/>
                <w:color w:val="auto"/>
              </w:rPr>
            </w:pPr>
          </w:p>
        </w:tc>
      </w:tr>
      <w:tr>
        <w:trPr>
          <w:trHeight w:val="360"/>
        </w:trPr>
        <w:tc>
          <w:tcPr>
            <w:tcW w:w="16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-368300</wp:posOffset>
            </wp:positionV>
            <wp:extent cx="548640" cy="10287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3"/>
          <w:szCs w:val="13"/>
          <w:b w:val="1"/>
          <w:bCs w:val="1"/>
          <w:color w:val="6D6E71"/>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BOARD COMMITTEES</w:t>
      </w:r>
    </w:p>
    <w:p>
      <w:pPr>
        <w:spacing w:after="0" w:line="127" w:lineRule="exact"/>
        <w:rPr>
          <w:sz w:val="20"/>
          <w:szCs w:val="20"/>
          <w:color w:val="auto"/>
        </w:rPr>
      </w:pPr>
    </w:p>
    <w:p>
      <w:pPr>
        <w:jc w:val="both"/>
        <w:ind w:right="260"/>
        <w:spacing w:after="0" w:line="275" w:lineRule="auto"/>
        <w:rPr>
          <w:sz w:val="20"/>
          <w:szCs w:val="20"/>
          <w:color w:val="auto"/>
        </w:rPr>
      </w:pPr>
      <w:r>
        <w:rPr>
          <w:rFonts w:ascii="Arial" w:cs="Arial" w:eastAsia="Arial" w:hAnsi="Arial"/>
          <w:sz w:val="16"/>
          <w:szCs w:val="16"/>
          <w:color w:val="auto"/>
        </w:rPr>
        <w:t xml:space="preserve">The Board currently has three committees. All members of each committee are independent, non-employee directors. Each committee operates under a written charter, which is available at </w:t>
      </w:r>
      <w:r>
        <w:rPr>
          <w:rFonts w:ascii="Arial" w:cs="Arial" w:eastAsia="Arial" w:hAnsi="Arial"/>
          <w:sz w:val="16"/>
          <w:szCs w:val="16"/>
          <w:b w:val="1"/>
          <w:bCs w:val="1"/>
          <w:color w:val="D7282F"/>
        </w:rPr>
        <w:t>investor.honeywell.com</w:t>
      </w:r>
      <w:r>
        <w:rPr>
          <w:rFonts w:ascii="Arial" w:cs="Arial" w:eastAsia="Arial" w:hAnsi="Arial"/>
          <w:sz w:val="16"/>
          <w:szCs w:val="16"/>
          <w:color w:val="auto"/>
        </w:rPr>
        <w:t xml:space="preserve"> (see “Governance/Governance Overview”). The table below lists the anticipated leadership and membership of each committee following the Annual Meeting.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3240" w:type="dxa"/>
            <w:vAlign w:val="bottom"/>
            <w:vMerge w:val="restart"/>
          </w:tcPr>
          <w:p>
            <w:pPr>
              <w:ind w:left="2060"/>
              <w:spacing w:after="0"/>
              <w:rPr>
                <w:sz w:val="20"/>
                <w:szCs w:val="20"/>
                <w:color w:val="auto"/>
              </w:rPr>
            </w:pPr>
            <w:r>
              <w:rPr>
                <w:rFonts w:ascii="Arial" w:cs="Arial" w:eastAsia="Arial" w:hAnsi="Arial"/>
                <w:sz w:val="14"/>
                <w:szCs w:val="14"/>
                <w:b w:val="1"/>
                <w:bCs w:val="1"/>
                <w:color w:val="auto"/>
              </w:rPr>
              <w:t>Audit</w:t>
            </w:r>
          </w:p>
        </w:tc>
        <w:tc>
          <w:tcPr>
            <w:tcW w:w="2840" w:type="dxa"/>
            <w:vAlign w:val="bottom"/>
          </w:tcPr>
          <w:p>
            <w:pPr>
              <w:jc w:val="center"/>
              <w:ind w:left="288"/>
              <w:spacing w:after="0"/>
              <w:rPr>
                <w:sz w:val="20"/>
                <w:szCs w:val="20"/>
                <w:color w:val="auto"/>
              </w:rPr>
            </w:pPr>
            <w:r>
              <w:rPr>
                <w:rFonts w:ascii="Arial" w:cs="Arial" w:eastAsia="Arial" w:hAnsi="Arial"/>
                <w:sz w:val="14"/>
                <w:szCs w:val="14"/>
                <w:b w:val="1"/>
                <w:bCs w:val="1"/>
                <w:color w:val="auto"/>
              </w:rPr>
              <w:t>Corporate Governance</w:t>
            </w:r>
          </w:p>
        </w:tc>
        <w:tc>
          <w:tcPr>
            <w:tcW w:w="2660" w:type="dxa"/>
            <w:vAlign w:val="bottom"/>
          </w:tcPr>
          <w:p>
            <w:pPr>
              <w:jc w:val="center"/>
              <w:ind w:left="8"/>
              <w:spacing w:after="0"/>
              <w:rPr>
                <w:sz w:val="20"/>
                <w:szCs w:val="20"/>
                <w:color w:val="auto"/>
              </w:rPr>
            </w:pPr>
            <w:r>
              <w:rPr>
                <w:rFonts w:ascii="Arial" w:cs="Arial" w:eastAsia="Arial" w:hAnsi="Arial"/>
                <w:sz w:val="14"/>
                <w:szCs w:val="14"/>
                <w:b w:val="1"/>
                <w:bCs w:val="1"/>
                <w:color w:val="auto"/>
              </w:rPr>
              <w:t>Management Development</w:t>
            </w:r>
          </w:p>
        </w:tc>
        <w:tc>
          <w:tcPr>
            <w:tcW w:w="0" w:type="dxa"/>
            <w:vAlign w:val="bottom"/>
          </w:tcPr>
          <w:p>
            <w:pPr>
              <w:spacing w:after="0"/>
              <w:rPr>
                <w:sz w:val="1"/>
                <w:szCs w:val="1"/>
                <w:color w:val="auto"/>
              </w:rPr>
            </w:pPr>
          </w:p>
        </w:tc>
      </w:tr>
      <w:tr>
        <w:trPr>
          <w:trHeight w:val="88"/>
        </w:trPr>
        <w:tc>
          <w:tcPr>
            <w:tcW w:w="2480" w:type="dxa"/>
            <w:vAlign w:val="bottom"/>
            <w:vMerge w:val="continue"/>
          </w:tcPr>
          <w:p>
            <w:pPr>
              <w:spacing w:after="0"/>
              <w:rPr>
                <w:sz w:val="7"/>
                <w:szCs w:val="7"/>
                <w:color w:val="auto"/>
              </w:rPr>
            </w:pPr>
          </w:p>
        </w:tc>
        <w:tc>
          <w:tcPr>
            <w:tcW w:w="3240" w:type="dxa"/>
            <w:vAlign w:val="bottom"/>
            <w:vMerge w:val="continue"/>
          </w:tcPr>
          <w:p>
            <w:pPr>
              <w:spacing w:after="0"/>
              <w:rPr>
                <w:sz w:val="7"/>
                <w:szCs w:val="7"/>
                <w:color w:val="auto"/>
              </w:rPr>
            </w:pPr>
          </w:p>
        </w:tc>
        <w:tc>
          <w:tcPr>
            <w:tcW w:w="2840" w:type="dxa"/>
            <w:vAlign w:val="bottom"/>
            <w:vMerge w:val="restart"/>
          </w:tcPr>
          <w:p>
            <w:pPr>
              <w:jc w:val="center"/>
              <w:ind w:left="288"/>
              <w:spacing w:after="0"/>
              <w:rPr>
                <w:sz w:val="20"/>
                <w:szCs w:val="20"/>
                <w:color w:val="auto"/>
              </w:rPr>
            </w:pPr>
            <w:r>
              <w:rPr>
                <w:rFonts w:ascii="Arial" w:cs="Arial" w:eastAsia="Arial" w:hAnsi="Arial"/>
                <w:sz w:val="14"/>
                <w:szCs w:val="14"/>
                <w:b w:val="1"/>
                <w:bCs w:val="1"/>
                <w:color w:val="auto"/>
              </w:rPr>
              <w:t>and Responsibility</w:t>
            </w:r>
          </w:p>
        </w:tc>
        <w:tc>
          <w:tcPr>
            <w:tcW w:w="266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rPr>
              <w:t>and Compensation</w:t>
            </w:r>
          </w:p>
        </w:tc>
        <w:tc>
          <w:tcPr>
            <w:tcW w:w="0" w:type="dxa"/>
            <w:vAlign w:val="bottom"/>
          </w:tcPr>
          <w:p>
            <w:pPr>
              <w:spacing w:after="0"/>
              <w:rPr>
                <w:sz w:val="1"/>
                <w:szCs w:val="1"/>
                <w:color w:val="auto"/>
              </w:rPr>
            </w:pPr>
          </w:p>
        </w:tc>
      </w:tr>
      <w:tr>
        <w:trPr>
          <w:trHeight w:val="117"/>
        </w:trPr>
        <w:tc>
          <w:tcPr>
            <w:tcW w:w="2480" w:type="dxa"/>
            <w:vAlign w:val="bottom"/>
            <w:tcBorders>
              <w:bottom w:val="single" w:sz="8" w:color="D7282F"/>
            </w:tcBorders>
          </w:tcPr>
          <w:p>
            <w:pPr>
              <w:spacing w:after="0"/>
              <w:rPr>
                <w:sz w:val="10"/>
                <w:szCs w:val="10"/>
                <w:color w:val="auto"/>
              </w:rPr>
            </w:pPr>
          </w:p>
        </w:tc>
        <w:tc>
          <w:tcPr>
            <w:tcW w:w="3240" w:type="dxa"/>
            <w:vAlign w:val="bottom"/>
            <w:tcBorders>
              <w:bottom w:val="single" w:sz="8" w:color="D7282F"/>
            </w:tcBorders>
          </w:tcPr>
          <w:p>
            <w:pPr>
              <w:spacing w:after="0"/>
              <w:rPr>
                <w:sz w:val="10"/>
                <w:szCs w:val="10"/>
                <w:color w:val="auto"/>
              </w:rPr>
            </w:pPr>
          </w:p>
        </w:tc>
        <w:tc>
          <w:tcPr>
            <w:tcW w:w="2840" w:type="dxa"/>
            <w:vAlign w:val="bottom"/>
            <w:tcBorders>
              <w:bottom w:val="single" w:sz="8" w:color="D7282F"/>
            </w:tcBorders>
            <w:vMerge w:val="continue"/>
          </w:tcPr>
          <w:p>
            <w:pPr>
              <w:spacing w:after="0"/>
              <w:rPr>
                <w:sz w:val="10"/>
                <w:szCs w:val="10"/>
                <w:color w:val="auto"/>
              </w:rPr>
            </w:pPr>
          </w:p>
        </w:tc>
        <w:tc>
          <w:tcPr>
            <w:tcW w:w="2660" w:type="dxa"/>
            <w:vAlign w:val="bottom"/>
            <w:tcBorders>
              <w:bottom w:val="single" w:sz="8" w:color="D7282F"/>
            </w:tcBorders>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17145</wp:posOffset>
            </wp:positionV>
            <wp:extent cx="102870" cy="10287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17145</wp:posOffset>
            </wp:positionV>
            <wp:extent cx="102870" cy="10287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Mr. Angove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2343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80645</wp:posOffset>
            </wp:positionV>
            <wp:extent cx="102870" cy="10287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Mr. Arnold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2343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9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Mr. 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2343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55245</wp:posOffset>
            </wp:positionV>
            <wp:extent cx="102870" cy="10287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55245</wp:posOffset>
            </wp:positionV>
            <wp:extent cx="102870" cy="10287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8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Mr.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2343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80645</wp:posOffset>
            </wp:positionV>
            <wp:extent cx="102870" cy="10287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80645</wp:posOffset>
            </wp:positionV>
            <wp:extent cx="102870" cy="10287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Ms. Flint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2343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780" w:type="dxa"/>
            <w:vAlign w:val="bottom"/>
            <w:tcBorders>
              <w:bottom w:val="single" w:sz="8" w:color="939598"/>
            </w:tcBorders>
          </w:tcPr>
          <w:p>
            <w:pPr>
              <w:ind w:left="20"/>
              <w:spacing w:after="0"/>
              <w:rPr>
                <w:sz w:val="20"/>
                <w:szCs w:val="20"/>
                <w:color w:val="auto"/>
              </w:rPr>
            </w:pPr>
            <w:r>
              <w:rPr>
                <w:rFonts w:ascii="Arial" w:cs="Arial" w:eastAsia="Arial" w:hAnsi="Arial"/>
                <w:sz w:val="16"/>
                <w:szCs w:val="16"/>
                <w:b w:val="1"/>
                <w:bCs w:val="1"/>
                <w:color w:val="auto"/>
              </w:rPr>
              <w:t>Mr. Lamach</w:t>
            </w:r>
            <w:r>
              <w:rPr>
                <w:rFonts w:ascii="Arial" w:cs="Arial" w:eastAsia="Arial" w:hAnsi="Arial"/>
                <w:sz w:val="21"/>
                <w:szCs w:val="21"/>
                <w:b w:val="1"/>
                <w:bCs w:val="1"/>
                <w:color w:val="auto"/>
                <w:vertAlign w:val="superscript"/>
              </w:rPr>
              <w:t>(1)</w:t>
            </w:r>
          </w:p>
        </w:tc>
        <w:tc>
          <w:tcPr>
            <w:tcW w:w="3240" w:type="dxa"/>
            <w:vAlign w:val="bottom"/>
            <w:tcBorders>
              <w:bottom w:val="single" w:sz="8" w:color="939598"/>
            </w:tcBorders>
          </w:tcPr>
          <w:p>
            <w:pPr>
              <w:ind w:left="1620"/>
              <w:spacing w:after="0"/>
              <w:rPr>
                <w:sz w:val="20"/>
                <w:szCs w:val="20"/>
                <w:color w:val="auto"/>
              </w:rPr>
            </w:pPr>
            <w:r>
              <w:rPr>
                <w:rFonts w:ascii="Arial" w:cs="Arial" w:eastAsia="Arial" w:hAnsi="Arial"/>
                <w:sz w:val="16"/>
                <w:szCs w:val="16"/>
                <w:i w:val="1"/>
                <w:iCs w:val="1"/>
                <w:color w:val="auto"/>
              </w:rPr>
              <w:t>ex officio</w:t>
            </w:r>
          </w:p>
        </w:tc>
        <w:tc>
          <w:tcPr>
            <w:tcW w:w="2600" w:type="dxa"/>
            <w:vAlign w:val="bottom"/>
            <w:tcBorders>
              <w:bottom w:val="single" w:sz="8" w:color="939598"/>
            </w:tcBorders>
          </w:tcPr>
          <w:p>
            <w:pPr>
              <w:ind w:left="980"/>
              <w:spacing w:after="0"/>
              <w:rPr>
                <w:sz w:val="20"/>
                <w:szCs w:val="20"/>
                <w:color w:val="auto"/>
              </w:rPr>
            </w:pPr>
            <w:r>
              <w:rPr>
                <w:rFonts w:ascii="Arial" w:cs="Arial" w:eastAsia="Arial" w:hAnsi="Arial"/>
                <w:sz w:val="16"/>
                <w:szCs w:val="16"/>
                <w:i w:val="1"/>
                <w:iCs w:val="1"/>
                <w:color w:val="auto"/>
              </w:rPr>
              <w:t>ex officio</w:t>
            </w:r>
          </w:p>
        </w:tc>
        <w:tc>
          <w:tcPr>
            <w:tcW w:w="2600" w:type="dxa"/>
            <w:vAlign w:val="bottom"/>
            <w:tcBorders>
              <w:bottom w:val="single" w:sz="8" w:color="939598"/>
            </w:tcBorders>
          </w:tcPr>
          <w:p>
            <w:pPr>
              <w:ind w:left="980"/>
              <w:spacing w:after="0"/>
              <w:rPr>
                <w:sz w:val="20"/>
                <w:szCs w:val="20"/>
                <w:color w:val="auto"/>
              </w:rPr>
            </w:pPr>
            <w:r>
              <w:rPr>
                <w:rFonts w:ascii="Arial" w:cs="Arial" w:eastAsia="Arial" w:hAnsi="Arial"/>
                <w:sz w:val="16"/>
                <w:szCs w:val="16"/>
                <w:i w:val="1"/>
                <w:iCs w:val="1"/>
                <w:color w:val="auto"/>
              </w:rPr>
              <w:t>ex officio</w:t>
            </w:r>
          </w:p>
        </w:tc>
      </w:tr>
      <w:tr>
        <w:trPr>
          <w:trHeight w:val="256"/>
        </w:trPr>
        <w:tc>
          <w:tcPr>
            <w:tcW w:w="2780" w:type="dxa"/>
            <w:vAlign w:val="bottom"/>
          </w:tcPr>
          <w:p>
            <w:pPr>
              <w:ind w:left="20"/>
              <w:spacing w:after="0"/>
              <w:rPr>
                <w:sz w:val="20"/>
                <w:szCs w:val="20"/>
                <w:color w:val="auto"/>
              </w:rPr>
            </w:pPr>
            <w:r>
              <w:rPr>
                <w:rFonts w:ascii="Arial" w:cs="Arial" w:eastAsia="Arial" w:hAnsi="Arial"/>
                <w:sz w:val="16"/>
                <w:szCs w:val="16"/>
                <w:b w:val="1"/>
                <w:bCs w:val="1"/>
                <w:color w:val="auto"/>
              </w:rPr>
              <w:t>Ms. Lieblein</w:t>
            </w:r>
          </w:p>
        </w:tc>
        <w:tc>
          <w:tcPr>
            <w:tcW w:w="324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2600" w:type="dxa"/>
            <w:vAlign w:val="bottom"/>
          </w:tcPr>
          <w:p>
            <w:pPr>
              <w:spacing w:after="0"/>
              <w:rPr>
                <w:sz w:val="22"/>
                <w:szCs w:val="22"/>
                <w:color w:val="auto"/>
              </w:rPr>
            </w:pPr>
          </w:p>
        </w:tc>
      </w:tr>
      <w:tr>
        <w:trPr>
          <w:trHeight w:val="48"/>
        </w:trPr>
        <w:tc>
          <w:tcPr>
            <w:tcW w:w="2780" w:type="dxa"/>
            <w:vAlign w:val="bottom"/>
            <w:tcBorders>
              <w:bottom w:val="single" w:sz="8" w:color="939598"/>
            </w:tcBorders>
          </w:tcPr>
          <w:p>
            <w:pPr>
              <w:spacing w:after="0"/>
              <w:rPr>
                <w:sz w:val="4"/>
                <w:szCs w:val="4"/>
                <w:color w:val="auto"/>
              </w:rPr>
            </w:pPr>
          </w:p>
        </w:tc>
        <w:tc>
          <w:tcPr>
            <w:tcW w:w="3240" w:type="dxa"/>
            <w:vAlign w:val="bottom"/>
            <w:tcBorders>
              <w:bottom w:val="single" w:sz="8" w:color="939598"/>
            </w:tcBorders>
          </w:tcPr>
          <w:p>
            <w:pPr>
              <w:spacing w:after="0"/>
              <w:rPr>
                <w:sz w:val="4"/>
                <w:szCs w:val="4"/>
                <w:color w:val="auto"/>
              </w:rPr>
            </w:pPr>
          </w:p>
        </w:tc>
        <w:tc>
          <w:tcPr>
            <w:tcW w:w="2600" w:type="dxa"/>
            <w:vAlign w:val="bottom"/>
            <w:tcBorders>
              <w:bottom w:val="single" w:sz="8" w:color="939598"/>
            </w:tcBorders>
          </w:tcPr>
          <w:p>
            <w:pPr>
              <w:spacing w:after="0"/>
              <w:rPr>
                <w:sz w:val="4"/>
                <w:szCs w:val="4"/>
                <w:color w:val="auto"/>
              </w:rPr>
            </w:pPr>
          </w:p>
        </w:tc>
        <w:tc>
          <w:tcPr>
            <w:tcW w:w="2600" w:type="dxa"/>
            <w:vAlign w:val="bottom"/>
            <w:tcBorders>
              <w:bottom w:val="single" w:sz="8" w:color="939598"/>
            </w:tcBorders>
          </w:tcPr>
          <w:p>
            <w:pPr>
              <w:spacing w:after="0"/>
              <w:rPr>
                <w:sz w:val="4"/>
                <w:szCs w:val="4"/>
                <w:color w:val="auto"/>
              </w:rPr>
            </w:pPr>
          </w:p>
        </w:tc>
      </w:tr>
      <w:tr>
        <w:trPr>
          <w:trHeight w:val="256"/>
        </w:trPr>
        <w:tc>
          <w:tcPr>
            <w:tcW w:w="2780" w:type="dxa"/>
            <w:vAlign w:val="bottom"/>
          </w:tcPr>
          <w:p>
            <w:pPr>
              <w:ind w:left="20"/>
              <w:spacing w:after="0"/>
              <w:rPr>
                <w:sz w:val="20"/>
                <w:szCs w:val="20"/>
                <w:color w:val="auto"/>
              </w:rPr>
            </w:pPr>
            <w:r>
              <w:rPr>
                <w:rFonts w:ascii="Arial" w:cs="Arial" w:eastAsia="Arial" w:hAnsi="Arial"/>
                <w:sz w:val="16"/>
                <w:szCs w:val="16"/>
                <w:b w:val="1"/>
                <w:bCs w:val="1"/>
                <w:color w:val="auto"/>
              </w:rPr>
              <w:t>Ms. Nooyi</w:t>
            </w:r>
          </w:p>
        </w:tc>
        <w:tc>
          <w:tcPr>
            <w:tcW w:w="324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2600" w:type="dxa"/>
            <w:vAlign w:val="bottom"/>
          </w:tcPr>
          <w:p>
            <w:pPr>
              <w:spacing w:after="0"/>
              <w:rPr>
                <w:sz w:val="22"/>
                <w:szCs w:val="22"/>
                <w:color w:val="auto"/>
              </w:rPr>
            </w:pPr>
          </w:p>
        </w:tc>
      </w:tr>
      <w:tr>
        <w:trPr>
          <w:trHeight w:val="48"/>
        </w:trPr>
        <w:tc>
          <w:tcPr>
            <w:tcW w:w="2780" w:type="dxa"/>
            <w:vAlign w:val="bottom"/>
            <w:tcBorders>
              <w:bottom w:val="single" w:sz="8" w:color="939598"/>
            </w:tcBorders>
          </w:tcPr>
          <w:p>
            <w:pPr>
              <w:spacing w:after="0"/>
              <w:rPr>
                <w:sz w:val="4"/>
                <w:szCs w:val="4"/>
                <w:color w:val="auto"/>
              </w:rPr>
            </w:pPr>
          </w:p>
        </w:tc>
        <w:tc>
          <w:tcPr>
            <w:tcW w:w="3240" w:type="dxa"/>
            <w:vAlign w:val="bottom"/>
            <w:tcBorders>
              <w:bottom w:val="single" w:sz="8" w:color="939598"/>
            </w:tcBorders>
          </w:tcPr>
          <w:p>
            <w:pPr>
              <w:spacing w:after="0"/>
              <w:rPr>
                <w:sz w:val="4"/>
                <w:szCs w:val="4"/>
                <w:color w:val="auto"/>
              </w:rPr>
            </w:pPr>
          </w:p>
        </w:tc>
        <w:tc>
          <w:tcPr>
            <w:tcW w:w="2600" w:type="dxa"/>
            <w:vAlign w:val="bottom"/>
            <w:tcBorders>
              <w:bottom w:val="single" w:sz="8" w:color="939598"/>
            </w:tcBorders>
          </w:tcPr>
          <w:p>
            <w:pPr>
              <w:spacing w:after="0"/>
              <w:rPr>
                <w:sz w:val="4"/>
                <w:szCs w:val="4"/>
                <w:color w:val="auto"/>
              </w:rPr>
            </w:pPr>
          </w:p>
        </w:tc>
        <w:tc>
          <w:tcPr>
            <w:tcW w:w="2600" w:type="dxa"/>
            <w:vAlign w:val="bottom"/>
            <w:tcBorders>
              <w:bottom w:val="single" w:sz="8" w:color="939598"/>
            </w:tcBorders>
          </w:tcPr>
          <w:p>
            <w:pPr>
              <w:spacing w:after="0"/>
              <w:rPr>
                <w:sz w:val="4"/>
                <w:szCs w:val="4"/>
                <w:color w:val="auto"/>
              </w:rPr>
            </w:pPr>
          </w:p>
        </w:tc>
      </w:tr>
      <w:tr>
        <w:trPr>
          <w:trHeight w:val="256"/>
        </w:trPr>
        <w:tc>
          <w:tcPr>
            <w:tcW w:w="2780" w:type="dxa"/>
            <w:vAlign w:val="bottom"/>
          </w:tcPr>
          <w:p>
            <w:pPr>
              <w:ind w:left="20"/>
              <w:spacing w:after="0"/>
              <w:rPr>
                <w:sz w:val="20"/>
                <w:szCs w:val="20"/>
                <w:color w:val="auto"/>
              </w:rPr>
            </w:pPr>
            <w:r>
              <w:rPr>
                <w:rFonts w:ascii="Arial" w:cs="Arial" w:eastAsia="Arial" w:hAnsi="Arial"/>
                <w:sz w:val="16"/>
                <w:szCs w:val="16"/>
                <w:b w:val="1"/>
                <w:bCs w:val="1"/>
                <w:color w:val="auto"/>
              </w:rPr>
              <w:t>Mr. Steinberg</w:t>
            </w:r>
          </w:p>
        </w:tc>
        <w:tc>
          <w:tcPr>
            <w:tcW w:w="324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2600" w:type="dxa"/>
            <w:vAlign w:val="bottom"/>
          </w:tcPr>
          <w:p>
            <w:pPr>
              <w:spacing w:after="0"/>
              <w:rPr>
                <w:sz w:val="22"/>
                <w:szCs w:val="22"/>
                <w:color w:val="auto"/>
              </w:rPr>
            </w:pPr>
          </w:p>
        </w:tc>
      </w:tr>
      <w:tr>
        <w:trPr>
          <w:trHeight w:val="48"/>
        </w:trPr>
        <w:tc>
          <w:tcPr>
            <w:tcW w:w="2780" w:type="dxa"/>
            <w:vAlign w:val="bottom"/>
            <w:tcBorders>
              <w:bottom w:val="single" w:sz="8" w:color="939598"/>
            </w:tcBorders>
          </w:tcPr>
          <w:p>
            <w:pPr>
              <w:spacing w:after="0"/>
              <w:rPr>
                <w:sz w:val="4"/>
                <w:szCs w:val="4"/>
                <w:color w:val="auto"/>
              </w:rPr>
            </w:pPr>
          </w:p>
        </w:tc>
        <w:tc>
          <w:tcPr>
            <w:tcW w:w="3240" w:type="dxa"/>
            <w:vAlign w:val="bottom"/>
            <w:tcBorders>
              <w:bottom w:val="single" w:sz="8" w:color="939598"/>
            </w:tcBorders>
          </w:tcPr>
          <w:p>
            <w:pPr>
              <w:spacing w:after="0"/>
              <w:rPr>
                <w:sz w:val="4"/>
                <w:szCs w:val="4"/>
                <w:color w:val="auto"/>
              </w:rPr>
            </w:pPr>
          </w:p>
        </w:tc>
        <w:tc>
          <w:tcPr>
            <w:tcW w:w="2600" w:type="dxa"/>
            <w:vAlign w:val="bottom"/>
            <w:tcBorders>
              <w:bottom w:val="single" w:sz="8" w:color="939598"/>
            </w:tcBorders>
          </w:tcPr>
          <w:p>
            <w:pPr>
              <w:spacing w:after="0"/>
              <w:rPr>
                <w:sz w:val="4"/>
                <w:szCs w:val="4"/>
                <w:color w:val="auto"/>
              </w:rPr>
            </w:pPr>
          </w:p>
        </w:tc>
        <w:tc>
          <w:tcPr>
            <w:tcW w:w="2600" w:type="dxa"/>
            <w:vAlign w:val="bottom"/>
            <w:tcBorders>
              <w:bottom w:val="single" w:sz="8" w:color="939598"/>
            </w:tcBorders>
          </w:tcPr>
          <w:p>
            <w:pPr>
              <w:spacing w:after="0"/>
              <w:rPr>
                <w:sz w:val="4"/>
                <w:szCs w:val="4"/>
                <w:color w:val="auto"/>
              </w:rPr>
            </w:pPr>
          </w:p>
        </w:tc>
      </w:tr>
      <w:tr>
        <w:trPr>
          <w:trHeight w:val="256"/>
        </w:trPr>
        <w:tc>
          <w:tcPr>
            <w:tcW w:w="2780" w:type="dxa"/>
            <w:vAlign w:val="bottom"/>
          </w:tcPr>
          <w:p>
            <w:pPr>
              <w:ind w:left="20"/>
              <w:spacing w:after="0"/>
              <w:rPr>
                <w:sz w:val="20"/>
                <w:szCs w:val="20"/>
                <w:color w:val="auto"/>
              </w:rPr>
            </w:pPr>
            <w:r>
              <w:rPr>
                <w:rFonts w:ascii="Arial" w:cs="Arial" w:eastAsia="Arial" w:hAnsi="Arial"/>
                <w:sz w:val="16"/>
                <w:szCs w:val="16"/>
                <w:b w:val="1"/>
                <w:bCs w:val="1"/>
                <w:color w:val="auto"/>
              </w:rPr>
              <w:t>Mr. Watson</w:t>
            </w:r>
          </w:p>
        </w:tc>
        <w:tc>
          <w:tcPr>
            <w:tcW w:w="324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2600" w:type="dxa"/>
            <w:vAlign w:val="bottom"/>
          </w:tcPr>
          <w:p>
            <w:pPr>
              <w:spacing w:after="0"/>
              <w:rPr>
                <w:sz w:val="22"/>
                <w:szCs w:val="22"/>
                <w:color w:val="auto"/>
              </w:rPr>
            </w:pPr>
          </w:p>
        </w:tc>
      </w:tr>
      <w:tr>
        <w:trPr>
          <w:trHeight w:val="48"/>
        </w:trPr>
        <w:tc>
          <w:tcPr>
            <w:tcW w:w="2780" w:type="dxa"/>
            <w:vAlign w:val="bottom"/>
            <w:tcBorders>
              <w:bottom w:val="single" w:sz="8" w:color="939598"/>
            </w:tcBorders>
          </w:tcPr>
          <w:p>
            <w:pPr>
              <w:spacing w:after="0"/>
              <w:rPr>
                <w:sz w:val="4"/>
                <w:szCs w:val="4"/>
                <w:color w:val="auto"/>
              </w:rPr>
            </w:pPr>
          </w:p>
        </w:tc>
        <w:tc>
          <w:tcPr>
            <w:tcW w:w="3240" w:type="dxa"/>
            <w:vAlign w:val="bottom"/>
            <w:tcBorders>
              <w:bottom w:val="single" w:sz="8" w:color="939598"/>
            </w:tcBorders>
          </w:tcPr>
          <w:p>
            <w:pPr>
              <w:spacing w:after="0"/>
              <w:rPr>
                <w:sz w:val="4"/>
                <w:szCs w:val="4"/>
                <w:color w:val="auto"/>
              </w:rPr>
            </w:pPr>
          </w:p>
        </w:tc>
        <w:tc>
          <w:tcPr>
            <w:tcW w:w="2600" w:type="dxa"/>
            <w:vAlign w:val="bottom"/>
            <w:tcBorders>
              <w:bottom w:val="single" w:sz="8" w:color="939598"/>
            </w:tcBorders>
          </w:tcPr>
          <w:p>
            <w:pPr>
              <w:spacing w:after="0"/>
              <w:rPr>
                <w:sz w:val="4"/>
                <w:szCs w:val="4"/>
                <w:color w:val="auto"/>
              </w:rPr>
            </w:pPr>
          </w:p>
        </w:tc>
        <w:tc>
          <w:tcPr>
            <w:tcW w:w="2600" w:type="dxa"/>
            <w:vAlign w:val="bottom"/>
            <w:tcBorders>
              <w:bottom w:val="single" w:sz="8" w:color="939598"/>
            </w:tcBorders>
          </w:tcPr>
          <w:p>
            <w:pPr>
              <w:spacing w:after="0"/>
              <w:rPr>
                <w:sz w:val="4"/>
                <w:szCs w:val="4"/>
                <w:color w:val="auto"/>
              </w:rPr>
            </w:pPr>
          </w:p>
        </w:tc>
      </w:tr>
      <w:tr>
        <w:trPr>
          <w:trHeight w:val="337"/>
        </w:trPr>
        <w:tc>
          <w:tcPr>
            <w:tcW w:w="2780" w:type="dxa"/>
            <w:vAlign w:val="bottom"/>
          </w:tcPr>
          <w:p>
            <w:pPr>
              <w:ind w:left="20"/>
              <w:spacing w:after="0"/>
              <w:rPr>
                <w:sz w:val="20"/>
                <w:szCs w:val="20"/>
                <w:color w:val="auto"/>
              </w:rPr>
            </w:pPr>
            <w:r>
              <w:rPr>
                <w:rFonts w:ascii="Arial" w:cs="Arial" w:eastAsia="Arial" w:hAnsi="Arial"/>
                <w:sz w:val="16"/>
                <w:szCs w:val="16"/>
                <w:b w:val="1"/>
                <w:bCs w:val="1"/>
                <w:color w:val="auto"/>
              </w:rPr>
              <w:t>Mr. Williamson</w:t>
            </w:r>
          </w:p>
        </w:tc>
        <w:tc>
          <w:tcPr>
            <w:tcW w:w="32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115"/>
        </w:trPr>
        <w:tc>
          <w:tcPr>
            <w:tcW w:w="2780" w:type="dxa"/>
            <w:vAlign w:val="bottom"/>
            <w:tcBorders>
              <w:bottom w:val="single" w:sz="8" w:color="D7282F"/>
            </w:tcBorders>
          </w:tcPr>
          <w:p>
            <w:pPr>
              <w:spacing w:after="0"/>
              <w:rPr>
                <w:sz w:val="10"/>
                <w:szCs w:val="10"/>
                <w:color w:val="auto"/>
              </w:rPr>
            </w:pPr>
          </w:p>
        </w:tc>
        <w:tc>
          <w:tcPr>
            <w:tcW w:w="3240" w:type="dxa"/>
            <w:vAlign w:val="bottom"/>
            <w:tcBorders>
              <w:bottom w:val="single" w:sz="8" w:color="D7282F"/>
            </w:tcBorders>
          </w:tcPr>
          <w:p>
            <w:pPr>
              <w:spacing w:after="0"/>
              <w:rPr>
                <w:sz w:val="10"/>
                <w:szCs w:val="10"/>
                <w:color w:val="auto"/>
              </w:rPr>
            </w:pPr>
          </w:p>
        </w:tc>
        <w:tc>
          <w:tcPr>
            <w:tcW w:w="2600" w:type="dxa"/>
            <w:vAlign w:val="bottom"/>
            <w:tcBorders>
              <w:bottom w:val="single" w:sz="8" w:color="D7282F"/>
            </w:tcBorders>
          </w:tcPr>
          <w:p>
            <w:pPr>
              <w:spacing w:after="0"/>
              <w:rPr>
                <w:sz w:val="10"/>
                <w:szCs w:val="10"/>
                <w:color w:val="auto"/>
              </w:rPr>
            </w:pPr>
          </w:p>
        </w:tc>
        <w:tc>
          <w:tcPr>
            <w:tcW w:w="2600" w:type="dxa"/>
            <w:vAlign w:val="bottom"/>
            <w:tcBorders>
              <w:bottom w:val="single" w:sz="8" w:color="D7282F"/>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-1105535</wp:posOffset>
            </wp:positionV>
            <wp:extent cx="102870" cy="10287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-1105535</wp:posOffset>
            </wp:positionV>
            <wp:extent cx="102870" cy="10287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-899795</wp:posOffset>
            </wp:positionV>
            <wp:extent cx="102870" cy="10287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-694055</wp:posOffset>
            </wp:positionV>
            <wp:extent cx="102870" cy="10287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-488315</wp:posOffset>
            </wp:positionV>
            <wp:extent cx="102870" cy="10287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-239395</wp:posOffset>
            </wp:positionV>
            <wp:extent cx="102870" cy="10287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162560</wp:posOffset>
            </wp:positionV>
            <wp:extent cx="102870" cy="10287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162560</wp:posOffset>
            </wp:positionV>
            <wp:extent cx="102870" cy="10287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49" w:lineRule="exact"/>
        <w:rPr>
          <w:sz w:val="20"/>
          <w:szCs w:val="20"/>
          <w:color w:val="auto"/>
        </w:rPr>
      </w:pPr>
    </w:p>
    <w:p>
      <w:pPr>
        <w:ind w:left="400"/>
        <w:spacing w:after="0"/>
        <w:tabs>
          <w:tab w:leader="none" w:pos="2100" w:val="left"/>
        </w:tabs>
        <w:rPr>
          <w:sz w:val="20"/>
          <w:szCs w:val="20"/>
          <w:color w:val="auto"/>
        </w:rPr>
      </w:pPr>
      <w:r>
        <w:rPr>
          <w:rFonts w:ascii="Arial" w:cs="Arial" w:eastAsia="Arial" w:hAnsi="Arial"/>
          <w:sz w:val="16"/>
          <w:szCs w:val="16"/>
          <w:color w:val="auto"/>
        </w:rPr>
        <w:t>Chair</w:t>
      </w:r>
      <w:r>
        <w:rPr>
          <w:sz w:val="20"/>
          <w:szCs w:val="20"/>
          <w:color w:val="auto"/>
        </w:rPr>
        <w:tab/>
      </w:r>
      <w:r>
        <w:rPr>
          <w:rFonts w:ascii="Arial" w:cs="Arial" w:eastAsia="Arial" w:hAnsi="Arial"/>
          <w:sz w:val="16"/>
          <w:szCs w:val="16"/>
          <w:color w:val="auto"/>
        </w:rPr>
        <w:t>Member</w:t>
      </w:r>
    </w:p>
    <w:p>
      <w:pPr>
        <w:spacing w:after="0" w:line="321" w:lineRule="exact"/>
        <w:rPr>
          <w:sz w:val="20"/>
          <w:szCs w:val="20"/>
          <w:color w:val="auto"/>
        </w:rPr>
      </w:pPr>
    </w:p>
    <w:p>
      <w:pPr>
        <w:ind w:left="200" w:hanging="192"/>
        <w:spacing w:after="0"/>
        <w:tabs>
          <w:tab w:leader="none" w:pos="200" w:val="left"/>
        </w:tabs>
        <w:numPr>
          <w:ilvl w:val="0"/>
          <w:numId w:val="100"/>
        </w:numPr>
        <w:rPr>
          <w:rFonts w:ascii="Arial" w:cs="Arial" w:eastAsia="Arial" w:hAnsi="Arial"/>
          <w:sz w:val="16"/>
          <w:szCs w:val="16"/>
          <w:color w:val="auto"/>
          <w:vertAlign w:val="superscript"/>
        </w:rPr>
      </w:pPr>
      <w:r>
        <w:rPr>
          <w:rFonts w:ascii="Arial" w:cs="Arial" w:eastAsia="Arial" w:hAnsi="Arial"/>
          <w:sz w:val="13"/>
          <w:szCs w:val="13"/>
          <w:color w:val="auto"/>
        </w:rPr>
        <w:t xml:space="preserve">Lead Director is an </w:t>
      </w:r>
      <w:r>
        <w:rPr>
          <w:rFonts w:ascii="Arial" w:cs="Arial" w:eastAsia="Arial" w:hAnsi="Arial"/>
          <w:sz w:val="13"/>
          <w:szCs w:val="13"/>
          <w:i w:val="1"/>
          <w:iCs w:val="1"/>
          <w:color w:val="auto"/>
        </w:rPr>
        <w:t>ex officio</w:t>
      </w:r>
      <w:r>
        <w:rPr>
          <w:rFonts w:ascii="Arial" w:cs="Arial" w:eastAsia="Arial" w:hAnsi="Arial"/>
          <w:sz w:val="13"/>
          <w:szCs w:val="13"/>
          <w:color w:val="auto"/>
        </w:rPr>
        <w:t xml:space="preserve"> member of each committee on which he does not otherwise serve.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2026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37</w:t>
            </w:r>
          </w:p>
        </w:tc>
      </w:tr>
      <w:tr>
        <w:trPr>
          <w:trHeight w:val="360"/>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-368300</wp:posOffset>
            </wp:positionV>
            <wp:extent cx="548640" cy="10287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2" w:name="page43"/>
    <w:bookmarkEnd w:id="42"/>
    <w:p>
      <w:pPr>
        <w:spacing w:after="0"/>
        <w:rPr>
          <w:sz w:val="20"/>
          <w:szCs w:val="20"/>
          <w:color w:val="auto"/>
        </w:rPr>
      </w:pPr>
      <w:r>
        <w:rPr>
          <w:rFonts w:ascii="Arial" w:cs="Arial" w:eastAsia="Arial" w:hAnsi="Arial"/>
          <w:sz w:val="13"/>
          <w:szCs w:val="13"/>
          <w:b w:val="1"/>
          <w:bCs w:val="1"/>
          <w:color w:val="6D6E71"/>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23430" cy="41402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23430" cy="414020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p>
      <w:pPr>
        <w:spacing w:after="0" w:line="33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 xml:space="preserve">Committee Chair: </w:t>
      </w:r>
      <w:r>
        <w:rPr>
          <w:rFonts w:ascii="Arial" w:cs="Arial" w:eastAsia="Arial" w:hAnsi="Arial"/>
          <w:sz w:val="16"/>
          <w:szCs w:val="16"/>
          <w:b w:val="1"/>
          <w:bCs w:val="1"/>
          <w:color w:val="D7282F"/>
        </w:rPr>
        <w:t>Stephen Williamson</w:t>
      </w:r>
      <w:r>
        <w:rPr>
          <w:rFonts w:ascii="Arial" w:cs="Arial" w:eastAsia="Arial" w:hAnsi="Arial"/>
          <w:sz w:val="21"/>
          <w:szCs w:val="21"/>
          <w:b w:val="1"/>
          <w:bCs w:val="1"/>
          <w:color w:val="D7282F"/>
          <w:vertAlign w:val="superscript"/>
        </w:rPr>
        <w:t>†</w:t>
      </w:r>
    </w:p>
    <w:p>
      <w:pPr>
        <w:spacing w:after="0" w:line="137"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Other Committee Members</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w:t>
      </w:r>
    </w:p>
    <w:p>
      <w:pPr>
        <w:ind w:left="160"/>
        <w:spacing w:after="0" w:line="232" w:lineRule="auto"/>
        <w:rPr>
          <w:sz w:val="20"/>
          <w:szCs w:val="20"/>
          <w:color w:val="auto"/>
        </w:rPr>
      </w:pPr>
      <w:r>
        <w:rPr>
          <w:rFonts w:ascii="Arial" w:cs="Arial" w:eastAsia="Arial" w:hAnsi="Arial"/>
          <w:sz w:val="16"/>
          <w:szCs w:val="16"/>
          <w:color w:val="auto"/>
        </w:rPr>
        <w:t>D. Scott Davis</w:t>
      </w:r>
      <w:r>
        <w:rPr>
          <w:rFonts w:ascii="Arial" w:cs="Arial" w:eastAsia="Arial" w:hAnsi="Arial"/>
          <w:sz w:val="21"/>
          <w:szCs w:val="21"/>
          <w:color w:val="auto"/>
          <w:vertAlign w:val="superscript"/>
        </w:rPr>
        <w:t>†</w:t>
      </w:r>
    </w:p>
    <w:p>
      <w:pPr>
        <w:ind w:left="160"/>
        <w:spacing w:after="0"/>
        <w:rPr>
          <w:sz w:val="20"/>
          <w:szCs w:val="20"/>
          <w:color w:val="auto"/>
        </w:rPr>
      </w:pPr>
      <w:r>
        <w:rPr>
          <w:rFonts w:ascii="Arial" w:cs="Arial" w:eastAsia="Arial" w:hAnsi="Arial"/>
          <w:sz w:val="16"/>
          <w:szCs w:val="16"/>
          <w:color w:val="auto"/>
        </w:rPr>
        <w:t>Michael Lamach (</w:t>
      </w:r>
      <w:r>
        <w:rPr>
          <w:rFonts w:ascii="Arial" w:cs="Arial" w:eastAsia="Arial" w:hAnsi="Arial"/>
          <w:sz w:val="16"/>
          <w:szCs w:val="16"/>
          <w:i w:val="1"/>
          <w:iCs w:val="1"/>
          <w:color w:val="auto"/>
        </w:rPr>
        <w:t>ex officio</w:t>
      </w:r>
      <w:r>
        <w:rPr>
          <w:rFonts w:ascii="Arial" w:cs="Arial" w:eastAsia="Arial" w:hAnsi="Arial"/>
          <w:sz w:val="16"/>
          <w:szCs w:val="16"/>
          <w:color w:val="auto"/>
        </w:rPr>
        <w:t>)</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Marc Steinberg</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Robin Watson</w:t>
      </w:r>
    </w:p>
    <w:p>
      <w:pPr>
        <w:ind w:left="240" w:hanging="84"/>
        <w:spacing w:after="0" w:line="206" w:lineRule="auto"/>
        <w:tabs>
          <w:tab w:leader="none" w:pos="240" w:val="left"/>
        </w:tabs>
        <w:numPr>
          <w:ilvl w:val="0"/>
          <w:numId w:val="101"/>
        </w:numPr>
        <w:rPr>
          <w:rFonts w:ascii="Arial" w:cs="Arial" w:eastAsia="Arial" w:hAnsi="Arial"/>
          <w:sz w:val="21"/>
          <w:szCs w:val="21"/>
          <w:color w:val="auto"/>
          <w:vertAlign w:val="superscript"/>
        </w:rPr>
      </w:pPr>
      <w:r>
        <w:rPr>
          <w:rFonts w:ascii="Arial" w:cs="Arial" w:eastAsia="Arial" w:hAnsi="Arial"/>
          <w:sz w:val="13"/>
          <w:szCs w:val="13"/>
          <w:i w:val="1"/>
          <w:iCs w:val="1"/>
          <w:color w:val="auto"/>
        </w:rPr>
        <w:t>Audit Committee Financial Expert</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 xml:space="preserve">Meetings Held in 2025: </w:t>
      </w:r>
      <w:r>
        <w:rPr>
          <w:rFonts w:ascii="Arial" w:cs="Arial" w:eastAsia="Arial" w:hAnsi="Arial"/>
          <w:sz w:val="16"/>
          <w:szCs w:val="16"/>
          <w:b w:val="1"/>
          <w:bCs w:val="1"/>
          <w:color w:val="D7282F"/>
        </w:rPr>
        <w:t>9</w:t>
      </w:r>
    </w:p>
    <w:p>
      <w:pPr>
        <w:spacing w:after="0" w:line="73" w:lineRule="exact"/>
        <w:rPr>
          <w:sz w:val="20"/>
          <w:szCs w:val="20"/>
          <w:color w:val="auto"/>
        </w:rPr>
      </w:pPr>
    </w:p>
    <w:p>
      <w:pPr>
        <w:ind w:left="340" w:hanging="184"/>
        <w:spacing w:after="0"/>
        <w:tabs>
          <w:tab w:leader="none" w:pos="340" w:val="left"/>
        </w:tabs>
        <w:numPr>
          <w:ilvl w:val="0"/>
          <w:numId w:val="102"/>
        </w:numPr>
        <w:rPr>
          <w:rFonts w:ascii="Arial" w:cs="Arial" w:eastAsia="Arial" w:hAnsi="Arial"/>
          <w:sz w:val="16"/>
          <w:szCs w:val="16"/>
          <w:b w:val="1"/>
          <w:bCs w:val="1"/>
          <w:color w:val="D7282F"/>
        </w:rPr>
      </w:pPr>
      <w:r>
        <w:rPr>
          <w:rFonts w:ascii="Arial" w:cs="Arial" w:eastAsia="Arial" w:hAnsi="Arial"/>
          <w:sz w:val="16"/>
          <w:szCs w:val="16"/>
          <w:color w:val="auto"/>
        </w:rPr>
        <w:t>All members independent</w:t>
      </w:r>
    </w:p>
    <w:p>
      <w:pPr>
        <w:spacing w:after="0" w:line="86" w:lineRule="exact"/>
        <w:rPr>
          <w:rFonts w:ascii="Arial" w:cs="Arial" w:eastAsia="Arial" w:hAnsi="Arial"/>
          <w:sz w:val="16"/>
          <w:szCs w:val="16"/>
          <w:b w:val="1"/>
          <w:bCs w:val="1"/>
          <w:color w:val="D7282F"/>
        </w:rPr>
      </w:pPr>
    </w:p>
    <w:p>
      <w:pPr>
        <w:ind w:left="360" w:right="1260" w:hanging="204"/>
        <w:spacing w:after="0" w:line="286" w:lineRule="auto"/>
        <w:tabs>
          <w:tab w:leader="none" w:pos="357" w:val="left"/>
        </w:tabs>
        <w:numPr>
          <w:ilvl w:val="0"/>
          <w:numId w:val="102"/>
        </w:numPr>
        <w:rPr>
          <w:rFonts w:ascii="Arial" w:cs="Arial" w:eastAsia="Arial" w:hAnsi="Arial"/>
          <w:sz w:val="16"/>
          <w:szCs w:val="16"/>
          <w:b w:val="1"/>
          <w:bCs w:val="1"/>
          <w:color w:val="D7282F"/>
        </w:rPr>
      </w:pPr>
      <w:r>
        <w:rPr>
          <w:rFonts w:ascii="Arial" w:cs="Arial" w:eastAsia="Arial" w:hAnsi="Arial"/>
          <w:sz w:val="16"/>
          <w:szCs w:val="16"/>
          <w:color w:val="auto"/>
        </w:rPr>
        <w:t>Has oversight over our independent accountant</w:t>
      </w:r>
    </w:p>
    <w:p>
      <w:pPr>
        <w:spacing w:after="0" w:line="20" w:lineRule="exact"/>
        <w:rPr>
          <w:rFonts w:ascii="Arial" w:cs="Arial" w:eastAsia="Arial" w:hAnsi="Arial"/>
          <w:sz w:val="16"/>
          <w:szCs w:val="16"/>
          <w:b w:val="1"/>
          <w:bCs w:val="1"/>
          <w:color w:val="D7282F"/>
        </w:rPr>
      </w:pPr>
    </w:p>
    <w:p>
      <w:pPr>
        <w:ind w:left="360" w:hanging="204"/>
        <w:spacing w:after="0" w:line="275" w:lineRule="auto"/>
        <w:tabs>
          <w:tab w:leader="none" w:pos="357" w:val="left"/>
        </w:tabs>
        <w:numPr>
          <w:ilvl w:val="0"/>
          <w:numId w:val="102"/>
        </w:numPr>
        <w:rPr>
          <w:rFonts w:ascii="Arial" w:cs="Arial" w:eastAsia="Arial" w:hAnsi="Arial"/>
          <w:sz w:val="16"/>
          <w:szCs w:val="16"/>
          <w:b w:val="1"/>
          <w:bCs w:val="1"/>
          <w:color w:val="D7282F"/>
        </w:rPr>
      </w:pPr>
      <w:r>
        <w:rPr>
          <w:rFonts w:ascii="Arial" w:cs="Arial" w:eastAsia="Arial" w:hAnsi="Arial"/>
          <w:sz w:val="16"/>
          <w:szCs w:val="16"/>
          <w:color w:val="auto"/>
        </w:rPr>
        <w:t>Separately designated standing audit committee established in accordance with Section 3(a)(58) (A) of the Exchange Act</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ind w:left="196" w:right="200" w:hanging="196"/>
        <w:spacing w:after="0" w:line="265" w:lineRule="auto"/>
        <w:tabs>
          <w:tab w:leader="none" w:pos="193" w:val="left"/>
        </w:tabs>
        <w:numPr>
          <w:ilvl w:val="0"/>
          <w:numId w:val="103"/>
        </w:numPr>
        <w:rPr>
          <w:rFonts w:ascii="Arial" w:cs="Arial" w:eastAsia="Arial" w:hAnsi="Arial"/>
          <w:sz w:val="16"/>
          <w:szCs w:val="16"/>
          <w:b w:val="1"/>
          <w:bCs w:val="1"/>
          <w:color w:val="D7282F"/>
        </w:rPr>
      </w:pPr>
      <w:r>
        <w:rPr>
          <w:rFonts w:ascii="Arial" w:cs="Arial" w:eastAsia="Arial" w:hAnsi="Arial"/>
          <w:sz w:val="16"/>
          <w:szCs w:val="16"/>
          <w:color w:val="auto"/>
        </w:rPr>
        <w:t>Consider the independence of, appoint (and recommend to shareowners for approval), and be directly responsible for the compensation, retention, and oversight of the firm that serves as independent accountants to audit our financial statements and to perform services related to the audit; this includes resolving disagreements between the firm and management regarding financial reporting.</w:t>
      </w:r>
    </w:p>
    <w:p>
      <w:pPr>
        <w:spacing w:after="0" w:line="23" w:lineRule="exact"/>
        <w:rPr>
          <w:rFonts w:ascii="Arial" w:cs="Arial" w:eastAsia="Arial" w:hAnsi="Arial"/>
          <w:sz w:val="16"/>
          <w:szCs w:val="16"/>
          <w:b w:val="1"/>
          <w:bCs w:val="1"/>
          <w:color w:val="D7282F"/>
        </w:rPr>
      </w:pPr>
    </w:p>
    <w:p>
      <w:pPr>
        <w:ind w:left="196" w:hanging="196"/>
        <w:spacing w:after="0"/>
        <w:tabs>
          <w:tab w:leader="none" w:pos="196" w:val="left"/>
        </w:tabs>
        <w:numPr>
          <w:ilvl w:val="0"/>
          <w:numId w:val="103"/>
        </w:numPr>
        <w:rPr>
          <w:rFonts w:ascii="Arial" w:cs="Arial" w:eastAsia="Arial" w:hAnsi="Arial"/>
          <w:sz w:val="16"/>
          <w:szCs w:val="16"/>
          <w:b w:val="1"/>
          <w:bCs w:val="1"/>
          <w:color w:val="D7282F"/>
        </w:rPr>
      </w:pPr>
      <w:r>
        <w:rPr>
          <w:rFonts w:ascii="Arial" w:cs="Arial" w:eastAsia="Arial" w:hAnsi="Arial"/>
          <w:sz w:val="16"/>
          <w:szCs w:val="16"/>
          <w:color w:val="auto"/>
        </w:rPr>
        <w:t>Review the scope and results of the audit with the independent accountants.</w:t>
      </w:r>
    </w:p>
    <w:p>
      <w:pPr>
        <w:spacing w:after="0" w:line="86" w:lineRule="exact"/>
        <w:rPr>
          <w:rFonts w:ascii="Arial" w:cs="Arial" w:eastAsia="Arial" w:hAnsi="Arial"/>
          <w:sz w:val="16"/>
          <w:szCs w:val="16"/>
          <w:b w:val="1"/>
          <w:bCs w:val="1"/>
          <w:color w:val="D7282F"/>
        </w:rPr>
      </w:pPr>
    </w:p>
    <w:p>
      <w:pPr>
        <w:jc w:val="both"/>
        <w:ind w:left="196" w:right="100" w:hanging="196"/>
        <w:spacing w:after="0" w:line="275" w:lineRule="auto"/>
        <w:tabs>
          <w:tab w:leader="none" w:pos="193" w:val="left"/>
        </w:tabs>
        <w:numPr>
          <w:ilvl w:val="0"/>
          <w:numId w:val="103"/>
        </w:numPr>
        <w:rPr>
          <w:rFonts w:ascii="Arial" w:cs="Arial" w:eastAsia="Arial" w:hAnsi="Arial"/>
          <w:sz w:val="16"/>
          <w:szCs w:val="16"/>
          <w:b w:val="1"/>
          <w:bCs w:val="1"/>
          <w:color w:val="D7282F"/>
        </w:rPr>
      </w:pPr>
      <w:r>
        <w:rPr>
          <w:rFonts w:ascii="Arial" w:cs="Arial" w:eastAsia="Arial" w:hAnsi="Arial"/>
          <w:sz w:val="16"/>
          <w:szCs w:val="16"/>
          <w:color w:val="auto"/>
        </w:rPr>
        <w:t>Review with management and the independent accountants, prior to filing, the annual and interim financial results (including Management’s Discussion and Analysis) to be included in Forms 10-K and 10-Q.</w:t>
      </w:r>
    </w:p>
    <w:p>
      <w:pPr>
        <w:spacing w:after="0" w:line="29" w:lineRule="exact"/>
        <w:rPr>
          <w:rFonts w:ascii="Arial" w:cs="Arial" w:eastAsia="Arial" w:hAnsi="Arial"/>
          <w:sz w:val="16"/>
          <w:szCs w:val="16"/>
          <w:b w:val="1"/>
          <w:bCs w:val="1"/>
          <w:color w:val="D7282F"/>
        </w:rPr>
      </w:pPr>
    </w:p>
    <w:p>
      <w:pPr>
        <w:ind w:left="196" w:right="540" w:hanging="196"/>
        <w:spacing w:after="0" w:line="286" w:lineRule="auto"/>
        <w:tabs>
          <w:tab w:leader="none" w:pos="193" w:val="left"/>
        </w:tabs>
        <w:numPr>
          <w:ilvl w:val="0"/>
          <w:numId w:val="103"/>
        </w:numPr>
        <w:rPr>
          <w:rFonts w:ascii="Arial" w:cs="Arial" w:eastAsia="Arial" w:hAnsi="Arial"/>
          <w:sz w:val="16"/>
          <w:szCs w:val="16"/>
          <w:b w:val="1"/>
          <w:bCs w:val="1"/>
          <w:color w:val="D7282F"/>
        </w:rPr>
      </w:pPr>
      <w:r>
        <w:rPr>
          <w:rFonts w:ascii="Arial" w:cs="Arial" w:eastAsia="Arial" w:hAnsi="Arial"/>
          <w:sz w:val="16"/>
          <w:szCs w:val="16"/>
          <w:color w:val="auto"/>
        </w:rPr>
        <w:t>Consider the adequacy and effectiveness of our internal control over financial reporting and auditing procedures.</w:t>
      </w:r>
    </w:p>
    <w:p>
      <w:pPr>
        <w:spacing w:after="0" w:line="20" w:lineRule="exact"/>
        <w:rPr>
          <w:rFonts w:ascii="Arial" w:cs="Arial" w:eastAsia="Arial" w:hAnsi="Arial"/>
          <w:sz w:val="16"/>
          <w:szCs w:val="16"/>
          <w:b w:val="1"/>
          <w:bCs w:val="1"/>
          <w:color w:val="D7282F"/>
        </w:rPr>
      </w:pPr>
    </w:p>
    <w:p>
      <w:pPr>
        <w:ind w:left="196" w:right="80" w:hanging="196"/>
        <w:spacing w:after="0" w:line="265" w:lineRule="auto"/>
        <w:tabs>
          <w:tab w:leader="none" w:pos="193" w:val="left"/>
        </w:tabs>
        <w:numPr>
          <w:ilvl w:val="0"/>
          <w:numId w:val="103"/>
        </w:numPr>
        <w:rPr>
          <w:rFonts w:ascii="Arial" w:cs="Arial" w:eastAsia="Arial" w:hAnsi="Arial"/>
          <w:sz w:val="16"/>
          <w:szCs w:val="16"/>
          <w:b w:val="1"/>
          <w:bCs w:val="1"/>
          <w:color w:val="D7282F"/>
        </w:rPr>
      </w:pPr>
      <w:r>
        <w:rPr>
          <w:rFonts w:ascii="Arial" w:cs="Arial" w:eastAsia="Arial" w:hAnsi="Arial"/>
          <w:sz w:val="16"/>
          <w:szCs w:val="16"/>
          <w:color w:val="auto"/>
        </w:rPr>
        <w:t>Oversee the carve-out audits for Solstice Advanced Materials and the Honeywell Aerospace spin-off, the creation of the Form 10 registration statements and the standalone preparedness of the compliance, financial reporting, internal audit, cybersecurity and other key functions in connection with the spin-offs.</w:t>
      </w:r>
    </w:p>
    <w:p>
      <w:pPr>
        <w:spacing w:after="0" w:line="37" w:lineRule="exact"/>
        <w:rPr>
          <w:rFonts w:ascii="Arial" w:cs="Arial" w:eastAsia="Arial" w:hAnsi="Arial"/>
          <w:sz w:val="16"/>
          <w:szCs w:val="16"/>
          <w:b w:val="1"/>
          <w:bCs w:val="1"/>
          <w:color w:val="D7282F"/>
        </w:rPr>
      </w:pPr>
    </w:p>
    <w:p>
      <w:pPr>
        <w:ind w:left="196" w:right="120" w:hanging="196"/>
        <w:spacing w:after="0" w:line="265" w:lineRule="auto"/>
        <w:tabs>
          <w:tab w:leader="none" w:pos="193" w:val="left"/>
        </w:tabs>
        <w:numPr>
          <w:ilvl w:val="0"/>
          <w:numId w:val="103"/>
        </w:numPr>
        <w:rPr>
          <w:rFonts w:ascii="Arial" w:cs="Arial" w:eastAsia="Arial" w:hAnsi="Arial"/>
          <w:sz w:val="16"/>
          <w:szCs w:val="16"/>
          <w:b w:val="1"/>
          <w:bCs w:val="1"/>
          <w:color w:val="D7282F"/>
        </w:rPr>
      </w:pPr>
      <w:r>
        <w:rPr>
          <w:rFonts w:ascii="Arial" w:cs="Arial" w:eastAsia="Arial" w:hAnsi="Arial"/>
          <w:sz w:val="16"/>
          <w:szCs w:val="16"/>
          <w:color w:val="auto"/>
        </w:rPr>
        <w:t>Review, approve, and establish procedures for the receipt, retention, and treatment of complaints received by Honeywell regarding accounting, internal control over financial reporting, or auditing matters and for the confidential, anonymous submission by employees of concerns regarding questionable accounting or auditing matters.</w:t>
      </w:r>
    </w:p>
    <w:p>
      <w:pPr>
        <w:spacing w:after="0" w:line="24" w:lineRule="exact"/>
        <w:rPr>
          <w:rFonts w:ascii="Arial" w:cs="Arial" w:eastAsia="Arial" w:hAnsi="Arial"/>
          <w:sz w:val="16"/>
          <w:szCs w:val="16"/>
          <w:b w:val="1"/>
          <w:bCs w:val="1"/>
          <w:color w:val="D7282F"/>
        </w:rPr>
      </w:pPr>
    </w:p>
    <w:p>
      <w:pPr>
        <w:ind w:left="196" w:hanging="196"/>
        <w:spacing w:after="0" w:line="271" w:lineRule="auto"/>
        <w:tabs>
          <w:tab w:leader="none" w:pos="193" w:val="left"/>
        </w:tabs>
        <w:numPr>
          <w:ilvl w:val="0"/>
          <w:numId w:val="103"/>
        </w:numPr>
        <w:rPr>
          <w:rFonts w:ascii="Arial" w:cs="Arial" w:eastAsia="Arial" w:hAnsi="Arial"/>
          <w:sz w:val="16"/>
          <w:szCs w:val="16"/>
          <w:b w:val="1"/>
          <w:bCs w:val="1"/>
          <w:color w:val="D7282F"/>
        </w:rPr>
      </w:pPr>
      <w:r>
        <w:rPr>
          <w:rFonts w:ascii="Arial" w:cs="Arial" w:eastAsia="Arial" w:hAnsi="Arial"/>
          <w:sz w:val="16"/>
          <w:szCs w:val="16"/>
          <w:color w:val="auto"/>
        </w:rPr>
        <w:t>Monitor and provide risk oversight with respect to focus areas assigned to the committee from time to time by the Board including cybersecurity, data use and compliance (including under AI regulations), tax and liquidity, management, product integrity and product security, vendor risk, operational business continuity, and crisis management.</w:t>
      </w:r>
    </w:p>
    <w:p>
      <w:pPr>
        <w:spacing w:after="0" w:line="19" w:lineRule="exact"/>
        <w:rPr>
          <w:rFonts w:ascii="Arial" w:cs="Arial" w:eastAsia="Arial" w:hAnsi="Arial"/>
          <w:sz w:val="16"/>
          <w:szCs w:val="16"/>
          <w:b w:val="1"/>
          <w:bCs w:val="1"/>
          <w:color w:val="D7282F"/>
        </w:rPr>
      </w:pPr>
    </w:p>
    <w:p>
      <w:pPr>
        <w:ind w:left="196" w:right="260" w:hanging="196"/>
        <w:spacing w:after="0" w:line="299" w:lineRule="auto"/>
        <w:tabs>
          <w:tab w:leader="none" w:pos="193" w:val="left"/>
        </w:tabs>
        <w:numPr>
          <w:ilvl w:val="0"/>
          <w:numId w:val="103"/>
        </w:numPr>
        <w:rPr>
          <w:rFonts w:ascii="Arial" w:cs="Arial" w:eastAsia="Arial" w:hAnsi="Arial"/>
          <w:sz w:val="16"/>
          <w:szCs w:val="16"/>
          <w:b w:val="1"/>
          <w:bCs w:val="1"/>
          <w:color w:val="D7282F"/>
        </w:rPr>
      </w:pPr>
      <w:r>
        <w:rPr>
          <w:rFonts w:ascii="Arial" w:cs="Arial" w:eastAsia="Arial" w:hAnsi="Arial"/>
          <w:sz w:val="16"/>
          <w:szCs w:val="16"/>
          <w:color w:val="auto"/>
        </w:rPr>
        <w:t>Together with the full Board, exercise oversight over the ERM process and assess adequacy of mitigation strategies for the risks identified through ERM.</w:t>
      </w:r>
    </w:p>
    <w:p>
      <w:pPr>
        <w:ind w:left="196" w:hanging="196"/>
        <w:spacing w:after="0"/>
        <w:tabs>
          <w:tab w:leader="none" w:pos="196" w:val="left"/>
        </w:tabs>
        <w:numPr>
          <w:ilvl w:val="0"/>
          <w:numId w:val="103"/>
        </w:numPr>
        <w:rPr>
          <w:rFonts w:ascii="Arial" w:cs="Arial" w:eastAsia="Arial" w:hAnsi="Arial"/>
          <w:sz w:val="16"/>
          <w:szCs w:val="16"/>
          <w:b w:val="1"/>
          <w:bCs w:val="1"/>
          <w:color w:val="D7282F"/>
        </w:rPr>
      </w:pPr>
      <w:r>
        <w:rPr>
          <w:rFonts w:ascii="Arial" w:cs="Arial" w:eastAsia="Arial" w:hAnsi="Arial"/>
          <w:sz w:val="16"/>
          <w:szCs w:val="16"/>
          <w:color w:val="auto"/>
        </w:rPr>
        <w:t>Oversee performance of the Company's internal audit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-2460625</wp:posOffset>
            </wp:positionH>
            <wp:positionV relativeFrom="paragraph">
              <wp:posOffset>569595</wp:posOffset>
            </wp:positionV>
            <wp:extent cx="712343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40" w:space="544"/>
            <w:col w:w="7256"/>
          </w:cols>
          <w:pgMar w:left="320" w:top="230"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0" w:right="60" w:hanging="192"/>
        <w:spacing w:after="0" w:line="237" w:lineRule="auto"/>
        <w:tabs>
          <w:tab w:leader="none" w:pos="200" w:val="left"/>
        </w:tabs>
        <w:numPr>
          <w:ilvl w:val="0"/>
          <w:numId w:val="104"/>
        </w:numPr>
        <w:rPr>
          <w:rFonts w:ascii="Arial" w:cs="Arial" w:eastAsia="Arial" w:hAnsi="Arial"/>
          <w:sz w:val="16"/>
          <w:szCs w:val="16"/>
          <w:color w:val="auto"/>
          <w:vertAlign w:val="superscript"/>
        </w:rPr>
      </w:pPr>
      <w:r>
        <w:rPr>
          <w:rFonts w:ascii="Arial" w:cs="Arial" w:eastAsia="Arial" w:hAnsi="Arial"/>
          <w:sz w:val="13"/>
          <w:szCs w:val="13"/>
          <w:color w:val="auto"/>
        </w:rPr>
        <w:t xml:space="preserve">Reflects anticipated committee composition and leadership following the Annual Meeting. Mr. Steinberg was appointed a member of the Audit Committee effective May 31, 2025. Mr. Lamach is the current Chair of the Audit Committee and will become an </w:t>
      </w:r>
      <w:r>
        <w:rPr>
          <w:rFonts w:ascii="Arial" w:cs="Arial" w:eastAsia="Arial" w:hAnsi="Arial"/>
          <w:sz w:val="13"/>
          <w:szCs w:val="13"/>
          <w:i w:val="1"/>
          <w:iCs w:val="1"/>
          <w:color w:val="auto"/>
        </w:rPr>
        <w:t>ex officio</w:t>
      </w:r>
      <w:r>
        <w:rPr>
          <w:rFonts w:ascii="Arial" w:cs="Arial" w:eastAsia="Arial" w:hAnsi="Arial"/>
          <w:sz w:val="13"/>
          <w:szCs w:val="13"/>
          <w:color w:val="auto"/>
        </w:rPr>
        <w:t xml:space="preserve"> member when he becomes Lead Director. Mr. Ayer will no longer serve as an </w:t>
      </w:r>
      <w:r>
        <w:rPr>
          <w:rFonts w:ascii="Arial" w:cs="Arial" w:eastAsia="Arial" w:hAnsi="Arial"/>
          <w:sz w:val="13"/>
          <w:szCs w:val="13"/>
          <w:i w:val="1"/>
          <w:iCs w:val="1"/>
          <w:color w:val="auto"/>
        </w:rPr>
        <w:t>ex officio</w:t>
      </w:r>
      <w:r>
        <w:rPr>
          <w:rFonts w:ascii="Arial" w:cs="Arial" w:eastAsia="Arial" w:hAnsi="Arial"/>
          <w:sz w:val="13"/>
          <w:szCs w:val="13"/>
          <w:color w:val="auto"/>
        </w:rPr>
        <w:t xml:space="preserve"> member of any committee and Mr. Williamson will become the Committee Chair following the Annual Meeting. Mr. Burke is not standing for re-election at the Annual Meeting and will no longer serve on the Board or any of its Committees.</w:t>
      </w:r>
    </w:p>
    <w:p>
      <w:pPr>
        <w:spacing w:after="0" w:line="95"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b w:val="1"/>
          <w:bCs w:val="1"/>
          <w:color w:val="auto"/>
        </w:rPr>
        <w:t xml:space="preserve">Audit Committee Oversight of Independent Accountants. </w:t>
      </w:r>
      <w:r>
        <w:rPr>
          <w:rFonts w:ascii="Arial" w:cs="Arial" w:eastAsia="Arial" w:hAnsi="Arial"/>
          <w:sz w:val="16"/>
          <w:szCs w:val="16"/>
          <w:color w:val="auto"/>
        </w:rPr>
        <w:t>The Audit Committee seeks to ensure the exercise of appropriate professional skepticism by</w:t>
      </w:r>
      <w:r>
        <w:rPr>
          <w:rFonts w:ascii="Arial" w:cs="Arial" w:eastAsia="Arial" w:hAnsi="Arial"/>
          <w:sz w:val="16"/>
          <w:szCs w:val="16"/>
          <w:b w:val="1"/>
          <w:bCs w:val="1"/>
          <w:color w:val="auto"/>
        </w:rPr>
        <w:t xml:space="preserve"> </w:t>
      </w:r>
      <w:r>
        <w:rPr>
          <w:rFonts w:ascii="Arial" w:cs="Arial" w:eastAsia="Arial" w:hAnsi="Arial"/>
          <w:sz w:val="16"/>
          <w:szCs w:val="16"/>
          <w:color w:val="auto"/>
        </w:rPr>
        <w:t>the independent accountants by reviewing and discussing, among other things, management and auditor reports regarding significant estimates and judgments and the results of peer quality review and Public Company Accounting Oversight Board inspections of the independent accountants. The Audit Committee also reviews and pre-approves all audit and non-audit services provided to Honeywell by the independent accountants to determine that such services would not adversely impact auditor independence and objectivity. The Audit Committee also holds separate executive sessions at each in-person meeting with representatives of our independent accountants and with Honeywell’s Chief Financial Officer, General Counsel, and Vice President of Corporate Audit.</w:t>
      </w:r>
    </w:p>
    <w:p>
      <w:pPr>
        <w:spacing w:after="0" w:line="114"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38</w:t>
      </w:r>
      <w:r>
        <w:rPr>
          <w:sz w:val="20"/>
          <w:szCs w:val="20"/>
          <w:color w:val="auto"/>
        </w:rPr>
        <w:tab/>
      </w:r>
      <w:r>
        <w:rPr>
          <w:sz w:val="1"/>
          <w:szCs w:val="1"/>
          <w:color w:val="auto"/>
        </w:rPr>
        <w:drawing>
          <wp:inline distT="0" distB="0" distL="0" distR="0">
            <wp:extent cx="548640" cy="102870"/>
            <wp:effectExtent l="0" t="0" r="0" b="0"/>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2026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255905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type w:val="continuous"/>
        </w:sectPr>
      </w:pPr>
    </w:p>
    <w:bookmarkStart w:id="43" w:name="page44"/>
    <w:bookmarkEnd w:id="43"/>
    <w:p>
      <w:pPr>
        <w:jc w:val="right"/>
        <w:spacing w:after="0"/>
        <w:rPr>
          <w:sz w:val="20"/>
          <w:szCs w:val="20"/>
          <w:color w:val="auto"/>
        </w:rPr>
      </w:pPr>
      <w:r>
        <w:rPr>
          <w:rFonts w:ascii="Arial" w:cs="Arial" w:eastAsia="Arial" w:hAnsi="Arial"/>
          <w:sz w:val="13"/>
          <w:szCs w:val="13"/>
          <w:b w:val="1"/>
          <w:bCs w:val="1"/>
          <w:color w:val="6D6E71"/>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CORPORATE GOVERNANCE AND RESPONSIBILITY COMMITTEE (CGRC)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23430" cy="382333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23430" cy="382333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p>
      <w:pPr>
        <w:spacing w:after="0" w:line="384"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 xml:space="preserve">Committee Chair: </w:t>
      </w:r>
      <w:r>
        <w:rPr>
          <w:rFonts w:ascii="Arial" w:cs="Arial" w:eastAsia="Arial" w:hAnsi="Arial"/>
          <w:sz w:val="16"/>
          <w:szCs w:val="16"/>
          <w:b w:val="1"/>
          <w:bCs w:val="1"/>
          <w:color w:val="D7282F"/>
        </w:rPr>
        <w:t>D. Scott Davis</w:t>
      </w:r>
    </w:p>
    <w:p>
      <w:pPr>
        <w:spacing w:after="0" w:line="194"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Other Committee Members</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w:t>
      </w:r>
    </w:p>
    <w:p>
      <w:pPr>
        <w:spacing w:after="0" w:line="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Duncan B. Angove</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Craig Arnold</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Deborah Flint</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xml:space="preserve">Michael Lamach </w:t>
      </w:r>
      <w:r>
        <w:rPr>
          <w:rFonts w:ascii="Arial" w:cs="Arial" w:eastAsia="Arial" w:hAnsi="Arial"/>
          <w:sz w:val="16"/>
          <w:szCs w:val="16"/>
          <w:i w:val="1"/>
          <w:iCs w:val="1"/>
          <w:color w:val="auto"/>
        </w:rPr>
        <w:t>(ex officio)</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Grace Lieblein</w:t>
      </w:r>
    </w:p>
    <w:p>
      <w:pPr>
        <w:spacing w:after="0" w:line="194"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 xml:space="preserve">Meetings Held in 2025: </w:t>
      </w:r>
      <w:r>
        <w:rPr>
          <w:rFonts w:ascii="Arial" w:cs="Arial" w:eastAsia="Arial" w:hAnsi="Arial"/>
          <w:sz w:val="16"/>
          <w:szCs w:val="16"/>
          <w:b w:val="1"/>
          <w:bCs w:val="1"/>
          <w:color w:val="D7282F"/>
        </w:rPr>
        <w:t>5</w:t>
      </w:r>
    </w:p>
    <w:p>
      <w:pPr>
        <w:spacing w:after="0" w:line="73" w:lineRule="exact"/>
        <w:rPr>
          <w:sz w:val="20"/>
          <w:szCs w:val="20"/>
          <w:color w:val="auto"/>
        </w:rPr>
      </w:pPr>
    </w:p>
    <w:p>
      <w:pPr>
        <w:ind w:left="340" w:hanging="184"/>
        <w:spacing w:after="0"/>
        <w:tabs>
          <w:tab w:leader="none" w:pos="340" w:val="left"/>
        </w:tabs>
        <w:numPr>
          <w:ilvl w:val="0"/>
          <w:numId w:val="105"/>
        </w:numPr>
        <w:rPr>
          <w:rFonts w:ascii="Arial" w:cs="Arial" w:eastAsia="Arial" w:hAnsi="Arial"/>
          <w:sz w:val="16"/>
          <w:szCs w:val="16"/>
          <w:b w:val="1"/>
          <w:bCs w:val="1"/>
          <w:color w:val="D7282F"/>
        </w:rPr>
      </w:pPr>
      <w:r>
        <w:rPr>
          <w:rFonts w:ascii="Arial" w:cs="Arial" w:eastAsia="Arial" w:hAnsi="Arial"/>
          <w:sz w:val="16"/>
          <w:szCs w:val="16"/>
          <w:color w:val="auto"/>
        </w:rPr>
        <w:t>All members independent</w:t>
      </w:r>
    </w:p>
    <w:p>
      <w:pPr>
        <w:spacing w:after="0" w:line="86" w:lineRule="exact"/>
        <w:rPr>
          <w:rFonts w:ascii="Arial" w:cs="Arial" w:eastAsia="Arial" w:hAnsi="Arial"/>
          <w:sz w:val="16"/>
          <w:szCs w:val="16"/>
          <w:b w:val="1"/>
          <w:bCs w:val="1"/>
          <w:color w:val="D7282F"/>
        </w:rPr>
      </w:pPr>
    </w:p>
    <w:p>
      <w:pPr>
        <w:ind w:left="340" w:hanging="184"/>
        <w:spacing w:after="0"/>
        <w:tabs>
          <w:tab w:leader="none" w:pos="340" w:val="left"/>
        </w:tabs>
        <w:numPr>
          <w:ilvl w:val="0"/>
          <w:numId w:val="105"/>
        </w:numPr>
        <w:rPr>
          <w:rFonts w:ascii="Arial" w:cs="Arial" w:eastAsia="Arial" w:hAnsi="Arial"/>
          <w:sz w:val="16"/>
          <w:szCs w:val="16"/>
          <w:b w:val="1"/>
          <w:bCs w:val="1"/>
          <w:color w:val="D7282F"/>
        </w:rPr>
      </w:pPr>
      <w:r>
        <w:rPr>
          <w:rFonts w:ascii="Arial" w:cs="Arial" w:eastAsia="Arial" w:hAnsi="Arial"/>
          <w:sz w:val="16"/>
          <w:szCs w:val="16"/>
          <w:color w:val="auto"/>
        </w:rPr>
        <w:t>Also serves as the nominating committee</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ind w:left="196" w:right="200" w:hanging="196"/>
        <w:spacing w:after="0" w:line="286" w:lineRule="auto"/>
        <w:tabs>
          <w:tab w:leader="none" w:pos="193" w:val="left"/>
        </w:tabs>
        <w:numPr>
          <w:ilvl w:val="0"/>
          <w:numId w:val="106"/>
        </w:numPr>
        <w:rPr>
          <w:rFonts w:ascii="Arial" w:cs="Arial" w:eastAsia="Arial" w:hAnsi="Arial"/>
          <w:sz w:val="16"/>
          <w:szCs w:val="16"/>
          <w:b w:val="1"/>
          <w:bCs w:val="1"/>
          <w:color w:val="D7282F"/>
        </w:rPr>
      </w:pPr>
      <w:r>
        <w:rPr>
          <w:rFonts w:ascii="Arial" w:cs="Arial" w:eastAsia="Arial" w:hAnsi="Arial"/>
          <w:sz w:val="16"/>
          <w:szCs w:val="16"/>
          <w:color w:val="auto"/>
        </w:rPr>
        <w:t>Identify and evaluate potential director candidates and recommend to the Board the nominees for election to the Board.</w:t>
      </w:r>
    </w:p>
    <w:p>
      <w:pPr>
        <w:spacing w:after="0" w:line="20" w:lineRule="exact"/>
        <w:rPr>
          <w:rFonts w:ascii="Arial" w:cs="Arial" w:eastAsia="Arial" w:hAnsi="Arial"/>
          <w:sz w:val="16"/>
          <w:szCs w:val="16"/>
          <w:b w:val="1"/>
          <w:bCs w:val="1"/>
          <w:color w:val="D7282F"/>
        </w:rPr>
      </w:pPr>
    </w:p>
    <w:p>
      <w:pPr>
        <w:ind w:left="196" w:right="200" w:hanging="196"/>
        <w:spacing w:after="0" w:line="275" w:lineRule="auto"/>
        <w:tabs>
          <w:tab w:leader="none" w:pos="193" w:val="left"/>
        </w:tabs>
        <w:numPr>
          <w:ilvl w:val="0"/>
          <w:numId w:val="106"/>
        </w:numPr>
        <w:rPr>
          <w:rFonts w:ascii="Arial" w:cs="Arial" w:eastAsia="Arial" w:hAnsi="Arial"/>
          <w:sz w:val="16"/>
          <w:szCs w:val="16"/>
          <w:b w:val="1"/>
          <w:bCs w:val="1"/>
          <w:color w:val="D7282F"/>
        </w:rPr>
      </w:pPr>
      <w:r>
        <w:rPr>
          <w:rFonts w:ascii="Arial" w:cs="Arial" w:eastAsia="Arial" w:hAnsi="Arial"/>
          <w:sz w:val="16"/>
          <w:szCs w:val="16"/>
          <w:color w:val="auto"/>
        </w:rPr>
        <w:t>Review and make a recommendation to the Board regarding whether to accept a resignation tendered by a Board nominee who does not receive a majority of votes cast for his or her election in an uncontested election of directors.</w:t>
      </w:r>
    </w:p>
    <w:p>
      <w:pPr>
        <w:spacing w:after="0" w:line="29" w:lineRule="exact"/>
        <w:rPr>
          <w:rFonts w:ascii="Arial" w:cs="Arial" w:eastAsia="Arial" w:hAnsi="Arial"/>
          <w:sz w:val="16"/>
          <w:szCs w:val="16"/>
          <w:b w:val="1"/>
          <w:bCs w:val="1"/>
          <w:color w:val="D7282F"/>
        </w:rPr>
      </w:pPr>
    </w:p>
    <w:p>
      <w:pPr>
        <w:ind w:left="196" w:hanging="196"/>
        <w:spacing w:after="0"/>
        <w:tabs>
          <w:tab w:leader="none" w:pos="196" w:val="left"/>
        </w:tabs>
        <w:numPr>
          <w:ilvl w:val="0"/>
          <w:numId w:val="106"/>
        </w:numPr>
        <w:rPr>
          <w:rFonts w:ascii="Arial" w:cs="Arial" w:eastAsia="Arial" w:hAnsi="Arial"/>
          <w:sz w:val="16"/>
          <w:szCs w:val="16"/>
          <w:b w:val="1"/>
          <w:bCs w:val="1"/>
          <w:color w:val="D7282F"/>
        </w:rPr>
      </w:pPr>
      <w:r>
        <w:rPr>
          <w:rFonts w:ascii="Arial" w:cs="Arial" w:eastAsia="Arial" w:hAnsi="Arial"/>
          <w:sz w:val="16"/>
          <w:szCs w:val="16"/>
          <w:color w:val="auto"/>
        </w:rPr>
        <w:t>Review and recommend changes to the Corporate Governance Guidelines.</w:t>
      </w:r>
    </w:p>
    <w:p>
      <w:pPr>
        <w:spacing w:after="0" w:line="72" w:lineRule="exact"/>
        <w:rPr>
          <w:rFonts w:ascii="Arial" w:cs="Arial" w:eastAsia="Arial" w:hAnsi="Arial"/>
          <w:sz w:val="16"/>
          <w:szCs w:val="16"/>
          <w:b w:val="1"/>
          <w:bCs w:val="1"/>
          <w:color w:val="D7282F"/>
        </w:rPr>
      </w:pPr>
    </w:p>
    <w:p>
      <w:pPr>
        <w:ind w:left="196" w:right="700" w:hanging="196"/>
        <w:spacing w:after="0" w:line="299" w:lineRule="auto"/>
        <w:tabs>
          <w:tab w:leader="none" w:pos="193" w:val="left"/>
        </w:tabs>
        <w:numPr>
          <w:ilvl w:val="0"/>
          <w:numId w:val="106"/>
        </w:numPr>
        <w:rPr>
          <w:rFonts w:ascii="Arial" w:cs="Arial" w:eastAsia="Arial" w:hAnsi="Arial"/>
          <w:sz w:val="16"/>
          <w:szCs w:val="16"/>
          <w:b w:val="1"/>
          <w:bCs w:val="1"/>
          <w:color w:val="D7282F"/>
        </w:rPr>
      </w:pPr>
      <w:r>
        <w:rPr>
          <w:rFonts w:ascii="Arial" w:cs="Arial" w:eastAsia="Arial" w:hAnsi="Arial"/>
          <w:sz w:val="16"/>
          <w:szCs w:val="16"/>
          <w:color w:val="auto"/>
        </w:rPr>
        <w:t>Together with the independent Lead Director, lead the Board in its annual evaluation of the performance of the Board and its committees.</w:t>
      </w:r>
    </w:p>
    <w:p>
      <w:pPr>
        <w:ind w:left="196" w:right="360" w:hanging="196"/>
        <w:spacing w:after="0" w:line="304" w:lineRule="auto"/>
        <w:tabs>
          <w:tab w:leader="none" w:pos="193" w:val="left"/>
        </w:tabs>
        <w:numPr>
          <w:ilvl w:val="0"/>
          <w:numId w:val="106"/>
        </w:numPr>
        <w:rPr>
          <w:rFonts w:ascii="Arial" w:cs="Arial" w:eastAsia="Arial" w:hAnsi="Arial"/>
          <w:sz w:val="16"/>
          <w:szCs w:val="16"/>
          <w:b w:val="1"/>
          <w:bCs w:val="1"/>
          <w:color w:val="D7282F"/>
        </w:rPr>
      </w:pPr>
      <w:r>
        <w:rPr>
          <w:rFonts w:ascii="Arial" w:cs="Arial" w:eastAsia="Arial" w:hAnsi="Arial"/>
          <w:sz w:val="16"/>
          <w:szCs w:val="16"/>
          <w:color w:val="auto"/>
        </w:rPr>
        <w:t>Oversee director-recruitment activities in connection with the establishment of three standalone public companies.</w:t>
      </w:r>
    </w:p>
    <w:p>
      <w:pPr>
        <w:spacing w:after="0" w:line="6" w:lineRule="exact"/>
        <w:rPr>
          <w:rFonts w:ascii="Arial" w:cs="Arial" w:eastAsia="Arial" w:hAnsi="Arial"/>
          <w:sz w:val="16"/>
          <w:szCs w:val="16"/>
          <w:b w:val="1"/>
          <w:bCs w:val="1"/>
          <w:color w:val="D7282F"/>
        </w:rPr>
      </w:pPr>
    </w:p>
    <w:p>
      <w:pPr>
        <w:ind w:left="196" w:right="180" w:hanging="196"/>
        <w:spacing w:after="0" w:line="260" w:lineRule="auto"/>
        <w:tabs>
          <w:tab w:leader="none" w:pos="193" w:val="left"/>
        </w:tabs>
        <w:numPr>
          <w:ilvl w:val="0"/>
          <w:numId w:val="106"/>
        </w:numPr>
        <w:rPr>
          <w:rFonts w:ascii="Arial" w:cs="Arial" w:eastAsia="Arial" w:hAnsi="Arial"/>
          <w:sz w:val="16"/>
          <w:szCs w:val="16"/>
          <w:b w:val="1"/>
          <w:bCs w:val="1"/>
          <w:color w:val="D7282F"/>
        </w:rPr>
      </w:pPr>
      <w:r>
        <w:rPr>
          <w:rFonts w:ascii="Arial" w:cs="Arial" w:eastAsia="Arial" w:hAnsi="Arial"/>
          <w:sz w:val="16"/>
          <w:szCs w:val="16"/>
          <w:color w:val="auto"/>
        </w:rPr>
        <w:t>Review policies and make recommendations to the Board concerning the size and composition of the Board, qualifications and criteria for director nominees, director retirement policies, compensation and benefits of non-employee directors, conduct of business between Honeywell and any person or entity affiliated with a director, the structure and composition of Board committees, and the allocation of risk oversight responsibilities among Board committees.</w:t>
      </w:r>
    </w:p>
    <w:p>
      <w:pPr>
        <w:spacing w:after="0" w:line="42" w:lineRule="exact"/>
        <w:rPr>
          <w:rFonts w:ascii="Arial" w:cs="Arial" w:eastAsia="Arial" w:hAnsi="Arial"/>
          <w:sz w:val="16"/>
          <w:szCs w:val="16"/>
          <w:b w:val="1"/>
          <w:bCs w:val="1"/>
          <w:color w:val="D7282F"/>
        </w:rPr>
      </w:pPr>
    </w:p>
    <w:p>
      <w:pPr>
        <w:ind w:left="196" w:hanging="196"/>
        <w:spacing w:after="0"/>
        <w:tabs>
          <w:tab w:leader="none" w:pos="196" w:val="left"/>
        </w:tabs>
        <w:numPr>
          <w:ilvl w:val="0"/>
          <w:numId w:val="106"/>
        </w:numPr>
        <w:rPr>
          <w:rFonts w:ascii="Arial" w:cs="Arial" w:eastAsia="Arial" w:hAnsi="Arial"/>
          <w:sz w:val="16"/>
          <w:szCs w:val="16"/>
          <w:b w:val="1"/>
          <w:bCs w:val="1"/>
          <w:color w:val="D7282F"/>
        </w:rPr>
      </w:pPr>
      <w:r>
        <w:rPr>
          <w:rFonts w:ascii="Arial" w:cs="Arial" w:eastAsia="Arial" w:hAnsi="Arial"/>
          <w:sz w:val="16"/>
          <w:szCs w:val="16"/>
          <w:color w:val="auto"/>
        </w:rPr>
        <w:t>Oversee overall ESG performance and associated risks and opportunities.</w:t>
      </w:r>
    </w:p>
    <w:p>
      <w:pPr>
        <w:spacing w:after="0" w:line="86" w:lineRule="exact"/>
        <w:rPr>
          <w:rFonts w:ascii="Arial" w:cs="Arial" w:eastAsia="Arial" w:hAnsi="Arial"/>
          <w:sz w:val="16"/>
          <w:szCs w:val="16"/>
          <w:b w:val="1"/>
          <w:bCs w:val="1"/>
          <w:color w:val="D7282F"/>
        </w:rPr>
      </w:pPr>
    </w:p>
    <w:p>
      <w:pPr>
        <w:ind w:left="196" w:right="480" w:hanging="196"/>
        <w:spacing w:after="0" w:line="286" w:lineRule="auto"/>
        <w:tabs>
          <w:tab w:leader="none" w:pos="193" w:val="left"/>
        </w:tabs>
        <w:numPr>
          <w:ilvl w:val="0"/>
          <w:numId w:val="106"/>
        </w:numPr>
        <w:rPr>
          <w:rFonts w:ascii="Arial" w:cs="Arial" w:eastAsia="Arial" w:hAnsi="Arial"/>
          <w:sz w:val="16"/>
          <w:szCs w:val="16"/>
          <w:b w:val="1"/>
          <w:bCs w:val="1"/>
          <w:color w:val="D7282F"/>
        </w:rPr>
      </w:pPr>
      <w:r>
        <w:rPr>
          <w:rFonts w:ascii="Arial" w:cs="Arial" w:eastAsia="Arial" w:hAnsi="Arial"/>
          <w:sz w:val="16"/>
          <w:szCs w:val="16"/>
          <w:color w:val="auto"/>
        </w:rPr>
        <w:t>Review and oversee related party transactions for potential conflicts of interest on an ongoing basis, as appropriate.</w:t>
      </w:r>
    </w:p>
    <w:p>
      <w:pPr>
        <w:spacing w:after="0" w:line="20" w:lineRule="exact"/>
        <w:rPr>
          <w:rFonts w:ascii="Arial" w:cs="Arial" w:eastAsia="Arial" w:hAnsi="Arial"/>
          <w:sz w:val="16"/>
          <w:szCs w:val="16"/>
          <w:b w:val="1"/>
          <w:bCs w:val="1"/>
          <w:color w:val="D7282F"/>
        </w:rPr>
      </w:pPr>
    </w:p>
    <w:p>
      <w:pPr>
        <w:ind w:left="196" w:right="100" w:hanging="196"/>
        <w:spacing w:after="0" w:line="265" w:lineRule="auto"/>
        <w:tabs>
          <w:tab w:leader="none" w:pos="193" w:val="left"/>
        </w:tabs>
        <w:numPr>
          <w:ilvl w:val="0"/>
          <w:numId w:val="106"/>
        </w:numPr>
        <w:rPr>
          <w:rFonts w:ascii="Arial" w:cs="Arial" w:eastAsia="Arial" w:hAnsi="Arial"/>
          <w:sz w:val="16"/>
          <w:szCs w:val="16"/>
          <w:b w:val="1"/>
          <w:bCs w:val="1"/>
          <w:color w:val="D7282F"/>
        </w:rPr>
      </w:pPr>
      <w:r>
        <w:rPr>
          <w:rFonts w:ascii="Arial" w:cs="Arial" w:eastAsia="Arial" w:hAnsi="Arial"/>
          <w:sz w:val="16"/>
          <w:szCs w:val="16"/>
          <w:color w:val="auto"/>
        </w:rPr>
        <w:t>Monitor and provide risk oversight with respect to focus areas assigned to the committee from time to time by the Board, including political contributions and lobbying, geopolitical risk, regulatory compliance matters, responsible AI governance, integrity and ethics, health, safety, environmental, product stewardship, sustainability, and environmental justice.</w:t>
      </w:r>
    </w:p>
    <w:p>
      <w:pPr>
        <w:spacing w:after="0" w:line="37" w:lineRule="exact"/>
        <w:rPr>
          <w:rFonts w:ascii="Arial" w:cs="Arial" w:eastAsia="Arial" w:hAnsi="Arial"/>
          <w:sz w:val="16"/>
          <w:szCs w:val="16"/>
          <w:b w:val="1"/>
          <w:bCs w:val="1"/>
          <w:color w:val="D7282F"/>
        </w:rPr>
      </w:pPr>
    </w:p>
    <w:p>
      <w:pPr>
        <w:ind w:left="196" w:right="240" w:hanging="196"/>
        <w:spacing w:after="0" w:line="286" w:lineRule="auto"/>
        <w:tabs>
          <w:tab w:leader="none" w:pos="193" w:val="left"/>
        </w:tabs>
        <w:numPr>
          <w:ilvl w:val="0"/>
          <w:numId w:val="106"/>
        </w:numPr>
        <w:rPr>
          <w:rFonts w:ascii="Arial" w:cs="Arial" w:eastAsia="Arial" w:hAnsi="Arial"/>
          <w:sz w:val="16"/>
          <w:szCs w:val="16"/>
          <w:b w:val="1"/>
          <w:bCs w:val="1"/>
          <w:color w:val="D7282F"/>
        </w:rPr>
      </w:pPr>
      <w:r>
        <w:rPr>
          <w:rFonts w:ascii="Arial" w:cs="Arial" w:eastAsia="Arial" w:hAnsi="Arial"/>
          <w:sz w:val="16"/>
          <w:szCs w:val="16"/>
          <w:color w:val="auto"/>
        </w:rPr>
        <w:t>Review our policies and programs as may be brought to the attention of the committee regarding Honeywell’s role as a responsible corporate citizen.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-2460625</wp:posOffset>
            </wp:positionH>
            <wp:positionV relativeFrom="paragraph">
              <wp:posOffset>407670</wp:posOffset>
            </wp:positionV>
            <wp:extent cx="712343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00" w:space="584"/>
            <w:col w:w="7356"/>
          </w:cols>
          <w:pgMar w:left="320" w:top="230" w:right="339" w:bottom="1440" w:gutter="0" w:footer="0" w:header="0"/>
          <w:type w:val="continuous"/>
        </w:sectPr>
      </w:pPr>
    </w:p>
    <w:p>
      <w:pPr>
        <w:spacing w:after="0" w:line="200" w:lineRule="exact"/>
        <w:rPr>
          <w:sz w:val="20"/>
          <w:szCs w:val="20"/>
          <w:color w:val="auto"/>
        </w:rPr>
      </w:pPr>
    </w:p>
    <w:p>
      <w:pPr>
        <w:spacing w:after="0" w:line="400" w:lineRule="exact"/>
        <w:rPr>
          <w:sz w:val="20"/>
          <w:szCs w:val="20"/>
          <w:color w:val="auto"/>
        </w:rPr>
      </w:pPr>
    </w:p>
    <w:p>
      <w:pPr>
        <w:ind w:left="200" w:right="440" w:hanging="192"/>
        <w:spacing w:after="0" w:line="226" w:lineRule="auto"/>
        <w:tabs>
          <w:tab w:leader="none" w:pos="200" w:val="left"/>
        </w:tabs>
        <w:numPr>
          <w:ilvl w:val="0"/>
          <w:numId w:val="107"/>
        </w:numPr>
        <w:rPr>
          <w:rFonts w:ascii="Arial" w:cs="Arial" w:eastAsia="Arial" w:hAnsi="Arial"/>
          <w:sz w:val="16"/>
          <w:szCs w:val="16"/>
          <w:color w:val="auto"/>
          <w:vertAlign w:val="superscript"/>
        </w:rPr>
      </w:pPr>
      <w:r>
        <w:rPr>
          <w:rFonts w:ascii="Arial" w:cs="Arial" w:eastAsia="Arial" w:hAnsi="Arial"/>
          <w:sz w:val="13"/>
          <w:szCs w:val="13"/>
          <w:color w:val="auto"/>
        </w:rPr>
        <w:t xml:space="preserve">Reflects anticipated committee composition and leadership following the Annual Meeting. Mr. Arnold was appointed a member of the CGRC effective November 3, 2025. Following the Annual Meeting, Mr. Lamach will become an </w:t>
      </w:r>
      <w:r>
        <w:rPr>
          <w:rFonts w:ascii="Arial" w:cs="Arial" w:eastAsia="Arial" w:hAnsi="Arial"/>
          <w:sz w:val="13"/>
          <w:szCs w:val="13"/>
          <w:i w:val="1"/>
          <w:iCs w:val="1"/>
          <w:color w:val="auto"/>
        </w:rPr>
        <w:t>ex officio</w:t>
      </w:r>
      <w:r>
        <w:rPr>
          <w:rFonts w:ascii="Arial" w:cs="Arial" w:eastAsia="Arial" w:hAnsi="Arial"/>
          <w:sz w:val="13"/>
          <w:szCs w:val="13"/>
          <w:color w:val="auto"/>
        </w:rPr>
        <w:t xml:space="preserve"> member when he becomes the Lead Director, and Mr. Ayer will no longer serve as an </w:t>
      </w:r>
      <w:r>
        <w:rPr>
          <w:rFonts w:ascii="Arial" w:cs="Arial" w:eastAsia="Arial" w:hAnsi="Arial"/>
          <w:sz w:val="13"/>
          <w:szCs w:val="13"/>
          <w:i w:val="1"/>
          <w:iCs w:val="1"/>
          <w:color w:val="auto"/>
        </w:rPr>
        <w:t>ex officio</w:t>
      </w:r>
      <w:r>
        <w:rPr>
          <w:rFonts w:ascii="Arial" w:cs="Arial" w:eastAsia="Arial" w:hAnsi="Arial"/>
          <w:sz w:val="13"/>
          <w:szCs w:val="13"/>
          <w:color w:val="auto"/>
        </w:rPr>
        <w:t xml:space="preserve"> member of any committee.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2026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39</w:t>
            </w:r>
          </w:p>
        </w:tc>
      </w:tr>
      <w:tr>
        <w:trPr>
          <w:trHeight w:val="360"/>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-368300</wp:posOffset>
            </wp:positionV>
            <wp:extent cx="548640" cy="10287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3"/>
          <w:szCs w:val="13"/>
          <w:b w:val="1"/>
          <w:bCs w:val="1"/>
          <w:color w:val="6D6E71"/>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MANAGEMENT DEVELOPMENT AND COMPENSATION COMMITTEE (MDCC)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003415" cy="41319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003415" cy="4131945"/>
                    </a:xfrm>
                    <a:prstGeom prst="rect">
                      <a:avLst/>
                    </a:prstGeom>
                    <a:noFill/>
                  </pic:spPr>
                </pic:pic>
              </a:graphicData>
            </a:graphic>
          </wp:anchor>
        </w:drawing>
      </w:r>
    </w:p>
    <w:p>
      <w:pPr>
        <w:sectPr>
          <w:pgSz w:w="11900" w:h="16838" w:orient="portrait"/>
          <w:cols w:equalWidth="0" w:num="1">
            <w:col w:w="11180"/>
          </w:cols>
          <w:pgMar w:left="320" w:top="230" w:right="399" w:bottom="1440" w:gutter="0" w:footer="0" w:header="0"/>
        </w:sectPr>
      </w:pPr>
    </w:p>
    <w:p>
      <w:pPr>
        <w:spacing w:after="0" w:line="384"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 xml:space="preserve">Committee Chair: </w:t>
      </w:r>
      <w:r>
        <w:rPr>
          <w:rFonts w:ascii="Arial" w:cs="Arial" w:eastAsia="Arial" w:hAnsi="Arial"/>
          <w:sz w:val="16"/>
          <w:szCs w:val="16"/>
          <w:b w:val="1"/>
          <w:bCs w:val="1"/>
          <w:color w:val="D7282F"/>
        </w:rPr>
        <w:t>Grace Lieblein</w:t>
      </w:r>
    </w:p>
    <w:p>
      <w:pPr>
        <w:spacing w:after="0" w:line="194"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Other Committee Members</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w:t>
      </w:r>
    </w:p>
    <w:p>
      <w:pPr>
        <w:spacing w:after="0" w:line="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Duncan B. Angove</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Deborah Flint</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xml:space="preserve">Michael Lamach </w:t>
      </w:r>
      <w:r>
        <w:rPr>
          <w:rFonts w:ascii="Arial" w:cs="Arial" w:eastAsia="Arial" w:hAnsi="Arial"/>
          <w:sz w:val="16"/>
          <w:szCs w:val="16"/>
          <w:i w:val="1"/>
          <w:iCs w:val="1"/>
          <w:color w:val="auto"/>
        </w:rPr>
        <w:t>(ex officio)</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Indra K. Nooyi</w:t>
      </w:r>
    </w:p>
    <w:p>
      <w:pPr>
        <w:spacing w:after="0" w:line="194"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 xml:space="preserve">Meetings Held in 2025: </w:t>
      </w:r>
      <w:r>
        <w:rPr>
          <w:rFonts w:ascii="Arial" w:cs="Arial" w:eastAsia="Arial" w:hAnsi="Arial"/>
          <w:sz w:val="16"/>
          <w:szCs w:val="16"/>
          <w:b w:val="1"/>
          <w:bCs w:val="1"/>
          <w:color w:val="D7282F"/>
        </w:rPr>
        <w:t>6</w:t>
      </w:r>
    </w:p>
    <w:p>
      <w:pPr>
        <w:spacing w:after="0" w:line="73" w:lineRule="exact"/>
        <w:rPr>
          <w:sz w:val="20"/>
          <w:szCs w:val="20"/>
          <w:color w:val="auto"/>
        </w:rPr>
      </w:pPr>
    </w:p>
    <w:p>
      <w:pPr>
        <w:ind w:left="340" w:hanging="184"/>
        <w:spacing w:after="0"/>
        <w:tabs>
          <w:tab w:leader="none" w:pos="340" w:val="left"/>
        </w:tabs>
        <w:numPr>
          <w:ilvl w:val="0"/>
          <w:numId w:val="108"/>
        </w:numPr>
        <w:rPr>
          <w:rFonts w:ascii="Arial" w:cs="Arial" w:eastAsia="Arial" w:hAnsi="Arial"/>
          <w:sz w:val="16"/>
          <w:szCs w:val="16"/>
          <w:b w:val="1"/>
          <w:bCs w:val="1"/>
          <w:color w:val="D7282F"/>
        </w:rPr>
      </w:pPr>
      <w:r>
        <w:rPr>
          <w:rFonts w:ascii="Arial" w:cs="Arial" w:eastAsia="Arial" w:hAnsi="Arial"/>
          <w:sz w:val="16"/>
          <w:szCs w:val="16"/>
          <w:color w:val="auto"/>
        </w:rPr>
        <w:t>All members independent</w:t>
      </w:r>
    </w:p>
    <w:p>
      <w:pPr>
        <w:spacing w:after="0" w:line="86" w:lineRule="exact"/>
        <w:rPr>
          <w:rFonts w:ascii="Arial" w:cs="Arial" w:eastAsia="Arial" w:hAnsi="Arial"/>
          <w:sz w:val="16"/>
          <w:szCs w:val="16"/>
          <w:b w:val="1"/>
          <w:bCs w:val="1"/>
          <w:color w:val="D7282F"/>
        </w:rPr>
      </w:pPr>
    </w:p>
    <w:p>
      <w:pPr>
        <w:ind w:left="360" w:right="356" w:hanging="204"/>
        <w:spacing w:after="0" w:line="299" w:lineRule="auto"/>
        <w:tabs>
          <w:tab w:leader="none" w:pos="357" w:val="left"/>
        </w:tabs>
        <w:numPr>
          <w:ilvl w:val="0"/>
          <w:numId w:val="108"/>
        </w:numPr>
        <w:rPr>
          <w:rFonts w:ascii="Arial" w:cs="Arial" w:eastAsia="Arial" w:hAnsi="Arial"/>
          <w:sz w:val="16"/>
          <w:szCs w:val="16"/>
          <w:b w:val="1"/>
          <w:bCs w:val="1"/>
          <w:color w:val="D7282F"/>
        </w:rPr>
      </w:pPr>
      <w:r>
        <w:rPr>
          <w:rFonts w:ascii="Arial" w:cs="Arial" w:eastAsia="Arial" w:hAnsi="Arial"/>
          <w:sz w:val="16"/>
          <w:szCs w:val="16"/>
          <w:color w:val="auto"/>
        </w:rPr>
        <w:t>Administers Honeywell’s executive compensation program</w:t>
      </w:r>
    </w:p>
    <w:p>
      <w:pPr>
        <w:ind w:left="360" w:right="956" w:hanging="204"/>
        <w:spacing w:after="0" w:line="304" w:lineRule="auto"/>
        <w:tabs>
          <w:tab w:leader="none" w:pos="357" w:val="left"/>
        </w:tabs>
        <w:numPr>
          <w:ilvl w:val="0"/>
          <w:numId w:val="108"/>
        </w:numPr>
        <w:rPr>
          <w:rFonts w:ascii="Arial" w:cs="Arial" w:eastAsia="Arial" w:hAnsi="Arial"/>
          <w:sz w:val="16"/>
          <w:szCs w:val="16"/>
          <w:b w:val="1"/>
          <w:bCs w:val="1"/>
          <w:color w:val="D7282F"/>
        </w:rPr>
      </w:pPr>
      <w:r>
        <w:rPr>
          <w:rFonts w:ascii="Arial" w:cs="Arial" w:eastAsia="Arial" w:hAnsi="Arial"/>
          <w:sz w:val="16"/>
          <w:szCs w:val="16"/>
          <w:color w:val="auto"/>
        </w:rPr>
        <w:t>Retains independent compensation consultant</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ind w:left="204" w:right="420" w:hanging="204"/>
        <w:spacing w:after="0" w:line="286" w:lineRule="auto"/>
        <w:tabs>
          <w:tab w:leader="none" w:pos="201" w:val="left"/>
        </w:tabs>
        <w:numPr>
          <w:ilvl w:val="0"/>
          <w:numId w:val="109"/>
        </w:numPr>
        <w:rPr>
          <w:rFonts w:ascii="Arial" w:cs="Arial" w:eastAsia="Arial" w:hAnsi="Arial"/>
          <w:sz w:val="16"/>
          <w:szCs w:val="16"/>
          <w:b w:val="1"/>
          <w:bCs w:val="1"/>
          <w:color w:val="D7282F"/>
        </w:rPr>
      </w:pPr>
      <w:r>
        <w:rPr>
          <w:rFonts w:ascii="Arial" w:cs="Arial" w:eastAsia="Arial" w:hAnsi="Arial"/>
          <w:sz w:val="16"/>
          <w:szCs w:val="16"/>
          <w:color w:val="auto"/>
        </w:rPr>
        <w:t>Evaluate and approve executive compensation plans, policies, and programs, including review and approval of executive compensation-related corporate goals and objectives.</w:t>
      </w:r>
    </w:p>
    <w:p>
      <w:pPr>
        <w:spacing w:after="0" w:line="20" w:lineRule="exact"/>
        <w:rPr>
          <w:rFonts w:ascii="Arial" w:cs="Arial" w:eastAsia="Arial" w:hAnsi="Arial"/>
          <w:sz w:val="16"/>
          <w:szCs w:val="16"/>
          <w:b w:val="1"/>
          <w:bCs w:val="1"/>
          <w:color w:val="D7282F"/>
        </w:rPr>
      </w:pPr>
    </w:p>
    <w:p>
      <w:pPr>
        <w:ind w:left="184" w:hanging="184"/>
        <w:spacing w:after="0"/>
        <w:tabs>
          <w:tab w:leader="none" w:pos="184" w:val="left"/>
        </w:tabs>
        <w:numPr>
          <w:ilvl w:val="0"/>
          <w:numId w:val="109"/>
        </w:numPr>
        <w:rPr>
          <w:rFonts w:ascii="Arial" w:cs="Arial" w:eastAsia="Arial" w:hAnsi="Arial"/>
          <w:sz w:val="16"/>
          <w:szCs w:val="16"/>
          <w:b w:val="1"/>
          <w:bCs w:val="1"/>
          <w:color w:val="D7282F"/>
        </w:rPr>
      </w:pPr>
      <w:r>
        <w:rPr>
          <w:rFonts w:ascii="Arial" w:cs="Arial" w:eastAsia="Arial" w:hAnsi="Arial"/>
          <w:sz w:val="16"/>
          <w:szCs w:val="16"/>
          <w:color w:val="auto"/>
        </w:rPr>
        <w:t>Review and approve the individual goals and objectives of the Company’s executive officers.</w:t>
      </w:r>
    </w:p>
    <w:p>
      <w:pPr>
        <w:spacing w:after="0" w:line="86" w:lineRule="exact"/>
        <w:rPr>
          <w:rFonts w:ascii="Arial" w:cs="Arial" w:eastAsia="Arial" w:hAnsi="Arial"/>
          <w:sz w:val="16"/>
          <w:szCs w:val="16"/>
          <w:b w:val="1"/>
          <w:bCs w:val="1"/>
          <w:color w:val="D7282F"/>
        </w:rPr>
      </w:pPr>
    </w:p>
    <w:p>
      <w:pPr>
        <w:ind w:left="204" w:right="340" w:hanging="204"/>
        <w:spacing w:after="0" w:line="286" w:lineRule="auto"/>
        <w:tabs>
          <w:tab w:leader="none" w:pos="201" w:val="left"/>
        </w:tabs>
        <w:numPr>
          <w:ilvl w:val="0"/>
          <w:numId w:val="109"/>
        </w:numPr>
        <w:rPr>
          <w:rFonts w:ascii="Arial" w:cs="Arial" w:eastAsia="Arial" w:hAnsi="Arial"/>
          <w:sz w:val="16"/>
          <w:szCs w:val="16"/>
          <w:b w:val="1"/>
          <w:bCs w:val="1"/>
          <w:color w:val="D7282F"/>
        </w:rPr>
      </w:pPr>
      <w:r>
        <w:rPr>
          <w:rFonts w:ascii="Arial" w:cs="Arial" w:eastAsia="Arial" w:hAnsi="Arial"/>
          <w:sz w:val="16"/>
          <w:szCs w:val="16"/>
          <w:color w:val="auto"/>
        </w:rPr>
        <w:t>Evaluate the CEO’s performance relative to established goals and objectives and, together with the other independent directors, determine and approve the CEO’s compensation level.</w:t>
      </w:r>
    </w:p>
    <w:p>
      <w:pPr>
        <w:spacing w:after="0" w:line="20" w:lineRule="exact"/>
        <w:rPr>
          <w:rFonts w:ascii="Arial" w:cs="Arial" w:eastAsia="Arial" w:hAnsi="Arial"/>
          <w:sz w:val="16"/>
          <w:szCs w:val="16"/>
          <w:b w:val="1"/>
          <w:bCs w:val="1"/>
          <w:color w:val="D7282F"/>
        </w:rPr>
      </w:pPr>
    </w:p>
    <w:p>
      <w:pPr>
        <w:ind w:left="204" w:right="1140" w:hanging="204"/>
        <w:spacing w:after="0" w:line="286" w:lineRule="auto"/>
        <w:tabs>
          <w:tab w:leader="none" w:pos="201" w:val="left"/>
        </w:tabs>
        <w:numPr>
          <w:ilvl w:val="0"/>
          <w:numId w:val="109"/>
        </w:numPr>
        <w:rPr>
          <w:rFonts w:ascii="Arial" w:cs="Arial" w:eastAsia="Arial" w:hAnsi="Arial"/>
          <w:sz w:val="16"/>
          <w:szCs w:val="16"/>
          <w:b w:val="1"/>
          <w:bCs w:val="1"/>
          <w:color w:val="D7282F"/>
        </w:rPr>
      </w:pPr>
      <w:r>
        <w:rPr>
          <w:rFonts w:ascii="Arial" w:cs="Arial" w:eastAsia="Arial" w:hAnsi="Arial"/>
          <w:sz w:val="16"/>
          <w:szCs w:val="16"/>
          <w:color w:val="auto"/>
        </w:rPr>
        <w:t>Review and determine the annual salary and other remuneration (including incentive compensation and equity-based plans) of all other officers.</w:t>
      </w:r>
    </w:p>
    <w:p>
      <w:pPr>
        <w:spacing w:after="0" w:line="20" w:lineRule="exact"/>
        <w:rPr>
          <w:rFonts w:ascii="Arial" w:cs="Arial" w:eastAsia="Arial" w:hAnsi="Arial"/>
          <w:sz w:val="16"/>
          <w:szCs w:val="16"/>
          <w:b w:val="1"/>
          <w:bCs w:val="1"/>
          <w:color w:val="D7282F"/>
        </w:rPr>
      </w:pPr>
    </w:p>
    <w:p>
      <w:pPr>
        <w:jc w:val="both"/>
        <w:ind w:left="204" w:right="420" w:hanging="204"/>
        <w:spacing w:after="0" w:line="275" w:lineRule="auto"/>
        <w:tabs>
          <w:tab w:leader="none" w:pos="201" w:val="left"/>
        </w:tabs>
        <w:numPr>
          <w:ilvl w:val="0"/>
          <w:numId w:val="109"/>
        </w:numPr>
        <w:rPr>
          <w:rFonts w:ascii="Arial" w:cs="Arial" w:eastAsia="Arial" w:hAnsi="Arial"/>
          <w:sz w:val="16"/>
          <w:szCs w:val="16"/>
          <w:b w:val="1"/>
          <w:bCs w:val="1"/>
          <w:color w:val="D7282F"/>
        </w:rPr>
      </w:pPr>
      <w:r>
        <w:rPr>
          <w:rFonts w:ascii="Arial" w:cs="Arial" w:eastAsia="Arial" w:hAnsi="Arial"/>
          <w:sz w:val="16"/>
          <w:szCs w:val="16"/>
          <w:color w:val="auto"/>
        </w:rPr>
        <w:t>Oversee talent acquisition, development and retention efforts, as well as customized executive compensation plans, policies and programs, in connection with the separation of the Company into three independent companies.</w:t>
      </w:r>
    </w:p>
    <w:p>
      <w:pPr>
        <w:spacing w:after="0" w:line="29" w:lineRule="exact"/>
        <w:rPr>
          <w:rFonts w:ascii="Arial" w:cs="Arial" w:eastAsia="Arial" w:hAnsi="Arial"/>
          <w:sz w:val="16"/>
          <w:szCs w:val="16"/>
          <w:b w:val="1"/>
          <w:bCs w:val="1"/>
          <w:color w:val="D7282F"/>
        </w:rPr>
      </w:pPr>
    </w:p>
    <w:p>
      <w:pPr>
        <w:ind w:left="204" w:right="540" w:hanging="204"/>
        <w:spacing w:after="0" w:line="286" w:lineRule="auto"/>
        <w:tabs>
          <w:tab w:leader="none" w:pos="201" w:val="left"/>
        </w:tabs>
        <w:numPr>
          <w:ilvl w:val="0"/>
          <w:numId w:val="109"/>
        </w:numPr>
        <w:rPr>
          <w:rFonts w:ascii="Arial" w:cs="Arial" w:eastAsia="Arial" w:hAnsi="Arial"/>
          <w:sz w:val="16"/>
          <w:szCs w:val="16"/>
          <w:b w:val="1"/>
          <w:bCs w:val="1"/>
          <w:color w:val="D7282F"/>
        </w:rPr>
      </w:pPr>
      <w:r>
        <w:rPr>
          <w:rFonts w:ascii="Arial" w:cs="Arial" w:eastAsia="Arial" w:hAnsi="Arial"/>
          <w:sz w:val="16"/>
          <w:szCs w:val="16"/>
          <w:color w:val="auto"/>
        </w:rPr>
        <w:t>Review and discuss with management the Compensation Discussion and Analysis and other executive compensation disclosures included in this Proxy Statement.</w:t>
      </w:r>
    </w:p>
    <w:p>
      <w:pPr>
        <w:spacing w:after="0" w:line="20" w:lineRule="exact"/>
        <w:rPr>
          <w:rFonts w:ascii="Arial" w:cs="Arial" w:eastAsia="Arial" w:hAnsi="Arial"/>
          <w:sz w:val="16"/>
          <w:szCs w:val="16"/>
          <w:b w:val="1"/>
          <w:bCs w:val="1"/>
          <w:color w:val="D7282F"/>
        </w:rPr>
      </w:pPr>
    </w:p>
    <w:p>
      <w:pPr>
        <w:ind w:left="184" w:hanging="184"/>
        <w:spacing w:after="0"/>
        <w:tabs>
          <w:tab w:leader="none" w:pos="184" w:val="left"/>
        </w:tabs>
        <w:numPr>
          <w:ilvl w:val="0"/>
          <w:numId w:val="109"/>
        </w:numPr>
        <w:rPr>
          <w:rFonts w:ascii="Arial" w:cs="Arial" w:eastAsia="Arial" w:hAnsi="Arial"/>
          <w:sz w:val="16"/>
          <w:szCs w:val="16"/>
          <w:b w:val="1"/>
          <w:bCs w:val="1"/>
          <w:color w:val="D7282F"/>
        </w:rPr>
      </w:pPr>
      <w:r>
        <w:rPr>
          <w:rFonts w:ascii="Arial" w:cs="Arial" w:eastAsia="Arial" w:hAnsi="Arial"/>
          <w:sz w:val="16"/>
          <w:szCs w:val="16"/>
          <w:color w:val="auto"/>
        </w:rPr>
        <w:t>Produce the annual Committee Report included in this Proxy Statement.</w:t>
      </w:r>
    </w:p>
    <w:p>
      <w:pPr>
        <w:spacing w:after="0" w:line="72" w:lineRule="exact"/>
        <w:rPr>
          <w:rFonts w:ascii="Arial" w:cs="Arial" w:eastAsia="Arial" w:hAnsi="Arial"/>
          <w:sz w:val="16"/>
          <w:szCs w:val="16"/>
          <w:b w:val="1"/>
          <w:bCs w:val="1"/>
          <w:color w:val="D7282F"/>
        </w:rPr>
      </w:pPr>
    </w:p>
    <w:p>
      <w:pPr>
        <w:ind w:left="184" w:hanging="184"/>
        <w:spacing w:after="0"/>
        <w:tabs>
          <w:tab w:leader="none" w:pos="184" w:val="left"/>
        </w:tabs>
        <w:numPr>
          <w:ilvl w:val="0"/>
          <w:numId w:val="109"/>
        </w:numPr>
        <w:rPr>
          <w:rFonts w:ascii="Arial" w:cs="Arial" w:eastAsia="Arial" w:hAnsi="Arial"/>
          <w:sz w:val="16"/>
          <w:szCs w:val="16"/>
          <w:b w:val="1"/>
          <w:bCs w:val="1"/>
          <w:color w:val="D7282F"/>
        </w:rPr>
      </w:pPr>
      <w:r>
        <w:rPr>
          <w:rFonts w:ascii="Arial" w:cs="Arial" w:eastAsia="Arial" w:hAnsi="Arial"/>
          <w:sz w:val="16"/>
          <w:szCs w:val="16"/>
          <w:color w:val="auto"/>
        </w:rPr>
        <w:t>Form and delegate any of the MDCC’s authorities to subcommittees when appropriate.</w:t>
      </w:r>
    </w:p>
    <w:p>
      <w:pPr>
        <w:spacing w:after="0" w:line="86" w:lineRule="exact"/>
        <w:rPr>
          <w:rFonts w:ascii="Arial" w:cs="Arial" w:eastAsia="Arial" w:hAnsi="Arial"/>
          <w:sz w:val="16"/>
          <w:szCs w:val="16"/>
          <w:b w:val="1"/>
          <w:bCs w:val="1"/>
          <w:color w:val="D7282F"/>
        </w:rPr>
      </w:pPr>
    </w:p>
    <w:p>
      <w:pPr>
        <w:ind w:left="184" w:hanging="184"/>
        <w:spacing w:after="0"/>
        <w:tabs>
          <w:tab w:leader="none" w:pos="184" w:val="left"/>
        </w:tabs>
        <w:numPr>
          <w:ilvl w:val="0"/>
          <w:numId w:val="109"/>
        </w:numPr>
        <w:rPr>
          <w:rFonts w:ascii="Arial" w:cs="Arial" w:eastAsia="Arial" w:hAnsi="Arial"/>
          <w:sz w:val="16"/>
          <w:szCs w:val="16"/>
          <w:b w:val="1"/>
          <w:bCs w:val="1"/>
          <w:color w:val="D7282F"/>
        </w:rPr>
      </w:pPr>
      <w:r>
        <w:rPr>
          <w:rFonts w:ascii="Arial" w:cs="Arial" w:eastAsia="Arial" w:hAnsi="Arial"/>
          <w:sz w:val="16"/>
          <w:szCs w:val="16"/>
          <w:color w:val="auto"/>
        </w:rPr>
        <w:t>Review the management development program, including executive succession.</w:t>
      </w:r>
    </w:p>
    <w:p>
      <w:pPr>
        <w:spacing w:after="0" w:line="86" w:lineRule="exact"/>
        <w:rPr>
          <w:rFonts w:ascii="Arial" w:cs="Arial" w:eastAsia="Arial" w:hAnsi="Arial"/>
          <w:sz w:val="16"/>
          <w:szCs w:val="16"/>
          <w:b w:val="1"/>
          <w:bCs w:val="1"/>
          <w:color w:val="D7282F"/>
        </w:rPr>
      </w:pPr>
    </w:p>
    <w:p>
      <w:pPr>
        <w:ind w:left="204" w:right="480" w:hanging="204"/>
        <w:spacing w:after="0" w:line="286" w:lineRule="auto"/>
        <w:tabs>
          <w:tab w:leader="none" w:pos="201" w:val="left"/>
        </w:tabs>
        <w:numPr>
          <w:ilvl w:val="0"/>
          <w:numId w:val="109"/>
        </w:numPr>
        <w:rPr>
          <w:rFonts w:ascii="Arial" w:cs="Arial" w:eastAsia="Arial" w:hAnsi="Arial"/>
          <w:sz w:val="16"/>
          <w:szCs w:val="16"/>
          <w:b w:val="1"/>
          <w:bCs w:val="1"/>
          <w:color w:val="D7282F"/>
        </w:rPr>
      </w:pPr>
      <w:r>
        <w:rPr>
          <w:rFonts w:ascii="Arial" w:cs="Arial" w:eastAsia="Arial" w:hAnsi="Arial"/>
          <w:sz w:val="16"/>
          <w:szCs w:val="16"/>
          <w:color w:val="auto"/>
        </w:rPr>
        <w:t>Review or take such other action as may be required in connection with the bonus, stock, and other benefit plans of Honeywell and its subsidiaries.</w:t>
      </w:r>
    </w:p>
    <w:p>
      <w:pPr>
        <w:spacing w:after="0" w:line="20" w:lineRule="exact"/>
        <w:rPr>
          <w:rFonts w:ascii="Arial" w:cs="Arial" w:eastAsia="Arial" w:hAnsi="Arial"/>
          <w:sz w:val="16"/>
          <w:szCs w:val="16"/>
          <w:b w:val="1"/>
          <w:bCs w:val="1"/>
          <w:color w:val="D7282F"/>
        </w:rPr>
      </w:pPr>
    </w:p>
    <w:p>
      <w:pPr>
        <w:ind w:left="204" w:right="280" w:hanging="204"/>
        <w:spacing w:after="0" w:line="265" w:lineRule="auto"/>
        <w:tabs>
          <w:tab w:leader="none" w:pos="201" w:val="left"/>
        </w:tabs>
        <w:numPr>
          <w:ilvl w:val="0"/>
          <w:numId w:val="109"/>
        </w:numPr>
        <w:rPr>
          <w:rFonts w:ascii="Arial" w:cs="Arial" w:eastAsia="Arial" w:hAnsi="Arial"/>
          <w:sz w:val="16"/>
          <w:szCs w:val="16"/>
          <w:b w:val="1"/>
          <w:bCs w:val="1"/>
          <w:color w:val="D7282F"/>
        </w:rPr>
      </w:pPr>
      <w:r>
        <w:rPr>
          <w:rFonts w:ascii="Arial" w:cs="Arial" w:eastAsia="Arial" w:hAnsi="Arial"/>
          <w:sz w:val="16"/>
          <w:szCs w:val="16"/>
          <w:color w:val="auto"/>
        </w:rPr>
        <w:t>Monitor and provide risk oversight with respect to focus areas assigned to the committee from time to time by the Board, including succession planning, retention and recruitment of key talent, employment practices and policies, workplace respect and culture, workforce composition, workplace violence, and employee engagement and wellness.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-2417445</wp:posOffset>
            </wp:positionH>
            <wp:positionV relativeFrom="paragraph">
              <wp:posOffset>1053465</wp:posOffset>
            </wp:positionV>
            <wp:extent cx="700341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96" w:space="720"/>
            <w:col w:w="7364"/>
          </w:cols>
          <w:pgMar w:left="320" w:top="230"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left="200" w:hanging="192"/>
        <w:spacing w:after="0" w:line="230" w:lineRule="auto"/>
        <w:tabs>
          <w:tab w:leader="none" w:pos="200" w:val="left"/>
        </w:tabs>
        <w:numPr>
          <w:ilvl w:val="0"/>
          <w:numId w:val="110"/>
        </w:numPr>
        <w:rPr>
          <w:rFonts w:ascii="Arial" w:cs="Arial" w:eastAsia="Arial" w:hAnsi="Arial"/>
          <w:sz w:val="16"/>
          <w:szCs w:val="16"/>
          <w:color w:val="auto"/>
          <w:vertAlign w:val="superscript"/>
        </w:rPr>
      </w:pPr>
      <w:r>
        <w:rPr>
          <w:rFonts w:ascii="Arial" w:cs="Arial" w:eastAsia="Arial" w:hAnsi="Arial"/>
          <w:sz w:val="13"/>
          <w:szCs w:val="13"/>
          <w:color w:val="auto"/>
        </w:rPr>
        <w:t xml:space="preserve">Reflects committee composition and leadership following the Annual Meeting. Rose Lee served as a member of the MDCC until her resignation from the Board effective October 30, 2025. Ms. Nooyi was appointed as a member of the MDCC effective January 1, 2026. Following the Annual Meeting, Mr. Lamach will become an </w:t>
      </w:r>
      <w:r>
        <w:rPr>
          <w:rFonts w:ascii="Arial" w:cs="Arial" w:eastAsia="Arial" w:hAnsi="Arial"/>
          <w:sz w:val="13"/>
          <w:szCs w:val="13"/>
          <w:i w:val="1"/>
          <w:iCs w:val="1"/>
          <w:color w:val="auto"/>
        </w:rPr>
        <w:t>ex officio</w:t>
      </w:r>
      <w:r>
        <w:rPr>
          <w:rFonts w:ascii="Arial" w:cs="Arial" w:eastAsia="Arial" w:hAnsi="Arial"/>
          <w:sz w:val="13"/>
          <w:szCs w:val="13"/>
          <w:color w:val="auto"/>
        </w:rPr>
        <w:t xml:space="preserve"> member when he becomes the Lead Director, and Mr. Ayer will no longer serve as an </w:t>
      </w:r>
      <w:r>
        <w:rPr>
          <w:rFonts w:ascii="Arial" w:cs="Arial" w:eastAsia="Arial" w:hAnsi="Arial"/>
          <w:sz w:val="13"/>
          <w:szCs w:val="13"/>
          <w:i w:val="1"/>
          <w:iCs w:val="1"/>
          <w:color w:val="auto"/>
        </w:rPr>
        <w:t>ex officio</w:t>
      </w:r>
      <w:r>
        <w:rPr>
          <w:rFonts w:ascii="Arial" w:cs="Arial" w:eastAsia="Arial" w:hAnsi="Arial"/>
          <w:sz w:val="13"/>
          <w:szCs w:val="13"/>
          <w:color w:val="auto"/>
        </w:rPr>
        <w:t xml:space="preserve"> member of any committee.</w:t>
      </w:r>
    </w:p>
    <w:p>
      <w:pPr>
        <w:spacing w:after="0" w:line="204"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40</w:t>
      </w:r>
      <w:r>
        <w:rPr>
          <w:sz w:val="20"/>
          <w:szCs w:val="20"/>
          <w:color w:val="auto"/>
        </w:rPr>
        <w:tab/>
      </w:r>
      <w:r>
        <w:rPr>
          <w:sz w:val="1"/>
          <w:szCs w:val="1"/>
          <w:color w:val="auto"/>
        </w:rPr>
        <w:drawing>
          <wp:inline distT="0" distB="0" distL="0" distR="0">
            <wp:extent cx="548640" cy="102870"/>
            <wp:effectExtent l="0" t="0" r="0" b="0"/>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2026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30" w:right="399" w:bottom="1440" w:gutter="0" w:footer="0" w:header="0"/>
          <w:type w:val="continuous"/>
        </w:sectPr>
      </w:pPr>
    </w:p>
    <w:bookmarkStart w:id="45" w:name="page46"/>
    <w:bookmarkEnd w:id="45"/>
    <w:p>
      <w:pPr>
        <w:jc w:val="right"/>
        <w:spacing w:after="0"/>
        <w:rPr>
          <w:sz w:val="20"/>
          <w:szCs w:val="20"/>
          <w:color w:val="auto"/>
        </w:rPr>
      </w:pPr>
      <w:r>
        <w:rPr>
          <w:rFonts w:ascii="Arial" w:cs="Arial" w:eastAsia="Arial" w:hAnsi="Arial"/>
          <w:sz w:val="13"/>
          <w:szCs w:val="13"/>
          <w:b w:val="1"/>
          <w:bCs w:val="1"/>
          <w:color w:val="6D6E71"/>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b w:val="1"/>
          <w:bCs w:val="1"/>
          <w:color w:val="auto"/>
        </w:rPr>
        <w:t xml:space="preserve">Compensation Committee Interlocks and Insider Participation. </w:t>
      </w:r>
      <w:r>
        <w:rPr>
          <w:rFonts w:ascii="Arial" w:cs="Arial" w:eastAsia="Arial" w:hAnsi="Arial"/>
          <w:sz w:val="16"/>
          <w:szCs w:val="16"/>
          <w:color w:val="auto"/>
        </w:rPr>
        <w:t>During the 2025 fiscal year, all members of the MDCC were independent directors, and</w:t>
      </w:r>
      <w:r>
        <w:rPr>
          <w:rFonts w:ascii="Arial" w:cs="Arial" w:eastAsia="Arial" w:hAnsi="Arial"/>
          <w:sz w:val="16"/>
          <w:szCs w:val="16"/>
          <w:b w:val="1"/>
          <w:bCs w:val="1"/>
          <w:color w:val="auto"/>
        </w:rPr>
        <w:t xml:space="preserve"> </w:t>
      </w:r>
      <w:r>
        <w:rPr>
          <w:rFonts w:ascii="Arial" w:cs="Arial" w:eastAsia="Arial" w:hAnsi="Arial"/>
          <w:sz w:val="16"/>
          <w:szCs w:val="16"/>
          <w:color w:val="auto"/>
        </w:rPr>
        <w:t>no member was an employee or former employee of Honeywell. No MDCC member had any relationship requiring disclosure under “Certain Relationships and Related Transactions” on page 119 of this Proxy Statement. During fiscal year 2025, none of the Company’s executive officers served on the compensation committee (or its equivalent) or board of directors of another entity whose executive officer served on the MDCC or the Board.</w:t>
      </w:r>
    </w:p>
    <w:p>
      <w:pPr>
        <w:spacing w:after="0" w:line="78"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b w:val="1"/>
          <w:bCs w:val="1"/>
          <w:color w:val="auto"/>
        </w:rPr>
        <w:t xml:space="preserve">Administration of Executive Compensation Program. </w:t>
      </w:r>
      <w:r>
        <w:rPr>
          <w:rFonts w:ascii="Arial" w:cs="Arial" w:eastAsia="Arial" w:hAnsi="Arial"/>
          <w:sz w:val="16"/>
          <w:szCs w:val="16"/>
          <w:color w:val="auto"/>
        </w:rPr>
        <w:t>The MDCC administers the executive compensation program, including determination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elements of the program and their relative weighting, incentive compensation plan targets, and award amounts. The MDCC takes into account feedback from our shareowners when making enhancements to the executive compensation program. When administering the program, the MDCC considers recommendations from senior management regarding the overall executive compensation program and the individual compensation of the executive officers. As part of Honeywell’s annual planning process, the CEO, CFO, and Chief Human Resources Officer develop targets for Honeywell’s incentive compensation programs and present them to the MDCC. These targets are reviewed by the MDCC to ensure alignment with our strategic and annual operating plans, macroeconomic trends, and other identified opportunities and risks. The CEO recommends base salary adjustments and cash and equity incentive award levels for Honeywell’s other executive officers. These recommendations are based on performance appraisals (including an assessment of the achievement of pre-established financial and non-financial management objectives) together with a review of supplemental performance measures and prior compensation levels relative to performance.</w:t>
      </w:r>
    </w:p>
    <w:p>
      <w:pPr>
        <w:spacing w:after="0" w:line="76" w:lineRule="exact"/>
        <w:rPr>
          <w:sz w:val="20"/>
          <w:szCs w:val="20"/>
          <w:color w:val="auto"/>
        </w:rPr>
      </w:pPr>
    </w:p>
    <w:p>
      <w:pPr>
        <w:ind w:right="320"/>
        <w:spacing w:after="0" w:line="261" w:lineRule="auto"/>
        <w:rPr>
          <w:sz w:val="20"/>
          <w:szCs w:val="20"/>
          <w:color w:val="auto"/>
        </w:rPr>
      </w:pPr>
      <w:r>
        <w:rPr>
          <w:rFonts w:ascii="Arial" w:cs="Arial" w:eastAsia="Arial" w:hAnsi="Arial"/>
          <w:sz w:val="16"/>
          <w:szCs w:val="16"/>
          <w:b w:val="1"/>
          <w:bCs w:val="1"/>
          <w:color w:val="auto"/>
        </w:rPr>
        <w:t xml:space="preserve">Retention of Independent Compensation Consultant. </w:t>
      </w:r>
      <w:r>
        <w:rPr>
          <w:rFonts w:ascii="Arial" w:cs="Arial" w:eastAsia="Arial" w:hAnsi="Arial"/>
          <w:sz w:val="16"/>
          <w:szCs w:val="16"/>
          <w:color w:val="auto"/>
        </w:rPr>
        <w:t>The MDCC has sole authority to retain a compensation consultant to assist the MDCC in the</w:t>
      </w:r>
      <w:r>
        <w:rPr>
          <w:rFonts w:ascii="Arial" w:cs="Arial" w:eastAsia="Arial" w:hAnsi="Arial"/>
          <w:sz w:val="16"/>
          <w:szCs w:val="16"/>
          <w:b w:val="1"/>
          <w:bCs w:val="1"/>
          <w:color w:val="auto"/>
        </w:rPr>
        <w:t xml:space="preserve"> </w:t>
      </w:r>
      <w:r>
        <w:rPr>
          <w:rFonts w:ascii="Arial" w:cs="Arial" w:eastAsia="Arial" w:hAnsi="Arial"/>
          <w:sz w:val="16"/>
          <w:szCs w:val="16"/>
          <w:color w:val="auto"/>
        </w:rPr>
        <w:t>evaluation of CEO, officer, and other senior executive compensation, but only after considering all factors relevant to the consultant’s independence from management. In addition, the MDCC is directly responsible for approving the consultant’s compensation, evaluating its performance, and terminating its engagement. Under the MDCC’s established policy, its consultant cannot provide any other services to Honeywell without the MDCC’s approval, as delegated to the MDCC Chair. The MDCC regularly reviews the services provided by its outside consultants and performs an annual assessment of the independence of its compensation consultant to determine whether the compensation consultant is independent.</w:t>
      </w:r>
    </w:p>
    <w:p>
      <w:pPr>
        <w:spacing w:after="0" w:line="82"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Pay Governance served as the MDCC's independent compensation consultant during 2025. The MDCC conducted a specific review of its relationship with Pay Governance in 2025 and determined that Pay Governance is independent in providing Honeywell with executive compensation consulting and limited other employee benchmarking services and that Pay Governance's work for the MDCC did not raise any conflicts of interest, consistent with SEC rules and Nasdaq listing standards.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In making this determination, the MDCC reviewed information provided by Pay Governance on the following factors:</w:t>
      </w:r>
    </w:p>
    <w:p>
      <w:pPr>
        <w:spacing w:after="0" w:line="127" w:lineRule="exact"/>
        <w:rPr>
          <w:sz w:val="20"/>
          <w:szCs w:val="20"/>
          <w:color w:val="auto"/>
        </w:rPr>
      </w:pPr>
    </w:p>
    <w:p>
      <w:pPr>
        <w:ind w:left="200" w:hanging="192"/>
        <w:spacing w:after="0"/>
        <w:tabs>
          <w:tab w:leader="none" w:pos="200" w:val="left"/>
        </w:tabs>
        <w:numPr>
          <w:ilvl w:val="0"/>
          <w:numId w:val="111"/>
        </w:numPr>
        <w:rPr>
          <w:rFonts w:ascii="Arial" w:cs="Arial" w:eastAsia="Arial" w:hAnsi="Arial"/>
          <w:sz w:val="16"/>
          <w:szCs w:val="16"/>
          <w:b w:val="1"/>
          <w:bCs w:val="1"/>
          <w:color w:val="D7282F"/>
        </w:rPr>
      </w:pPr>
      <w:r>
        <w:rPr>
          <w:rFonts w:ascii="Arial" w:cs="Arial" w:eastAsia="Arial" w:hAnsi="Arial"/>
          <w:sz w:val="16"/>
          <w:szCs w:val="16"/>
          <w:color w:val="auto"/>
        </w:rPr>
        <w:t>Any other services provided to Honeywell by Pay Governance.</w:t>
      </w:r>
    </w:p>
    <w:p>
      <w:pPr>
        <w:spacing w:after="0" w:line="72" w:lineRule="exact"/>
        <w:rPr>
          <w:rFonts w:ascii="Arial" w:cs="Arial" w:eastAsia="Arial" w:hAnsi="Arial"/>
          <w:sz w:val="16"/>
          <w:szCs w:val="16"/>
          <w:b w:val="1"/>
          <w:bCs w:val="1"/>
          <w:color w:val="D7282F"/>
        </w:rPr>
      </w:pPr>
    </w:p>
    <w:p>
      <w:pPr>
        <w:ind w:left="200" w:hanging="192"/>
        <w:spacing w:after="0"/>
        <w:tabs>
          <w:tab w:leader="none" w:pos="200" w:val="left"/>
        </w:tabs>
        <w:numPr>
          <w:ilvl w:val="0"/>
          <w:numId w:val="111"/>
        </w:numPr>
        <w:rPr>
          <w:rFonts w:ascii="Arial" w:cs="Arial" w:eastAsia="Arial" w:hAnsi="Arial"/>
          <w:sz w:val="16"/>
          <w:szCs w:val="16"/>
          <w:b w:val="1"/>
          <w:bCs w:val="1"/>
          <w:color w:val="D7282F"/>
        </w:rPr>
      </w:pPr>
      <w:r>
        <w:rPr>
          <w:rFonts w:ascii="Arial" w:cs="Arial" w:eastAsia="Arial" w:hAnsi="Arial"/>
          <w:sz w:val="16"/>
          <w:szCs w:val="16"/>
          <w:color w:val="auto"/>
        </w:rPr>
        <w:t>Fees received by Pay Governance from Honeywell as a percentage of Pay Governance's total revenue.</w:t>
      </w:r>
    </w:p>
    <w:p>
      <w:pPr>
        <w:spacing w:after="0" w:line="86" w:lineRule="exact"/>
        <w:rPr>
          <w:rFonts w:ascii="Arial" w:cs="Arial" w:eastAsia="Arial" w:hAnsi="Arial"/>
          <w:sz w:val="16"/>
          <w:szCs w:val="16"/>
          <w:b w:val="1"/>
          <w:bCs w:val="1"/>
          <w:color w:val="D7282F"/>
        </w:rPr>
      </w:pPr>
    </w:p>
    <w:p>
      <w:pPr>
        <w:ind w:left="200" w:hanging="192"/>
        <w:spacing w:after="0"/>
        <w:tabs>
          <w:tab w:leader="none" w:pos="200" w:val="left"/>
        </w:tabs>
        <w:numPr>
          <w:ilvl w:val="0"/>
          <w:numId w:val="111"/>
        </w:numPr>
        <w:rPr>
          <w:rFonts w:ascii="Arial" w:cs="Arial" w:eastAsia="Arial" w:hAnsi="Arial"/>
          <w:sz w:val="16"/>
          <w:szCs w:val="16"/>
          <w:b w:val="1"/>
          <w:bCs w:val="1"/>
          <w:color w:val="D7282F"/>
        </w:rPr>
      </w:pPr>
      <w:r>
        <w:rPr>
          <w:rFonts w:ascii="Arial" w:cs="Arial" w:eastAsia="Arial" w:hAnsi="Arial"/>
          <w:sz w:val="16"/>
          <w:szCs w:val="16"/>
          <w:color w:val="auto"/>
        </w:rPr>
        <w:t>Policies and procedures maintained by Pay Governance to prevent a conflict of interest.</w:t>
      </w:r>
    </w:p>
    <w:p>
      <w:pPr>
        <w:spacing w:after="0" w:line="86" w:lineRule="exact"/>
        <w:rPr>
          <w:rFonts w:ascii="Arial" w:cs="Arial" w:eastAsia="Arial" w:hAnsi="Arial"/>
          <w:sz w:val="16"/>
          <w:szCs w:val="16"/>
          <w:b w:val="1"/>
          <w:bCs w:val="1"/>
          <w:color w:val="D7282F"/>
        </w:rPr>
      </w:pPr>
    </w:p>
    <w:p>
      <w:pPr>
        <w:ind w:left="200" w:right="620" w:hanging="192"/>
        <w:spacing w:after="0" w:line="286" w:lineRule="auto"/>
        <w:tabs>
          <w:tab w:leader="none" w:pos="197" w:val="left"/>
        </w:tabs>
        <w:numPr>
          <w:ilvl w:val="0"/>
          <w:numId w:val="111"/>
        </w:numPr>
        <w:rPr>
          <w:rFonts w:ascii="Arial" w:cs="Arial" w:eastAsia="Arial" w:hAnsi="Arial"/>
          <w:sz w:val="16"/>
          <w:szCs w:val="16"/>
          <w:b w:val="1"/>
          <w:bCs w:val="1"/>
          <w:color w:val="D7282F"/>
        </w:rPr>
      </w:pPr>
      <w:r>
        <w:rPr>
          <w:rFonts w:ascii="Arial" w:cs="Arial" w:eastAsia="Arial" w:hAnsi="Arial"/>
          <w:sz w:val="16"/>
          <w:szCs w:val="16"/>
          <w:color w:val="auto"/>
        </w:rPr>
        <w:t>Any business or personal relationship between the individual Pay Governance consultants assigned to the Honeywell relationship and any MDCC member.</w:t>
      </w:r>
    </w:p>
    <w:p>
      <w:pPr>
        <w:spacing w:after="0" w:line="20" w:lineRule="exact"/>
        <w:rPr>
          <w:rFonts w:ascii="Arial" w:cs="Arial" w:eastAsia="Arial" w:hAnsi="Arial"/>
          <w:sz w:val="16"/>
          <w:szCs w:val="16"/>
          <w:b w:val="1"/>
          <w:bCs w:val="1"/>
          <w:color w:val="D7282F"/>
        </w:rPr>
      </w:pPr>
    </w:p>
    <w:p>
      <w:pPr>
        <w:ind w:left="200" w:right="280" w:hanging="192"/>
        <w:spacing w:after="0" w:line="286" w:lineRule="auto"/>
        <w:tabs>
          <w:tab w:leader="none" w:pos="197" w:val="left"/>
        </w:tabs>
        <w:numPr>
          <w:ilvl w:val="0"/>
          <w:numId w:val="111"/>
        </w:numPr>
        <w:rPr>
          <w:rFonts w:ascii="Arial" w:cs="Arial" w:eastAsia="Arial" w:hAnsi="Arial"/>
          <w:sz w:val="16"/>
          <w:szCs w:val="16"/>
          <w:b w:val="1"/>
          <w:bCs w:val="1"/>
          <w:color w:val="D7282F"/>
        </w:rPr>
      </w:pPr>
      <w:r>
        <w:rPr>
          <w:rFonts w:ascii="Arial" w:cs="Arial" w:eastAsia="Arial" w:hAnsi="Arial"/>
          <w:sz w:val="16"/>
          <w:szCs w:val="16"/>
          <w:color w:val="auto"/>
        </w:rPr>
        <w:t>Any business or personal relationship between the individual Pay Governance consultants assigned to the Honeywell relationship, or Pay Governance itself, and Honeywell’s executive officers.</w:t>
      </w:r>
    </w:p>
    <w:p>
      <w:pPr>
        <w:spacing w:after="0" w:line="20" w:lineRule="exact"/>
        <w:rPr>
          <w:rFonts w:ascii="Arial" w:cs="Arial" w:eastAsia="Arial" w:hAnsi="Arial"/>
          <w:sz w:val="16"/>
          <w:szCs w:val="16"/>
          <w:b w:val="1"/>
          <w:bCs w:val="1"/>
          <w:color w:val="D7282F"/>
        </w:rPr>
      </w:pPr>
    </w:p>
    <w:p>
      <w:pPr>
        <w:ind w:left="200" w:hanging="192"/>
        <w:spacing w:after="0"/>
        <w:tabs>
          <w:tab w:leader="none" w:pos="200" w:val="left"/>
        </w:tabs>
        <w:numPr>
          <w:ilvl w:val="0"/>
          <w:numId w:val="111"/>
        </w:numPr>
        <w:rPr>
          <w:rFonts w:ascii="Arial" w:cs="Arial" w:eastAsia="Arial" w:hAnsi="Arial"/>
          <w:sz w:val="16"/>
          <w:szCs w:val="16"/>
          <w:b w:val="1"/>
          <w:bCs w:val="1"/>
          <w:color w:val="D7282F"/>
        </w:rPr>
      </w:pPr>
      <w:r>
        <w:rPr>
          <w:rFonts w:ascii="Arial" w:cs="Arial" w:eastAsia="Arial" w:hAnsi="Arial"/>
          <w:sz w:val="16"/>
          <w:szCs w:val="16"/>
          <w:color w:val="auto"/>
        </w:rPr>
        <w:t>Any Honeywell stock owned by Pay Governance or the individual Pay Governance consultants assigned to the Honeywell relationship.</w:t>
      </w:r>
    </w:p>
    <w:p>
      <w:pPr>
        <w:spacing w:after="0" w:line="127" w:lineRule="exact"/>
        <w:rPr>
          <w:sz w:val="20"/>
          <w:szCs w:val="20"/>
          <w:color w:val="auto"/>
        </w:rPr>
      </w:pPr>
    </w:p>
    <w:p>
      <w:pPr>
        <w:jc w:val="both"/>
        <w:ind w:right="180"/>
        <w:spacing w:after="0" w:line="266" w:lineRule="auto"/>
        <w:rPr>
          <w:sz w:val="20"/>
          <w:szCs w:val="20"/>
          <w:color w:val="auto"/>
        </w:rPr>
      </w:pPr>
      <w:r>
        <w:rPr>
          <w:rFonts w:ascii="Arial" w:cs="Arial" w:eastAsia="Arial" w:hAnsi="Arial"/>
          <w:sz w:val="16"/>
          <w:szCs w:val="16"/>
          <w:color w:val="auto"/>
        </w:rPr>
        <w:t>The MDCC noted that Pay Governance did not provide any services to the Company or its management other than service to the MDCC and limited other compensation benchmarking services. Unless approved by the MDCC Chair, Pay Governance does not provide, directly or indirectly through affiliates, any non-executive compensation services, including, but not limited to, pension consulting or human resources outsourcing.</w:t>
      </w:r>
    </w:p>
    <w:p>
      <w:pPr>
        <w:spacing w:after="0" w:line="77"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auto"/>
        </w:rPr>
        <w:t>Pay Governance compiled information and provided advice regarding the components and mix (short-term/long-term; fixed/variable; cash/equity) of the executive compensation programs of Honeywell and its Compensation Peer Group (see page 60 of this Proxy Statement for further detail regarding the Compensation Peer Group) and analyzed the relative performance of Honeywell and the Compensation Peer Group with respect to stock performance and the financial metrics generally used in the programs. Pay Governance also provided the MDCC with information regarding emerging trends and best practices in executive compensation. In addition to information compiled by Pay Governance, the MDCC also reviews general survey data compiled and published by third parties. Neither the MDCC nor Honeywell has any input into the scope of, or the companies included in, these third-party surveys. Pay Governance reported to the MDCC Chair, had direct access to MDCC members, attended MDCC meetings either in person, virtually, or by telephone, and met with the MDCC in executive session without management present.</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2026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41</w:t>
            </w:r>
          </w:p>
        </w:tc>
      </w:tr>
      <w:tr>
        <w:trPr>
          <w:trHeight w:val="373"/>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6" w:name="page47"/>
    <w:bookmarkEnd w:id="46"/>
    <w:p>
      <w:pPr>
        <w:spacing w:after="0"/>
        <w:rPr>
          <w:sz w:val="20"/>
          <w:szCs w:val="20"/>
          <w:color w:val="auto"/>
        </w:rPr>
      </w:pPr>
      <w:r>
        <w:rPr>
          <w:rFonts w:ascii="Arial" w:cs="Arial" w:eastAsia="Arial" w:hAnsi="Arial"/>
          <w:sz w:val="13"/>
          <w:szCs w:val="13"/>
          <w:b w:val="1"/>
          <w:bCs w:val="1"/>
          <w:color w:val="6D6E71"/>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BOARD’S ROLE IN RISK OVERSIGHT</w:t>
      </w:r>
    </w:p>
    <w:p>
      <w:pPr>
        <w:spacing w:after="0" w:line="114" w:lineRule="exact"/>
        <w:rPr>
          <w:sz w:val="20"/>
          <w:szCs w:val="20"/>
          <w:color w:val="auto"/>
        </w:rPr>
      </w:pPr>
    </w:p>
    <w:p>
      <w:pPr>
        <w:ind w:right="280"/>
        <w:spacing w:after="0" w:line="257" w:lineRule="auto"/>
        <w:rPr>
          <w:sz w:val="20"/>
          <w:szCs w:val="20"/>
          <w:color w:val="auto"/>
        </w:rPr>
      </w:pPr>
      <w:r>
        <w:rPr>
          <w:rFonts w:ascii="Arial" w:cs="Arial" w:eastAsia="Arial" w:hAnsi="Arial"/>
          <w:sz w:val="16"/>
          <w:szCs w:val="16"/>
          <w:color w:val="auto"/>
        </w:rPr>
        <w:t>While senior management has primary responsibility for managing risk, the Board has responsibility for risk oversight with specific risk areas delegated to relevant Board committees who report on their deliberations to the Board. The specific risk areas of focus for the Board and each of its committees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71120</wp:posOffset>
            </wp:positionV>
            <wp:extent cx="5726430" cy="155130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5726430" cy="1551305"/>
                    </a:xfrm>
                    <a:prstGeom prst="rect">
                      <a:avLst/>
                    </a:prstGeom>
                    <a:noFill/>
                  </pic:spPr>
                </pic:pic>
              </a:graphicData>
            </a:graphic>
          </wp:anchor>
        </w:drawing>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D7282F"/>
        </w:rPr>
        <w:t>FULL BOARD</w:t>
      </w:r>
    </w:p>
    <w:p>
      <w:pPr>
        <w:spacing w:after="0" w:line="50" w:lineRule="exact"/>
        <w:rPr>
          <w:sz w:val="20"/>
          <w:szCs w:val="20"/>
          <w:color w:val="auto"/>
        </w:rPr>
      </w:pPr>
    </w:p>
    <w:p>
      <w:pPr>
        <w:ind w:left="1480" w:right="1480" w:hanging="197"/>
        <w:spacing w:after="0" w:line="262" w:lineRule="auto"/>
        <w:tabs>
          <w:tab w:leader="none" w:pos="1471" w:val="left"/>
        </w:tabs>
        <w:numPr>
          <w:ilvl w:val="0"/>
          <w:numId w:val="112"/>
        </w:numPr>
        <w:rPr>
          <w:rFonts w:ascii="Arial" w:cs="Arial" w:eastAsia="Arial" w:hAnsi="Arial"/>
          <w:sz w:val="14"/>
          <w:szCs w:val="14"/>
          <w:b w:val="1"/>
          <w:bCs w:val="1"/>
          <w:color w:val="D7282F"/>
        </w:rPr>
      </w:pPr>
      <w:r>
        <w:rPr>
          <w:rFonts w:ascii="Arial" w:cs="Arial" w:eastAsia="Arial" w:hAnsi="Arial"/>
          <w:sz w:val="14"/>
          <w:szCs w:val="14"/>
          <w:color w:val="auto"/>
        </w:rPr>
        <w:t>Oversee the Company’s risk governance framework, including an enterprise-wide culture that supports appropriate risk awareness and the identification, escalation, and appropriate management of risk.</w:t>
      </w:r>
    </w:p>
    <w:p>
      <w:pPr>
        <w:ind w:left="1460" w:hanging="177"/>
        <w:spacing w:after="0"/>
        <w:tabs>
          <w:tab w:leader="none" w:pos="1460" w:val="left"/>
        </w:tabs>
        <w:numPr>
          <w:ilvl w:val="0"/>
          <w:numId w:val="112"/>
        </w:numPr>
        <w:rPr>
          <w:rFonts w:ascii="Arial" w:cs="Arial" w:eastAsia="Arial" w:hAnsi="Arial"/>
          <w:sz w:val="14"/>
          <w:szCs w:val="14"/>
          <w:b w:val="1"/>
          <w:bCs w:val="1"/>
          <w:color w:val="D7282F"/>
        </w:rPr>
      </w:pPr>
      <w:r>
        <w:rPr>
          <w:rFonts w:ascii="Arial" w:cs="Arial" w:eastAsia="Arial" w:hAnsi="Arial"/>
          <w:sz w:val="14"/>
          <w:szCs w:val="14"/>
          <w:color w:val="auto"/>
        </w:rPr>
        <w:t>Integrity, ethics, and compliance with the Company's Code of Business Conduct.</w:t>
      </w:r>
    </w:p>
    <w:p>
      <w:pPr>
        <w:spacing w:after="0" w:line="40" w:lineRule="exact"/>
        <w:rPr>
          <w:rFonts w:ascii="Arial" w:cs="Arial" w:eastAsia="Arial" w:hAnsi="Arial"/>
          <w:sz w:val="14"/>
          <w:szCs w:val="14"/>
          <w:b w:val="1"/>
          <w:bCs w:val="1"/>
          <w:color w:val="D7282F"/>
        </w:rPr>
      </w:pPr>
    </w:p>
    <w:p>
      <w:pPr>
        <w:ind w:left="1480" w:right="1520" w:hanging="197"/>
        <w:spacing w:after="0" w:line="271" w:lineRule="auto"/>
        <w:tabs>
          <w:tab w:leader="none" w:pos="1471" w:val="left"/>
        </w:tabs>
        <w:numPr>
          <w:ilvl w:val="0"/>
          <w:numId w:val="112"/>
        </w:numPr>
        <w:rPr>
          <w:rFonts w:ascii="Arial" w:cs="Arial" w:eastAsia="Arial" w:hAnsi="Arial"/>
          <w:sz w:val="14"/>
          <w:szCs w:val="14"/>
          <w:color w:val="D7282F"/>
        </w:rPr>
      </w:pPr>
      <w:r>
        <w:rPr>
          <w:rFonts w:ascii="Arial" w:cs="Arial" w:eastAsia="Arial" w:hAnsi="Arial"/>
          <w:sz w:val="14"/>
          <w:szCs w:val="14"/>
          <w:color w:val="auto"/>
        </w:rPr>
        <w:t>General strategic and commercial risks, such as new product launch, capital spend, raw material price increases, foreign currency fluctuation, diminished customer demand, market and competitive dynamics, technology obsolescence, reductions to government spending and temporary government shutdowns, geopolitical dynamics, slowdown in economic growth, supply chain disruption, changes in tariff policies and inflation.</w:t>
      </w:r>
    </w:p>
    <w:p>
      <w:pPr>
        <w:spacing w:after="0" w:line="1" w:lineRule="exact"/>
        <w:rPr>
          <w:rFonts w:ascii="Arial" w:cs="Arial" w:eastAsia="Arial" w:hAnsi="Arial"/>
          <w:sz w:val="14"/>
          <w:szCs w:val="14"/>
          <w:color w:val="D7282F"/>
        </w:rPr>
      </w:pPr>
    </w:p>
    <w:p>
      <w:pPr>
        <w:ind w:left="1460" w:hanging="177"/>
        <w:spacing w:after="0"/>
        <w:tabs>
          <w:tab w:leader="none" w:pos="1460" w:val="left"/>
        </w:tabs>
        <w:numPr>
          <w:ilvl w:val="0"/>
          <w:numId w:val="112"/>
        </w:numPr>
        <w:rPr>
          <w:rFonts w:ascii="Arial" w:cs="Arial" w:eastAsia="Arial" w:hAnsi="Arial"/>
          <w:sz w:val="14"/>
          <w:szCs w:val="14"/>
          <w:color w:val="D7282F"/>
        </w:rPr>
      </w:pPr>
      <w:r>
        <w:rPr>
          <w:rFonts w:ascii="Arial" w:cs="Arial" w:eastAsia="Arial" w:hAnsi="Arial"/>
          <w:sz w:val="14"/>
          <w:szCs w:val="14"/>
          <w:color w:val="auto"/>
        </w:rPr>
        <w:t>Disruption, including supply chain disruption, disruptive technologies, emerging competition, and changing business models.</w:t>
      </w:r>
    </w:p>
    <w:p>
      <w:pPr>
        <w:spacing w:after="0" w:line="55" w:lineRule="exact"/>
        <w:rPr>
          <w:rFonts w:ascii="Arial" w:cs="Arial" w:eastAsia="Arial" w:hAnsi="Arial"/>
          <w:sz w:val="14"/>
          <w:szCs w:val="14"/>
          <w:color w:val="D7282F"/>
        </w:rPr>
      </w:pPr>
    </w:p>
    <w:p>
      <w:pPr>
        <w:ind w:left="1460" w:hanging="177"/>
        <w:spacing w:after="0"/>
        <w:tabs>
          <w:tab w:leader="none" w:pos="1460" w:val="left"/>
        </w:tabs>
        <w:numPr>
          <w:ilvl w:val="0"/>
          <w:numId w:val="112"/>
        </w:numPr>
        <w:rPr>
          <w:rFonts w:ascii="Arial" w:cs="Arial" w:eastAsia="Arial" w:hAnsi="Arial"/>
          <w:sz w:val="14"/>
          <w:szCs w:val="14"/>
          <w:color w:val="D7282F"/>
        </w:rPr>
      </w:pPr>
      <w:r>
        <w:rPr>
          <w:rFonts w:ascii="Arial" w:cs="Arial" w:eastAsia="Arial" w:hAnsi="Arial"/>
          <w:sz w:val="14"/>
          <w:szCs w:val="14"/>
          <w:color w:val="auto"/>
        </w:rPr>
        <w:t>Ongoing portfolio transformation and M&amp;A transactions, including strategic fit, execution, separation, and integration.</w:t>
      </w:r>
    </w:p>
    <w:p>
      <w:pPr>
        <w:spacing w:after="0" w:line="29" w:lineRule="exact"/>
        <w:rPr>
          <w:rFonts w:ascii="Arial" w:cs="Arial" w:eastAsia="Arial" w:hAnsi="Arial"/>
          <w:sz w:val="14"/>
          <w:szCs w:val="14"/>
          <w:color w:val="D7282F"/>
        </w:rPr>
      </w:pPr>
    </w:p>
    <w:p>
      <w:pPr>
        <w:ind w:left="1460" w:hanging="177"/>
        <w:spacing w:after="0"/>
        <w:tabs>
          <w:tab w:leader="none" w:pos="1460" w:val="left"/>
        </w:tabs>
        <w:numPr>
          <w:ilvl w:val="0"/>
          <w:numId w:val="112"/>
        </w:numPr>
        <w:rPr>
          <w:rFonts w:ascii="Arial" w:cs="Arial" w:eastAsia="Arial" w:hAnsi="Arial"/>
          <w:sz w:val="14"/>
          <w:szCs w:val="14"/>
          <w:b w:val="1"/>
          <w:bCs w:val="1"/>
          <w:color w:val="D7282F"/>
        </w:rPr>
      </w:pPr>
      <w:r>
        <w:rPr>
          <w:rFonts w:ascii="Arial" w:cs="Arial" w:eastAsia="Arial" w:hAnsi="Arial"/>
          <w:sz w:val="14"/>
          <w:szCs w:val="14"/>
          <w:color w:val="auto"/>
        </w:rPr>
        <w:t>Legal risks, such as those arising from litigation, regulatory, environmental, and intellectual property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254635</wp:posOffset>
            </wp:positionV>
            <wp:extent cx="5700395" cy="230568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5700395" cy="2305685"/>
                    </a:xfrm>
                    <a:prstGeom prst="rect">
                      <a:avLst/>
                    </a:prstGeom>
                    <a:noFill/>
                  </pic:spPr>
                </pic:pic>
              </a:graphicData>
            </a:graphic>
          </wp:anchor>
        </w:drawing>
      </w:r>
    </w:p>
    <w:p>
      <w:pPr>
        <w:sectPr>
          <w:pgSz w:w="11900" w:h="16838" w:orient="portrait"/>
          <w:cols w:equalWidth="0" w:num="1">
            <w:col w:w="11240"/>
          </w:cols>
          <w:pgMar w:left="320" w:top="230" w:right="339" w:bottom="1122" w:gutter="0" w:footer="0" w:header="0"/>
        </w:sectPr>
      </w:pPr>
    </w:p>
    <w:p>
      <w:pPr>
        <w:spacing w:after="0" w:line="200" w:lineRule="exact"/>
        <w:rPr>
          <w:sz w:val="20"/>
          <w:szCs w:val="20"/>
          <w:color w:val="auto"/>
        </w:rPr>
      </w:pPr>
    </w:p>
    <w:p>
      <w:pPr>
        <w:spacing w:after="0" w:line="308"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D7282F"/>
        </w:rPr>
        <w:t>AUDIT COMMITTEE</w:t>
      </w:r>
    </w:p>
    <w:p>
      <w:pPr>
        <w:spacing w:after="0" w:line="39" w:lineRule="exact"/>
        <w:rPr>
          <w:sz w:val="20"/>
          <w:szCs w:val="20"/>
          <w:color w:val="auto"/>
        </w:rPr>
      </w:pPr>
    </w:p>
    <w:p>
      <w:pPr>
        <w:ind w:left="1860" w:right="180" w:hanging="199"/>
        <w:spacing w:after="0" w:line="247" w:lineRule="auto"/>
        <w:tabs>
          <w:tab w:leader="none" w:pos="1851" w:val="left"/>
        </w:tabs>
        <w:numPr>
          <w:ilvl w:val="0"/>
          <w:numId w:val="113"/>
        </w:numPr>
        <w:rPr>
          <w:rFonts w:ascii="Arial" w:cs="Arial" w:eastAsia="Arial" w:hAnsi="Arial"/>
          <w:sz w:val="14"/>
          <w:szCs w:val="14"/>
          <w:b w:val="1"/>
          <w:bCs w:val="1"/>
          <w:color w:val="D7282F"/>
        </w:rPr>
      </w:pPr>
      <w:r>
        <w:rPr>
          <w:rFonts w:ascii="Arial" w:cs="Arial" w:eastAsia="Arial" w:hAnsi="Arial"/>
          <w:sz w:val="14"/>
          <w:szCs w:val="14"/>
          <w:color w:val="auto"/>
        </w:rPr>
        <w:t>Enterprise Risk Management (ERM) and Crisis Incident Management programs.</w:t>
      </w:r>
    </w:p>
    <w:p>
      <w:pPr>
        <w:spacing w:after="0" w:line="1" w:lineRule="exact"/>
        <w:rPr>
          <w:rFonts w:ascii="Arial" w:cs="Arial" w:eastAsia="Arial" w:hAnsi="Arial"/>
          <w:sz w:val="14"/>
          <w:szCs w:val="14"/>
          <w:b w:val="1"/>
          <w:bCs w:val="1"/>
          <w:color w:val="D7282F"/>
        </w:rPr>
      </w:pPr>
    </w:p>
    <w:p>
      <w:pPr>
        <w:ind w:left="1860" w:right="40" w:hanging="199"/>
        <w:spacing w:after="0" w:line="254" w:lineRule="auto"/>
        <w:tabs>
          <w:tab w:leader="none" w:pos="1851" w:val="left"/>
        </w:tabs>
        <w:numPr>
          <w:ilvl w:val="0"/>
          <w:numId w:val="113"/>
        </w:numPr>
        <w:rPr>
          <w:rFonts w:ascii="Arial" w:cs="Arial" w:eastAsia="Arial" w:hAnsi="Arial"/>
          <w:sz w:val="14"/>
          <w:szCs w:val="14"/>
          <w:b w:val="1"/>
          <w:bCs w:val="1"/>
          <w:color w:val="D7282F"/>
        </w:rPr>
      </w:pPr>
      <w:r>
        <w:rPr>
          <w:rFonts w:ascii="Arial" w:cs="Arial" w:eastAsia="Arial" w:hAnsi="Arial"/>
          <w:sz w:val="14"/>
          <w:szCs w:val="14"/>
          <w:color w:val="auto"/>
        </w:rPr>
        <w:t>Cybersecurity, including risks associated with the Company’s products and facilities.</w:t>
      </w:r>
    </w:p>
    <w:p>
      <w:pPr>
        <w:spacing w:after="0" w:line="1" w:lineRule="exact"/>
        <w:rPr>
          <w:rFonts w:ascii="Arial" w:cs="Arial" w:eastAsia="Arial" w:hAnsi="Arial"/>
          <w:sz w:val="14"/>
          <w:szCs w:val="14"/>
          <w:b w:val="1"/>
          <w:bCs w:val="1"/>
          <w:color w:val="D7282F"/>
        </w:rPr>
      </w:pPr>
    </w:p>
    <w:p>
      <w:pPr>
        <w:ind w:left="1860" w:hanging="199"/>
        <w:spacing w:after="0" w:line="261" w:lineRule="auto"/>
        <w:tabs>
          <w:tab w:leader="none" w:pos="1851" w:val="left"/>
        </w:tabs>
        <w:numPr>
          <w:ilvl w:val="0"/>
          <w:numId w:val="113"/>
        </w:numPr>
        <w:rPr>
          <w:rFonts w:ascii="Arial" w:cs="Arial" w:eastAsia="Arial" w:hAnsi="Arial"/>
          <w:sz w:val="14"/>
          <w:szCs w:val="14"/>
          <w:b w:val="1"/>
          <w:bCs w:val="1"/>
          <w:color w:val="D7282F"/>
        </w:rPr>
      </w:pPr>
      <w:r>
        <w:rPr>
          <w:rFonts w:ascii="Arial" w:cs="Arial" w:eastAsia="Arial" w:hAnsi="Arial"/>
          <w:sz w:val="14"/>
          <w:szCs w:val="14"/>
          <w:color w:val="auto"/>
        </w:rPr>
        <w:t>Data use and compliance (including under AI regulations).</w:t>
      </w:r>
    </w:p>
    <w:p>
      <w:pPr>
        <w:ind w:left="1860" w:right="420" w:hanging="199"/>
        <w:spacing w:after="0" w:line="261" w:lineRule="auto"/>
        <w:tabs>
          <w:tab w:leader="none" w:pos="1851" w:val="left"/>
        </w:tabs>
        <w:numPr>
          <w:ilvl w:val="0"/>
          <w:numId w:val="113"/>
        </w:numPr>
        <w:rPr>
          <w:rFonts w:ascii="Arial" w:cs="Arial" w:eastAsia="Arial" w:hAnsi="Arial"/>
          <w:sz w:val="14"/>
          <w:szCs w:val="14"/>
          <w:b w:val="1"/>
          <w:bCs w:val="1"/>
          <w:color w:val="D7282F"/>
        </w:rPr>
      </w:pPr>
      <w:r>
        <w:rPr>
          <w:rFonts w:ascii="Arial" w:cs="Arial" w:eastAsia="Arial" w:hAnsi="Arial"/>
          <w:sz w:val="14"/>
          <w:szCs w:val="14"/>
          <w:color w:val="auto"/>
        </w:rPr>
        <w:t>Accounting, controls, and financial disclosure.</w:t>
      </w:r>
    </w:p>
    <w:p>
      <w:pPr>
        <w:ind w:left="1840" w:hanging="179"/>
        <w:spacing w:after="0"/>
        <w:tabs>
          <w:tab w:leader="none" w:pos="1840" w:val="left"/>
        </w:tabs>
        <w:numPr>
          <w:ilvl w:val="0"/>
          <w:numId w:val="113"/>
        </w:numPr>
        <w:rPr>
          <w:rFonts w:ascii="Arial" w:cs="Arial" w:eastAsia="Arial" w:hAnsi="Arial"/>
          <w:sz w:val="14"/>
          <w:szCs w:val="14"/>
          <w:b w:val="1"/>
          <w:bCs w:val="1"/>
          <w:color w:val="D7282F"/>
        </w:rPr>
      </w:pPr>
      <w:r>
        <w:rPr>
          <w:rFonts w:ascii="Arial" w:cs="Arial" w:eastAsia="Arial" w:hAnsi="Arial"/>
          <w:sz w:val="14"/>
          <w:szCs w:val="14"/>
          <w:color w:val="auto"/>
        </w:rPr>
        <w:t>Tax and liquidity management.</w:t>
      </w:r>
    </w:p>
    <w:p>
      <w:pPr>
        <w:spacing w:after="0" w:line="40" w:lineRule="exact"/>
        <w:rPr>
          <w:rFonts w:ascii="Arial" w:cs="Arial" w:eastAsia="Arial" w:hAnsi="Arial"/>
          <w:sz w:val="14"/>
          <w:szCs w:val="14"/>
          <w:b w:val="1"/>
          <w:bCs w:val="1"/>
          <w:color w:val="D7282F"/>
        </w:rPr>
      </w:pPr>
    </w:p>
    <w:p>
      <w:pPr>
        <w:ind w:left="1860" w:right="720" w:hanging="199"/>
        <w:spacing w:after="0" w:line="261" w:lineRule="auto"/>
        <w:tabs>
          <w:tab w:leader="none" w:pos="1851" w:val="left"/>
        </w:tabs>
        <w:numPr>
          <w:ilvl w:val="0"/>
          <w:numId w:val="113"/>
        </w:numPr>
        <w:rPr>
          <w:rFonts w:ascii="Arial" w:cs="Arial" w:eastAsia="Arial" w:hAnsi="Arial"/>
          <w:sz w:val="14"/>
          <w:szCs w:val="14"/>
          <w:b w:val="1"/>
          <w:bCs w:val="1"/>
          <w:color w:val="D7282F"/>
        </w:rPr>
      </w:pPr>
      <w:r>
        <w:rPr>
          <w:rFonts w:ascii="Arial" w:cs="Arial" w:eastAsia="Arial" w:hAnsi="Arial"/>
          <w:sz w:val="14"/>
          <w:szCs w:val="14"/>
          <w:color w:val="auto"/>
        </w:rPr>
        <w:t>Product integrity and product security.</w:t>
      </w:r>
    </w:p>
    <w:p>
      <w:pPr>
        <w:ind w:left="1860" w:right="220" w:hanging="199"/>
        <w:spacing w:after="0" w:line="262" w:lineRule="auto"/>
        <w:tabs>
          <w:tab w:leader="none" w:pos="1851" w:val="left"/>
        </w:tabs>
        <w:numPr>
          <w:ilvl w:val="0"/>
          <w:numId w:val="113"/>
        </w:numPr>
        <w:rPr>
          <w:rFonts w:ascii="Arial" w:cs="Arial" w:eastAsia="Arial" w:hAnsi="Arial"/>
          <w:sz w:val="14"/>
          <w:szCs w:val="14"/>
          <w:b w:val="1"/>
          <w:bCs w:val="1"/>
          <w:color w:val="D7282F"/>
        </w:rPr>
      </w:pPr>
      <w:r>
        <w:rPr>
          <w:rFonts w:ascii="Arial" w:cs="Arial" w:eastAsia="Arial" w:hAnsi="Arial"/>
          <w:sz w:val="14"/>
          <w:szCs w:val="14"/>
          <w:color w:val="auto"/>
        </w:rPr>
        <w:t>Vendor risk, including supply chain disruption.</w:t>
      </w:r>
    </w:p>
    <w:p>
      <w:pPr>
        <w:ind w:left="1840" w:hanging="179"/>
        <w:spacing w:after="0"/>
        <w:tabs>
          <w:tab w:leader="none" w:pos="1840" w:val="left"/>
        </w:tabs>
        <w:numPr>
          <w:ilvl w:val="0"/>
          <w:numId w:val="113"/>
        </w:numPr>
        <w:rPr>
          <w:rFonts w:ascii="Arial" w:cs="Arial" w:eastAsia="Arial" w:hAnsi="Arial"/>
          <w:sz w:val="14"/>
          <w:szCs w:val="14"/>
          <w:b w:val="1"/>
          <w:bCs w:val="1"/>
          <w:color w:val="D7282F"/>
        </w:rPr>
      </w:pPr>
      <w:r>
        <w:rPr>
          <w:rFonts w:ascii="Arial" w:cs="Arial" w:eastAsia="Arial" w:hAnsi="Arial"/>
          <w:sz w:val="14"/>
          <w:szCs w:val="14"/>
          <w:color w:val="auto"/>
        </w:rPr>
        <w:t>Operational business continuity.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-1339850</wp:posOffset>
            </wp:positionV>
            <wp:extent cx="162560" cy="168021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62560" cy="168021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-1339850</wp:posOffset>
            </wp:positionV>
            <wp:extent cx="162560" cy="168021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62560" cy="16802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5" w:right="60"/>
        <w:spacing w:after="0" w:line="249" w:lineRule="auto"/>
        <w:rPr>
          <w:sz w:val="20"/>
          <w:szCs w:val="20"/>
          <w:color w:val="auto"/>
        </w:rPr>
      </w:pPr>
      <w:r>
        <w:rPr>
          <w:rFonts w:ascii="Arial" w:cs="Arial" w:eastAsia="Arial" w:hAnsi="Arial"/>
          <w:sz w:val="16"/>
          <w:szCs w:val="16"/>
          <w:b w:val="1"/>
          <w:bCs w:val="1"/>
          <w:color w:val="D7282F"/>
        </w:rPr>
        <w:t>CORPORATE GOVERNANCE AND RESPONSIBILITY COMMITTEE (CGRC)</w:t>
      </w:r>
    </w:p>
    <w:p>
      <w:pPr>
        <w:spacing w:after="0" w:line="1" w:lineRule="exact"/>
        <w:rPr>
          <w:sz w:val="20"/>
          <w:szCs w:val="20"/>
          <w:color w:val="auto"/>
        </w:rPr>
      </w:pPr>
    </w:p>
    <w:p>
      <w:pPr>
        <w:ind w:left="185" w:hanging="185"/>
        <w:spacing w:after="0"/>
        <w:tabs>
          <w:tab w:leader="none" w:pos="185" w:val="left"/>
        </w:tabs>
        <w:numPr>
          <w:ilvl w:val="0"/>
          <w:numId w:val="114"/>
        </w:numPr>
        <w:rPr>
          <w:rFonts w:ascii="Arial" w:cs="Arial" w:eastAsia="Arial" w:hAnsi="Arial"/>
          <w:sz w:val="14"/>
          <w:szCs w:val="14"/>
          <w:b w:val="1"/>
          <w:bCs w:val="1"/>
          <w:color w:val="D7282F"/>
        </w:rPr>
      </w:pPr>
      <w:r>
        <w:rPr>
          <w:rFonts w:ascii="Arial" w:cs="Arial" w:eastAsia="Arial" w:hAnsi="Arial"/>
          <w:sz w:val="14"/>
          <w:szCs w:val="14"/>
          <w:color w:val="auto"/>
        </w:rPr>
        <w:t>Political contributions/lobbying.</w:t>
      </w:r>
    </w:p>
    <w:p>
      <w:pPr>
        <w:spacing w:after="0" w:line="33" w:lineRule="exact"/>
        <w:rPr>
          <w:rFonts w:ascii="Arial" w:cs="Arial" w:eastAsia="Arial" w:hAnsi="Arial"/>
          <w:sz w:val="14"/>
          <w:szCs w:val="14"/>
          <w:b w:val="1"/>
          <w:bCs w:val="1"/>
          <w:color w:val="D7282F"/>
        </w:rPr>
      </w:pPr>
    </w:p>
    <w:p>
      <w:pPr>
        <w:ind w:left="185" w:hanging="185"/>
        <w:spacing w:after="0" w:line="246" w:lineRule="auto"/>
        <w:tabs>
          <w:tab w:leader="none" w:pos="176" w:val="left"/>
        </w:tabs>
        <w:numPr>
          <w:ilvl w:val="0"/>
          <w:numId w:val="114"/>
        </w:numPr>
        <w:rPr>
          <w:rFonts w:ascii="Arial" w:cs="Arial" w:eastAsia="Arial" w:hAnsi="Arial"/>
          <w:sz w:val="14"/>
          <w:szCs w:val="14"/>
          <w:b w:val="1"/>
          <w:bCs w:val="1"/>
          <w:color w:val="D7282F"/>
        </w:rPr>
      </w:pPr>
      <w:r>
        <w:rPr>
          <w:rFonts w:ascii="Arial" w:cs="Arial" w:eastAsia="Arial" w:hAnsi="Arial"/>
          <w:sz w:val="14"/>
          <w:szCs w:val="14"/>
          <w:color w:val="auto"/>
        </w:rPr>
        <w:t>Regulatory compliance, including data privacy, sanctions, export, and government contracts.</w:t>
      </w:r>
    </w:p>
    <w:p>
      <w:pPr>
        <w:spacing w:after="0" w:line="172" w:lineRule="exact"/>
        <w:rPr>
          <w:rFonts w:ascii="Arial" w:cs="Arial" w:eastAsia="Arial" w:hAnsi="Arial"/>
          <w:sz w:val="14"/>
          <w:szCs w:val="14"/>
          <w:b w:val="1"/>
          <w:bCs w:val="1"/>
          <w:color w:val="D7282F"/>
        </w:rPr>
      </w:pPr>
    </w:p>
    <w:p>
      <w:pPr>
        <w:ind w:left="185" w:right="540" w:hanging="185"/>
        <w:spacing w:after="0" w:line="262" w:lineRule="auto"/>
        <w:tabs>
          <w:tab w:leader="none" w:pos="176" w:val="left"/>
        </w:tabs>
        <w:numPr>
          <w:ilvl w:val="0"/>
          <w:numId w:val="114"/>
        </w:numPr>
        <w:rPr>
          <w:rFonts w:ascii="Arial" w:cs="Arial" w:eastAsia="Arial" w:hAnsi="Arial"/>
          <w:sz w:val="14"/>
          <w:szCs w:val="14"/>
          <w:b w:val="1"/>
          <w:bCs w:val="1"/>
          <w:color w:val="D7282F"/>
        </w:rPr>
      </w:pPr>
      <w:r>
        <w:rPr>
          <w:rFonts w:ascii="Arial" w:cs="Arial" w:eastAsia="Arial" w:hAnsi="Arial"/>
          <w:sz w:val="14"/>
          <w:szCs w:val="14"/>
          <w:color w:val="auto"/>
        </w:rPr>
        <w:t>Integrity and compliance programs and policies.</w:t>
      </w:r>
    </w:p>
    <w:p>
      <w:pPr>
        <w:ind w:left="185" w:right="260" w:hanging="185"/>
        <w:spacing w:after="0" w:line="252" w:lineRule="auto"/>
        <w:tabs>
          <w:tab w:leader="none" w:pos="176" w:val="left"/>
        </w:tabs>
        <w:numPr>
          <w:ilvl w:val="0"/>
          <w:numId w:val="114"/>
        </w:numPr>
        <w:rPr>
          <w:rFonts w:ascii="Arial" w:cs="Arial" w:eastAsia="Arial" w:hAnsi="Arial"/>
          <w:sz w:val="14"/>
          <w:szCs w:val="14"/>
          <w:b w:val="1"/>
          <w:bCs w:val="1"/>
          <w:color w:val="D7282F"/>
        </w:rPr>
      </w:pPr>
      <w:r>
        <w:rPr>
          <w:rFonts w:ascii="Arial" w:cs="Arial" w:eastAsia="Arial" w:hAnsi="Arial"/>
          <w:sz w:val="14"/>
          <w:szCs w:val="14"/>
          <w:color w:val="auto"/>
        </w:rPr>
        <w:t>Geopolitical risk, including political, economic or military conflicts, and tariffs.</w:t>
      </w:r>
    </w:p>
    <w:p>
      <w:pPr>
        <w:spacing w:after="0" w:line="18" w:lineRule="exact"/>
        <w:rPr>
          <w:rFonts w:ascii="Arial" w:cs="Arial" w:eastAsia="Arial" w:hAnsi="Arial"/>
          <w:sz w:val="14"/>
          <w:szCs w:val="14"/>
          <w:b w:val="1"/>
          <w:bCs w:val="1"/>
          <w:color w:val="D7282F"/>
        </w:rPr>
      </w:pPr>
    </w:p>
    <w:p>
      <w:pPr>
        <w:ind w:left="185" w:right="20" w:hanging="185"/>
        <w:spacing w:after="0" w:line="266" w:lineRule="auto"/>
        <w:tabs>
          <w:tab w:leader="none" w:pos="176" w:val="left"/>
        </w:tabs>
        <w:numPr>
          <w:ilvl w:val="0"/>
          <w:numId w:val="114"/>
        </w:numPr>
        <w:rPr>
          <w:rFonts w:ascii="Arial" w:cs="Arial" w:eastAsia="Arial" w:hAnsi="Arial"/>
          <w:sz w:val="14"/>
          <w:szCs w:val="14"/>
          <w:b w:val="1"/>
          <w:bCs w:val="1"/>
          <w:color w:val="D7282F"/>
        </w:rPr>
      </w:pPr>
      <w:r>
        <w:rPr>
          <w:rFonts w:ascii="Arial" w:cs="Arial" w:eastAsia="Arial" w:hAnsi="Arial"/>
          <w:sz w:val="14"/>
          <w:szCs w:val="14"/>
          <w:color w:val="auto"/>
        </w:rPr>
        <w:t>Corporate responsibility matters, including health, safety, environmental, climate, product stewardship, environmental justice, responsible AI governance, and sustainability.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D7282F"/>
        </w:rPr>
        <w:t>MANAGEMENT</w:t>
      </w:r>
    </w:p>
    <w:p>
      <w:pPr>
        <w:spacing w:after="0"/>
        <w:rPr>
          <w:sz w:val="20"/>
          <w:szCs w:val="20"/>
          <w:color w:val="auto"/>
        </w:rPr>
      </w:pPr>
      <w:r>
        <w:rPr>
          <w:rFonts w:ascii="Arial" w:cs="Arial" w:eastAsia="Arial" w:hAnsi="Arial"/>
          <w:sz w:val="16"/>
          <w:szCs w:val="16"/>
          <w:b w:val="1"/>
          <w:bCs w:val="1"/>
          <w:color w:val="D7282F"/>
        </w:rPr>
        <w:t>DEVELOPMENT AND</w:t>
      </w:r>
    </w:p>
    <w:p>
      <w:pPr>
        <w:spacing w:after="0" w:line="228" w:lineRule="auto"/>
        <w:rPr>
          <w:sz w:val="20"/>
          <w:szCs w:val="20"/>
          <w:color w:val="auto"/>
        </w:rPr>
      </w:pPr>
      <w:r>
        <w:rPr>
          <w:rFonts w:ascii="Arial" w:cs="Arial" w:eastAsia="Arial" w:hAnsi="Arial"/>
          <w:sz w:val="16"/>
          <w:szCs w:val="16"/>
          <w:b w:val="1"/>
          <w:bCs w:val="1"/>
          <w:color w:val="D7282F"/>
        </w:rPr>
        <w:t>COMPENSATION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D7282F"/>
        </w:rPr>
        <w:t>COMMITTEE (MDCC)</w:t>
      </w:r>
    </w:p>
    <w:p>
      <w:pPr>
        <w:spacing w:after="0" w:line="23" w:lineRule="exact"/>
        <w:rPr>
          <w:sz w:val="20"/>
          <w:szCs w:val="20"/>
          <w:color w:val="auto"/>
        </w:rPr>
      </w:pPr>
    </w:p>
    <w:p>
      <w:pPr>
        <w:ind w:left="180" w:hanging="177"/>
        <w:spacing w:after="0"/>
        <w:tabs>
          <w:tab w:leader="none" w:pos="180" w:val="left"/>
        </w:tabs>
        <w:numPr>
          <w:ilvl w:val="0"/>
          <w:numId w:val="115"/>
        </w:numPr>
        <w:rPr>
          <w:rFonts w:ascii="Arial" w:cs="Arial" w:eastAsia="Arial" w:hAnsi="Arial"/>
          <w:sz w:val="14"/>
          <w:szCs w:val="14"/>
          <w:b w:val="1"/>
          <w:bCs w:val="1"/>
          <w:color w:val="D7282F"/>
        </w:rPr>
      </w:pPr>
      <w:r>
        <w:rPr>
          <w:rFonts w:ascii="Arial" w:cs="Arial" w:eastAsia="Arial" w:hAnsi="Arial"/>
          <w:sz w:val="14"/>
          <w:szCs w:val="14"/>
          <w:color w:val="auto"/>
        </w:rPr>
        <w:t>Succession planning.</w:t>
      </w:r>
    </w:p>
    <w:p>
      <w:pPr>
        <w:spacing w:after="0" w:line="39" w:lineRule="exact"/>
        <w:rPr>
          <w:rFonts w:ascii="Arial" w:cs="Arial" w:eastAsia="Arial" w:hAnsi="Arial"/>
          <w:sz w:val="14"/>
          <w:szCs w:val="14"/>
          <w:b w:val="1"/>
          <w:bCs w:val="1"/>
          <w:color w:val="D7282F"/>
        </w:rPr>
      </w:pPr>
    </w:p>
    <w:p>
      <w:pPr>
        <w:ind w:left="200" w:right="1800" w:hanging="197"/>
        <w:spacing w:after="0" w:line="248" w:lineRule="auto"/>
        <w:tabs>
          <w:tab w:leader="none" w:pos="191" w:val="left"/>
        </w:tabs>
        <w:numPr>
          <w:ilvl w:val="0"/>
          <w:numId w:val="115"/>
        </w:numPr>
        <w:rPr>
          <w:rFonts w:ascii="Arial" w:cs="Arial" w:eastAsia="Arial" w:hAnsi="Arial"/>
          <w:sz w:val="14"/>
          <w:szCs w:val="14"/>
          <w:b w:val="1"/>
          <w:bCs w:val="1"/>
          <w:color w:val="D7282F"/>
        </w:rPr>
      </w:pPr>
      <w:r>
        <w:rPr>
          <w:rFonts w:ascii="Arial" w:cs="Arial" w:eastAsia="Arial" w:hAnsi="Arial"/>
          <w:sz w:val="14"/>
          <w:szCs w:val="14"/>
          <w:color w:val="auto"/>
        </w:rPr>
        <w:t>Compensation plans, programs, and arrangements and other employment practices.</w:t>
      </w:r>
    </w:p>
    <w:p>
      <w:pPr>
        <w:spacing w:after="0" w:line="1" w:lineRule="exact"/>
        <w:rPr>
          <w:rFonts w:ascii="Arial" w:cs="Arial" w:eastAsia="Arial" w:hAnsi="Arial"/>
          <w:sz w:val="14"/>
          <w:szCs w:val="14"/>
          <w:b w:val="1"/>
          <w:bCs w:val="1"/>
          <w:color w:val="D7282F"/>
        </w:rPr>
      </w:pPr>
    </w:p>
    <w:p>
      <w:pPr>
        <w:ind w:left="200" w:right="2020" w:hanging="197"/>
        <w:spacing w:after="0" w:line="261" w:lineRule="auto"/>
        <w:tabs>
          <w:tab w:leader="none" w:pos="191" w:val="left"/>
        </w:tabs>
        <w:numPr>
          <w:ilvl w:val="0"/>
          <w:numId w:val="115"/>
        </w:numPr>
        <w:rPr>
          <w:rFonts w:ascii="Arial" w:cs="Arial" w:eastAsia="Arial" w:hAnsi="Arial"/>
          <w:sz w:val="14"/>
          <w:szCs w:val="14"/>
          <w:b w:val="1"/>
          <w:bCs w:val="1"/>
          <w:color w:val="D7282F"/>
        </w:rPr>
      </w:pPr>
      <w:r>
        <w:rPr>
          <w:rFonts w:ascii="Arial" w:cs="Arial" w:eastAsia="Arial" w:hAnsi="Arial"/>
          <w:sz w:val="14"/>
          <w:szCs w:val="14"/>
          <w:color w:val="auto"/>
        </w:rPr>
        <w:t>Recruitment and retention of key talent.</w:t>
      </w:r>
    </w:p>
    <w:p>
      <w:pPr>
        <w:ind w:left="180" w:hanging="177"/>
        <w:spacing w:after="0"/>
        <w:tabs>
          <w:tab w:leader="none" w:pos="180" w:val="left"/>
        </w:tabs>
        <w:numPr>
          <w:ilvl w:val="0"/>
          <w:numId w:val="115"/>
        </w:numPr>
        <w:rPr>
          <w:rFonts w:ascii="Arial" w:cs="Arial" w:eastAsia="Arial" w:hAnsi="Arial"/>
          <w:sz w:val="14"/>
          <w:szCs w:val="14"/>
          <w:b w:val="1"/>
          <w:bCs w:val="1"/>
          <w:color w:val="D7282F"/>
        </w:rPr>
      </w:pPr>
      <w:r>
        <w:rPr>
          <w:rFonts w:ascii="Arial" w:cs="Arial" w:eastAsia="Arial" w:hAnsi="Arial"/>
          <w:sz w:val="14"/>
          <w:szCs w:val="14"/>
          <w:color w:val="auto"/>
        </w:rPr>
        <w:t>Labor compliance.</w:t>
      </w:r>
    </w:p>
    <w:p>
      <w:pPr>
        <w:spacing w:after="0" w:line="40" w:lineRule="exact"/>
        <w:rPr>
          <w:rFonts w:ascii="Arial" w:cs="Arial" w:eastAsia="Arial" w:hAnsi="Arial"/>
          <w:sz w:val="14"/>
          <w:szCs w:val="14"/>
          <w:b w:val="1"/>
          <w:bCs w:val="1"/>
          <w:color w:val="D7282F"/>
        </w:rPr>
      </w:pPr>
    </w:p>
    <w:p>
      <w:pPr>
        <w:ind w:left="180" w:hanging="177"/>
        <w:spacing w:after="0"/>
        <w:tabs>
          <w:tab w:leader="none" w:pos="180" w:val="left"/>
        </w:tabs>
        <w:numPr>
          <w:ilvl w:val="0"/>
          <w:numId w:val="115"/>
        </w:numPr>
        <w:rPr>
          <w:rFonts w:ascii="Arial" w:cs="Arial" w:eastAsia="Arial" w:hAnsi="Arial"/>
          <w:sz w:val="14"/>
          <w:szCs w:val="14"/>
          <w:b w:val="1"/>
          <w:bCs w:val="1"/>
          <w:color w:val="D7282F"/>
        </w:rPr>
      </w:pPr>
      <w:r>
        <w:rPr>
          <w:rFonts w:ascii="Arial" w:cs="Arial" w:eastAsia="Arial" w:hAnsi="Arial"/>
          <w:sz w:val="14"/>
          <w:szCs w:val="14"/>
          <w:color w:val="auto"/>
        </w:rPr>
        <w:t>Workplace respect and culture.</w:t>
      </w:r>
    </w:p>
    <w:p>
      <w:pPr>
        <w:spacing w:after="0" w:line="35" w:lineRule="exact"/>
        <w:rPr>
          <w:rFonts w:ascii="Arial" w:cs="Arial" w:eastAsia="Arial" w:hAnsi="Arial"/>
          <w:sz w:val="14"/>
          <w:szCs w:val="14"/>
          <w:b w:val="1"/>
          <w:bCs w:val="1"/>
          <w:color w:val="D7282F"/>
        </w:rPr>
      </w:pPr>
    </w:p>
    <w:p>
      <w:pPr>
        <w:ind w:left="180" w:hanging="177"/>
        <w:spacing w:after="0"/>
        <w:tabs>
          <w:tab w:leader="none" w:pos="180" w:val="left"/>
        </w:tabs>
        <w:numPr>
          <w:ilvl w:val="0"/>
          <w:numId w:val="115"/>
        </w:numPr>
        <w:rPr>
          <w:rFonts w:ascii="Arial" w:cs="Arial" w:eastAsia="Arial" w:hAnsi="Arial"/>
          <w:sz w:val="14"/>
          <w:szCs w:val="14"/>
          <w:b w:val="1"/>
          <w:bCs w:val="1"/>
          <w:color w:val="D7282F"/>
        </w:rPr>
      </w:pPr>
      <w:r>
        <w:rPr>
          <w:rFonts w:ascii="Arial" w:cs="Arial" w:eastAsia="Arial" w:hAnsi="Arial"/>
          <w:sz w:val="14"/>
          <w:szCs w:val="14"/>
          <w:color w:val="auto"/>
        </w:rPr>
        <w:t>Workforce composition.</w:t>
      </w:r>
    </w:p>
    <w:p>
      <w:pPr>
        <w:spacing w:after="0" w:line="34" w:lineRule="exact"/>
        <w:rPr>
          <w:rFonts w:ascii="Arial" w:cs="Arial" w:eastAsia="Arial" w:hAnsi="Arial"/>
          <w:sz w:val="14"/>
          <w:szCs w:val="14"/>
          <w:b w:val="1"/>
          <w:bCs w:val="1"/>
          <w:color w:val="D7282F"/>
        </w:rPr>
      </w:pPr>
    </w:p>
    <w:p>
      <w:pPr>
        <w:ind w:left="180" w:hanging="177"/>
        <w:spacing w:after="0"/>
        <w:tabs>
          <w:tab w:leader="none" w:pos="180" w:val="left"/>
        </w:tabs>
        <w:numPr>
          <w:ilvl w:val="0"/>
          <w:numId w:val="115"/>
        </w:numPr>
        <w:rPr>
          <w:rFonts w:ascii="Arial" w:cs="Arial" w:eastAsia="Arial" w:hAnsi="Arial"/>
          <w:sz w:val="14"/>
          <w:szCs w:val="14"/>
          <w:b w:val="1"/>
          <w:bCs w:val="1"/>
          <w:color w:val="D7282F"/>
        </w:rPr>
      </w:pPr>
      <w:r>
        <w:rPr>
          <w:rFonts w:ascii="Arial" w:cs="Arial" w:eastAsia="Arial" w:hAnsi="Arial"/>
          <w:sz w:val="14"/>
          <w:szCs w:val="14"/>
          <w:color w:val="auto"/>
        </w:rPr>
        <w:t>Workplace violence.</w:t>
      </w:r>
    </w:p>
    <w:p>
      <w:pPr>
        <w:spacing w:after="0" w:line="35" w:lineRule="exact"/>
        <w:rPr>
          <w:rFonts w:ascii="Arial" w:cs="Arial" w:eastAsia="Arial" w:hAnsi="Arial"/>
          <w:sz w:val="14"/>
          <w:szCs w:val="14"/>
          <w:b w:val="1"/>
          <w:bCs w:val="1"/>
          <w:color w:val="D7282F"/>
        </w:rPr>
      </w:pPr>
    </w:p>
    <w:p>
      <w:pPr>
        <w:ind w:left="200" w:right="2360" w:hanging="197"/>
        <w:spacing w:after="0" w:line="274" w:lineRule="auto"/>
        <w:tabs>
          <w:tab w:leader="none" w:pos="191" w:val="left"/>
        </w:tabs>
        <w:numPr>
          <w:ilvl w:val="0"/>
          <w:numId w:val="115"/>
        </w:numPr>
        <w:rPr>
          <w:rFonts w:ascii="Arial" w:cs="Arial" w:eastAsia="Arial" w:hAnsi="Arial"/>
          <w:sz w:val="14"/>
          <w:szCs w:val="14"/>
          <w:b w:val="1"/>
          <w:bCs w:val="1"/>
          <w:color w:val="D7282F"/>
        </w:rPr>
      </w:pPr>
      <w:r>
        <w:rPr>
          <w:rFonts w:ascii="Arial" w:cs="Arial" w:eastAsia="Arial" w:hAnsi="Arial"/>
          <w:sz w:val="14"/>
          <w:szCs w:val="14"/>
          <w:color w:val="auto"/>
        </w:rPr>
        <w:t>Employee engagement and wellness.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1635125</wp:posOffset>
            </wp:positionH>
            <wp:positionV relativeFrom="paragraph">
              <wp:posOffset>-1311910</wp:posOffset>
            </wp:positionV>
            <wp:extent cx="205740" cy="168021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05740" cy="1680210"/>
                    </a:xfrm>
                    <a:prstGeom prst="rect">
                      <a:avLst/>
                    </a:prstGeom>
                    <a:noFill/>
                  </pic:spPr>
                </pic:pic>
              </a:graphicData>
            </a:graphic>
          </wp:anchor>
        </w:drawing>
        <w:drawing>
          <wp:anchor simplePos="0" relativeHeight="251657728" behindDoc="1" locked="0" layoutInCell="0" allowOverlap="1">
            <wp:simplePos x="0" y="0"/>
            <wp:positionH relativeFrom="column">
              <wp:posOffset>1635125</wp:posOffset>
            </wp:positionH>
            <wp:positionV relativeFrom="paragraph">
              <wp:posOffset>-1311910</wp:posOffset>
            </wp:positionV>
            <wp:extent cx="205740" cy="168021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205740" cy="1680210"/>
                    </a:xfrm>
                    <a:prstGeom prst="rect">
                      <a:avLst/>
                    </a:prstGeom>
                    <a:noFill/>
                  </pic:spPr>
                </pic:pic>
              </a:graphicData>
            </a:graphic>
          </wp:anchor>
        </w:drawing>
      </w:r>
    </w:p>
    <w:p>
      <w:pPr>
        <w:spacing w:after="0" w:line="625" w:lineRule="exact"/>
        <w:rPr>
          <w:sz w:val="20"/>
          <w:szCs w:val="20"/>
          <w:color w:val="auto"/>
        </w:rPr>
      </w:pPr>
    </w:p>
    <w:p>
      <w:pPr>
        <w:sectPr>
          <w:pgSz w:w="11900" w:h="16838" w:orient="portrait"/>
          <w:cols w:equalWidth="0" w:num="3">
            <w:col w:w="3880" w:space="535"/>
            <w:col w:w="2285" w:space="520"/>
            <w:col w:w="4020"/>
          </w:cols>
          <w:pgMar w:left="320" w:top="230" w:right="339" w:bottom="1122" w:gutter="0" w:footer="0" w:header="0"/>
          <w:type w:val="continuous"/>
        </w:sectPr>
      </w:pP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452"/>
        </w:trPr>
        <w:tc>
          <w:tcPr>
            <w:tcW w:w="1140" w:type="dxa"/>
            <w:vAlign w:val="bottom"/>
          </w:tcPr>
          <w:p>
            <w:pPr>
              <w:spacing w:after="0"/>
              <w:rPr>
                <w:sz w:val="24"/>
                <w:szCs w:val="24"/>
                <w:color w:val="auto"/>
              </w:rPr>
            </w:pPr>
          </w:p>
        </w:tc>
        <w:tc>
          <w:tcPr>
            <w:tcW w:w="980" w:type="dxa"/>
            <w:vAlign w:val="bottom"/>
            <w:tcBorders>
              <w:top w:val="single" w:sz="8" w:color="D7282F"/>
              <w:left w:val="single" w:sz="8" w:color="D7282F"/>
            </w:tcBorders>
          </w:tcPr>
          <w:p>
            <w:pPr>
              <w:spacing w:after="0"/>
              <w:rPr>
                <w:sz w:val="24"/>
                <w:szCs w:val="24"/>
                <w:color w:val="auto"/>
              </w:rPr>
            </w:pPr>
          </w:p>
        </w:tc>
        <w:tc>
          <w:tcPr>
            <w:tcW w:w="1920" w:type="dxa"/>
            <w:vAlign w:val="bottom"/>
            <w:tcBorders>
              <w:top w:val="single" w:sz="8" w:color="D7282F"/>
            </w:tcBorders>
          </w:tcPr>
          <w:p>
            <w:pPr>
              <w:spacing w:after="0"/>
              <w:rPr>
                <w:sz w:val="24"/>
                <w:szCs w:val="24"/>
                <w:color w:val="auto"/>
              </w:rPr>
            </w:pPr>
          </w:p>
        </w:tc>
        <w:tc>
          <w:tcPr>
            <w:tcW w:w="6100" w:type="dxa"/>
            <w:vAlign w:val="bottom"/>
            <w:tcBorders>
              <w:top w:val="single" w:sz="8" w:color="D7282F"/>
              <w:right w:val="single" w:sz="8" w:color="D7282F"/>
            </w:tcBorders>
            <w:gridSpan w:val="7"/>
          </w:tcPr>
          <w:p>
            <w:pPr>
              <w:spacing w:after="0"/>
              <w:rPr>
                <w:sz w:val="20"/>
                <w:szCs w:val="20"/>
                <w:color w:val="auto"/>
              </w:rPr>
            </w:pPr>
            <w:r>
              <w:rPr>
                <w:rFonts w:ascii="Arial" w:cs="Arial" w:eastAsia="Arial" w:hAnsi="Arial"/>
                <w:sz w:val="16"/>
                <w:szCs w:val="16"/>
                <w:b w:val="1"/>
                <w:bCs w:val="1"/>
                <w:color w:val="auto"/>
              </w:rPr>
              <w:t>ENTERPRISE RISK MANAGEMENT (ERM)</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140" w:type="dxa"/>
            <w:vAlign w:val="bottom"/>
          </w:tcPr>
          <w:p>
            <w:pPr>
              <w:spacing w:after="0"/>
              <w:rPr>
                <w:sz w:val="14"/>
                <w:szCs w:val="14"/>
                <w:color w:val="auto"/>
              </w:rPr>
            </w:pPr>
          </w:p>
        </w:tc>
        <w:tc>
          <w:tcPr>
            <w:tcW w:w="980" w:type="dxa"/>
            <w:vAlign w:val="bottom"/>
            <w:tcBorders>
              <w:left w:val="single" w:sz="8" w:color="D7282F"/>
            </w:tcBorders>
            <w:vMerge w:val="restart"/>
          </w:tcPr>
          <w:p>
            <w:pPr>
              <w:ind w:left="160"/>
              <w:spacing w:after="0"/>
              <w:rPr>
                <w:sz w:val="20"/>
                <w:szCs w:val="20"/>
                <w:color w:val="auto"/>
              </w:rPr>
            </w:pPr>
            <w:r>
              <w:rPr>
                <w:rFonts w:ascii="Arial" w:cs="Arial" w:eastAsia="Arial" w:hAnsi="Arial"/>
                <w:sz w:val="16"/>
                <w:szCs w:val="16"/>
                <w:b w:val="1"/>
                <w:bCs w:val="1"/>
                <w:color w:val="auto"/>
              </w:rPr>
              <w:t>ASSESS</w:t>
            </w: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REVIEW</w:t>
            </w: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INCORPORATE</w:t>
            </w:r>
          </w:p>
        </w:tc>
        <w:tc>
          <w:tcPr>
            <w:tcW w:w="1340" w:type="dxa"/>
            <w:vAlign w:val="bottom"/>
          </w:tcPr>
          <w:p>
            <w:pPr>
              <w:spacing w:after="0"/>
              <w:rPr>
                <w:sz w:val="14"/>
                <w:szCs w:val="14"/>
                <w:color w:val="auto"/>
              </w:rPr>
            </w:pPr>
          </w:p>
        </w:tc>
        <w:tc>
          <w:tcPr>
            <w:tcW w:w="240" w:type="dxa"/>
            <w:vAlign w:val="bottom"/>
            <w:tcBorders>
              <w:right w:val="single" w:sz="8" w:color="D7282F"/>
            </w:tcBorders>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980" w:type="dxa"/>
            <w:vAlign w:val="bottom"/>
            <w:tcBorders>
              <w:left w:val="single" w:sz="8" w:color="D7282F"/>
            </w:tcBorders>
            <w:vMerge w:val="continue"/>
          </w:tcPr>
          <w:p>
            <w:pPr>
              <w:spacing w:after="0"/>
              <w:rPr>
                <w:sz w:val="19"/>
                <w:szCs w:val="19"/>
                <w:color w:val="auto"/>
              </w:rPr>
            </w:pPr>
          </w:p>
        </w:tc>
        <w:tc>
          <w:tcPr>
            <w:tcW w:w="1920" w:type="dxa"/>
            <w:vAlign w:val="bottom"/>
            <w:tcBorders>
              <w:bottom w:val="single" w:sz="8" w:color="D7282F"/>
              <w:right w:val="single" w:sz="8" w:color="D7282F"/>
            </w:tcBorders>
          </w:tcPr>
          <w:p>
            <w:pPr>
              <w:spacing w:after="0"/>
              <w:rPr>
                <w:sz w:val="19"/>
                <w:szCs w:val="19"/>
                <w:color w:val="auto"/>
              </w:rPr>
            </w:pPr>
          </w:p>
        </w:tc>
        <w:tc>
          <w:tcPr>
            <w:tcW w:w="120" w:type="dxa"/>
            <w:vAlign w:val="bottom"/>
            <w:vMerge w:val="restart"/>
          </w:tcPr>
          <w:p>
            <w:pPr>
              <w:spacing w:after="0"/>
              <w:rPr>
                <w:sz w:val="19"/>
                <w:szCs w:val="19"/>
                <w:color w:val="auto"/>
              </w:rPr>
            </w:pPr>
          </w:p>
        </w:tc>
        <w:tc>
          <w:tcPr>
            <w:tcW w:w="940" w:type="dxa"/>
            <w:vAlign w:val="bottom"/>
            <w:vMerge w:val="continue"/>
          </w:tcPr>
          <w:p>
            <w:pPr>
              <w:spacing w:after="0"/>
              <w:rPr>
                <w:sz w:val="19"/>
                <w:szCs w:val="19"/>
                <w:color w:val="auto"/>
              </w:rPr>
            </w:pPr>
          </w:p>
        </w:tc>
        <w:tc>
          <w:tcPr>
            <w:tcW w:w="1860" w:type="dxa"/>
            <w:vAlign w:val="bottom"/>
            <w:tcBorders>
              <w:bottom w:val="single" w:sz="8" w:color="D7282F"/>
              <w:right w:val="single" w:sz="8" w:color="D7282F"/>
            </w:tcBorders>
          </w:tcPr>
          <w:p>
            <w:pPr>
              <w:spacing w:after="0"/>
              <w:rPr>
                <w:sz w:val="19"/>
                <w:szCs w:val="19"/>
                <w:color w:val="auto"/>
              </w:rPr>
            </w:pPr>
          </w:p>
        </w:tc>
        <w:tc>
          <w:tcPr>
            <w:tcW w:w="100" w:type="dxa"/>
            <w:vAlign w:val="bottom"/>
            <w:vMerge w:val="restart"/>
          </w:tcPr>
          <w:p>
            <w:pPr>
              <w:spacing w:after="0"/>
              <w:rPr>
                <w:sz w:val="19"/>
                <w:szCs w:val="19"/>
                <w:color w:val="auto"/>
              </w:rPr>
            </w:pPr>
          </w:p>
        </w:tc>
        <w:tc>
          <w:tcPr>
            <w:tcW w:w="1500" w:type="dxa"/>
            <w:vAlign w:val="bottom"/>
            <w:vMerge w:val="continue"/>
          </w:tcPr>
          <w:p>
            <w:pPr>
              <w:spacing w:after="0"/>
              <w:rPr>
                <w:sz w:val="19"/>
                <w:szCs w:val="19"/>
                <w:color w:val="auto"/>
              </w:rPr>
            </w:pPr>
          </w:p>
        </w:tc>
        <w:tc>
          <w:tcPr>
            <w:tcW w:w="1340" w:type="dxa"/>
            <w:vAlign w:val="bottom"/>
            <w:tcBorders>
              <w:bottom w:val="single" w:sz="8" w:color="D7282F"/>
              <w:right w:val="single" w:sz="8" w:color="D7282F"/>
            </w:tcBorders>
          </w:tcPr>
          <w:p>
            <w:pPr>
              <w:spacing w:after="0"/>
              <w:rPr>
                <w:sz w:val="19"/>
                <w:szCs w:val="19"/>
                <w:color w:val="auto"/>
              </w:rPr>
            </w:pPr>
          </w:p>
        </w:tc>
        <w:tc>
          <w:tcPr>
            <w:tcW w:w="240" w:type="dxa"/>
            <w:vAlign w:val="bottom"/>
            <w:tcBorders>
              <w:right w:val="single" w:sz="8" w:color="D7282F"/>
            </w:tcBorders>
            <w:vMerge w:val="restart"/>
          </w:tcPr>
          <w:p>
            <w:pPr>
              <w:spacing w:after="0"/>
              <w:rPr>
                <w:sz w:val="19"/>
                <w:szCs w:val="19"/>
                <w:color w:val="auto"/>
              </w:rPr>
            </w:pPr>
          </w:p>
        </w:tc>
        <w:tc>
          <w:tcPr>
            <w:tcW w:w="110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1140" w:type="dxa"/>
            <w:vAlign w:val="bottom"/>
          </w:tcPr>
          <w:p>
            <w:pPr>
              <w:spacing w:after="0"/>
              <w:rPr>
                <w:sz w:val="8"/>
                <w:szCs w:val="8"/>
                <w:color w:val="auto"/>
              </w:rPr>
            </w:pPr>
          </w:p>
        </w:tc>
        <w:tc>
          <w:tcPr>
            <w:tcW w:w="980" w:type="dxa"/>
            <w:vAlign w:val="bottom"/>
            <w:tcBorders>
              <w:left w:val="single" w:sz="8" w:color="D7282F"/>
            </w:tcBorders>
            <w:vMerge w:val="continue"/>
          </w:tcPr>
          <w:p>
            <w:pPr>
              <w:spacing w:after="0"/>
              <w:rPr>
                <w:sz w:val="8"/>
                <w:szCs w:val="8"/>
                <w:color w:val="auto"/>
              </w:rPr>
            </w:pPr>
          </w:p>
        </w:tc>
        <w:tc>
          <w:tcPr>
            <w:tcW w:w="1920" w:type="dxa"/>
            <w:vAlign w:val="bottom"/>
            <w:tcBorders>
              <w:right w:val="single" w:sz="8" w:color="D7282F"/>
            </w:tcBorders>
          </w:tcPr>
          <w:p>
            <w:pPr>
              <w:spacing w:after="0"/>
              <w:rPr>
                <w:sz w:val="8"/>
                <w:szCs w:val="8"/>
                <w:color w:val="auto"/>
              </w:rPr>
            </w:pPr>
          </w:p>
        </w:tc>
        <w:tc>
          <w:tcPr>
            <w:tcW w:w="12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860" w:type="dxa"/>
            <w:vAlign w:val="bottom"/>
            <w:tcBorders>
              <w:right w:val="single" w:sz="8" w:color="D7282F"/>
            </w:tcBorders>
          </w:tcPr>
          <w:p>
            <w:pPr>
              <w:spacing w:after="0"/>
              <w:rPr>
                <w:sz w:val="8"/>
                <w:szCs w:val="8"/>
                <w:color w:val="auto"/>
              </w:rPr>
            </w:pPr>
          </w:p>
        </w:tc>
        <w:tc>
          <w:tcPr>
            <w:tcW w:w="10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340" w:type="dxa"/>
            <w:vAlign w:val="bottom"/>
            <w:tcBorders>
              <w:right w:val="single" w:sz="8" w:color="D7282F"/>
            </w:tcBorders>
          </w:tcPr>
          <w:p>
            <w:pPr>
              <w:spacing w:after="0"/>
              <w:rPr>
                <w:sz w:val="8"/>
                <w:szCs w:val="8"/>
                <w:color w:val="auto"/>
              </w:rPr>
            </w:pPr>
          </w:p>
        </w:tc>
        <w:tc>
          <w:tcPr>
            <w:tcW w:w="240" w:type="dxa"/>
            <w:vAlign w:val="bottom"/>
            <w:tcBorders>
              <w:right w:val="single" w:sz="8" w:color="D7282F"/>
            </w:tcBorders>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140" w:type="dxa"/>
            <w:vAlign w:val="bottom"/>
          </w:tcPr>
          <w:p>
            <w:pPr>
              <w:spacing w:after="0"/>
              <w:rPr>
                <w:sz w:val="10"/>
                <w:szCs w:val="10"/>
                <w:color w:val="auto"/>
              </w:rPr>
            </w:pPr>
          </w:p>
        </w:tc>
        <w:tc>
          <w:tcPr>
            <w:tcW w:w="980" w:type="dxa"/>
            <w:vAlign w:val="bottom"/>
            <w:tcBorders>
              <w:left w:val="single" w:sz="8" w:color="D7282F"/>
            </w:tcBorders>
          </w:tcPr>
          <w:p>
            <w:pPr>
              <w:spacing w:after="0"/>
              <w:rPr>
                <w:sz w:val="10"/>
                <w:szCs w:val="10"/>
                <w:color w:val="auto"/>
              </w:rPr>
            </w:pPr>
          </w:p>
        </w:tc>
        <w:tc>
          <w:tcPr>
            <w:tcW w:w="1920" w:type="dxa"/>
            <w:vAlign w:val="bottom"/>
            <w:tcBorders>
              <w:right w:val="single" w:sz="8" w:color="D7282F"/>
            </w:tcBorders>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60" w:type="dxa"/>
            <w:vAlign w:val="bottom"/>
            <w:tcBorders>
              <w:right w:val="single" w:sz="8" w:color="D7282F"/>
            </w:tcBorders>
          </w:tcPr>
          <w:p>
            <w:pPr>
              <w:spacing w:after="0"/>
              <w:rPr>
                <w:sz w:val="10"/>
                <w:szCs w:val="10"/>
                <w:color w:val="auto"/>
              </w:rPr>
            </w:pPr>
          </w:p>
        </w:tc>
        <w:tc>
          <w:tcPr>
            <w:tcW w:w="100" w:type="dxa"/>
            <w:vAlign w:val="bottom"/>
          </w:tcPr>
          <w:p>
            <w:pPr>
              <w:spacing w:after="0"/>
              <w:rPr>
                <w:sz w:val="10"/>
                <w:szCs w:val="10"/>
                <w:color w:val="auto"/>
              </w:rPr>
            </w:pPr>
          </w:p>
        </w:tc>
        <w:tc>
          <w:tcPr>
            <w:tcW w:w="2840" w:type="dxa"/>
            <w:vAlign w:val="bottom"/>
            <w:tcBorders>
              <w:right w:val="single" w:sz="8" w:color="D7282F"/>
            </w:tcBorders>
            <w:gridSpan w:val="2"/>
          </w:tcPr>
          <w:p>
            <w:pPr>
              <w:spacing w:after="0"/>
              <w:rPr>
                <w:sz w:val="10"/>
                <w:szCs w:val="10"/>
                <w:color w:val="auto"/>
              </w:rPr>
            </w:pPr>
          </w:p>
        </w:tc>
        <w:tc>
          <w:tcPr>
            <w:tcW w:w="240" w:type="dxa"/>
            <w:vAlign w:val="bottom"/>
            <w:tcBorders>
              <w:right w:val="single" w:sz="8" w:color="D7282F"/>
            </w:tcBorders>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3020" w:type="dxa"/>
            <w:vAlign w:val="bottom"/>
            <w:tcBorders>
              <w:left w:val="single" w:sz="8" w:color="D7282F"/>
            </w:tcBorders>
            <w:gridSpan w:val="3"/>
          </w:tcPr>
          <w:p>
            <w:pPr>
              <w:ind w:left="16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4"/>
                <w:szCs w:val="14"/>
                <w:color w:val="000000"/>
              </w:rPr>
              <w:t>The Board uses the ERM program as a</w:t>
            </w:r>
          </w:p>
        </w:tc>
        <w:tc>
          <w:tcPr>
            <w:tcW w:w="2900" w:type="dxa"/>
            <w:vAlign w:val="bottom"/>
            <w:gridSpan w:val="3"/>
          </w:tcPr>
          <w:p>
            <w:pPr>
              <w:ind w:left="10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4"/>
                <w:szCs w:val="14"/>
                <w:color w:val="000000"/>
              </w:rPr>
              <w:t>The Audit Committee, the CGRC, and</w:t>
            </w:r>
          </w:p>
        </w:tc>
        <w:tc>
          <w:tcPr>
            <w:tcW w:w="3080" w:type="dxa"/>
            <w:vAlign w:val="bottom"/>
            <w:tcBorders>
              <w:right w:val="single" w:sz="8" w:color="D7282F"/>
            </w:tcBorders>
            <w:gridSpan w:val="3"/>
          </w:tcPr>
          <w:p>
            <w:pPr>
              <w:ind w:left="12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4"/>
                <w:szCs w:val="14"/>
                <w:color w:val="000000"/>
              </w:rPr>
              <w:t>Every two years, the ERM process</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020" w:type="dxa"/>
            <w:vAlign w:val="bottom"/>
            <w:tcBorders>
              <w:left w:val="single" w:sz="8" w:color="D7282F"/>
            </w:tcBorders>
            <w:gridSpan w:val="3"/>
          </w:tcPr>
          <w:p>
            <w:pPr>
              <w:ind w:left="360"/>
              <w:spacing w:after="0"/>
              <w:rPr>
                <w:sz w:val="20"/>
                <w:szCs w:val="20"/>
                <w:color w:val="auto"/>
              </w:rPr>
            </w:pPr>
            <w:r>
              <w:rPr>
                <w:rFonts w:ascii="Arial" w:cs="Arial" w:eastAsia="Arial" w:hAnsi="Arial"/>
                <w:sz w:val="14"/>
                <w:szCs w:val="14"/>
                <w:color w:val="auto"/>
              </w:rPr>
              <w:t>key tool for understanding the inherent</w:t>
            </w:r>
          </w:p>
        </w:tc>
        <w:tc>
          <w:tcPr>
            <w:tcW w:w="2900" w:type="dxa"/>
            <w:vAlign w:val="bottom"/>
            <w:gridSpan w:val="3"/>
          </w:tcPr>
          <w:p>
            <w:pPr>
              <w:ind w:left="300"/>
              <w:spacing w:after="0"/>
              <w:rPr>
                <w:sz w:val="20"/>
                <w:szCs w:val="20"/>
                <w:color w:val="auto"/>
              </w:rPr>
            </w:pPr>
            <w:r>
              <w:rPr>
                <w:rFonts w:ascii="Arial" w:cs="Arial" w:eastAsia="Arial" w:hAnsi="Arial"/>
                <w:sz w:val="14"/>
                <w:szCs w:val="14"/>
                <w:color w:val="auto"/>
              </w:rPr>
              <w:t>the full Board review the results of the</w:t>
            </w:r>
          </w:p>
        </w:tc>
        <w:tc>
          <w:tcPr>
            <w:tcW w:w="3080" w:type="dxa"/>
            <w:vAlign w:val="bottom"/>
            <w:tcBorders>
              <w:right w:val="single" w:sz="8" w:color="D7282F"/>
            </w:tcBorders>
            <w:gridSpan w:val="3"/>
          </w:tcPr>
          <w:p>
            <w:pPr>
              <w:ind w:left="300"/>
              <w:spacing w:after="0"/>
              <w:rPr>
                <w:sz w:val="20"/>
                <w:szCs w:val="20"/>
                <w:color w:val="auto"/>
              </w:rPr>
            </w:pPr>
            <w:r>
              <w:rPr>
                <w:rFonts w:ascii="Arial" w:cs="Arial" w:eastAsia="Arial" w:hAnsi="Arial"/>
                <w:sz w:val="14"/>
                <w:szCs w:val="14"/>
                <w:color w:val="auto"/>
              </w:rPr>
              <w:t>includes one-on-one meetings with each</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3020" w:type="dxa"/>
            <w:vAlign w:val="bottom"/>
            <w:tcBorders>
              <w:left w:val="single" w:sz="8" w:color="D7282F"/>
            </w:tcBorders>
            <w:gridSpan w:val="3"/>
          </w:tcPr>
          <w:p>
            <w:pPr>
              <w:ind w:left="360"/>
              <w:spacing w:after="0" w:line="149" w:lineRule="exact"/>
              <w:rPr>
                <w:sz w:val="20"/>
                <w:szCs w:val="20"/>
                <w:color w:val="auto"/>
              </w:rPr>
            </w:pPr>
            <w:r>
              <w:rPr>
                <w:rFonts w:ascii="Arial" w:cs="Arial" w:eastAsia="Arial" w:hAnsi="Arial"/>
                <w:sz w:val="14"/>
                <w:szCs w:val="14"/>
                <w:color w:val="auto"/>
              </w:rPr>
              <w:t>risks facing Honeywell and assessing</w:t>
            </w:r>
          </w:p>
        </w:tc>
        <w:tc>
          <w:tcPr>
            <w:tcW w:w="290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annual ERM assessment.</w:t>
            </w:r>
          </w:p>
        </w:tc>
        <w:tc>
          <w:tcPr>
            <w:tcW w:w="3080" w:type="dxa"/>
            <w:vAlign w:val="bottom"/>
            <w:tcBorders>
              <w:right w:val="single" w:sz="8" w:color="D7282F"/>
            </w:tcBorders>
            <w:gridSpan w:val="3"/>
          </w:tcPr>
          <w:p>
            <w:pPr>
              <w:ind w:left="300"/>
              <w:spacing w:after="0" w:line="149" w:lineRule="exact"/>
              <w:rPr>
                <w:sz w:val="20"/>
                <w:szCs w:val="20"/>
                <w:color w:val="auto"/>
              </w:rPr>
            </w:pPr>
            <w:r>
              <w:rPr>
                <w:rFonts w:ascii="Arial" w:cs="Arial" w:eastAsia="Arial" w:hAnsi="Arial"/>
                <w:sz w:val="14"/>
                <w:szCs w:val="14"/>
                <w:color w:val="auto"/>
              </w:rPr>
              <w:t>Board member to discuss each</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3020" w:type="dxa"/>
            <w:vAlign w:val="bottom"/>
            <w:tcBorders>
              <w:left w:val="single" w:sz="8" w:color="D7282F"/>
            </w:tcBorders>
            <w:gridSpan w:val="3"/>
          </w:tcPr>
          <w:p>
            <w:pPr>
              <w:ind w:left="360"/>
              <w:spacing w:after="0"/>
              <w:rPr>
                <w:sz w:val="20"/>
                <w:szCs w:val="20"/>
                <w:color w:val="auto"/>
              </w:rPr>
            </w:pPr>
            <w:r>
              <w:rPr>
                <w:rFonts w:ascii="Arial" w:cs="Arial" w:eastAsia="Arial" w:hAnsi="Arial"/>
                <w:sz w:val="14"/>
                <w:szCs w:val="14"/>
                <w:color w:val="auto"/>
              </w:rPr>
              <w:t>whether management’s processes,</w:t>
            </w:r>
          </w:p>
        </w:tc>
        <w:tc>
          <w:tcPr>
            <w:tcW w:w="2900" w:type="dxa"/>
            <w:vAlign w:val="bottom"/>
            <w:gridSpan w:val="3"/>
          </w:tcPr>
          <w:p>
            <w:pPr>
              <w:ind w:left="10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4"/>
                <w:szCs w:val="14"/>
                <w:color w:val="000000"/>
              </w:rPr>
              <w:t>During the reviews, Honeywell’s Chief</w:t>
            </w:r>
          </w:p>
        </w:tc>
        <w:tc>
          <w:tcPr>
            <w:tcW w:w="3080" w:type="dxa"/>
            <w:vAlign w:val="bottom"/>
            <w:tcBorders>
              <w:right w:val="single" w:sz="8" w:color="D7282F"/>
            </w:tcBorders>
            <w:gridSpan w:val="3"/>
          </w:tcPr>
          <w:p>
            <w:pPr>
              <w:ind w:left="300"/>
              <w:spacing w:after="0"/>
              <w:rPr>
                <w:sz w:val="20"/>
                <w:szCs w:val="20"/>
                <w:color w:val="auto"/>
              </w:rPr>
            </w:pPr>
            <w:r>
              <w:rPr>
                <w:rFonts w:ascii="Arial" w:cs="Arial" w:eastAsia="Arial" w:hAnsi="Arial"/>
                <w:sz w:val="14"/>
                <w:szCs w:val="14"/>
                <w:color w:val="auto"/>
              </w:rPr>
              <w:t>director’s “top down” view of risks facing</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1140" w:type="dxa"/>
            <w:vAlign w:val="bottom"/>
          </w:tcPr>
          <w:p>
            <w:pPr>
              <w:spacing w:after="0"/>
              <w:rPr>
                <w:sz w:val="10"/>
                <w:szCs w:val="10"/>
                <w:color w:val="auto"/>
              </w:rPr>
            </w:pPr>
          </w:p>
        </w:tc>
        <w:tc>
          <w:tcPr>
            <w:tcW w:w="3020" w:type="dxa"/>
            <w:vAlign w:val="bottom"/>
            <w:tcBorders>
              <w:left w:val="single" w:sz="8" w:color="D7282F"/>
            </w:tcBorders>
            <w:gridSpan w:val="3"/>
          </w:tcPr>
          <w:p>
            <w:pPr>
              <w:ind w:left="360"/>
              <w:spacing w:after="0" w:line="126" w:lineRule="exact"/>
              <w:rPr>
                <w:sz w:val="20"/>
                <w:szCs w:val="20"/>
                <w:color w:val="auto"/>
              </w:rPr>
            </w:pPr>
            <w:r>
              <w:rPr>
                <w:rFonts w:ascii="Arial" w:cs="Arial" w:eastAsia="Arial" w:hAnsi="Arial"/>
                <w:sz w:val="14"/>
                <w:szCs w:val="14"/>
                <w:color w:val="auto"/>
              </w:rPr>
              <w:t>procedures, and practices for mitigating</w:t>
            </w:r>
          </w:p>
        </w:tc>
        <w:tc>
          <w:tcPr>
            <w:tcW w:w="2900" w:type="dxa"/>
            <w:vAlign w:val="bottom"/>
            <w:gridSpan w:val="3"/>
            <w:vMerge w:val="restart"/>
          </w:tcPr>
          <w:p>
            <w:pPr>
              <w:ind w:left="300"/>
              <w:spacing w:after="0"/>
              <w:rPr>
                <w:sz w:val="20"/>
                <w:szCs w:val="20"/>
                <w:color w:val="auto"/>
              </w:rPr>
            </w:pPr>
            <w:r>
              <w:rPr>
                <w:rFonts w:ascii="Arial" w:cs="Arial" w:eastAsia="Arial" w:hAnsi="Arial"/>
                <w:sz w:val="14"/>
                <w:szCs w:val="14"/>
                <w:color w:val="auto"/>
              </w:rPr>
              <w:t>Financial Officer and General Counsel</w:t>
            </w:r>
          </w:p>
        </w:tc>
        <w:tc>
          <w:tcPr>
            <w:tcW w:w="3080" w:type="dxa"/>
            <w:vAlign w:val="bottom"/>
            <w:tcBorders>
              <w:right w:val="single" w:sz="8" w:color="D7282F"/>
            </w:tcBorders>
            <w:gridSpan w:val="3"/>
          </w:tcPr>
          <w:p>
            <w:pPr>
              <w:ind w:left="300"/>
              <w:spacing w:after="0" w:line="126" w:lineRule="exact"/>
              <w:rPr>
                <w:sz w:val="20"/>
                <w:szCs w:val="20"/>
                <w:color w:val="auto"/>
              </w:rPr>
            </w:pPr>
            <w:r>
              <w:rPr>
                <w:rFonts w:ascii="Arial" w:cs="Arial" w:eastAsia="Arial" w:hAnsi="Arial"/>
                <w:sz w:val="14"/>
                <w:szCs w:val="14"/>
                <w:color w:val="auto"/>
              </w:rPr>
              <w:t>the enterprise, to solicit the director’s</w:t>
            </w: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140" w:type="dxa"/>
            <w:vAlign w:val="bottom"/>
          </w:tcPr>
          <w:p>
            <w:pPr>
              <w:spacing w:after="0"/>
              <w:rPr>
                <w:sz w:val="4"/>
                <w:szCs w:val="4"/>
                <w:color w:val="auto"/>
              </w:rPr>
            </w:pPr>
          </w:p>
        </w:tc>
        <w:tc>
          <w:tcPr>
            <w:tcW w:w="3020" w:type="dxa"/>
            <w:vAlign w:val="bottom"/>
            <w:tcBorders>
              <w:left w:val="single" w:sz="8" w:color="D7282F"/>
            </w:tcBorders>
            <w:gridSpan w:val="3"/>
            <w:vMerge w:val="restart"/>
          </w:tcPr>
          <w:p>
            <w:pPr>
              <w:ind w:left="360"/>
              <w:spacing w:after="0"/>
              <w:rPr>
                <w:sz w:val="20"/>
                <w:szCs w:val="20"/>
                <w:color w:val="auto"/>
              </w:rPr>
            </w:pPr>
            <w:r>
              <w:rPr>
                <w:rFonts w:ascii="Arial" w:cs="Arial" w:eastAsia="Arial" w:hAnsi="Arial"/>
                <w:sz w:val="14"/>
                <w:szCs w:val="14"/>
                <w:color w:val="auto"/>
              </w:rPr>
              <w:t>those risks are effective.</w:t>
            </w:r>
          </w:p>
        </w:tc>
        <w:tc>
          <w:tcPr>
            <w:tcW w:w="2900" w:type="dxa"/>
            <w:vAlign w:val="bottom"/>
            <w:gridSpan w:val="3"/>
            <w:vMerge w:val="continue"/>
          </w:tcPr>
          <w:p>
            <w:pPr>
              <w:spacing w:after="0"/>
              <w:rPr>
                <w:sz w:val="4"/>
                <w:szCs w:val="4"/>
                <w:color w:val="auto"/>
              </w:rPr>
            </w:pPr>
          </w:p>
        </w:tc>
        <w:tc>
          <w:tcPr>
            <w:tcW w:w="3080" w:type="dxa"/>
            <w:vAlign w:val="bottom"/>
            <w:tcBorders>
              <w:right w:val="single" w:sz="8" w:color="D7282F"/>
            </w:tcBorders>
            <w:gridSpan w:val="3"/>
            <w:vMerge w:val="restart"/>
          </w:tcPr>
          <w:p>
            <w:pPr>
              <w:ind w:left="300"/>
              <w:spacing w:after="0"/>
              <w:rPr>
                <w:sz w:val="20"/>
                <w:szCs w:val="20"/>
                <w:color w:val="auto"/>
              </w:rPr>
            </w:pPr>
            <w:r>
              <w:rPr>
                <w:rFonts w:ascii="Arial" w:cs="Arial" w:eastAsia="Arial" w:hAnsi="Arial"/>
                <w:sz w:val="14"/>
                <w:szCs w:val="14"/>
                <w:color w:val="auto"/>
              </w:rPr>
              <w:t>recommendations for improving the</w:t>
            </w: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3020" w:type="dxa"/>
            <w:vAlign w:val="bottom"/>
            <w:tcBorders>
              <w:left w:val="single" w:sz="8" w:color="D7282F"/>
            </w:tcBorders>
            <w:gridSpan w:val="3"/>
            <w:vMerge w:val="continue"/>
          </w:tcPr>
          <w:p>
            <w:pPr>
              <w:spacing w:after="0"/>
              <w:rPr>
                <w:sz w:val="9"/>
                <w:szCs w:val="9"/>
                <w:color w:val="auto"/>
              </w:rPr>
            </w:pPr>
          </w:p>
        </w:tc>
        <w:tc>
          <w:tcPr>
            <w:tcW w:w="2900" w:type="dxa"/>
            <w:vAlign w:val="bottom"/>
            <w:gridSpan w:val="3"/>
            <w:vMerge w:val="restart"/>
          </w:tcPr>
          <w:p>
            <w:pPr>
              <w:ind w:left="300"/>
              <w:spacing w:after="0"/>
              <w:rPr>
                <w:sz w:val="20"/>
                <w:szCs w:val="20"/>
                <w:color w:val="auto"/>
              </w:rPr>
            </w:pPr>
            <w:r>
              <w:rPr>
                <w:rFonts w:ascii="Arial" w:cs="Arial" w:eastAsia="Arial" w:hAnsi="Arial"/>
                <w:sz w:val="14"/>
                <w:szCs w:val="14"/>
                <w:color w:val="auto"/>
              </w:rPr>
              <w:t>present the results of the ERM</w:t>
            </w:r>
          </w:p>
        </w:tc>
        <w:tc>
          <w:tcPr>
            <w:tcW w:w="3080" w:type="dxa"/>
            <w:vAlign w:val="bottom"/>
            <w:tcBorders>
              <w:right w:val="single" w:sz="8" w:color="D7282F"/>
            </w:tcBorders>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140" w:type="dxa"/>
            <w:vAlign w:val="bottom"/>
          </w:tcPr>
          <w:p>
            <w:pPr>
              <w:spacing w:after="0"/>
              <w:rPr>
                <w:sz w:val="4"/>
                <w:szCs w:val="4"/>
                <w:color w:val="auto"/>
              </w:rPr>
            </w:pPr>
          </w:p>
        </w:tc>
        <w:tc>
          <w:tcPr>
            <w:tcW w:w="3020" w:type="dxa"/>
            <w:vAlign w:val="bottom"/>
            <w:tcBorders>
              <w:left w:val="single" w:sz="8" w:color="D7282F"/>
            </w:tcBorders>
            <w:gridSpan w:val="3"/>
            <w:vMerge w:val="restart"/>
          </w:tcPr>
          <w:p>
            <w:pPr>
              <w:ind w:left="16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4"/>
                <w:szCs w:val="14"/>
                <w:color w:val="000000"/>
              </w:rPr>
              <w:t>The annual ERM assessment deployed</w:t>
            </w:r>
          </w:p>
        </w:tc>
        <w:tc>
          <w:tcPr>
            <w:tcW w:w="2900" w:type="dxa"/>
            <w:vAlign w:val="bottom"/>
            <w:gridSpan w:val="3"/>
            <w:vMerge w:val="continue"/>
          </w:tcPr>
          <w:p>
            <w:pPr>
              <w:spacing w:after="0"/>
              <w:rPr>
                <w:sz w:val="4"/>
                <w:szCs w:val="4"/>
                <w:color w:val="auto"/>
              </w:rPr>
            </w:pPr>
          </w:p>
        </w:tc>
        <w:tc>
          <w:tcPr>
            <w:tcW w:w="3080" w:type="dxa"/>
            <w:vAlign w:val="bottom"/>
            <w:tcBorders>
              <w:right w:val="single" w:sz="8" w:color="D7282F"/>
            </w:tcBorders>
            <w:gridSpan w:val="3"/>
            <w:vMerge w:val="restart"/>
          </w:tcPr>
          <w:p>
            <w:pPr>
              <w:ind w:left="300"/>
              <w:spacing w:after="0"/>
              <w:rPr>
                <w:sz w:val="20"/>
                <w:szCs w:val="20"/>
                <w:color w:val="auto"/>
              </w:rPr>
            </w:pPr>
            <w:r>
              <w:rPr>
                <w:rFonts w:ascii="Arial" w:cs="Arial" w:eastAsia="Arial" w:hAnsi="Arial"/>
                <w:sz w:val="14"/>
                <w:szCs w:val="14"/>
                <w:color w:val="auto"/>
              </w:rPr>
              <w:t>ERM process, and to ensure that the</w:t>
            </w: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3020" w:type="dxa"/>
            <w:vAlign w:val="bottom"/>
            <w:tcBorders>
              <w:left w:val="single" w:sz="8" w:color="D7282F"/>
            </w:tcBorders>
            <w:gridSpan w:val="3"/>
            <w:vMerge w:val="continue"/>
          </w:tcPr>
          <w:p>
            <w:pPr>
              <w:spacing w:after="0"/>
              <w:rPr>
                <w:sz w:val="12"/>
                <w:szCs w:val="12"/>
                <w:color w:val="auto"/>
              </w:rPr>
            </w:pPr>
          </w:p>
        </w:tc>
        <w:tc>
          <w:tcPr>
            <w:tcW w:w="2900" w:type="dxa"/>
            <w:vAlign w:val="bottom"/>
            <w:gridSpan w:val="3"/>
          </w:tcPr>
          <w:p>
            <w:pPr>
              <w:ind w:left="300"/>
              <w:spacing w:after="0" w:line="145" w:lineRule="exact"/>
              <w:rPr>
                <w:sz w:val="20"/>
                <w:szCs w:val="20"/>
                <w:color w:val="auto"/>
              </w:rPr>
            </w:pPr>
            <w:r>
              <w:rPr>
                <w:rFonts w:ascii="Arial" w:cs="Arial" w:eastAsia="Arial" w:hAnsi="Arial"/>
                <w:sz w:val="14"/>
                <w:szCs w:val="14"/>
                <w:color w:val="auto"/>
              </w:rPr>
              <w:t>assessment in a manner designed to</w:t>
            </w:r>
          </w:p>
        </w:tc>
        <w:tc>
          <w:tcPr>
            <w:tcW w:w="3080" w:type="dxa"/>
            <w:vAlign w:val="bottom"/>
            <w:tcBorders>
              <w:right w:val="single" w:sz="8" w:color="D7282F"/>
            </w:tcBorders>
            <w:gridSpan w:val="3"/>
            <w:vMerge w:val="continue"/>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140" w:type="dxa"/>
            <w:vAlign w:val="bottom"/>
          </w:tcPr>
          <w:p>
            <w:pPr>
              <w:spacing w:after="0"/>
              <w:rPr>
                <w:sz w:val="9"/>
                <w:szCs w:val="9"/>
                <w:color w:val="auto"/>
              </w:rPr>
            </w:pPr>
          </w:p>
        </w:tc>
        <w:tc>
          <w:tcPr>
            <w:tcW w:w="3020" w:type="dxa"/>
            <w:vAlign w:val="bottom"/>
            <w:tcBorders>
              <w:left w:val="single" w:sz="8" w:color="D7282F"/>
            </w:tcBorders>
            <w:gridSpan w:val="3"/>
            <w:vMerge w:val="restart"/>
          </w:tcPr>
          <w:p>
            <w:pPr>
              <w:ind w:left="360"/>
              <w:spacing w:after="0"/>
              <w:rPr>
                <w:sz w:val="20"/>
                <w:szCs w:val="20"/>
                <w:color w:val="auto"/>
              </w:rPr>
            </w:pPr>
            <w:r>
              <w:rPr>
                <w:rFonts w:ascii="Arial" w:cs="Arial" w:eastAsia="Arial" w:hAnsi="Arial"/>
                <w:sz w:val="14"/>
                <w:szCs w:val="14"/>
                <w:color w:val="auto"/>
              </w:rPr>
              <w:t>by management is based on an</w:t>
            </w:r>
          </w:p>
        </w:tc>
        <w:tc>
          <w:tcPr>
            <w:tcW w:w="2900" w:type="dxa"/>
            <w:vAlign w:val="bottom"/>
            <w:gridSpan w:val="3"/>
            <w:vMerge w:val="restart"/>
          </w:tcPr>
          <w:p>
            <w:pPr>
              <w:ind w:left="300"/>
              <w:spacing w:after="0"/>
              <w:rPr>
                <w:sz w:val="20"/>
                <w:szCs w:val="20"/>
                <w:color w:val="auto"/>
              </w:rPr>
            </w:pPr>
            <w:r>
              <w:rPr>
                <w:rFonts w:ascii="Arial" w:cs="Arial" w:eastAsia="Arial" w:hAnsi="Arial"/>
                <w:sz w:val="14"/>
                <w:szCs w:val="14"/>
                <w:color w:val="auto"/>
              </w:rPr>
              <w:t>provide full visibility into the risks facing</w:t>
            </w:r>
          </w:p>
        </w:tc>
        <w:tc>
          <w:tcPr>
            <w:tcW w:w="3080" w:type="dxa"/>
            <w:vAlign w:val="bottom"/>
            <w:tcBorders>
              <w:right w:val="single" w:sz="8" w:color="D7282F"/>
            </w:tcBorders>
            <w:gridSpan w:val="3"/>
          </w:tcPr>
          <w:p>
            <w:pPr>
              <w:ind w:left="300"/>
              <w:spacing w:after="0" w:line="113" w:lineRule="exact"/>
              <w:rPr>
                <w:sz w:val="20"/>
                <w:szCs w:val="20"/>
                <w:color w:val="auto"/>
              </w:rPr>
            </w:pPr>
            <w:r>
              <w:rPr>
                <w:rFonts w:ascii="Arial" w:cs="Arial" w:eastAsia="Arial" w:hAnsi="Arial"/>
                <w:sz w:val="13"/>
                <w:szCs w:val="13"/>
                <w:color w:val="auto"/>
              </w:rPr>
              <w:t>universe of risks and the metrics for</w:t>
            </w: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140" w:type="dxa"/>
            <w:vAlign w:val="bottom"/>
          </w:tcPr>
          <w:p>
            <w:pPr>
              <w:spacing w:after="0"/>
              <w:rPr>
                <w:sz w:val="4"/>
                <w:szCs w:val="4"/>
                <w:color w:val="auto"/>
              </w:rPr>
            </w:pPr>
          </w:p>
        </w:tc>
        <w:tc>
          <w:tcPr>
            <w:tcW w:w="3020" w:type="dxa"/>
            <w:vAlign w:val="bottom"/>
            <w:tcBorders>
              <w:left w:val="single" w:sz="8" w:color="D7282F"/>
            </w:tcBorders>
            <w:gridSpan w:val="3"/>
            <w:vMerge w:val="continue"/>
          </w:tcPr>
          <w:p>
            <w:pPr>
              <w:spacing w:after="0"/>
              <w:rPr>
                <w:sz w:val="4"/>
                <w:szCs w:val="4"/>
                <w:color w:val="auto"/>
              </w:rPr>
            </w:pPr>
          </w:p>
        </w:tc>
        <w:tc>
          <w:tcPr>
            <w:tcW w:w="2900" w:type="dxa"/>
            <w:vAlign w:val="bottom"/>
            <w:gridSpan w:val="3"/>
            <w:vMerge w:val="continue"/>
          </w:tcPr>
          <w:p>
            <w:pPr>
              <w:spacing w:after="0"/>
              <w:rPr>
                <w:sz w:val="4"/>
                <w:szCs w:val="4"/>
                <w:color w:val="auto"/>
              </w:rPr>
            </w:pPr>
          </w:p>
        </w:tc>
        <w:tc>
          <w:tcPr>
            <w:tcW w:w="3080" w:type="dxa"/>
            <w:vAlign w:val="bottom"/>
            <w:tcBorders>
              <w:right w:val="single" w:sz="8" w:color="D7282F"/>
            </w:tcBorders>
            <w:gridSpan w:val="3"/>
            <w:vMerge w:val="restart"/>
          </w:tcPr>
          <w:p>
            <w:pPr>
              <w:ind w:left="300"/>
              <w:spacing w:after="0"/>
              <w:rPr>
                <w:sz w:val="20"/>
                <w:szCs w:val="20"/>
                <w:color w:val="auto"/>
              </w:rPr>
            </w:pPr>
            <w:r>
              <w:rPr>
                <w:rFonts w:ascii="Arial" w:cs="Arial" w:eastAsia="Arial" w:hAnsi="Arial"/>
                <w:sz w:val="14"/>
                <w:szCs w:val="14"/>
                <w:color w:val="auto"/>
              </w:rPr>
              <w:t>identifying key risks, in terms of</w:t>
            </w: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3020" w:type="dxa"/>
            <w:vAlign w:val="bottom"/>
            <w:tcBorders>
              <w:left w:val="single" w:sz="8" w:color="D7282F"/>
            </w:tcBorders>
            <w:gridSpan w:val="3"/>
            <w:vMerge w:val="restart"/>
          </w:tcPr>
          <w:p>
            <w:pPr>
              <w:ind w:left="360"/>
              <w:spacing w:after="0"/>
              <w:rPr>
                <w:sz w:val="20"/>
                <w:szCs w:val="20"/>
                <w:color w:val="auto"/>
              </w:rPr>
            </w:pPr>
            <w:r>
              <w:rPr>
                <w:rFonts w:ascii="Arial" w:cs="Arial" w:eastAsia="Arial" w:hAnsi="Arial"/>
                <w:sz w:val="14"/>
                <w:szCs w:val="14"/>
                <w:color w:val="auto"/>
              </w:rPr>
              <w:t>enterprise-wide “top down” and “bottom</w:t>
            </w:r>
          </w:p>
        </w:tc>
        <w:tc>
          <w:tcPr>
            <w:tcW w:w="2900" w:type="dxa"/>
            <w:vAlign w:val="bottom"/>
            <w:gridSpan w:val="3"/>
            <w:vMerge w:val="restart"/>
          </w:tcPr>
          <w:p>
            <w:pPr>
              <w:ind w:left="300"/>
              <w:spacing w:after="0"/>
              <w:rPr>
                <w:sz w:val="20"/>
                <w:szCs w:val="20"/>
                <w:color w:val="auto"/>
              </w:rPr>
            </w:pPr>
            <w:r>
              <w:rPr>
                <w:rFonts w:ascii="Arial" w:cs="Arial" w:eastAsia="Arial" w:hAnsi="Arial"/>
                <w:sz w:val="14"/>
                <w:szCs w:val="14"/>
                <w:color w:val="auto"/>
              </w:rPr>
              <w:t>Honeywell and how management is</w:t>
            </w:r>
          </w:p>
        </w:tc>
        <w:tc>
          <w:tcPr>
            <w:tcW w:w="3080" w:type="dxa"/>
            <w:vAlign w:val="bottom"/>
            <w:tcBorders>
              <w:right w:val="single" w:sz="8" w:color="D7282F"/>
            </w:tcBorders>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140" w:type="dxa"/>
            <w:vAlign w:val="bottom"/>
          </w:tcPr>
          <w:p>
            <w:pPr>
              <w:spacing w:after="0"/>
              <w:rPr>
                <w:sz w:val="4"/>
                <w:szCs w:val="4"/>
                <w:color w:val="auto"/>
              </w:rPr>
            </w:pPr>
          </w:p>
        </w:tc>
        <w:tc>
          <w:tcPr>
            <w:tcW w:w="3020" w:type="dxa"/>
            <w:vAlign w:val="bottom"/>
            <w:tcBorders>
              <w:left w:val="single" w:sz="8" w:color="D7282F"/>
            </w:tcBorders>
            <w:gridSpan w:val="3"/>
            <w:vMerge w:val="continue"/>
          </w:tcPr>
          <w:p>
            <w:pPr>
              <w:spacing w:after="0"/>
              <w:rPr>
                <w:sz w:val="4"/>
                <w:szCs w:val="4"/>
                <w:color w:val="auto"/>
              </w:rPr>
            </w:pPr>
          </w:p>
        </w:tc>
        <w:tc>
          <w:tcPr>
            <w:tcW w:w="2900" w:type="dxa"/>
            <w:vAlign w:val="bottom"/>
            <w:gridSpan w:val="3"/>
            <w:vMerge w:val="continue"/>
          </w:tcPr>
          <w:p>
            <w:pPr>
              <w:spacing w:after="0"/>
              <w:rPr>
                <w:sz w:val="4"/>
                <w:szCs w:val="4"/>
                <w:color w:val="auto"/>
              </w:rPr>
            </w:pPr>
          </w:p>
        </w:tc>
        <w:tc>
          <w:tcPr>
            <w:tcW w:w="3080" w:type="dxa"/>
            <w:vAlign w:val="bottom"/>
            <w:tcBorders>
              <w:right w:val="single" w:sz="8" w:color="D7282F"/>
            </w:tcBorders>
            <w:gridSpan w:val="3"/>
            <w:vMerge w:val="restart"/>
          </w:tcPr>
          <w:p>
            <w:pPr>
              <w:ind w:left="300"/>
              <w:spacing w:after="0" w:line="149" w:lineRule="exact"/>
              <w:rPr>
                <w:sz w:val="20"/>
                <w:szCs w:val="20"/>
                <w:color w:val="auto"/>
              </w:rPr>
            </w:pPr>
            <w:r>
              <w:rPr>
                <w:rFonts w:ascii="Arial" w:cs="Arial" w:eastAsia="Arial" w:hAnsi="Arial"/>
                <w:sz w:val="14"/>
                <w:szCs w:val="14"/>
                <w:color w:val="auto"/>
              </w:rPr>
              <w:t>likelihood of occurrence and potential</w:t>
            </w: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140" w:type="dxa"/>
            <w:vAlign w:val="bottom"/>
          </w:tcPr>
          <w:p>
            <w:pPr>
              <w:spacing w:after="0"/>
              <w:rPr>
                <w:sz w:val="8"/>
                <w:szCs w:val="8"/>
                <w:color w:val="auto"/>
              </w:rPr>
            </w:pPr>
          </w:p>
        </w:tc>
        <w:tc>
          <w:tcPr>
            <w:tcW w:w="3020" w:type="dxa"/>
            <w:vAlign w:val="bottom"/>
            <w:tcBorders>
              <w:left w:val="single" w:sz="8" w:color="D7282F"/>
            </w:tcBorders>
            <w:gridSpan w:val="3"/>
            <w:vMerge w:val="restart"/>
          </w:tcPr>
          <w:p>
            <w:pPr>
              <w:ind w:left="360"/>
              <w:spacing w:after="0"/>
              <w:rPr>
                <w:sz w:val="20"/>
                <w:szCs w:val="20"/>
                <w:color w:val="auto"/>
              </w:rPr>
            </w:pPr>
            <w:r>
              <w:rPr>
                <w:rFonts w:ascii="Arial" w:cs="Arial" w:eastAsia="Arial" w:hAnsi="Arial"/>
                <w:sz w:val="14"/>
                <w:szCs w:val="14"/>
                <w:color w:val="auto"/>
              </w:rPr>
              <w:t>up” view and strategies for mitigating</w:t>
            </w:r>
          </w:p>
        </w:tc>
        <w:tc>
          <w:tcPr>
            <w:tcW w:w="2900" w:type="dxa"/>
            <w:vAlign w:val="bottom"/>
            <w:gridSpan w:val="3"/>
            <w:vMerge w:val="restart"/>
          </w:tcPr>
          <w:p>
            <w:pPr>
              <w:ind w:left="300"/>
              <w:spacing w:after="0"/>
              <w:rPr>
                <w:sz w:val="20"/>
                <w:szCs w:val="20"/>
                <w:color w:val="auto"/>
              </w:rPr>
            </w:pPr>
            <w:r>
              <w:rPr>
                <w:rFonts w:ascii="Arial" w:cs="Arial" w:eastAsia="Arial" w:hAnsi="Arial"/>
                <w:sz w:val="14"/>
                <w:szCs w:val="14"/>
                <w:color w:val="auto"/>
              </w:rPr>
              <w:t>mitigating those risks, thereby enabling</w:t>
            </w:r>
          </w:p>
        </w:tc>
        <w:tc>
          <w:tcPr>
            <w:tcW w:w="3080" w:type="dxa"/>
            <w:vAlign w:val="bottom"/>
            <w:tcBorders>
              <w:right w:val="single" w:sz="8" w:color="D7282F"/>
            </w:tcBorders>
            <w:gridSpan w:val="3"/>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140" w:type="dxa"/>
            <w:vAlign w:val="bottom"/>
          </w:tcPr>
          <w:p>
            <w:pPr>
              <w:spacing w:after="0"/>
              <w:rPr>
                <w:sz w:val="5"/>
                <w:szCs w:val="5"/>
                <w:color w:val="auto"/>
              </w:rPr>
            </w:pPr>
          </w:p>
        </w:tc>
        <w:tc>
          <w:tcPr>
            <w:tcW w:w="3020" w:type="dxa"/>
            <w:vAlign w:val="bottom"/>
            <w:tcBorders>
              <w:left w:val="single" w:sz="8" w:color="D7282F"/>
            </w:tcBorders>
            <w:gridSpan w:val="3"/>
            <w:vMerge w:val="continue"/>
          </w:tcPr>
          <w:p>
            <w:pPr>
              <w:spacing w:after="0"/>
              <w:rPr>
                <w:sz w:val="5"/>
                <w:szCs w:val="5"/>
                <w:color w:val="auto"/>
              </w:rPr>
            </w:pPr>
          </w:p>
        </w:tc>
        <w:tc>
          <w:tcPr>
            <w:tcW w:w="2900" w:type="dxa"/>
            <w:vAlign w:val="bottom"/>
            <w:gridSpan w:val="3"/>
            <w:vMerge w:val="continue"/>
          </w:tcPr>
          <w:p>
            <w:pPr>
              <w:spacing w:after="0"/>
              <w:rPr>
                <w:sz w:val="5"/>
                <w:szCs w:val="5"/>
                <w:color w:val="auto"/>
              </w:rPr>
            </w:pPr>
          </w:p>
        </w:tc>
        <w:tc>
          <w:tcPr>
            <w:tcW w:w="3080" w:type="dxa"/>
            <w:vAlign w:val="bottom"/>
            <w:tcBorders>
              <w:right w:val="single" w:sz="8" w:color="D7282F"/>
            </w:tcBorders>
            <w:gridSpan w:val="3"/>
            <w:vMerge w:val="restart"/>
          </w:tcPr>
          <w:p>
            <w:pPr>
              <w:ind w:left="300"/>
              <w:spacing w:after="0"/>
              <w:rPr>
                <w:sz w:val="20"/>
                <w:szCs w:val="20"/>
                <w:color w:val="auto"/>
              </w:rPr>
            </w:pPr>
            <w:r>
              <w:rPr>
                <w:rFonts w:ascii="Arial" w:cs="Arial" w:eastAsia="Arial" w:hAnsi="Arial"/>
                <w:sz w:val="14"/>
                <w:szCs w:val="14"/>
                <w:color w:val="auto"/>
              </w:rPr>
              <w:t>financial impact, is both realistic and</w:t>
            </w: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1140" w:type="dxa"/>
            <w:vAlign w:val="bottom"/>
          </w:tcPr>
          <w:p>
            <w:pPr>
              <w:spacing w:after="0"/>
              <w:rPr>
                <w:sz w:val="8"/>
                <w:szCs w:val="8"/>
                <w:color w:val="auto"/>
              </w:rPr>
            </w:pPr>
          </w:p>
        </w:tc>
        <w:tc>
          <w:tcPr>
            <w:tcW w:w="3020" w:type="dxa"/>
            <w:vAlign w:val="bottom"/>
            <w:tcBorders>
              <w:left w:val="single" w:sz="8" w:color="D7282F"/>
            </w:tcBorders>
            <w:gridSpan w:val="3"/>
            <w:vMerge w:val="restart"/>
          </w:tcPr>
          <w:p>
            <w:pPr>
              <w:ind w:left="360"/>
              <w:spacing w:after="0" w:line="149" w:lineRule="exact"/>
              <w:rPr>
                <w:sz w:val="20"/>
                <w:szCs w:val="20"/>
                <w:color w:val="auto"/>
              </w:rPr>
            </w:pPr>
            <w:r>
              <w:rPr>
                <w:rFonts w:ascii="Arial" w:cs="Arial" w:eastAsia="Arial" w:hAnsi="Arial"/>
                <w:sz w:val="14"/>
                <w:szCs w:val="14"/>
                <w:color w:val="auto"/>
              </w:rPr>
              <w:t>those risks.</w:t>
            </w:r>
          </w:p>
        </w:tc>
        <w:tc>
          <w:tcPr>
            <w:tcW w:w="2900" w:type="dxa"/>
            <w:vAlign w:val="bottom"/>
            <w:gridSpan w:val="3"/>
            <w:vMerge w:val="restart"/>
          </w:tcPr>
          <w:p>
            <w:pPr>
              <w:ind w:left="300"/>
              <w:spacing w:after="0" w:line="149" w:lineRule="exact"/>
              <w:rPr>
                <w:sz w:val="20"/>
                <w:szCs w:val="20"/>
                <w:color w:val="auto"/>
              </w:rPr>
            </w:pPr>
            <w:r>
              <w:rPr>
                <w:rFonts w:ascii="Arial" w:cs="Arial" w:eastAsia="Arial" w:hAnsi="Arial"/>
                <w:sz w:val="14"/>
                <w:szCs w:val="14"/>
                <w:color w:val="auto"/>
              </w:rPr>
              <w:t>the Board to effectively exercise its</w:t>
            </w:r>
          </w:p>
        </w:tc>
        <w:tc>
          <w:tcPr>
            <w:tcW w:w="3080" w:type="dxa"/>
            <w:vAlign w:val="bottom"/>
            <w:tcBorders>
              <w:right w:val="single" w:sz="8" w:color="D7282F"/>
            </w:tcBorders>
            <w:gridSpan w:val="3"/>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140" w:type="dxa"/>
            <w:vAlign w:val="bottom"/>
          </w:tcPr>
          <w:p>
            <w:pPr>
              <w:spacing w:after="0"/>
              <w:rPr>
                <w:sz w:val="4"/>
                <w:szCs w:val="4"/>
                <w:color w:val="auto"/>
              </w:rPr>
            </w:pPr>
          </w:p>
        </w:tc>
        <w:tc>
          <w:tcPr>
            <w:tcW w:w="3020" w:type="dxa"/>
            <w:vAlign w:val="bottom"/>
            <w:tcBorders>
              <w:left w:val="single" w:sz="8" w:color="D7282F"/>
            </w:tcBorders>
            <w:gridSpan w:val="3"/>
            <w:vMerge w:val="continue"/>
          </w:tcPr>
          <w:p>
            <w:pPr>
              <w:spacing w:after="0"/>
              <w:rPr>
                <w:sz w:val="4"/>
                <w:szCs w:val="4"/>
                <w:color w:val="auto"/>
              </w:rPr>
            </w:pPr>
          </w:p>
        </w:tc>
        <w:tc>
          <w:tcPr>
            <w:tcW w:w="2900" w:type="dxa"/>
            <w:vAlign w:val="bottom"/>
            <w:gridSpan w:val="3"/>
            <w:vMerge w:val="continue"/>
          </w:tcPr>
          <w:p>
            <w:pPr>
              <w:spacing w:after="0"/>
              <w:rPr>
                <w:sz w:val="4"/>
                <w:szCs w:val="4"/>
                <w:color w:val="auto"/>
              </w:rPr>
            </w:pPr>
          </w:p>
        </w:tc>
        <w:tc>
          <w:tcPr>
            <w:tcW w:w="3080" w:type="dxa"/>
            <w:vAlign w:val="bottom"/>
            <w:tcBorders>
              <w:right w:val="single" w:sz="8" w:color="D7282F"/>
            </w:tcBorders>
            <w:gridSpan w:val="3"/>
            <w:vMerge w:val="restart"/>
          </w:tcPr>
          <w:p>
            <w:pPr>
              <w:ind w:left="300"/>
              <w:spacing w:after="0"/>
              <w:rPr>
                <w:sz w:val="20"/>
                <w:szCs w:val="20"/>
                <w:color w:val="auto"/>
              </w:rPr>
            </w:pPr>
            <w:r>
              <w:rPr>
                <w:rFonts w:ascii="Arial" w:cs="Arial" w:eastAsia="Arial" w:hAnsi="Arial"/>
                <w:sz w:val="14"/>
                <w:szCs w:val="14"/>
                <w:color w:val="auto"/>
              </w:rPr>
              <w:t>appropriate.</w:t>
            </w: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1140" w:type="dxa"/>
            <w:vAlign w:val="bottom"/>
          </w:tcPr>
          <w:p>
            <w:pPr>
              <w:spacing w:after="0"/>
              <w:rPr>
                <w:sz w:val="11"/>
                <w:szCs w:val="11"/>
                <w:color w:val="auto"/>
              </w:rPr>
            </w:pPr>
          </w:p>
        </w:tc>
        <w:tc>
          <w:tcPr>
            <w:tcW w:w="3020" w:type="dxa"/>
            <w:vAlign w:val="bottom"/>
            <w:tcBorders>
              <w:left w:val="single" w:sz="8" w:color="D7282F"/>
            </w:tcBorders>
            <w:gridSpan w:val="3"/>
            <w:vMerge w:val="restart"/>
          </w:tcPr>
          <w:p>
            <w:pPr>
              <w:ind w:left="16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4"/>
                <w:szCs w:val="14"/>
                <w:color w:val="000000"/>
              </w:rPr>
              <w:t>In 2025, the ERM program included</w:t>
            </w:r>
          </w:p>
        </w:tc>
        <w:tc>
          <w:tcPr>
            <w:tcW w:w="2900" w:type="dxa"/>
            <w:vAlign w:val="bottom"/>
            <w:gridSpan w:val="3"/>
            <w:vMerge w:val="restart"/>
          </w:tcPr>
          <w:p>
            <w:pPr>
              <w:ind w:left="300"/>
              <w:spacing w:after="0"/>
              <w:rPr>
                <w:sz w:val="20"/>
                <w:szCs w:val="20"/>
                <w:color w:val="auto"/>
              </w:rPr>
            </w:pPr>
            <w:r>
              <w:rPr>
                <w:rFonts w:ascii="Arial" w:cs="Arial" w:eastAsia="Arial" w:hAnsi="Arial"/>
                <w:sz w:val="14"/>
                <w:szCs w:val="14"/>
                <w:color w:val="auto"/>
              </w:rPr>
              <w:t>oversight function.</w:t>
            </w:r>
          </w:p>
        </w:tc>
        <w:tc>
          <w:tcPr>
            <w:tcW w:w="3080" w:type="dxa"/>
            <w:vAlign w:val="bottom"/>
            <w:tcBorders>
              <w:right w:val="single" w:sz="8" w:color="D7282F"/>
            </w:tcBorders>
            <w:gridSpan w:val="3"/>
            <w:vMerge w:val="continue"/>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140" w:type="dxa"/>
            <w:vAlign w:val="bottom"/>
          </w:tcPr>
          <w:p>
            <w:pPr>
              <w:spacing w:after="0"/>
              <w:rPr>
                <w:sz w:val="5"/>
                <w:szCs w:val="5"/>
                <w:color w:val="auto"/>
              </w:rPr>
            </w:pPr>
          </w:p>
        </w:tc>
        <w:tc>
          <w:tcPr>
            <w:tcW w:w="3020" w:type="dxa"/>
            <w:vAlign w:val="bottom"/>
            <w:tcBorders>
              <w:left w:val="single" w:sz="8" w:color="D7282F"/>
            </w:tcBorders>
            <w:gridSpan w:val="3"/>
            <w:vMerge w:val="continue"/>
          </w:tcPr>
          <w:p>
            <w:pPr>
              <w:spacing w:after="0"/>
              <w:rPr>
                <w:sz w:val="5"/>
                <w:szCs w:val="5"/>
                <w:color w:val="auto"/>
              </w:rPr>
            </w:pPr>
          </w:p>
        </w:tc>
        <w:tc>
          <w:tcPr>
            <w:tcW w:w="2900" w:type="dxa"/>
            <w:vAlign w:val="bottom"/>
            <w:gridSpan w:val="3"/>
            <w:vMerge w:val="continue"/>
          </w:tcPr>
          <w:p>
            <w:pPr>
              <w:spacing w:after="0"/>
              <w:rPr>
                <w:sz w:val="5"/>
                <w:szCs w:val="5"/>
                <w:color w:val="auto"/>
              </w:rPr>
            </w:pPr>
          </w:p>
        </w:tc>
        <w:tc>
          <w:tcPr>
            <w:tcW w:w="3080" w:type="dxa"/>
            <w:vAlign w:val="bottom"/>
            <w:tcBorders>
              <w:right w:val="single" w:sz="8" w:color="D7282F"/>
            </w:tcBorders>
            <w:gridSpan w:val="3"/>
            <w:vMerge w:val="restart"/>
          </w:tcPr>
          <w:p>
            <w:pPr>
              <w:ind w:left="12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4"/>
                <w:szCs w:val="14"/>
                <w:color w:val="000000"/>
              </w:rPr>
              <w:t>Feedback from the one-on-one</w:t>
            </w: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1140" w:type="dxa"/>
            <w:vAlign w:val="bottom"/>
          </w:tcPr>
          <w:p>
            <w:pPr>
              <w:spacing w:after="0"/>
              <w:rPr>
                <w:sz w:val="10"/>
                <w:szCs w:val="10"/>
                <w:color w:val="auto"/>
              </w:rPr>
            </w:pPr>
          </w:p>
        </w:tc>
        <w:tc>
          <w:tcPr>
            <w:tcW w:w="3020" w:type="dxa"/>
            <w:vAlign w:val="bottom"/>
            <w:tcBorders>
              <w:left w:val="single" w:sz="8" w:color="D7282F"/>
            </w:tcBorders>
            <w:gridSpan w:val="3"/>
            <w:vMerge w:val="restart"/>
          </w:tcPr>
          <w:p>
            <w:pPr>
              <w:ind w:left="360"/>
              <w:spacing w:after="0"/>
              <w:rPr>
                <w:sz w:val="20"/>
                <w:szCs w:val="20"/>
                <w:color w:val="auto"/>
              </w:rPr>
            </w:pPr>
            <w:r>
              <w:rPr>
                <w:rFonts w:ascii="Arial" w:cs="Arial" w:eastAsia="Arial" w:hAnsi="Arial"/>
                <w:sz w:val="14"/>
                <w:szCs w:val="14"/>
                <w:color w:val="auto"/>
              </w:rPr>
              <w:t>interviews with the Chairman and CEO,</w:t>
            </w:r>
          </w:p>
        </w:tc>
        <w:tc>
          <w:tcPr>
            <w:tcW w:w="2900" w:type="dxa"/>
            <w:vAlign w:val="bottom"/>
            <w:gridSpan w:val="3"/>
            <w:vMerge w:val="restart"/>
          </w:tcPr>
          <w:p>
            <w:pPr>
              <w:ind w:left="100"/>
              <w:spacing w:after="0" w:line="180" w:lineRule="exact"/>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4"/>
                <w:szCs w:val="14"/>
                <w:color w:val="000000"/>
              </w:rPr>
              <w:t>To facilitate continued monitoring and</w:t>
            </w:r>
          </w:p>
        </w:tc>
        <w:tc>
          <w:tcPr>
            <w:tcW w:w="3080" w:type="dxa"/>
            <w:vAlign w:val="bottom"/>
            <w:tcBorders>
              <w:right w:val="single" w:sz="8" w:color="D7282F"/>
            </w:tcBorders>
            <w:gridSpan w:val="3"/>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140" w:type="dxa"/>
            <w:vAlign w:val="bottom"/>
          </w:tcPr>
          <w:p>
            <w:pPr>
              <w:spacing w:after="0"/>
              <w:rPr>
                <w:sz w:val="4"/>
                <w:szCs w:val="4"/>
                <w:color w:val="auto"/>
              </w:rPr>
            </w:pPr>
          </w:p>
        </w:tc>
        <w:tc>
          <w:tcPr>
            <w:tcW w:w="3020" w:type="dxa"/>
            <w:vAlign w:val="bottom"/>
            <w:tcBorders>
              <w:left w:val="single" w:sz="8" w:color="D7282F"/>
            </w:tcBorders>
            <w:gridSpan w:val="3"/>
            <w:vMerge w:val="continue"/>
          </w:tcPr>
          <w:p>
            <w:pPr>
              <w:spacing w:after="0"/>
              <w:rPr>
                <w:sz w:val="4"/>
                <w:szCs w:val="4"/>
                <w:color w:val="auto"/>
              </w:rPr>
            </w:pPr>
          </w:p>
        </w:tc>
        <w:tc>
          <w:tcPr>
            <w:tcW w:w="2900" w:type="dxa"/>
            <w:vAlign w:val="bottom"/>
            <w:gridSpan w:val="3"/>
            <w:vMerge w:val="continue"/>
          </w:tcPr>
          <w:p>
            <w:pPr>
              <w:spacing w:after="0"/>
              <w:rPr>
                <w:sz w:val="4"/>
                <w:szCs w:val="4"/>
                <w:color w:val="auto"/>
              </w:rPr>
            </w:pPr>
          </w:p>
        </w:tc>
        <w:tc>
          <w:tcPr>
            <w:tcW w:w="3080" w:type="dxa"/>
            <w:vAlign w:val="bottom"/>
            <w:tcBorders>
              <w:right w:val="single" w:sz="8" w:color="D7282F"/>
            </w:tcBorders>
            <w:gridSpan w:val="3"/>
            <w:vMerge w:val="restart"/>
          </w:tcPr>
          <w:p>
            <w:pPr>
              <w:ind w:left="300"/>
              <w:spacing w:after="0" w:line="149" w:lineRule="exact"/>
              <w:rPr>
                <w:sz w:val="20"/>
                <w:szCs w:val="20"/>
                <w:color w:val="auto"/>
              </w:rPr>
            </w:pPr>
            <w:r>
              <w:rPr>
                <w:rFonts w:ascii="Arial" w:cs="Arial" w:eastAsia="Arial" w:hAnsi="Arial"/>
                <w:sz w:val="14"/>
                <w:szCs w:val="14"/>
                <w:color w:val="auto"/>
              </w:rPr>
              <w:t>interviews with the individual Board</w:t>
            </w: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140" w:type="dxa"/>
            <w:vAlign w:val="bottom"/>
          </w:tcPr>
          <w:p>
            <w:pPr>
              <w:spacing w:after="0"/>
              <w:rPr>
                <w:sz w:val="8"/>
                <w:szCs w:val="8"/>
                <w:color w:val="auto"/>
              </w:rPr>
            </w:pPr>
          </w:p>
        </w:tc>
        <w:tc>
          <w:tcPr>
            <w:tcW w:w="3020" w:type="dxa"/>
            <w:vAlign w:val="bottom"/>
            <w:tcBorders>
              <w:left w:val="single" w:sz="8" w:color="D7282F"/>
            </w:tcBorders>
            <w:gridSpan w:val="3"/>
            <w:vMerge w:val="restart"/>
          </w:tcPr>
          <w:p>
            <w:pPr>
              <w:ind w:left="360"/>
              <w:spacing w:after="0"/>
              <w:rPr>
                <w:sz w:val="20"/>
                <w:szCs w:val="20"/>
                <w:color w:val="auto"/>
              </w:rPr>
            </w:pPr>
            <w:r>
              <w:rPr>
                <w:rFonts w:ascii="Arial" w:cs="Arial" w:eastAsia="Arial" w:hAnsi="Arial"/>
                <w:sz w:val="14"/>
                <w:szCs w:val="14"/>
                <w:color w:val="auto"/>
              </w:rPr>
              <w:t>and each member of his leadership</w:t>
            </w:r>
          </w:p>
        </w:tc>
        <w:tc>
          <w:tcPr>
            <w:tcW w:w="2900" w:type="dxa"/>
            <w:vAlign w:val="bottom"/>
            <w:gridSpan w:val="3"/>
            <w:vMerge w:val="restart"/>
          </w:tcPr>
          <w:p>
            <w:pPr>
              <w:ind w:left="300"/>
              <w:spacing w:after="0"/>
              <w:rPr>
                <w:sz w:val="20"/>
                <w:szCs w:val="20"/>
                <w:color w:val="auto"/>
              </w:rPr>
            </w:pPr>
            <w:r>
              <w:rPr>
                <w:rFonts w:ascii="Arial" w:cs="Arial" w:eastAsia="Arial" w:hAnsi="Arial"/>
                <w:sz w:val="14"/>
                <w:szCs w:val="14"/>
                <w:color w:val="auto"/>
              </w:rPr>
              <w:t>oversight by the Board, key risk areas</w:t>
            </w:r>
          </w:p>
        </w:tc>
        <w:tc>
          <w:tcPr>
            <w:tcW w:w="3080" w:type="dxa"/>
            <w:vAlign w:val="bottom"/>
            <w:tcBorders>
              <w:right w:val="single" w:sz="8" w:color="D7282F"/>
            </w:tcBorders>
            <w:gridSpan w:val="3"/>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140" w:type="dxa"/>
            <w:vAlign w:val="bottom"/>
          </w:tcPr>
          <w:p>
            <w:pPr>
              <w:spacing w:after="0"/>
              <w:rPr>
                <w:sz w:val="5"/>
                <w:szCs w:val="5"/>
                <w:color w:val="auto"/>
              </w:rPr>
            </w:pPr>
          </w:p>
        </w:tc>
        <w:tc>
          <w:tcPr>
            <w:tcW w:w="3020" w:type="dxa"/>
            <w:vAlign w:val="bottom"/>
            <w:tcBorders>
              <w:left w:val="single" w:sz="8" w:color="D7282F"/>
            </w:tcBorders>
            <w:gridSpan w:val="3"/>
            <w:vMerge w:val="continue"/>
          </w:tcPr>
          <w:p>
            <w:pPr>
              <w:spacing w:after="0"/>
              <w:rPr>
                <w:sz w:val="5"/>
                <w:szCs w:val="5"/>
                <w:color w:val="auto"/>
              </w:rPr>
            </w:pPr>
          </w:p>
        </w:tc>
        <w:tc>
          <w:tcPr>
            <w:tcW w:w="2900" w:type="dxa"/>
            <w:vAlign w:val="bottom"/>
            <w:gridSpan w:val="3"/>
            <w:vMerge w:val="continue"/>
          </w:tcPr>
          <w:p>
            <w:pPr>
              <w:spacing w:after="0"/>
              <w:rPr>
                <w:sz w:val="5"/>
                <w:szCs w:val="5"/>
                <w:color w:val="auto"/>
              </w:rPr>
            </w:pPr>
          </w:p>
        </w:tc>
        <w:tc>
          <w:tcPr>
            <w:tcW w:w="3080" w:type="dxa"/>
            <w:vAlign w:val="bottom"/>
            <w:tcBorders>
              <w:right w:val="single" w:sz="8" w:color="D7282F"/>
            </w:tcBorders>
            <w:gridSpan w:val="3"/>
            <w:vMerge w:val="restart"/>
          </w:tcPr>
          <w:p>
            <w:pPr>
              <w:ind w:left="300"/>
              <w:spacing w:after="0"/>
              <w:rPr>
                <w:sz w:val="20"/>
                <w:szCs w:val="20"/>
                <w:color w:val="auto"/>
              </w:rPr>
            </w:pPr>
            <w:r>
              <w:rPr>
                <w:rFonts w:ascii="Arial" w:cs="Arial" w:eastAsia="Arial" w:hAnsi="Arial"/>
                <w:sz w:val="14"/>
                <w:szCs w:val="14"/>
                <w:color w:val="auto"/>
              </w:rPr>
              <w:t>members is presented to the full Board</w:t>
            </w: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140" w:type="dxa"/>
            <w:vAlign w:val="bottom"/>
          </w:tcPr>
          <w:p>
            <w:pPr>
              <w:spacing w:after="0"/>
              <w:rPr>
                <w:sz w:val="8"/>
                <w:szCs w:val="8"/>
                <w:color w:val="auto"/>
              </w:rPr>
            </w:pPr>
          </w:p>
        </w:tc>
        <w:tc>
          <w:tcPr>
            <w:tcW w:w="3020" w:type="dxa"/>
            <w:vAlign w:val="bottom"/>
            <w:tcBorders>
              <w:left w:val="single" w:sz="8" w:color="D7282F"/>
            </w:tcBorders>
            <w:gridSpan w:val="3"/>
            <w:vMerge w:val="restart"/>
          </w:tcPr>
          <w:p>
            <w:pPr>
              <w:ind w:left="360"/>
              <w:spacing w:after="0" w:line="149" w:lineRule="exact"/>
              <w:rPr>
                <w:sz w:val="20"/>
                <w:szCs w:val="20"/>
                <w:color w:val="auto"/>
              </w:rPr>
            </w:pPr>
            <w:r>
              <w:rPr>
                <w:rFonts w:ascii="Arial" w:cs="Arial" w:eastAsia="Arial" w:hAnsi="Arial"/>
                <w:sz w:val="14"/>
                <w:szCs w:val="14"/>
                <w:color w:val="auto"/>
              </w:rPr>
              <w:t>team, as well as 80 workshop interviews</w:t>
            </w:r>
          </w:p>
        </w:tc>
        <w:tc>
          <w:tcPr>
            <w:tcW w:w="2900" w:type="dxa"/>
            <w:vAlign w:val="bottom"/>
            <w:gridSpan w:val="3"/>
            <w:vMerge w:val="restart"/>
          </w:tcPr>
          <w:p>
            <w:pPr>
              <w:ind w:left="300"/>
              <w:spacing w:after="0" w:line="149" w:lineRule="exact"/>
              <w:rPr>
                <w:sz w:val="20"/>
                <w:szCs w:val="20"/>
                <w:color w:val="auto"/>
              </w:rPr>
            </w:pPr>
            <w:r>
              <w:rPr>
                <w:rFonts w:ascii="Arial" w:cs="Arial" w:eastAsia="Arial" w:hAnsi="Arial"/>
                <w:sz w:val="14"/>
                <w:szCs w:val="14"/>
                <w:color w:val="auto"/>
              </w:rPr>
              <w:t>identified during the ERM process and</w:t>
            </w:r>
          </w:p>
        </w:tc>
        <w:tc>
          <w:tcPr>
            <w:tcW w:w="3080" w:type="dxa"/>
            <w:vAlign w:val="bottom"/>
            <w:tcBorders>
              <w:right w:val="single" w:sz="8" w:color="D7282F"/>
            </w:tcBorders>
            <w:gridSpan w:val="3"/>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140" w:type="dxa"/>
            <w:vAlign w:val="bottom"/>
          </w:tcPr>
          <w:p>
            <w:pPr>
              <w:spacing w:after="0"/>
              <w:rPr>
                <w:sz w:val="4"/>
                <w:szCs w:val="4"/>
                <w:color w:val="auto"/>
              </w:rPr>
            </w:pPr>
          </w:p>
        </w:tc>
        <w:tc>
          <w:tcPr>
            <w:tcW w:w="3020" w:type="dxa"/>
            <w:vAlign w:val="bottom"/>
            <w:tcBorders>
              <w:left w:val="single" w:sz="8" w:color="D7282F"/>
            </w:tcBorders>
            <w:gridSpan w:val="3"/>
            <w:vMerge w:val="continue"/>
          </w:tcPr>
          <w:p>
            <w:pPr>
              <w:spacing w:after="0"/>
              <w:rPr>
                <w:sz w:val="4"/>
                <w:szCs w:val="4"/>
                <w:color w:val="auto"/>
              </w:rPr>
            </w:pPr>
          </w:p>
        </w:tc>
        <w:tc>
          <w:tcPr>
            <w:tcW w:w="2900" w:type="dxa"/>
            <w:vAlign w:val="bottom"/>
            <w:gridSpan w:val="3"/>
            <w:vMerge w:val="continue"/>
          </w:tcPr>
          <w:p>
            <w:pPr>
              <w:spacing w:after="0"/>
              <w:rPr>
                <w:sz w:val="4"/>
                <w:szCs w:val="4"/>
                <w:color w:val="auto"/>
              </w:rPr>
            </w:pPr>
          </w:p>
        </w:tc>
        <w:tc>
          <w:tcPr>
            <w:tcW w:w="3080" w:type="dxa"/>
            <w:vAlign w:val="bottom"/>
            <w:tcBorders>
              <w:right w:val="single" w:sz="8" w:color="D7282F"/>
            </w:tcBorders>
            <w:gridSpan w:val="3"/>
            <w:vMerge w:val="restart"/>
          </w:tcPr>
          <w:p>
            <w:pPr>
              <w:ind w:left="300"/>
              <w:spacing w:after="0"/>
              <w:rPr>
                <w:sz w:val="20"/>
                <w:szCs w:val="20"/>
                <w:color w:val="auto"/>
              </w:rPr>
            </w:pPr>
            <w:r>
              <w:rPr>
                <w:rFonts w:ascii="Arial" w:cs="Arial" w:eastAsia="Arial" w:hAnsi="Arial"/>
                <w:sz w:val="14"/>
                <w:szCs w:val="14"/>
                <w:color w:val="auto"/>
              </w:rPr>
              <w:t>and incorporated into the Company's</w:t>
            </w: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3020" w:type="dxa"/>
            <w:vAlign w:val="bottom"/>
            <w:tcBorders>
              <w:left w:val="single" w:sz="8" w:color="D7282F"/>
            </w:tcBorders>
            <w:gridSpan w:val="3"/>
            <w:vMerge w:val="restart"/>
          </w:tcPr>
          <w:p>
            <w:pPr>
              <w:ind w:left="360"/>
              <w:spacing w:after="0"/>
              <w:rPr>
                <w:sz w:val="20"/>
                <w:szCs w:val="20"/>
                <w:color w:val="auto"/>
              </w:rPr>
            </w:pPr>
            <w:r>
              <w:rPr>
                <w:rFonts w:ascii="Arial" w:cs="Arial" w:eastAsia="Arial" w:hAnsi="Arial"/>
                <w:sz w:val="14"/>
                <w:szCs w:val="14"/>
                <w:color w:val="auto"/>
              </w:rPr>
              <w:t>with 89 risk owners and risk experts,</w:t>
            </w:r>
          </w:p>
        </w:tc>
        <w:tc>
          <w:tcPr>
            <w:tcW w:w="2900" w:type="dxa"/>
            <w:vAlign w:val="bottom"/>
            <w:gridSpan w:val="3"/>
            <w:vMerge w:val="restart"/>
          </w:tcPr>
          <w:p>
            <w:pPr>
              <w:ind w:left="300"/>
              <w:spacing w:after="0"/>
              <w:rPr>
                <w:sz w:val="20"/>
                <w:szCs w:val="20"/>
                <w:color w:val="auto"/>
              </w:rPr>
            </w:pPr>
            <w:r>
              <w:rPr>
                <w:rFonts w:ascii="Arial" w:cs="Arial" w:eastAsia="Arial" w:hAnsi="Arial"/>
                <w:sz w:val="14"/>
                <w:szCs w:val="14"/>
                <w:color w:val="auto"/>
              </w:rPr>
              <w:t>management’s associated mitigation</w:t>
            </w:r>
          </w:p>
        </w:tc>
        <w:tc>
          <w:tcPr>
            <w:tcW w:w="3080" w:type="dxa"/>
            <w:vAlign w:val="bottom"/>
            <w:tcBorders>
              <w:right w:val="single" w:sz="8" w:color="D7282F"/>
            </w:tcBorders>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140" w:type="dxa"/>
            <w:vAlign w:val="bottom"/>
          </w:tcPr>
          <w:p>
            <w:pPr>
              <w:spacing w:after="0"/>
              <w:rPr>
                <w:sz w:val="4"/>
                <w:szCs w:val="4"/>
                <w:color w:val="auto"/>
              </w:rPr>
            </w:pPr>
          </w:p>
        </w:tc>
        <w:tc>
          <w:tcPr>
            <w:tcW w:w="3020" w:type="dxa"/>
            <w:vAlign w:val="bottom"/>
            <w:tcBorders>
              <w:left w:val="single" w:sz="8" w:color="D7282F"/>
            </w:tcBorders>
            <w:gridSpan w:val="3"/>
            <w:vMerge w:val="continue"/>
          </w:tcPr>
          <w:p>
            <w:pPr>
              <w:spacing w:after="0"/>
              <w:rPr>
                <w:sz w:val="4"/>
                <w:szCs w:val="4"/>
                <w:color w:val="auto"/>
              </w:rPr>
            </w:pPr>
          </w:p>
        </w:tc>
        <w:tc>
          <w:tcPr>
            <w:tcW w:w="2900" w:type="dxa"/>
            <w:vAlign w:val="bottom"/>
            <w:gridSpan w:val="3"/>
            <w:vMerge w:val="continue"/>
          </w:tcPr>
          <w:p>
            <w:pPr>
              <w:spacing w:after="0"/>
              <w:rPr>
                <w:sz w:val="4"/>
                <w:szCs w:val="4"/>
                <w:color w:val="auto"/>
              </w:rPr>
            </w:pPr>
          </w:p>
        </w:tc>
        <w:tc>
          <w:tcPr>
            <w:tcW w:w="3080" w:type="dxa"/>
            <w:vAlign w:val="bottom"/>
            <w:tcBorders>
              <w:right w:val="single" w:sz="8" w:color="D7282F"/>
            </w:tcBorders>
            <w:gridSpan w:val="3"/>
            <w:vMerge w:val="restart"/>
          </w:tcPr>
          <w:p>
            <w:pPr>
              <w:ind w:left="300"/>
              <w:spacing w:after="0"/>
              <w:rPr>
                <w:sz w:val="20"/>
                <w:szCs w:val="20"/>
                <w:color w:val="auto"/>
              </w:rPr>
            </w:pPr>
            <w:r>
              <w:rPr>
                <w:rFonts w:ascii="Arial" w:cs="Arial" w:eastAsia="Arial" w:hAnsi="Arial"/>
                <w:sz w:val="14"/>
                <w:szCs w:val="14"/>
                <w:color w:val="auto"/>
              </w:rPr>
              <w:t>risk assessment and associated</w:t>
            </w: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3020" w:type="dxa"/>
            <w:vAlign w:val="bottom"/>
            <w:tcBorders>
              <w:left w:val="single" w:sz="8" w:color="D7282F"/>
            </w:tcBorders>
            <w:gridSpan w:val="3"/>
            <w:vMerge w:val="restart"/>
          </w:tcPr>
          <w:p>
            <w:pPr>
              <w:ind w:left="360"/>
              <w:spacing w:after="0"/>
              <w:rPr>
                <w:sz w:val="20"/>
                <w:szCs w:val="20"/>
                <w:color w:val="auto"/>
              </w:rPr>
            </w:pPr>
            <w:r>
              <w:rPr>
                <w:rFonts w:ascii="Arial" w:cs="Arial" w:eastAsia="Arial" w:hAnsi="Arial"/>
                <w:sz w:val="14"/>
                <w:szCs w:val="14"/>
                <w:color w:val="auto"/>
              </w:rPr>
              <w:t>covering 82 risk areas across all</w:t>
            </w:r>
          </w:p>
        </w:tc>
        <w:tc>
          <w:tcPr>
            <w:tcW w:w="2900" w:type="dxa"/>
            <w:vAlign w:val="bottom"/>
            <w:gridSpan w:val="3"/>
            <w:vMerge w:val="restart"/>
          </w:tcPr>
          <w:p>
            <w:pPr>
              <w:ind w:left="300"/>
              <w:spacing w:after="0"/>
              <w:rPr>
                <w:sz w:val="20"/>
                <w:szCs w:val="20"/>
                <w:color w:val="auto"/>
              </w:rPr>
            </w:pPr>
            <w:r>
              <w:rPr>
                <w:rFonts w:ascii="Arial" w:cs="Arial" w:eastAsia="Arial" w:hAnsi="Arial"/>
                <w:sz w:val="14"/>
                <w:szCs w:val="14"/>
                <w:color w:val="auto"/>
              </w:rPr>
              <w:t>activities become part of Board and/or</w:t>
            </w:r>
          </w:p>
        </w:tc>
        <w:tc>
          <w:tcPr>
            <w:tcW w:w="3080" w:type="dxa"/>
            <w:vAlign w:val="bottom"/>
            <w:tcBorders>
              <w:right w:val="single" w:sz="8" w:color="D7282F"/>
            </w:tcBorders>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140" w:type="dxa"/>
            <w:vAlign w:val="bottom"/>
          </w:tcPr>
          <w:p>
            <w:pPr>
              <w:spacing w:after="0"/>
              <w:rPr>
                <w:sz w:val="4"/>
                <w:szCs w:val="4"/>
                <w:color w:val="auto"/>
              </w:rPr>
            </w:pPr>
          </w:p>
        </w:tc>
        <w:tc>
          <w:tcPr>
            <w:tcW w:w="3020" w:type="dxa"/>
            <w:vAlign w:val="bottom"/>
            <w:tcBorders>
              <w:left w:val="single" w:sz="8" w:color="D7282F"/>
            </w:tcBorders>
            <w:gridSpan w:val="3"/>
            <w:vMerge w:val="continue"/>
          </w:tcPr>
          <w:p>
            <w:pPr>
              <w:spacing w:after="0"/>
              <w:rPr>
                <w:sz w:val="4"/>
                <w:szCs w:val="4"/>
                <w:color w:val="auto"/>
              </w:rPr>
            </w:pPr>
          </w:p>
        </w:tc>
        <w:tc>
          <w:tcPr>
            <w:tcW w:w="2900" w:type="dxa"/>
            <w:vAlign w:val="bottom"/>
            <w:gridSpan w:val="3"/>
            <w:vMerge w:val="continue"/>
          </w:tcPr>
          <w:p>
            <w:pPr>
              <w:spacing w:after="0"/>
              <w:rPr>
                <w:sz w:val="4"/>
                <w:szCs w:val="4"/>
                <w:color w:val="auto"/>
              </w:rPr>
            </w:pPr>
          </w:p>
        </w:tc>
        <w:tc>
          <w:tcPr>
            <w:tcW w:w="3080" w:type="dxa"/>
            <w:vAlign w:val="bottom"/>
            <w:tcBorders>
              <w:right w:val="single" w:sz="8" w:color="D7282F"/>
            </w:tcBorders>
            <w:gridSpan w:val="3"/>
            <w:vMerge w:val="restart"/>
          </w:tcPr>
          <w:p>
            <w:pPr>
              <w:ind w:left="300"/>
              <w:spacing w:after="0"/>
              <w:rPr>
                <w:sz w:val="20"/>
                <w:szCs w:val="20"/>
                <w:color w:val="auto"/>
              </w:rPr>
            </w:pPr>
            <w:r>
              <w:rPr>
                <w:rFonts w:ascii="Arial" w:cs="Arial" w:eastAsia="Arial" w:hAnsi="Arial"/>
                <w:sz w:val="14"/>
                <w:szCs w:val="14"/>
                <w:color w:val="auto"/>
              </w:rPr>
              <w:t>mitigation efforts.</w:t>
            </w: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3020" w:type="dxa"/>
            <w:vAlign w:val="bottom"/>
            <w:tcBorders>
              <w:left w:val="single" w:sz="8" w:color="D7282F"/>
            </w:tcBorders>
            <w:gridSpan w:val="3"/>
          </w:tcPr>
          <w:p>
            <w:pPr>
              <w:ind w:left="360"/>
              <w:spacing w:after="0" w:line="149" w:lineRule="exact"/>
              <w:rPr>
                <w:sz w:val="20"/>
                <w:szCs w:val="20"/>
                <w:color w:val="auto"/>
              </w:rPr>
            </w:pPr>
            <w:r>
              <w:rPr>
                <w:rFonts w:ascii="Arial" w:cs="Arial" w:eastAsia="Arial" w:hAnsi="Arial"/>
                <w:sz w:val="14"/>
                <w:szCs w:val="14"/>
                <w:color w:val="auto"/>
              </w:rPr>
              <w:t>businesses and functions.</w:t>
            </w:r>
          </w:p>
        </w:tc>
        <w:tc>
          <w:tcPr>
            <w:tcW w:w="290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committee meeting agendas for the</w:t>
            </w:r>
          </w:p>
        </w:tc>
        <w:tc>
          <w:tcPr>
            <w:tcW w:w="3080" w:type="dxa"/>
            <w:vAlign w:val="bottom"/>
            <w:tcBorders>
              <w:right w:val="single" w:sz="8" w:color="D7282F"/>
            </w:tcBorders>
            <w:gridSpan w:val="3"/>
            <w:vMerge w:val="continue"/>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020" w:type="dxa"/>
            <w:vAlign w:val="bottom"/>
            <w:tcBorders>
              <w:left w:val="single" w:sz="8" w:color="D7282F"/>
            </w:tcBorders>
            <w:gridSpan w:val="3"/>
          </w:tcPr>
          <w:p>
            <w:pPr>
              <w:ind w:left="16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4"/>
                <w:szCs w:val="14"/>
                <w:color w:val="000000"/>
              </w:rPr>
              <w:t>In 2026, ERM-identified risks will drive</w:t>
            </w:r>
          </w:p>
        </w:tc>
        <w:tc>
          <w:tcPr>
            <w:tcW w:w="2900" w:type="dxa"/>
            <w:vAlign w:val="bottom"/>
            <w:gridSpan w:val="3"/>
          </w:tcPr>
          <w:p>
            <w:pPr>
              <w:ind w:left="300"/>
              <w:spacing w:after="0"/>
              <w:rPr>
                <w:sz w:val="20"/>
                <w:szCs w:val="20"/>
                <w:color w:val="auto"/>
              </w:rPr>
            </w:pPr>
            <w:r>
              <w:rPr>
                <w:rFonts w:ascii="Arial" w:cs="Arial" w:eastAsia="Arial" w:hAnsi="Arial"/>
                <w:sz w:val="14"/>
                <w:szCs w:val="14"/>
                <w:color w:val="auto"/>
              </w:rPr>
              <w:t>following year.</w:t>
            </w:r>
          </w:p>
        </w:tc>
        <w:tc>
          <w:tcPr>
            <w:tcW w:w="1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Borders>
              <w:right w:val="single" w:sz="8" w:color="D7282F"/>
            </w:tcBorders>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020" w:type="dxa"/>
            <w:vAlign w:val="bottom"/>
            <w:tcBorders>
              <w:left w:val="single" w:sz="8" w:color="D7282F"/>
            </w:tcBorders>
            <w:gridSpan w:val="3"/>
          </w:tcPr>
          <w:p>
            <w:pPr>
              <w:ind w:left="360"/>
              <w:spacing w:after="0"/>
              <w:rPr>
                <w:sz w:val="20"/>
                <w:szCs w:val="20"/>
                <w:color w:val="auto"/>
              </w:rPr>
            </w:pPr>
            <w:r>
              <w:rPr>
                <w:rFonts w:ascii="Arial" w:cs="Arial" w:eastAsia="Arial" w:hAnsi="Arial"/>
                <w:sz w:val="14"/>
                <w:szCs w:val="14"/>
                <w:color w:val="auto"/>
              </w:rPr>
              <w:t>over 80% of the audits to be conducted</w:t>
            </w:r>
          </w:p>
        </w:tc>
        <w:tc>
          <w:tcPr>
            <w:tcW w:w="9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Borders>
              <w:right w:val="single" w:sz="8" w:color="D7282F"/>
            </w:tcBorders>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020" w:type="dxa"/>
            <w:vAlign w:val="bottom"/>
            <w:tcBorders>
              <w:left w:val="single" w:sz="8" w:color="D7282F"/>
            </w:tcBorders>
            <w:gridSpan w:val="3"/>
          </w:tcPr>
          <w:p>
            <w:pPr>
              <w:ind w:left="360"/>
              <w:spacing w:after="0"/>
              <w:rPr>
                <w:sz w:val="20"/>
                <w:szCs w:val="20"/>
                <w:color w:val="auto"/>
              </w:rPr>
            </w:pPr>
            <w:r>
              <w:rPr>
                <w:rFonts w:ascii="Arial" w:cs="Arial" w:eastAsia="Arial" w:hAnsi="Arial"/>
                <w:sz w:val="14"/>
                <w:szCs w:val="14"/>
                <w:color w:val="auto"/>
              </w:rPr>
              <w:t>under the internal audit function’s</w:t>
            </w:r>
          </w:p>
        </w:tc>
        <w:tc>
          <w:tcPr>
            <w:tcW w:w="9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Borders>
              <w:right w:val="single" w:sz="8" w:color="D7282F"/>
            </w:tcBorders>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20" w:type="dxa"/>
            <w:vAlign w:val="bottom"/>
            <w:tcBorders>
              <w:left w:val="single" w:sz="8" w:color="D7282F"/>
            </w:tcBorders>
            <w:gridSpan w:val="3"/>
          </w:tcPr>
          <w:p>
            <w:pPr>
              <w:ind w:left="360"/>
              <w:spacing w:after="0"/>
              <w:rPr>
                <w:sz w:val="20"/>
                <w:szCs w:val="20"/>
                <w:color w:val="auto"/>
              </w:rPr>
            </w:pPr>
            <w:r>
              <w:rPr>
                <w:rFonts w:ascii="Arial" w:cs="Arial" w:eastAsia="Arial" w:hAnsi="Arial"/>
                <w:sz w:val="14"/>
                <w:szCs w:val="14"/>
                <w:color w:val="auto"/>
              </w:rPr>
              <w:t>annual plan.</w:t>
            </w:r>
          </w:p>
        </w:tc>
        <w:tc>
          <w:tcPr>
            <w:tcW w:w="9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Borders>
              <w:right w:val="single" w:sz="8" w:color="D7282F"/>
            </w:tcBorders>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4"/>
        </w:trPr>
        <w:tc>
          <w:tcPr>
            <w:tcW w:w="1140" w:type="dxa"/>
            <w:vAlign w:val="bottom"/>
            <w:vMerge w:val="restart"/>
          </w:tcPr>
          <w:p>
            <w:pPr>
              <w:jc w:val="right"/>
              <w:ind w:right="830"/>
              <w:spacing w:after="0"/>
              <w:rPr>
                <w:sz w:val="20"/>
                <w:szCs w:val="20"/>
                <w:color w:val="auto"/>
              </w:rPr>
            </w:pPr>
            <w:r>
              <w:rPr>
                <w:rFonts w:ascii="Arial" w:cs="Arial" w:eastAsia="Arial" w:hAnsi="Arial"/>
                <w:sz w:val="18"/>
                <w:szCs w:val="18"/>
                <w:b w:val="1"/>
                <w:bCs w:val="1"/>
                <w:color w:val="auto"/>
                <w:w w:val="99"/>
              </w:rPr>
              <w:t>42</w:t>
            </w:r>
          </w:p>
        </w:tc>
        <w:tc>
          <w:tcPr>
            <w:tcW w:w="980" w:type="dxa"/>
            <w:vAlign w:val="bottom"/>
            <w:tcBorders>
              <w:left w:val="single" w:sz="8" w:color="D7282F"/>
              <w:bottom w:val="single" w:sz="8" w:color="D7282F"/>
            </w:tcBorders>
          </w:tcPr>
          <w:p>
            <w:pPr>
              <w:spacing w:after="0"/>
              <w:rPr>
                <w:sz w:val="24"/>
                <w:szCs w:val="24"/>
                <w:color w:val="auto"/>
              </w:rPr>
            </w:pPr>
          </w:p>
        </w:tc>
        <w:tc>
          <w:tcPr>
            <w:tcW w:w="1920" w:type="dxa"/>
            <w:vAlign w:val="bottom"/>
            <w:tcBorders>
              <w:bottom w:val="single" w:sz="8" w:color="D7282F"/>
            </w:tcBorders>
          </w:tcPr>
          <w:p>
            <w:pPr>
              <w:spacing w:after="0"/>
              <w:rPr>
                <w:sz w:val="24"/>
                <w:szCs w:val="24"/>
                <w:color w:val="auto"/>
              </w:rPr>
            </w:pPr>
          </w:p>
        </w:tc>
        <w:tc>
          <w:tcPr>
            <w:tcW w:w="1060" w:type="dxa"/>
            <w:vAlign w:val="bottom"/>
            <w:tcBorders>
              <w:bottom w:val="single" w:sz="8" w:color="D7282F"/>
            </w:tcBorders>
            <w:gridSpan w:val="2"/>
          </w:tcPr>
          <w:p>
            <w:pPr>
              <w:spacing w:after="0"/>
              <w:rPr>
                <w:sz w:val="24"/>
                <w:szCs w:val="24"/>
                <w:color w:val="auto"/>
              </w:rPr>
            </w:pPr>
          </w:p>
        </w:tc>
        <w:tc>
          <w:tcPr>
            <w:tcW w:w="1860" w:type="dxa"/>
            <w:vAlign w:val="bottom"/>
            <w:tcBorders>
              <w:bottom w:val="single" w:sz="8" w:color="D7282F"/>
            </w:tcBorders>
          </w:tcPr>
          <w:p>
            <w:pPr>
              <w:spacing w:after="0"/>
              <w:rPr>
                <w:sz w:val="24"/>
                <w:szCs w:val="24"/>
                <w:color w:val="auto"/>
              </w:rPr>
            </w:pPr>
          </w:p>
        </w:tc>
        <w:tc>
          <w:tcPr>
            <w:tcW w:w="100" w:type="dxa"/>
            <w:vAlign w:val="bottom"/>
            <w:tcBorders>
              <w:bottom w:val="single" w:sz="8" w:color="D7282F"/>
            </w:tcBorders>
          </w:tcPr>
          <w:p>
            <w:pPr>
              <w:spacing w:after="0"/>
              <w:rPr>
                <w:sz w:val="24"/>
                <w:szCs w:val="24"/>
                <w:color w:val="auto"/>
              </w:rPr>
            </w:pPr>
          </w:p>
        </w:tc>
        <w:tc>
          <w:tcPr>
            <w:tcW w:w="1500" w:type="dxa"/>
            <w:vAlign w:val="bottom"/>
            <w:tcBorders>
              <w:bottom w:val="single" w:sz="8" w:color="D7282F"/>
            </w:tcBorders>
          </w:tcPr>
          <w:p>
            <w:pPr>
              <w:spacing w:after="0"/>
              <w:rPr>
                <w:sz w:val="24"/>
                <w:szCs w:val="24"/>
                <w:color w:val="auto"/>
              </w:rPr>
            </w:pPr>
          </w:p>
        </w:tc>
        <w:tc>
          <w:tcPr>
            <w:tcW w:w="1340" w:type="dxa"/>
            <w:vAlign w:val="bottom"/>
            <w:tcBorders>
              <w:bottom w:val="single" w:sz="8" w:color="D7282F"/>
            </w:tcBorders>
          </w:tcPr>
          <w:p>
            <w:pPr>
              <w:spacing w:after="0"/>
              <w:rPr>
                <w:sz w:val="24"/>
                <w:szCs w:val="24"/>
                <w:color w:val="auto"/>
              </w:rPr>
            </w:pPr>
          </w:p>
        </w:tc>
        <w:tc>
          <w:tcPr>
            <w:tcW w:w="240" w:type="dxa"/>
            <w:vAlign w:val="bottom"/>
            <w:tcBorders>
              <w:bottom w:val="single" w:sz="8" w:color="D7282F"/>
              <w:right w:val="single" w:sz="8" w:color="D7282F"/>
            </w:tcBorders>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8"/>
        </w:trPr>
        <w:tc>
          <w:tcPr>
            <w:tcW w:w="1140" w:type="dxa"/>
            <w:vAlign w:val="bottom"/>
            <w:vMerge w:val="continue"/>
          </w:tcPr>
          <w:p>
            <w:pPr>
              <w:spacing w:after="0"/>
              <w:rPr>
                <w:sz w:val="24"/>
                <w:szCs w:val="24"/>
                <w:color w:val="auto"/>
              </w:rPr>
            </w:pPr>
          </w:p>
        </w:tc>
        <w:tc>
          <w:tcPr>
            <w:tcW w:w="5920" w:type="dxa"/>
            <w:vAlign w:val="bottom"/>
            <w:gridSpan w:val="6"/>
          </w:tcPr>
          <w:p>
            <w:pPr>
              <w:ind w:left="500"/>
              <w:spacing w:after="0"/>
              <w:rPr>
                <w:sz w:val="20"/>
                <w:szCs w:val="20"/>
                <w:color w:val="auto"/>
              </w:rPr>
            </w:pPr>
            <w:r>
              <w:rPr>
                <w:rFonts w:ascii="Arial" w:cs="Arial" w:eastAsia="Arial" w:hAnsi="Arial"/>
                <w:sz w:val="13"/>
                <w:szCs w:val="13"/>
                <w:b w:val="1"/>
                <w:bCs w:val="1"/>
                <w:color w:val="6D6E71"/>
              </w:rPr>
              <w:t>|   2026 NOTICE AND PROXY STATEMENT</w:t>
            </w:r>
          </w:p>
        </w:tc>
        <w:tc>
          <w:tcPr>
            <w:tcW w:w="1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1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-368300</wp:posOffset>
            </wp:positionV>
            <wp:extent cx="548640" cy="10287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122" w:gutter="0" w:footer="0" w:header="0"/>
          <w:type w:val="continuous"/>
        </w:sectPr>
      </w:pPr>
    </w:p>
    <w:bookmarkStart w:id="47" w:name="page48"/>
    <w:bookmarkEnd w:id="47"/>
    <w:p>
      <w:pPr>
        <w:jc w:val="right"/>
        <w:spacing w:after="0"/>
        <w:rPr>
          <w:sz w:val="20"/>
          <w:szCs w:val="20"/>
          <w:color w:val="auto"/>
        </w:rPr>
      </w:pPr>
      <w:r>
        <w:rPr>
          <w:rFonts w:ascii="Arial" w:cs="Arial" w:eastAsia="Arial" w:hAnsi="Arial"/>
          <w:sz w:val="13"/>
          <w:szCs w:val="13"/>
          <w:b w:val="1"/>
          <w:bCs w:val="1"/>
          <w:color w:val="6D6E71"/>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OVERSIGHT OF STRATEGY</w:t>
      </w:r>
    </w:p>
    <w:p>
      <w:pPr>
        <w:spacing w:after="0" w:line="12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One of the Board’s primary responsibilities is overseeing management’s establishment and execution of the Company’s strategy and the associated risks. The full Board oversees strategy and strategic risk through robust and constructive engagement with management, taking into consideration Honeywell’s key priorities, global trends impacting our business, regulatory developments, and disruptors in our industries. The Board’s oversight of strategy primarily occurs through deep-dive annual reviews of the long-term strategic plans and annual operating plans of each of our businesses. During these reviews, management provides the Board with its view of the key commercial and strategic risks and opportunities faced by each business unit so that the Board can assess whether management has identified the key risks and opportunities and is taking appropriate actions to mitigate risk. In addition to the review of each business’ strategic and annual plans, specific areas of risk and opportunity are tabled for further Board and/or committee discussion to ensure additional Board engagement on the areas of risk that are most impactful to Honeywell’s strategic direction.</w:t>
      </w:r>
    </w:p>
    <w:p>
      <w:pPr>
        <w:spacing w:after="0" w:line="72"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The Board’s oversight of strategy is prominent in the Company’s portfolio optimization, mergers, acquisitions, and divestitures activity. From strategy and vision to comprehensive annual portfolio reviews, individual transaction approvals, deal execution, integration, and performance against goals, the Board is engaged in all aspects of the Company’s mergers, acquisitions, divestitures, and corporate development activities. With the ultimate goal of achieving outcomes that promote long-term shareowner value, the Board annually engages in a rigorous, thorough, and unbiased review of Honeywell’s portfolio and devotes a substantial amount of time at each Board meeting to pressure testing potential transactions, reviewing deal execution, monitoring integration, and assessing long-term outcomes.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396049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32320" cy="3960495"/>
                    </a:xfrm>
                    <a:prstGeom prst="rect">
                      <a:avLst/>
                    </a:prstGeom>
                    <a:noFill/>
                  </pic:spPr>
                </pic:pic>
              </a:graphicData>
            </a:graphic>
          </wp:anchor>
        </w:drawing>
      </w:r>
    </w:p>
    <w:p>
      <w:pPr>
        <w:spacing w:after="0" w:line="35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FFFFFF"/>
        </w:rPr>
        <w:t>SPOTLIGHT ON BOARD OVERSIGHT OF CONTINUING PORTFOLIO TRANSFORMATION</w:t>
      </w:r>
    </w:p>
    <w:p>
      <w:pPr>
        <w:spacing w:after="0" w:line="383" w:lineRule="exact"/>
        <w:rPr>
          <w:sz w:val="20"/>
          <w:szCs w:val="20"/>
          <w:color w:val="auto"/>
        </w:rPr>
      </w:pPr>
    </w:p>
    <w:p>
      <w:pPr>
        <w:jc w:val="both"/>
        <w:ind w:left="160" w:right="280"/>
        <w:spacing w:after="0" w:line="275" w:lineRule="auto"/>
        <w:rPr>
          <w:sz w:val="20"/>
          <w:szCs w:val="20"/>
          <w:color w:val="auto"/>
        </w:rPr>
      </w:pPr>
      <w:r>
        <w:rPr>
          <w:rFonts w:ascii="Arial" w:cs="Arial" w:eastAsia="Arial" w:hAnsi="Arial"/>
          <w:sz w:val="16"/>
          <w:szCs w:val="16"/>
          <w:color w:val="auto"/>
        </w:rPr>
        <w:t>In 2024 and early 2025, the Board engaged extensively with management on the implementation of an ambitious organic and inorganic growth agenda while developing, analyzing, and ultimately announcing and executing a comprehensive portfolio transformation to unlock shareowner value. This work enabled:</w:t>
      </w:r>
    </w:p>
    <w:p>
      <w:pPr>
        <w:spacing w:after="0" w:line="56" w:lineRule="exact"/>
        <w:rPr>
          <w:sz w:val="20"/>
          <w:szCs w:val="20"/>
          <w:color w:val="auto"/>
        </w:rPr>
      </w:pPr>
    </w:p>
    <w:p>
      <w:pPr>
        <w:ind w:left="360" w:hanging="191"/>
        <w:spacing w:after="0"/>
        <w:tabs>
          <w:tab w:leader="none" w:pos="360" w:val="left"/>
        </w:tabs>
        <w:numPr>
          <w:ilvl w:val="0"/>
          <w:numId w:val="116"/>
        </w:numPr>
        <w:rPr>
          <w:rFonts w:ascii="Arial" w:cs="Arial" w:eastAsia="Arial" w:hAnsi="Arial"/>
          <w:sz w:val="16"/>
          <w:szCs w:val="16"/>
          <w:b w:val="1"/>
          <w:bCs w:val="1"/>
          <w:color w:val="D7282F"/>
        </w:rPr>
      </w:pPr>
      <w:r>
        <w:rPr>
          <w:rFonts w:ascii="Arial" w:cs="Arial" w:eastAsia="Arial" w:hAnsi="Arial"/>
          <w:sz w:val="16"/>
          <w:szCs w:val="16"/>
          <w:color w:val="auto"/>
        </w:rPr>
        <w:t xml:space="preserve">The alignment of our business to </w:t>
      </w:r>
      <w:r>
        <w:rPr>
          <w:rFonts w:ascii="Arial" w:cs="Arial" w:eastAsia="Arial" w:hAnsi="Arial"/>
          <w:sz w:val="16"/>
          <w:szCs w:val="16"/>
          <w:b w:val="1"/>
          <w:bCs w:val="1"/>
          <w:color w:val="D7282F"/>
        </w:rPr>
        <w:t>three compelling megatrends</w:t>
      </w:r>
      <w:r>
        <w:rPr>
          <w:rFonts w:ascii="Arial" w:cs="Arial" w:eastAsia="Arial" w:hAnsi="Arial"/>
          <w:sz w:val="16"/>
          <w:szCs w:val="16"/>
          <w:color w:val="auto"/>
        </w:rPr>
        <w:t xml:space="preserve"> – Automation, the Future of Aviation, and the Energy Transition.</w:t>
      </w:r>
    </w:p>
    <w:p>
      <w:pPr>
        <w:spacing w:after="0" w:line="86" w:lineRule="exact"/>
        <w:rPr>
          <w:rFonts w:ascii="Arial" w:cs="Arial" w:eastAsia="Arial" w:hAnsi="Arial"/>
          <w:sz w:val="16"/>
          <w:szCs w:val="16"/>
          <w:b w:val="1"/>
          <w:bCs w:val="1"/>
          <w:color w:val="D7282F"/>
        </w:rPr>
      </w:pPr>
    </w:p>
    <w:p>
      <w:pPr>
        <w:ind w:left="360" w:right="660" w:hanging="191"/>
        <w:spacing w:after="0" w:line="286" w:lineRule="auto"/>
        <w:tabs>
          <w:tab w:leader="none" w:pos="357" w:val="left"/>
        </w:tabs>
        <w:numPr>
          <w:ilvl w:val="0"/>
          <w:numId w:val="116"/>
        </w:numPr>
        <w:rPr>
          <w:rFonts w:ascii="Arial" w:cs="Arial" w:eastAsia="Arial" w:hAnsi="Arial"/>
          <w:sz w:val="16"/>
          <w:szCs w:val="16"/>
          <w:b w:val="1"/>
          <w:bCs w:val="1"/>
          <w:color w:val="D7282F"/>
        </w:rPr>
      </w:pPr>
      <w:r>
        <w:rPr>
          <w:rFonts w:ascii="Arial" w:cs="Arial" w:eastAsia="Arial" w:hAnsi="Arial"/>
          <w:sz w:val="16"/>
          <w:szCs w:val="16"/>
          <w:color w:val="auto"/>
        </w:rPr>
        <w:t xml:space="preserve">Approximately </w:t>
      </w:r>
      <w:r>
        <w:rPr>
          <w:rFonts w:ascii="Arial" w:cs="Arial" w:eastAsia="Arial" w:hAnsi="Arial"/>
          <w:sz w:val="16"/>
          <w:szCs w:val="16"/>
          <w:b w:val="1"/>
          <w:bCs w:val="1"/>
          <w:color w:val="D7282F"/>
        </w:rPr>
        <w:t>$11 billion of accretive acquisitions</w:t>
      </w:r>
      <w:r>
        <w:rPr>
          <w:rFonts w:ascii="Arial" w:cs="Arial" w:eastAsia="Arial" w:hAnsi="Arial"/>
          <w:sz w:val="16"/>
          <w:szCs w:val="16"/>
          <w:color w:val="auto"/>
        </w:rPr>
        <w:t>: Sundyne, the Access Solutions business from Carrier Global, Civitanavi Systems, CAES Systems, and the liquefied natural gas (LNG) business from Air Products.</w:t>
      </w:r>
    </w:p>
    <w:p>
      <w:pPr>
        <w:spacing w:after="0" w:line="20" w:lineRule="exact"/>
        <w:rPr>
          <w:rFonts w:ascii="Arial" w:cs="Arial" w:eastAsia="Arial" w:hAnsi="Arial"/>
          <w:sz w:val="16"/>
          <w:szCs w:val="16"/>
          <w:b w:val="1"/>
          <w:bCs w:val="1"/>
          <w:color w:val="D7282F"/>
        </w:rPr>
      </w:pPr>
    </w:p>
    <w:p>
      <w:pPr>
        <w:ind w:left="360" w:hanging="191"/>
        <w:spacing w:after="0"/>
        <w:tabs>
          <w:tab w:leader="none" w:pos="360" w:val="left"/>
        </w:tabs>
        <w:numPr>
          <w:ilvl w:val="0"/>
          <w:numId w:val="116"/>
        </w:numPr>
        <w:rPr>
          <w:rFonts w:ascii="Arial" w:cs="Arial" w:eastAsia="Arial" w:hAnsi="Arial"/>
          <w:sz w:val="16"/>
          <w:szCs w:val="16"/>
          <w:b w:val="1"/>
          <w:bCs w:val="1"/>
          <w:color w:val="D7282F"/>
        </w:rPr>
      </w:pPr>
      <w:r>
        <w:rPr>
          <w:rFonts w:ascii="Arial" w:cs="Arial" w:eastAsia="Arial" w:hAnsi="Arial"/>
          <w:sz w:val="16"/>
          <w:szCs w:val="16"/>
          <w:color w:val="auto"/>
        </w:rPr>
        <w:t xml:space="preserve">An agreement to acquire </w:t>
      </w:r>
      <w:r>
        <w:rPr>
          <w:rFonts w:ascii="Arial" w:cs="Arial" w:eastAsia="Arial" w:hAnsi="Arial"/>
          <w:sz w:val="16"/>
          <w:szCs w:val="16"/>
          <w:b w:val="1"/>
          <w:bCs w:val="1"/>
          <w:color w:val="D7282F"/>
        </w:rPr>
        <w:t>Johnson Matthey’s Catalyst Technologies</w:t>
      </w:r>
      <w:r>
        <w:rPr>
          <w:rFonts w:ascii="Arial" w:cs="Arial" w:eastAsia="Arial" w:hAnsi="Arial"/>
          <w:sz w:val="16"/>
          <w:szCs w:val="16"/>
          <w:color w:val="auto"/>
        </w:rPr>
        <w:t xml:space="preserve"> business segment.</w:t>
      </w:r>
    </w:p>
    <w:p>
      <w:pPr>
        <w:spacing w:after="0" w:line="86" w:lineRule="exact"/>
        <w:rPr>
          <w:rFonts w:ascii="Arial" w:cs="Arial" w:eastAsia="Arial" w:hAnsi="Arial"/>
          <w:sz w:val="16"/>
          <w:szCs w:val="16"/>
          <w:b w:val="1"/>
          <w:bCs w:val="1"/>
          <w:color w:val="D7282F"/>
        </w:rPr>
      </w:pPr>
    </w:p>
    <w:p>
      <w:pPr>
        <w:ind w:left="360" w:hanging="191"/>
        <w:spacing w:after="0"/>
        <w:tabs>
          <w:tab w:leader="none" w:pos="360" w:val="left"/>
        </w:tabs>
        <w:numPr>
          <w:ilvl w:val="0"/>
          <w:numId w:val="116"/>
        </w:numPr>
        <w:rPr>
          <w:rFonts w:ascii="Arial" w:cs="Arial" w:eastAsia="Arial" w:hAnsi="Arial"/>
          <w:sz w:val="16"/>
          <w:szCs w:val="16"/>
          <w:b w:val="1"/>
          <w:bCs w:val="1"/>
          <w:color w:val="D7282F"/>
        </w:rPr>
      </w:pPr>
      <w:r>
        <w:rPr>
          <w:rFonts w:ascii="Arial" w:cs="Arial" w:eastAsia="Arial" w:hAnsi="Arial"/>
          <w:sz w:val="16"/>
          <w:szCs w:val="16"/>
          <w:color w:val="auto"/>
        </w:rPr>
        <w:t xml:space="preserve">The divestiture of </w:t>
      </w:r>
      <w:r>
        <w:rPr>
          <w:rFonts w:ascii="Arial" w:cs="Arial" w:eastAsia="Arial" w:hAnsi="Arial"/>
          <w:sz w:val="16"/>
          <w:szCs w:val="16"/>
          <w:b w:val="1"/>
          <w:bCs w:val="1"/>
          <w:color w:val="D7282F"/>
        </w:rPr>
        <w:t>the Personal Protective Equipment business</w:t>
      </w:r>
      <w:r>
        <w:rPr>
          <w:rFonts w:ascii="Arial" w:cs="Arial" w:eastAsia="Arial" w:hAnsi="Arial"/>
          <w:sz w:val="16"/>
          <w:szCs w:val="16"/>
          <w:color w:val="auto"/>
        </w:rPr>
        <w:t>.</w:t>
      </w:r>
    </w:p>
    <w:p>
      <w:pPr>
        <w:spacing w:after="0" w:line="86" w:lineRule="exact"/>
        <w:rPr>
          <w:rFonts w:ascii="Arial" w:cs="Arial" w:eastAsia="Arial" w:hAnsi="Arial"/>
          <w:sz w:val="16"/>
          <w:szCs w:val="16"/>
          <w:b w:val="1"/>
          <w:bCs w:val="1"/>
          <w:color w:val="D7282F"/>
        </w:rPr>
      </w:pPr>
    </w:p>
    <w:p>
      <w:pPr>
        <w:ind w:left="360" w:hanging="191"/>
        <w:spacing w:after="0"/>
        <w:tabs>
          <w:tab w:leader="none" w:pos="360" w:val="left"/>
        </w:tabs>
        <w:numPr>
          <w:ilvl w:val="0"/>
          <w:numId w:val="116"/>
        </w:numPr>
        <w:rPr>
          <w:rFonts w:ascii="Arial" w:cs="Arial" w:eastAsia="Arial" w:hAnsi="Arial"/>
          <w:sz w:val="16"/>
          <w:szCs w:val="16"/>
          <w:b w:val="1"/>
          <w:bCs w:val="1"/>
          <w:color w:val="D7282F"/>
        </w:rPr>
      </w:pPr>
      <w:r>
        <w:rPr>
          <w:rFonts w:ascii="Arial" w:cs="Arial" w:eastAsia="Arial" w:hAnsi="Arial"/>
          <w:sz w:val="16"/>
          <w:szCs w:val="16"/>
          <w:color w:val="auto"/>
        </w:rPr>
        <w:t xml:space="preserve">The planned divestiture of the </w:t>
      </w:r>
      <w:r>
        <w:rPr>
          <w:rFonts w:ascii="Arial" w:cs="Arial" w:eastAsia="Arial" w:hAnsi="Arial"/>
          <w:sz w:val="16"/>
          <w:szCs w:val="16"/>
          <w:b w:val="1"/>
          <w:bCs w:val="1"/>
          <w:color w:val="D7282F"/>
        </w:rPr>
        <w:t>Productivity Solutions and Services</w:t>
      </w:r>
      <w:r>
        <w:rPr>
          <w:rFonts w:ascii="Arial" w:cs="Arial" w:eastAsia="Arial" w:hAnsi="Arial"/>
          <w:sz w:val="16"/>
          <w:szCs w:val="16"/>
          <w:color w:val="auto"/>
        </w:rPr>
        <w:t xml:space="preserve"> and </w:t>
      </w:r>
      <w:r>
        <w:rPr>
          <w:rFonts w:ascii="Arial" w:cs="Arial" w:eastAsia="Arial" w:hAnsi="Arial"/>
          <w:sz w:val="16"/>
          <w:szCs w:val="16"/>
          <w:b w:val="1"/>
          <w:bCs w:val="1"/>
          <w:color w:val="D7282F"/>
        </w:rPr>
        <w:t>Warehouse and Workflow Solutions businesses</w:t>
      </w:r>
      <w:r>
        <w:rPr>
          <w:rFonts w:ascii="Arial" w:cs="Arial" w:eastAsia="Arial" w:hAnsi="Arial"/>
          <w:sz w:val="16"/>
          <w:szCs w:val="16"/>
          <w:color w:val="auto"/>
        </w:rPr>
        <w:t>.</w:t>
      </w:r>
    </w:p>
    <w:p>
      <w:pPr>
        <w:spacing w:after="0" w:line="72" w:lineRule="exact"/>
        <w:rPr>
          <w:rFonts w:ascii="Arial" w:cs="Arial" w:eastAsia="Arial" w:hAnsi="Arial"/>
          <w:sz w:val="16"/>
          <w:szCs w:val="16"/>
          <w:b w:val="1"/>
          <w:bCs w:val="1"/>
          <w:color w:val="D7282F"/>
        </w:rPr>
      </w:pPr>
    </w:p>
    <w:p>
      <w:pPr>
        <w:ind w:left="360" w:right="240" w:hanging="191"/>
        <w:spacing w:after="0" w:line="280" w:lineRule="auto"/>
        <w:tabs>
          <w:tab w:leader="none" w:pos="357" w:val="left"/>
        </w:tabs>
        <w:numPr>
          <w:ilvl w:val="0"/>
          <w:numId w:val="116"/>
        </w:numPr>
        <w:rPr>
          <w:rFonts w:ascii="Arial" w:cs="Arial" w:eastAsia="Arial" w:hAnsi="Arial"/>
          <w:sz w:val="16"/>
          <w:szCs w:val="16"/>
          <w:b w:val="1"/>
          <w:bCs w:val="1"/>
          <w:color w:val="D7282F"/>
        </w:rPr>
      </w:pPr>
      <w:r>
        <w:rPr>
          <w:rFonts w:ascii="Arial" w:cs="Arial" w:eastAsia="Arial" w:hAnsi="Arial"/>
          <w:sz w:val="16"/>
          <w:szCs w:val="16"/>
          <w:color w:val="auto"/>
        </w:rPr>
        <w:t xml:space="preserve">The simplification of Honeywell’s balance sheet (and related administrative burdens) through the divestiture of all </w:t>
      </w:r>
      <w:r>
        <w:rPr>
          <w:rFonts w:ascii="Arial" w:cs="Arial" w:eastAsia="Arial" w:hAnsi="Arial"/>
          <w:sz w:val="16"/>
          <w:szCs w:val="16"/>
          <w:b w:val="1"/>
          <w:bCs w:val="1"/>
          <w:color w:val="D7282F"/>
        </w:rPr>
        <w:t>Bendix asbestos liabilities</w:t>
      </w:r>
      <w:r>
        <w:rPr>
          <w:rFonts w:ascii="Arial" w:cs="Arial" w:eastAsia="Arial" w:hAnsi="Arial"/>
          <w:sz w:val="16"/>
          <w:szCs w:val="16"/>
          <w:color w:val="auto"/>
        </w:rPr>
        <w:t xml:space="preserve">, which is expected to improve annual free cash flow by more than $100 million over the next several years, and the termination of an </w:t>
      </w:r>
      <w:r>
        <w:rPr>
          <w:rFonts w:ascii="Arial" w:cs="Arial" w:eastAsia="Arial" w:hAnsi="Arial"/>
          <w:sz w:val="16"/>
          <w:szCs w:val="16"/>
          <w:b w:val="1"/>
          <w:bCs w:val="1"/>
          <w:color w:val="D7282F"/>
        </w:rPr>
        <w:t>indemnification and</w:t>
      </w:r>
      <w:r>
        <w:rPr>
          <w:rFonts w:ascii="Arial" w:cs="Arial" w:eastAsia="Arial" w:hAnsi="Arial"/>
          <w:sz w:val="16"/>
          <w:szCs w:val="16"/>
          <w:color w:val="auto"/>
        </w:rPr>
        <w:t xml:space="preserve"> </w:t>
      </w:r>
      <w:r>
        <w:rPr>
          <w:rFonts w:ascii="Arial" w:cs="Arial" w:eastAsia="Arial" w:hAnsi="Arial"/>
          <w:sz w:val="16"/>
          <w:szCs w:val="16"/>
          <w:b w:val="1"/>
          <w:bCs w:val="1"/>
          <w:color w:val="D7282F"/>
        </w:rPr>
        <w:t xml:space="preserve">reimbursement agreement with Resideo </w:t>
      </w:r>
      <w:r>
        <w:rPr>
          <w:rFonts w:ascii="Arial" w:cs="Arial" w:eastAsia="Arial" w:hAnsi="Arial"/>
          <w:sz w:val="16"/>
          <w:szCs w:val="16"/>
          <w:color w:val="000000"/>
        </w:rPr>
        <w:t>in exchange for the receipt of $1.6 billion.</w:t>
      </w:r>
    </w:p>
    <w:p>
      <w:pPr>
        <w:spacing w:after="0" w:line="17" w:lineRule="exact"/>
        <w:rPr>
          <w:rFonts w:ascii="Arial" w:cs="Arial" w:eastAsia="Arial" w:hAnsi="Arial"/>
          <w:sz w:val="16"/>
          <w:szCs w:val="16"/>
          <w:b w:val="1"/>
          <w:bCs w:val="1"/>
          <w:color w:val="D7282F"/>
        </w:rPr>
      </w:pPr>
    </w:p>
    <w:p>
      <w:pPr>
        <w:ind w:left="360" w:right="880" w:hanging="191"/>
        <w:spacing w:after="0" w:line="286" w:lineRule="auto"/>
        <w:tabs>
          <w:tab w:leader="none" w:pos="357" w:val="left"/>
        </w:tabs>
        <w:numPr>
          <w:ilvl w:val="0"/>
          <w:numId w:val="116"/>
        </w:numPr>
        <w:rPr>
          <w:rFonts w:ascii="Arial" w:cs="Arial" w:eastAsia="Arial" w:hAnsi="Arial"/>
          <w:sz w:val="16"/>
          <w:szCs w:val="16"/>
          <w:b w:val="1"/>
          <w:bCs w:val="1"/>
          <w:color w:val="D7282F"/>
        </w:rPr>
      </w:pPr>
      <w:r>
        <w:rPr>
          <w:rFonts w:ascii="Arial" w:cs="Arial" w:eastAsia="Arial" w:hAnsi="Arial"/>
          <w:sz w:val="16"/>
          <w:szCs w:val="16"/>
          <w:color w:val="auto"/>
        </w:rPr>
        <w:t xml:space="preserve">The completion of the spin-off of the </w:t>
      </w:r>
      <w:r>
        <w:rPr>
          <w:rFonts w:ascii="Arial" w:cs="Arial" w:eastAsia="Arial" w:hAnsi="Arial"/>
          <w:sz w:val="16"/>
          <w:szCs w:val="16"/>
          <w:b w:val="1"/>
          <w:bCs w:val="1"/>
          <w:color w:val="D7282F"/>
        </w:rPr>
        <w:t>Advanced Materials business</w:t>
      </w:r>
      <w:r>
        <w:rPr>
          <w:rFonts w:ascii="Arial" w:cs="Arial" w:eastAsia="Arial" w:hAnsi="Arial"/>
          <w:sz w:val="16"/>
          <w:szCs w:val="16"/>
          <w:color w:val="auto"/>
        </w:rPr>
        <w:t xml:space="preserve"> into Solstice Advanced Materials, an independent, U.S. publicly-traded company.</w:t>
      </w:r>
    </w:p>
    <w:p>
      <w:pPr>
        <w:spacing w:after="0" w:line="61" w:lineRule="exact"/>
        <w:rPr>
          <w:sz w:val="20"/>
          <w:szCs w:val="20"/>
          <w:color w:val="auto"/>
        </w:rPr>
      </w:pPr>
    </w:p>
    <w:p>
      <w:pPr>
        <w:ind w:left="160" w:right="600"/>
        <w:spacing w:after="0" w:line="266" w:lineRule="auto"/>
        <w:rPr>
          <w:sz w:val="20"/>
          <w:szCs w:val="20"/>
          <w:color w:val="auto"/>
        </w:rPr>
      </w:pPr>
      <w:r>
        <w:rPr>
          <w:rFonts w:ascii="Arial" w:cs="Arial" w:eastAsia="Arial" w:hAnsi="Arial"/>
          <w:sz w:val="16"/>
          <w:szCs w:val="16"/>
          <w:color w:val="auto"/>
        </w:rPr>
        <w:t xml:space="preserve">Importantly, this work culminated in the announcement of Honeywell's intent to pursue a </w:t>
      </w:r>
      <w:r>
        <w:rPr>
          <w:rFonts w:ascii="Arial" w:cs="Arial" w:eastAsia="Arial" w:hAnsi="Arial"/>
          <w:sz w:val="16"/>
          <w:szCs w:val="16"/>
          <w:b w:val="1"/>
          <w:bCs w:val="1"/>
          <w:color w:val="D7282F"/>
        </w:rPr>
        <w:t>full separation of Honeywell Aerospace</w:t>
      </w:r>
      <w:r>
        <w:rPr>
          <w:rFonts w:ascii="Arial" w:cs="Arial" w:eastAsia="Arial" w:hAnsi="Arial"/>
          <w:sz w:val="16"/>
          <w:szCs w:val="16"/>
          <w:color w:val="auto"/>
        </w:rPr>
        <w:t xml:space="preserve"> which we have announced is expected to be completed in the third quarter of 2026. Taken together with the spin-off of Solstice Advanced Materials, the planned separations will create value for all stakeholders as each will benefit from:</w:t>
      </w:r>
    </w:p>
    <w:p>
      <w:pPr>
        <w:spacing w:after="0" w:line="77" w:lineRule="exact"/>
        <w:rPr>
          <w:sz w:val="20"/>
          <w:szCs w:val="20"/>
          <w:color w:val="auto"/>
        </w:rPr>
      </w:pPr>
    </w:p>
    <w:p>
      <w:pPr>
        <w:ind w:left="360" w:hanging="191"/>
        <w:spacing w:after="0"/>
        <w:tabs>
          <w:tab w:leader="none" w:pos="360" w:val="left"/>
        </w:tabs>
        <w:numPr>
          <w:ilvl w:val="0"/>
          <w:numId w:val="117"/>
        </w:numPr>
        <w:rPr>
          <w:rFonts w:ascii="Arial" w:cs="Arial" w:eastAsia="Arial" w:hAnsi="Arial"/>
          <w:sz w:val="16"/>
          <w:szCs w:val="16"/>
          <w:b w:val="1"/>
          <w:bCs w:val="1"/>
          <w:color w:val="D7282F"/>
        </w:rPr>
      </w:pPr>
      <w:r>
        <w:rPr>
          <w:rFonts w:ascii="Arial" w:cs="Arial" w:eastAsia="Arial" w:hAnsi="Arial"/>
          <w:sz w:val="16"/>
          <w:szCs w:val="16"/>
          <w:color w:val="auto"/>
        </w:rPr>
        <w:t>Simplified strategic focus;</w:t>
      </w:r>
    </w:p>
    <w:p>
      <w:pPr>
        <w:spacing w:after="0" w:line="86" w:lineRule="exact"/>
        <w:rPr>
          <w:rFonts w:ascii="Arial" w:cs="Arial" w:eastAsia="Arial" w:hAnsi="Arial"/>
          <w:sz w:val="16"/>
          <w:szCs w:val="16"/>
          <w:b w:val="1"/>
          <w:bCs w:val="1"/>
          <w:color w:val="D7282F"/>
        </w:rPr>
      </w:pPr>
    </w:p>
    <w:p>
      <w:pPr>
        <w:ind w:left="360" w:hanging="191"/>
        <w:spacing w:after="0"/>
        <w:tabs>
          <w:tab w:leader="none" w:pos="360" w:val="left"/>
        </w:tabs>
        <w:numPr>
          <w:ilvl w:val="0"/>
          <w:numId w:val="117"/>
        </w:numPr>
        <w:rPr>
          <w:rFonts w:ascii="Arial" w:cs="Arial" w:eastAsia="Arial" w:hAnsi="Arial"/>
          <w:sz w:val="16"/>
          <w:szCs w:val="16"/>
          <w:b w:val="1"/>
          <w:bCs w:val="1"/>
          <w:color w:val="D7282F"/>
        </w:rPr>
      </w:pPr>
      <w:r>
        <w:rPr>
          <w:rFonts w:ascii="Arial" w:cs="Arial" w:eastAsia="Arial" w:hAnsi="Arial"/>
          <w:sz w:val="16"/>
          <w:szCs w:val="16"/>
          <w:color w:val="auto"/>
        </w:rPr>
        <w:t>Greater financial flexibility to pursue prioritized organic growth opportunities throughout investment cycles;</w:t>
      </w:r>
    </w:p>
    <w:p>
      <w:pPr>
        <w:spacing w:after="0" w:line="72" w:lineRule="exact"/>
        <w:rPr>
          <w:rFonts w:ascii="Arial" w:cs="Arial" w:eastAsia="Arial" w:hAnsi="Arial"/>
          <w:sz w:val="16"/>
          <w:szCs w:val="16"/>
          <w:b w:val="1"/>
          <w:bCs w:val="1"/>
          <w:color w:val="D7282F"/>
        </w:rPr>
      </w:pPr>
    </w:p>
    <w:p>
      <w:pPr>
        <w:ind w:left="360" w:hanging="191"/>
        <w:spacing w:after="0"/>
        <w:tabs>
          <w:tab w:leader="none" w:pos="360" w:val="left"/>
        </w:tabs>
        <w:numPr>
          <w:ilvl w:val="0"/>
          <w:numId w:val="117"/>
        </w:numPr>
        <w:rPr>
          <w:rFonts w:ascii="Arial" w:cs="Arial" w:eastAsia="Arial" w:hAnsi="Arial"/>
          <w:sz w:val="16"/>
          <w:szCs w:val="16"/>
          <w:b w:val="1"/>
          <w:bCs w:val="1"/>
          <w:color w:val="D7282F"/>
        </w:rPr>
      </w:pPr>
      <w:r>
        <w:rPr>
          <w:rFonts w:ascii="Arial" w:cs="Arial" w:eastAsia="Arial" w:hAnsi="Arial"/>
          <w:sz w:val="16"/>
          <w:szCs w:val="16"/>
          <w:color w:val="auto"/>
        </w:rPr>
        <w:t>Improved ability to customize capital allocation priorities in alignment with strategic focus;</w:t>
      </w:r>
    </w:p>
    <w:p>
      <w:pPr>
        <w:spacing w:after="0" w:line="86" w:lineRule="exact"/>
        <w:rPr>
          <w:rFonts w:ascii="Arial" w:cs="Arial" w:eastAsia="Arial" w:hAnsi="Arial"/>
          <w:sz w:val="16"/>
          <w:szCs w:val="16"/>
          <w:b w:val="1"/>
          <w:bCs w:val="1"/>
          <w:color w:val="D7282F"/>
        </w:rPr>
      </w:pPr>
    </w:p>
    <w:p>
      <w:pPr>
        <w:ind w:left="360" w:hanging="191"/>
        <w:spacing w:after="0"/>
        <w:tabs>
          <w:tab w:leader="none" w:pos="360" w:val="left"/>
        </w:tabs>
        <w:numPr>
          <w:ilvl w:val="0"/>
          <w:numId w:val="117"/>
        </w:numPr>
        <w:rPr>
          <w:rFonts w:ascii="Arial" w:cs="Arial" w:eastAsia="Arial" w:hAnsi="Arial"/>
          <w:sz w:val="16"/>
          <w:szCs w:val="16"/>
          <w:b w:val="1"/>
          <w:bCs w:val="1"/>
          <w:color w:val="D7282F"/>
        </w:rPr>
      </w:pPr>
      <w:r>
        <w:rPr>
          <w:rFonts w:ascii="Arial" w:cs="Arial" w:eastAsia="Arial" w:hAnsi="Arial"/>
          <w:sz w:val="16"/>
          <w:szCs w:val="16"/>
          <w:color w:val="auto"/>
        </w:rPr>
        <w:t>Focused boards of directors and management teams with deep domain expertise; and</w:t>
      </w:r>
    </w:p>
    <w:p>
      <w:pPr>
        <w:spacing w:after="0" w:line="86" w:lineRule="exact"/>
        <w:rPr>
          <w:rFonts w:ascii="Arial" w:cs="Arial" w:eastAsia="Arial" w:hAnsi="Arial"/>
          <w:sz w:val="16"/>
          <w:szCs w:val="16"/>
          <w:b w:val="1"/>
          <w:bCs w:val="1"/>
          <w:color w:val="D7282F"/>
        </w:rPr>
      </w:pPr>
    </w:p>
    <w:p>
      <w:pPr>
        <w:ind w:left="360" w:hanging="191"/>
        <w:spacing w:after="0"/>
        <w:tabs>
          <w:tab w:leader="none" w:pos="360" w:val="left"/>
        </w:tabs>
        <w:numPr>
          <w:ilvl w:val="0"/>
          <w:numId w:val="117"/>
        </w:numPr>
        <w:rPr>
          <w:rFonts w:ascii="Arial" w:cs="Arial" w:eastAsia="Arial" w:hAnsi="Arial"/>
          <w:sz w:val="16"/>
          <w:szCs w:val="16"/>
          <w:b w:val="1"/>
          <w:bCs w:val="1"/>
          <w:color w:val="D7282F"/>
        </w:rPr>
      </w:pPr>
      <w:r>
        <w:rPr>
          <w:rFonts w:ascii="Arial" w:cs="Arial" w:eastAsia="Arial" w:hAnsi="Arial"/>
          <w:sz w:val="16"/>
          <w:szCs w:val="16"/>
          <w:color w:val="auto"/>
        </w:rPr>
        <w:t>Distinct investment profiles that position each company to unlock greater long-term value for shareowners.</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2026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43</w:t>
            </w:r>
          </w:p>
        </w:tc>
      </w:tr>
      <w:tr>
        <w:trPr>
          <w:trHeight w:val="373"/>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8" w:name="page49"/>
    <w:bookmarkEnd w:id="48"/>
    <w:p>
      <w:pPr>
        <w:spacing w:after="0"/>
        <w:rPr>
          <w:sz w:val="20"/>
          <w:szCs w:val="20"/>
          <w:color w:val="auto"/>
        </w:rPr>
      </w:pPr>
      <w:r>
        <w:rPr>
          <w:rFonts w:ascii="Arial" w:cs="Arial" w:eastAsia="Arial" w:hAnsi="Arial"/>
          <w:sz w:val="13"/>
          <w:szCs w:val="13"/>
          <w:b w:val="1"/>
          <w:bCs w:val="1"/>
          <w:color w:val="6D6E71"/>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OVERSIGHT OF AI AND ITS RESPONSIBLE USE</w:t>
      </w:r>
    </w:p>
    <w:p>
      <w:pPr>
        <w:spacing w:after="0" w:line="128"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As an innovative industrial leader, new technologies like AI provide Honeywell tremendous opportunity in the design and development of pioneering solutions that address the world’s most critical needs, and we are able to leverage decades of expertise in automation and controls to integrate AI into our customer offerings. The effective and responsible creation, evaluation, use and life-cycle management of AI-based solutions is therefore a key strategic focus area for the Board.</w:t>
      </w:r>
    </w:p>
    <w:p>
      <w:pPr>
        <w:spacing w:after="0" w:line="78"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The Board closely monitors developments in AI as part of its oversight of business strategy. In 2024, with the Board's oversight, Honeywell adopted and implemented a comprehensive Responsible AI Framework, Policy and Governance structure to support our deployment of AI responsibly and in compliance with applicable law and Company policy. As part of this process, the Board assigned the initial responsibility for overseeing data use and compliance (including under AI regulations) risks to the Audit Committee. Then, in 2025, as the Company’s approach to a holistic AI framework and set of policies matured, the Board assigned responsibility for the supervision of responsible AI governance to the CGRC.</w:t>
      </w:r>
    </w:p>
    <w:p>
      <w:pPr>
        <w:spacing w:after="0" w:line="83"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As Honeywell continues to rapidly innovate and drive growth with AI, a robust governance system and compliance assurance will always remain a core component of the processes for product development and evaluating use cases. The Board, through the CGRC, regularly reviews our AI and Generative AI tools and use cases to ensure that they support our strategic and business goals, as well as meet or exceed the requirements of relevant AI laws and guidelines and industry best practices. The Company’s Responsible AI Framework includes a comprehensive set of policies, standards, and review procedures applicable to all AI use cases and systems at the Company. Additionally, Honeywell has established an AI Claims approval system to ensure that marketing claims we make about our use of AI are accurate and verifiable and that we have a comprehensive repository of valid AI claims that are readily accessible and reusable.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316293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32320" cy="3162935"/>
                    </a:xfrm>
                    <a:prstGeom prst="rect">
                      <a:avLst/>
                    </a:prstGeom>
                    <a:noFill/>
                  </pic:spPr>
                </pic:pic>
              </a:graphicData>
            </a:graphic>
          </wp:anchor>
        </w:drawing>
      </w:r>
    </w:p>
    <w:p>
      <w:pPr>
        <w:spacing w:after="0" w:line="16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FFFFFF"/>
        </w:rPr>
        <w:t>HONEYWELL’S RESPONSIBLE AI FRAMEWORK</w:t>
      </w:r>
    </w:p>
    <w:p>
      <w:pPr>
        <w:spacing w:after="0" w:line="324" w:lineRule="exact"/>
        <w:rPr>
          <w:sz w:val="20"/>
          <w:szCs w:val="20"/>
          <w:color w:val="auto"/>
        </w:rPr>
      </w:pPr>
    </w:p>
    <w:p>
      <w:pPr>
        <w:jc w:val="both"/>
        <w:ind w:left="160" w:right="460"/>
        <w:spacing w:after="0" w:line="275" w:lineRule="auto"/>
        <w:rPr>
          <w:sz w:val="20"/>
          <w:szCs w:val="20"/>
          <w:color w:val="auto"/>
        </w:rPr>
      </w:pPr>
      <w:r>
        <w:rPr>
          <w:rFonts w:ascii="Arial" w:cs="Arial" w:eastAsia="Arial" w:hAnsi="Arial"/>
          <w:sz w:val="16"/>
          <w:szCs w:val="16"/>
          <w:color w:val="auto"/>
        </w:rPr>
        <w:t>All businesses and functions use the Responsible AI Governance Framework and its related standards, processes, and forms to review, assess and manage AI systems and use cases consistent with the Responsible AI Principles embedded in our AI Policy. These Responsible AI Principles inform decision-making across the Company’s AI uses and consist of the following elements:</w:t>
      </w:r>
    </w:p>
    <w:p>
      <w:pPr>
        <w:spacing w:after="0" w:line="56" w:lineRule="exact"/>
        <w:rPr>
          <w:sz w:val="20"/>
          <w:szCs w:val="20"/>
          <w:color w:val="auto"/>
        </w:rPr>
      </w:pPr>
    </w:p>
    <w:p>
      <w:pPr>
        <w:ind w:left="360" w:right="680" w:hanging="191"/>
        <w:spacing w:after="0" w:line="304" w:lineRule="auto"/>
        <w:tabs>
          <w:tab w:leader="none" w:pos="357" w:val="left"/>
        </w:tabs>
        <w:numPr>
          <w:ilvl w:val="0"/>
          <w:numId w:val="118"/>
        </w:numPr>
        <w:rPr>
          <w:rFonts w:ascii="Arial" w:cs="Arial" w:eastAsia="Arial" w:hAnsi="Arial"/>
          <w:sz w:val="16"/>
          <w:szCs w:val="16"/>
          <w:b w:val="1"/>
          <w:bCs w:val="1"/>
          <w:color w:val="D7282F"/>
        </w:rPr>
      </w:pPr>
      <w:r>
        <w:rPr>
          <w:rFonts w:ascii="Arial" w:cs="Arial" w:eastAsia="Arial" w:hAnsi="Arial"/>
          <w:sz w:val="16"/>
          <w:szCs w:val="16"/>
          <w:i w:val="1"/>
          <w:iCs w:val="1"/>
          <w:color w:val="auto"/>
        </w:rPr>
        <w:t>Accountable</w:t>
      </w:r>
      <w:r>
        <w:rPr>
          <w:rFonts w:ascii="Arial" w:cs="Arial" w:eastAsia="Arial" w:hAnsi="Arial"/>
          <w:sz w:val="16"/>
          <w:szCs w:val="16"/>
          <w:color w:val="auto"/>
        </w:rPr>
        <w:t>. We strive to hold ourselves accountable through robust AI governance, clear lines of responsibility and monitoring to help ensure</w:t>
      </w:r>
      <w:r>
        <w:rPr>
          <w:rFonts w:ascii="Arial" w:cs="Arial" w:eastAsia="Arial" w:hAnsi="Arial"/>
          <w:sz w:val="16"/>
          <w:szCs w:val="16"/>
          <w:i w:val="1"/>
          <w:iCs w:val="1"/>
          <w:color w:val="auto"/>
        </w:rPr>
        <w:t xml:space="preserve"> </w:t>
      </w:r>
      <w:r>
        <w:rPr>
          <w:rFonts w:ascii="Arial" w:cs="Arial" w:eastAsia="Arial" w:hAnsi="Arial"/>
          <w:sz w:val="16"/>
          <w:szCs w:val="16"/>
          <w:color w:val="auto"/>
        </w:rPr>
        <w:t>continuous improvement. We expect our partners to do the same.</w:t>
      </w:r>
    </w:p>
    <w:p>
      <w:pPr>
        <w:spacing w:after="0" w:line="6" w:lineRule="exact"/>
        <w:rPr>
          <w:rFonts w:ascii="Arial" w:cs="Arial" w:eastAsia="Arial" w:hAnsi="Arial"/>
          <w:sz w:val="16"/>
          <w:szCs w:val="16"/>
          <w:b w:val="1"/>
          <w:bCs w:val="1"/>
          <w:color w:val="D7282F"/>
        </w:rPr>
      </w:pPr>
    </w:p>
    <w:p>
      <w:pPr>
        <w:ind w:left="360" w:hanging="191"/>
        <w:spacing w:after="0"/>
        <w:tabs>
          <w:tab w:leader="none" w:pos="360" w:val="left"/>
        </w:tabs>
        <w:numPr>
          <w:ilvl w:val="0"/>
          <w:numId w:val="118"/>
        </w:numPr>
        <w:rPr>
          <w:rFonts w:ascii="Arial" w:cs="Arial" w:eastAsia="Arial" w:hAnsi="Arial"/>
          <w:sz w:val="16"/>
          <w:szCs w:val="16"/>
          <w:b w:val="1"/>
          <w:bCs w:val="1"/>
          <w:color w:val="D7282F"/>
        </w:rPr>
      </w:pPr>
      <w:r>
        <w:rPr>
          <w:rFonts w:ascii="Arial" w:cs="Arial" w:eastAsia="Arial" w:hAnsi="Arial"/>
          <w:sz w:val="16"/>
          <w:szCs w:val="16"/>
          <w:i w:val="1"/>
          <w:iCs w:val="1"/>
          <w:color w:val="auto"/>
        </w:rPr>
        <w:t>Safe and Secure</w:t>
      </w:r>
      <w:r>
        <w:rPr>
          <w:rFonts w:ascii="Arial" w:cs="Arial" w:eastAsia="Arial" w:hAnsi="Arial"/>
          <w:sz w:val="16"/>
          <w:szCs w:val="16"/>
          <w:color w:val="auto"/>
        </w:rPr>
        <w:t>. We seek to protect against unintended applications, access or harm associated with our use or provision of AI.</w:t>
      </w:r>
    </w:p>
    <w:p>
      <w:pPr>
        <w:spacing w:after="0" w:line="72" w:lineRule="exact"/>
        <w:rPr>
          <w:rFonts w:ascii="Arial" w:cs="Arial" w:eastAsia="Arial" w:hAnsi="Arial"/>
          <w:sz w:val="16"/>
          <w:szCs w:val="16"/>
          <w:b w:val="1"/>
          <w:bCs w:val="1"/>
          <w:color w:val="D7282F"/>
        </w:rPr>
      </w:pPr>
    </w:p>
    <w:p>
      <w:pPr>
        <w:ind w:left="360" w:right="340" w:hanging="191"/>
        <w:spacing w:after="0" w:line="299" w:lineRule="auto"/>
        <w:tabs>
          <w:tab w:leader="none" w:pos="357" w:val="left"/>
        </w:tabs>
        <w:numPr>
          <w:ilvl w:val="0"/>
          <w:numId w:val="118"/>
        </w:numPr>
        <w:rPr>
          <w:rFonts w:ascii="Arial" w:cs="Arial" w:eastAsia="Arial" w:hAnsi="Arial"/>
          <w:sz w:val="16"/>
          <w:szCs w:val="16"/>
          <w:b w:val="1"/>
          <w:bCs w:val="1"/>
          <w:color w:val="D7282F"/>
        </w:rPr>
      </w:pPr>
      <w:r>
        <w:rPr>
          <w:rFonts w:ascii="Arial" w:cs="Arial" w:eastAsia="Arial" w:hAnsi="Arial"/>
          <w:sz w:val="16"/>
          <w:szCs w:val="16"/>
          <w:i w:val="1"/>
          <w:iCs w:val="1"/>
          <w:color w:val="auto"/>
        </w:rPr>
        <w:t>Valid and Reliable</w:t>
      </w:r>
      <w:r>
        <w:rPr>
          <w:rFonts w:ascii="Arial" w:cs="Arial" w:eastAsia="Arial" w:hAnsi="Arial"/>
          <w:sz w:val="16"/>
          <w:szCs w:val="16"/>
          <w:color w:val="auto"/>
        </w:rPr>
        <w:t>. We aim to employ technology that produces appropriately consistent and accurate results and incorporates controls designed to</w:t>
      </w:r>
      <w:r>
        <w:rPr>
          <w:rFonts w:ascii="Arial" w:cs="Arial" w:eastAsia="Arial" w:hAnsi="Arial"/>
          <w:sz w:val="16"/>
          <w:szCs w:val="16"/>
          <w:i w:val="1"/>
          <w:iCs w:val="1"/>
          <w:color w:val="auto"/>
        </w:rPr>
        <w:t xml:space="preserve"> </w:t>
      </w:r>
      <w:r>
        <w:rPr>
          <w:rFonts w:ascii="Arial" w:cs="Arial" w:eastAsia="Arial" w:hAnsi="Arial"/>
          <w:sz w:val="16"/>
          <w:szCs w:val="16"/>
          <w:color w:val="auto"/>
        </w:rPr>
        <w:t>help minimize disruptions.</w:t>
      </w:r>
    </w:p>
    <w:p>
      <w:pPr>
        <w:ind w:left="360" w:right="360" w:hanging="191"/>
        <w:spacing w:after="0" w:line="275" w:lineRule="auto"/>
        <w:tabs>
          <w:tab w:leader="none" w:pos="357" w:val="left"/>
        </w:tabs>
        <w:numPr>
          <w:ilvl w:val="0"/>
          <w:numId w:val="118"/>
        </w:numPr>
        <w:rPr>
          <w:rFonts w:ascii="Arial" w:cs="Arial" w:eastAsia="Arial" w:hAnsi="Arial"/>
          <w:sz w:val="16"/>
          <w:szCs w:val="16"/>
          <w:b w:val="1"/>
          <w:bCs w:val="1"/>
          <w:color w:val="D7282F"/>
        </w:rPr>
      </w:pPr>
      <w:r>
        <w:rPr>
          <w:rFonts w:ascii="Arial" w:cs="Arial" w:eastAsia="Arial" w:hAnsi="Arial"/>
          <w:sz w:val="16"/>
          <w:szCs w:val="16"/>
          <w:i w:val="1"/>
          <w:iCs w:val="1"/>
          <w:color w:val="auto"/>
        </w:rPr>
        <w:t>Fair and Equitable</w:t>
      </w:r>
      <w:r>
        <w:rPr>
          <w:rFonts w:ascii="Arial" w:cs="Arial" w:eastAsia="Arial" w:hAnsi="Arial"/>
          <w:sz w:val="16"/>
          <w:szCs w:val="16"/>
          <w:color w:val="auto"/>
        </w:rPr>
        <w:t>. We strive to treat people fairly and equitably from design to implementation of AI, including seeking to identify and mitigate</w:t>
      </w:r>
      <w:r>
        <w:rPr>
          <w:rFonts w:ascii="Arial" w:cs="Arial" w:eastAsia="Arial" w:hAnsi="Arial"/>
          <w:sz w:val="16"/>
          <w:szCs w:val="16"/>
          <w:i w:val="1"/>
          <w:iCs w:val="1"/>
          <w:color w:val="auto"/>
        </w:rPr>
        <w:t xml:space="preserve"> </w:t>
      </w:r>
      <w:r>
        <w:rPr>
          <w:rFonts w:ascii="Arial" w:cs="Arial" w:eastAsia="Arial" w:hAnsi="Arial"/>
          <w:sz w:val="16"/>
          <w:szCs w:val="16"/>
          <w:color w:val="auto"/>
        </w:rPr>
        <w:t>algorithmic bias. Our Framework includes a bias standard that we use to consider and mitigate the risk of bias, taking into account accessibility and inclusive design.</w:t>
      </w:r>
    </w:p>
    <w:p>
      <w:pPr>
        <w:spacing w:after="0" w:line="29" w:lineRule="exact"/>
        <w:rPr>
          <w:rFonts w:ascii="Arial" w:cs="Arial" w:eastAsia="Arial" w:hAnsi="Arial"/>
          <w:sz w:val="16"/>
          <w:szCs w:val="16"/>
          <w:b w:val="1"/>
          <w:bCs w:val="1"/>
          <w:color w:val="D7282F"/>
        </w:rPr>
      </w:pPr>
    </w:p>
    <w:p>
      <w:pPr>
        <w:ind w:left="360" w:right="180" w:hanging="191"/>
        <w:spacing w:after="0" w:line="286" w:lineRule="auto"/>
        <w:tabs>
          <w:tab w:leader="none" w:pos="357" w:val="left"/>
        </w:tabs>
        <w:numPr>
          <w:ilvl w:val="0"/>
          <w:numId w:val="118"/>
        </w:numPr>
        <w:rPr>
          <w:rFonts w:ascii="Arial" w:cs="Arial" w:eastAsia="Arial" w:hAnsi="Arial"/>
          <w:sz w:val="16"/>
          <w:szCs w:val="16"/>
          <w:b w:val="1"/>
          <w:bCs w:val="1"/>
          <w:color w:val="D7282F"/>
        </w:rPr>
      </w:pPr>
      <w:r>
        <w:rPr>
          <w:rFonts w:ascii="Arial" w:cs="Arial" w:eastAsia="Arial" w:hAnsi="Arial"/>
          <w:sz w:val="16"/>
          <w:szCs w:val="16"/>
          <w:i w:val="1"/>
          <w:iCs w:val="1"/>
          <w:color w:val="auto"/>
        </w:rPr>
        <w:t>Privacy and Intellectual Property</w:t>
      </w:r>
      <w:r>
        <w:rPr>
          <w:rFonts w:ascii="Arial" w:cs="Arial" w:eastAsia="Arial" w:hAnsi="Arial"/>
          <w:sz w:val="16"/>
          <w:szCs w:val="16"/>
          <w:color w:val="auto"/>
        </w:rPr>
        <w:t>. We strive to safeguard individual confidentiality, autonomy and control over the use and disclosure of Personal Data</w:t>
      </w:r>
      <w:r>
        <w:rPr>
          <w:rFonts w:ascii="Arial" w:cs="Arial" w:eastAsia="Arial" w:hAnsi="Arial"/>
          <w:sz w:val="16"/>
          <w:szCs w:val="16"/>
          <w:i w:val="1"/>
          <w:iCs w:val="1"/>
          <w:color w:val="auto"/>
        </w:rPr>
        <w:t xml:space="preserve"> </w:t>
      </w:r>
      <w:r>
        <w:rPr>
          <w:rFonts w:ascii="Arial" w:cs="Arial" w:eastAsia="Arial" w:hAnsi="Arial"/>
          <w:sz w:val="16"/>
          <w:szCs w:val="16"/>
          <w:color w:val="auto"/>
        </w:rPr>
        <w:t>as feasible, appropriate and legally required and to protect Honeywell and third-party intellectual property and data rights.</w:t>
      </w:r>
    </w:p>
    <w:p>
      <w:pPr>
        <w:spacing w:after="0" w:line="20" w:lineRule="exact"/>
        <w:rPr>
          <w:rFonts w:ascii="Arial" w:cs="Arial" w:eastAsia="Arial" w:hAnsi="Arial"/>
          <w:sz w:val="16"/>
          <w:szCs w:val="16"/>
          <w:b w:val="1"/>
          <w:bCs w:val="1"/>
          <w:color w:val="D7282F"/>
        </w:rPr>
      </w:pPr>
    </w:p>
    <w:p>
      <w:pPr>
        <w:ind w:left="360" w:right="260" w:hanging="191"/>
        <w:spacing w:after="0" w:line="286" w:lineRule="auto"/>
        <w:tabs>
          <w:tab w:leader="none" w:pos="357" w:val="left"/>
        </w:tabs>
        <w:numPr>
          <w:ilvl w:val="0"/>
          <w:numId w:val="118"/>
        </w:numPr>
        <w:rPr>
          <w:rFonts w:ascii="Arial" w:cs="Arial" w:eastAsia="Arial" w:hAnsi="Arial"/>
          <w:sz w:val="16"/>
          <w:szCs w:val="16"/>
          <w:b w:val="1"/>
          <w:bCs w:val="1"/>
          <w:color w:val="D7282F"/>
        </w:rPr>
      </w:pPr>
      <w:r>
        <w:rPr>
          <w:rFonts w:ascii="Arial" w:cs="Arial" w:eastAsia="Arial" w:hAnsi="Arial"/>
          <w:sz w:val="16"/>
          <w:szCs w:val="16"/>
          <w:i w:val="1"/>
          <w:iCs w:val="1"/>
          <w:color w:val="auto"/>
        </w:rPr>
        <w:t>Transparent and Explainable</w:t>
      </w:r>
      <w:r>
        <w:rPr>
          <w:rFonts w:ascii="Arial" w:cs="Arial" w:eastAsia="Arial" w:hAnsi="Arial"/>
          <w:sz w:val="16"/>
          <w:szCs w:val="16"/>
          <w:color w:val="auto"/>
        </w:rPr>
        <w:t>. We promote transparency in our design, function, description and use of AI and endeavor to maximize explainability of</w:t>
      </w:r>
      <w:r>
        <w:rPr>
          <w:rFonts w:ascii="Arial" w:cs="Arial" w:eastAsia="Arial" w:hAnsi="Arial"/>
          <w:sz w:val="16"/>
          <w:szCs w:val="16"/>
          <w:i w:val="1"/>
          <w:iCs w:val="1"/>
          <w:color w:val="auto"/>
        </w:rPr>
        <w:t xml:space="preserve"> </w:t>
      </w:r>
      <w:r>
        <w:rPr>
          <w:rFonts w:ascii="Arial" w:cs="Arial" w:eastAsia="Arial" w:hAnsi="Arial"/>
          <w:sz w:val="16"/>
          <w:szCs w:val="16"/>
          <w:color w:val="auto"/>
        </w:rPr>
        <w:t>AI decision-making when feasible and appropriate.</w:t>
      </w:r>
    </w:p>
    <w:p>
      <w:pPr>
        <w:spacing w:after="0" w:line="20" w:lineRule="exact"/>
        <w:rPr>
          <w:rFonts w:ascii="Arial" w:cs="Arial" w:eastAsia="Arial" w:hAnsi="Arial"/>
          <w:sz w:val="16"/>
          <w:szCs w:val="16"/>
          <w:b w:val="1"/>
          <w:bCs w:val="1"/>
          <w:color w:val="D7282F"/>
        </w:rPr>
      </w:pPr>
    </w:p>
    <w:p>
      <w:pPr>
        <w:ind w:left="360" w:right="400" w:hanging="191"/>
        <w:spacing w:after="0" w:line="265" w:lineRule="auto"/>
        <w:tabs>
          <w:tab w:leader="none" w:pos="357" w:val="left"/>
        </w:tabs>
        <w:numPr>
          <w:ilvl w:val="0"/>
          <w:numId w:val="118"/>
        </w:numPr>
        <w:rPr>
          <w:rFonts w:ascii="Arial" w:cs="Arial" w:eastAsia="Arial" w:hAnsi="Arial"/>
          <w:sz w:val="16"/>
          <w:szCs w:val="16"/>
          <w:b w:val="1"/>
          <w:bCs w:val="1"/>
          <w:color w:val="D7282F"/>
        </w:rPr>
      </w:pPr>
      <w:r>
        <w:rPr>
          <w:rFonts w:ascii="Arial" w:cs="Arial" w:eastAsia="Arial" w:hAnsi="Arial"/>
          <w:sz w:val="16"/>
          <w:szCs w:val="16"/>
          <w:i w:val="1"/>
          <w:iCs w:val="1"/>
          <w:color w:val="auto"/>
        </w:rPr>
        <w:t>Sustainable</w:t>
      </w:r>
      <w:r>
        <w:rPr>
          <w:rFonts w:ascii="Arial" w:cs="Arial" w:eastAsia="Arial" w:hAnsi="Arial"/>
          <w:sz w:val="16"/>
          <w:szCs w:val="16"/>
          <w:color w:val="auto"/>
        </w:rPr>
        <w:t>. We are committed to reducing our environmental footprint, including supporting environmentally and socially conscious use of AI, and</w:t>
      </w:r>
      <w:r>
        <w:rPr>
          <w:rFonts w:ascii="Arial" w:cs="Arial" w:eastAsia="Arial" w:hAnsi="Arial"/>
          <w:sz w:val="16"/>
          <w:szCs w:val="16"/>
          <w:i w:val="1"/>
          <w:iCs w:val="1"/>
          <w:color w:val="auto"/>
        </w:rPr>
        <w:t xml:space="preserve"> </w:t>
      </w:r>
      <w:r>
        <w:rPr>
          <w:rFonts w:ascii="Arial" w:cs="Arial" w:eastAsia="Arial" w:hAnsi="Arial"/>
          <w:sz w:val="16"/>
          <w:szCs w:val="16"/>
          <w:color w:val="auto"/>
        </w:rPr>
        <w:t>we have included sustainability considerations in our review of our AI use cases. More specifically, we note that many of our AI use cases and offerings create opportunities for maximizing efficiency by reducing use of resources like electric power and jet fuel and predicting outage-causing events which to some degree can help balance against the energy needed to power AI.</w:t>
      </w:r>
    </w:p>
    <w:p>
      <w:pPr>
        <w:spacing w:after="0" w:line="200" w:lineRule="exact"/>
        <w:rPr>
          <w:sz w:val="20"/>
          <w:szCs w:val="20"/>
          <w:color w:val="auto"/>
        </w:rPr>
      </w:pPr>
    </w:p>
    <w:p>
      <w:pPr>
        <w:spacing w:after="0" w:line="231"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sz w:val="1"/>
          <w:szCs w:val="1"/>
          <w:color w:val="auto"/>
        </w:rPr>
        <w:drawing>
          <wp:inline distT="0" distB="0" distL="0" distR="0">
            <wp:extent cx="548640" cy="102870"/>
            <wp:effectExtent l="0" t="0" r="0" b="0"/>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2026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3"/>
          <w:szCs w:val="13"/>
          <w:b w:val="1"/>
          <w:bCs w:val="1"/>
          <w:color w:val="6D6E71"/>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OVERSIGHT OF CORPORATE RESPONSIBILITY MATTERS</w:t>
      </w:r>
    </w:p>
    <w:p>
      <w:pPr>
        <w:spacing w:after="0" w:line="114"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auto"/>
        </w:rPr>
        <w:t>Honeywell takes seriously its commitment to corporate social responsibility, protection of the environment, and creation of sustainable opportunity everywhere it operates. Honeywell’s impact and sustainability initiatives are aligned with the Company’s long-term strategy, both informing and supporting Honeywell’s strategic plans and focus on maximizing shareowner value.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 Board’s engagement and oversight extends to risks and opportunities in these areas in the following principal ways:</w:t>
      </w:r>
    </w:p>
    <w:p>
      <w:pPr>
        <w:spacing w:after="0" w:line="113" w:lineRule="exact"/>
        <w:rPr>
          <w:sz w:val="20"/>
          <w:szCs w:val="20"/>
          <w:color w:val="auto"/>
        </w:rPr>
      </w:pPr>
    </w:p>
    <w:p>
      <w:pPr>
        <w:ind w:left="200" w:right="20" w:hanging="192"/>
        <w:spacing w:after="0" w:line="286" w:lineRule="auto"/>
        <w:tabs>
          <w:tab w:leader="none" w:pos="197" w:val="left"/>
        </w:tabs>
        <w:numPr>
          <w:ilvl w:val="0"/>
          <w:numId w:val="119"/>
        </w:numPr>
        <w:rPr>
          <w:rFonts w:ascii="Arial" w:cs="Arial" w:eastAsia="Arial" w:hAnsi="Arial"/>
          <w:sz w:val="16"/>
          <w:szCs w:val="16"/>
          <w:b w:val="1"/>
          <w:bCs w:val="1"/>
          <w:color w:val="D7282F"/>
        </w:rPr>
      </w:pPr>
      <w:r>
        <w:rPr>
          <w:rFonts w:ascii="Arial" w:cs="Arial" w:eastAsia="Arial" w:hAnsi="Arial"/>
          <w:sz w:val="16"/>
          <w:szCs w:val="16"/>
          <w:color w:val="auto"/>
        </w:rPr>
        <w:t>The CGRC has primary jurisdiction for managing corporate responsibility risks and opportunities as well as oversight of discrete underlying topics, such as climate, environmental remediation, environmental justice, integrity and ethics, data privacy, responsible AI governance, and political engagement.</w:t>
      </w:r>
    </w:p>
    <w:p>
      <w:pPr>
        <w:spacing w:after="0" w:line="7" w:lineRule="exact"/>
        <w:rPr>
          <w:rFonts w:ascii="Arial" w:cs="Arial" w:eastAsia="Arial" w:hAnsi="Arial"/>
          <w:sz w:val="16"/>
          <w:szCs w:val="16"/>
          <w:b w:val="1"/>
          <w:bCs w:val="1"/>
          <w:color w:val="D7282F"/>
        </w:rPr>
      </w:pPr>
    </w:p>
    <w:p>
      <w:pPr>
        <w:ind w:left="200" w:hanging="192"/>
        <w:spacing w:after="0"/>
        <w:tabs>
          <w:tab w:leader="none" w:pos="200" w:val="left"/>
        </w:tabs>
        <w:numPr>
          <w:ilvl w:val="0"/>
          <w:numId w:val="119"/>
        </w:numPr>
        <w:rPr>
          <w:rFonts w:ascii="Arial" w:cs="Arial" w:eastAsia="Arial" w:hAnsi="Arial"/>
          <w:sz w:val="16"/>
          <w:szCs w:val="16"/>
          <w:b w:val="1"/>
          <w:bCs w:val="1"/>
          <w:color w:val="D7282F"/>
        </w:rPr>
      </w:pPr>
      <w:r>
        <w:rPr>
          <w:rFonts w:ascii="Arial" w:cs="Arial" w:eastAsia="Arial" w:hAnsi="Arial"/>
          <w:sz w:val="16"/>
          <w:szCs w:val="16"/>
          <w:color w:val="auto"/>
        </w:rPr>
        <w:t>Direct MDCC oversight of human capital management issues, including culture, talent recruitment and retention, and employee well-being.</w:t>
      </w:r>
    </w:p>
    <w:p>
      <w:pPr>
        <w:spacing w:after="0" w:line="72" w:lineRule="exact"/>
        <w:rPr>
          <w:rFonts w:ascii="Arial" w:cs="Arial" w:eastAsia="Arial" w:hAnsi="Arial"/>
          <w:sz w:val="16"/>
          <w:szCs w:val="16"/>
          <w:b w:val="1"/>
          <w:bCs w:val="1"/>
          <w:color w:val="D7282F"/>
        </w:rPr>
      </w:pPr>
    </w:p>
    <w:p>
      <w:pPr>
        <w:ind w:left="200" w:hanging="192"/>
        <w:spacing w:after="0"/>
        <w:tabs>
          <w:tab w:leader="none" w:pos="200" w:val="left"/>
        </w:tabs>
        <w:numPr>
          <w:ilvl w:val="0"/>
          <w:numId w:val="119"/>
        </w:numPr>
        <w:rPr>
          <w:rFonts w:ascii="Arial" w:cs="Arial" w:eastAsia="Arial" w:hAnsi="Arial"/>
          <w:sz w:val="16"/>
          <w:szCs w:val="16"/>
          <w:b w:val="1"/>
          <w:bCs w:val="1"/>
          <w:color w:val="D7282F"/>
        </w:rPr>
      </w:pPr>
      <w:r>
        <w:rPr>
          <w:rFonts w:ascii="Arial" w:cs="Arial" w:eastAsia="Arial" w:hAnsi="Arial"/>
          <w:sz w:val="16"/>
          <w:szCs w:val="16"/>
          <w:color w:val="auto"/>
        </w:rPr>
        <w:t>Direct Audit Committee and Board engagement with sustainability risk areas through a robust and comprehensive ERM program.</w:t>
      </w:r>
    </w:p>
    <w:p>
      <w:pPr>
        <w:spacing w:after="0" w:line="72" w:lineRule="exact"/>
        <w:rPr>
          <w:rFonts w:ascii="Arial" w:cs="Arial" w:eastAsia="Arial" w:hAnsi="Arial"/>
          <w:sz w:val="16"/>
          <w:szCs w:val="16"/>
          <w:b w:val="1"/>
          <w:bCs w:val="1"/>
          <w:color w:val="D7282F"/>
        </w:rPr>
      </w:pPr>
    </w:p>
    <w:p>
      <w:pPr>
        <w:ind w:left="200" w:hanging="192"/>
        <w:spacing w:after="0"/>
        <w:tabs>
          <w:tab w:leader="none" w:pos="200" w:val="left"/>
        </w:tabs>
        <w:numPr>
          <w:ilvl w:val="0"/>
          <w:numId w:val="119"/>
        </w:numPr>
        <w:rPr>
          <w:rFonts w:ascii="Arial" w:cs="Arial" w:eastAsia="Arial" w:hAnsi="Arial"/>
          <w:sz w:val="16"/>
          <w:szCs w:val="16"/>
          <w:b w:val="1"/>
          <w:bCs w:val="1"/>
          <w:color w:val="D7282F"/>
        </w:rPr>
      </w:pPr>
      <w:r>
        <w:rPr>
          <w:rFonts w:ascii="Arial" w:cs="Arial" w:eastAsia="Arial" w:hAnsi="Arial"/>
          <w:sz w:val="16"/>
          <w:szCs w:val="16"/>
          <w:color w:val="auto"/>
        </w:rPr>
        <w:t>Direct Board engagement on select topics, such as safety, business resiliency, political engagement, environmental matters, and community engagement.</w:t>
      </w:r>
    </w:p>
    <w:p>
      <w:pPr>
        <w:spacing w:after="0" w:line="86" w:lineRule="exact"/>
        <w:rPr>
          <w:rFonts w:ascii="Arial" w:cs="Arial" w:eastAsia="Arial" w:hAnsi="Arial"/>
          <w:sz w:val="16"/>
          <w:szCs w:val="16"/>
          <w:b w:val="1"/>
          <w:bCs w:val="1"/>
          <w:color w:val="D7282F"/>
        </w:rPr>
      </w:pPr>
    </w:p>
    <w:p>
      <w:pPr>
        <w:ind w:left="200" w:right="280" w:hanging="192"/>
        <w:spacing w:after="0" w:line="257" w:lineRule="auto"/>
        <w:tabs>
          <w:tab w:leader="none" w:pos="197" w:val="left"/>
        </w:tabs>
        <w:numPr>
          <w:ilvl w:val="0"/>
          <w:numId w:val="119"/>
        </w:numPr>
        <w:rPr>
          <w:rFonts w:ascii="Arial" w:cs="Arial" w:eastAsia="Arial" w:hAnsi="Arial"/>
          <w:sz w:val="16"/>
          <w:szCs w:val="16"/>
          <w:b w:val="1"/>
          <w:bCs w:val="1"/>
          <w:color w:val="D7282F"/>
        </w:rPr>
      </w:pPr>
      <w:r>
        <w:rPr>
          <w:rFonts w:ascii="Arial" w:cs="Arial" w:eastAsia="Arial" w:hAnsi="Arial"/>
          <w:sz w:val="16"/>
          <w:szCs w:val="16"/>
          <w:color w:val="auto"/>
        </w:rPr>
        <w:t>The Board values shareowners’ perspectives on corporate responsibility matters, and the Company (oftentimes with our independent Lead Director, MDCC Chair, and/or CGRC Chair) engages directly with shareowners throughout the year to discuss and receive feedback on our activities, risks, and opportunities in these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23430" cy="3429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23430" cy="34290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p>
      <w:pPr>
        <w:spacing w:after="0" w:line="178"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Overall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1765935" cy="190309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765935" cy="190309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Committee O</w:t>
      </w:r>
      <w:r>
        <w:rPr>
          <w:rFonts w:ascii="Arial" w:cs="Arial" w:eastAsia="Arial" w:hAnsi="Arial"/>
          <w:sz w:val="16"/>
          <w:szCs w:val="16"/>
          <w:b w:val="1"/>
          <w:bCs w:val="1"/>
          <w:color w:val="242424"/>
        </w:rPr>
        <w:t>versight of</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D</w:t>
      </w:r>
      <w:r>
        <w:rPr>
          <w:rFonts w:ascii="Arial" w:cs="Arial" w:eastAsia="Arial" w:hAnsi="Arial"/>
          <w:sz w:val="16"/>
          <w:szCs w:val="16"/>
          <w:b w:val="1"/>
          <w:bCs w:val="1"/>
          <w:color w:val="242424"/>
        </w:rPr>
        <w:t>iscrete</w:t>
      </w:r>
      <w:r>
        <w:rPr>
          <w:rFonts w:ascii="Arial" w:cs="Arial" w:eastAsia="Arial" w:hAnsi="Arial"/>
          <w:sz w:val="16"/>
          <w:szCs w:val="16"/>
          <w:b w:val="1"/>
          <w:bCs w:val="1"/>
          <w:color w:val="auto"/>
        </w:rPr>
        <w:t xml:space="preserve"> Corporate</w:t>
      </w:r>
    </w:p>
    <w:p>
      <w:pPr>
        <w:ind w:left="160"/>
        <w:spacing w:after="0" w:line="235" w:lineRule="auto"/>
        <w:rPr>
          <w:sz w:val="20"/>
          <w:szCs w:val="20"/>
          <w:color w:val="auto"/>
        </w:rPr>
      </w:pPr>
      <w:r>
        <w:rPr>
          <w:rFonts w:ascii="Arial" w:cs="Arial" w:eastAsia="Arial" w:hAnsi="Arial"/>
          <w:sz w:val="16"/>
          <w:szCs w:val="16"/>
          <w:b w:val="1"/>
          <w:bCs w:val="1"/>
          <w:color w:val="auto"/>
        </w:rPr>
        <w:t>Responsibility R</w:t>
      </w:r>
      <w:r>
        <w:rPr>
          <w:rFonts w:ascii="Arial" w:cs="Arial" w:eastAsia="Arial" w:hAnsi="Arial"/>
          <w:sz w:val="16"/>
          <w:szCs w:val="16"/>
          <w:b w:val="1"/>
          <w:bCs w:val="1"/>
          <w:color w:val="242424"/>
        </w:rPr>
        <w:t>isks and</w:t>
      </w:r>
    </w:p>
    <w:p>
      <w:pPr>
        <w:ind w:left="160"/>
        <w:spacing w:after="0"/>
        <w:rPr>
          <w:sz w:val="20"/>
          <w:szCs w:val="20"/>
          <w:color w:val="auto"/>
        </w:rPr>
      </w:pPr>
      <w:r>
        <w:rPr>
          <w:rFonts w:ascii="Arial" w:cs="Arial" w:eastAsia="Arial" w:hAnsi="Arial"/>
          <w:sz w:val="16"/>
          <w:szCs w:val="16"/>
          <w:b w:val="1"/>
          <w:bCs w:val="1"/>
          <w:color w:val="auto"/>
        </w:rPr>
        <w:t>Op</w:t>
      </w:r>
      <w:r>
        <w:rPr>
          <w:rFonts w:ascii="Arial" w:cs="Arial" w:eastAsia="Arial" w:hAnsi="Arial"/>
          <w:sz w:val="16"/>
          <w:szCs w:val="16"/>
          <w:b w:val="1"/>
          <w:bCs w:val="1"/>
          <w:color w:val="242424"/>
        </w:rPr>
        <w:t>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1459230</wp:posOffset>
            </wp:positionV>
            <wp:extent cx="1765935" cy="16973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765935"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60"/>
        <w:spacing w:after="0" w:line="254" w:lineRule="auto"/>
        <w:rPr>
          <w:sz w:val="20"/>
          <w:szCs w:val="20"/>
          <w:color w:val="auto"/>
        </w:rPr>
      </w:pPr>
      <w:r>
        <w:rPr>
          <w:rFonts w:ascii="Arial" w:cs="Arial" w:eastAsia="Arial" w:hAnsi="Arial"/>
          <w:sz w:val="16"/>
          <w:szCs w:val="16"/>
          <w:b w:val="1"/>
          <w:bCs w:val="1"/>
          <w:color w:val="auto"/>
        </w:rPr>
        <w:t>Management with Accountability and Regular, Direct Reporting to Responsible Board Committee on Corporate Responsibility Topics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left="20" w:right="740"/>
        <w:spacing w:after="0" w:line="286" w:lineRule="auto"/>
        <w:rPr>
          <w:sz w:val="20"/>
          <w:szCs w:val="20"/>
          <w:color w:val="auto"/>
        </w:rPr>
      </w:pPr>
      <w:r>
        <w:rPr>
          <w:rFonts w:ascii="Arial" w:cs="Arial" w:eastAsia="Arial" w:hAnsi="Arial"/>
          <w:sz w:val="16"/>
          <w:szCs w:val="16"/>
          <w:color w:val="auto"/>
        </w:rPr>
        <w:t>The full Board and Corporate Governance and Responsibility Committee oversee the Company's overall corporate responsibility performance and associated risks and opportunities.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2760" w:type="dxa"/>
            <w:vAlign w:val="bottom"/>
            <w:tcBorders>
              <w:top w:val="single" w:sz="8" w:color="939598"/>
              <w:right w:val="single" w:sz="8" w:color="939598"/>
            </w:tcBorders>
            <w:gridSpan w:val="2"/>
          </w:tcPr>
          <w:p>
            <w:pPr>
              <w:ind w:left="160"/>
              <w:spacing w:after="0"/>
              <w:rPr>
                <w:sz w:val="20"/>
                <w:szCs w:val="20"/>
                <w:color w:val="auto"/>
              </w:rPr>
            </w:pPr>
            <w:r>
              <w:rPr>
                <w:rFonts w:ascii="Arial" w:cs="Arial" w:eastAsia="Arial" w:hAnsi="Arial"/>
                <w:sz w:val="16"/>
                <w:szCs w:val="16"/>
                <w:b w:val="1"/>
                <w:bCs w:val="1"/>
                <w:color w:val="D7282F"/>
              </w:rPr>
              <w:t>CGRC</w:t>
            </w:r>
          </w:p>
        </w:tc>
        <w:tc>
          <w:tcPr>
            <w:tcW w:w="2740" w:type="dxa"/>
            <w:vAlign w:val="bottom"/>
            <w:tcBorders>
              <w:top w:val="single" w:sz="8" w:color="939598"/>
              <w:right w:val="single" w:sz="8" w:color="939598"/>
            </w:tcBorders>
            <w:gridSpan w:val="2"/>
          </w:tcPr>
          <w:p>
            <w:pPr>
              <w:ind w:left="100"/>
              <w:spacing w:after="0"/>
              <w:rPr>
                <w:sz w:val="20"/>
                <w:szCs w:val="20"/>
                <w:color w:val="auto"/>
              </w:rPr>
            </w:pPr>
            <w:r>
              <w:rPr>
                <w:rFonts w:ascii="Arial" w:cs="Arial" w:eastAsia="Arial" w:hAnsi="Arial"/>
                <w:sz w:val="16"/>
                <w:szCs w:val="16"/>
                <w:b w:val="1"/>
                <w:bCs w:val="1"/>
                <w:color w:val="D7282F"/>
              </w:rPr>
              <w:t>AUDIT COMMITTEE</w:t>
            </w:r>
          </w:p>
        </w:tc>
        <w:tc>
          <w:tcPr>
            <w:tcW w:w="2720" w:type="dxa"/>
            <w:vAlign w:val="bottom"/>
            <w:tcBorders>
              <w:top w:val="single" w:sz="8" w:color="939598"/>
            </w:tcBorders>
            <w:gridSpan w:val="2"/>
          </w:tcPr>
          <w:p>
            <w:pPr>
              <w:ind w:left="100"/>
              <w:spacing w:after="0"/>
              <w:rPr>
                <w:sz w:val="20"/>
                <w:szCs w:val="20"/>
                <w:color w:val="auto"/>
              </w:rPr>
            </w:pPr>
            <w:r>
              <w:rPr>
                <w:rFonts w:ascii="Arial" w:cs="Arial" w:eastAsia="Arial" w:hAnsi="Arial"/>
                <w:sz w:val="16"/>
                <w:szCs w:val="16"/>
                <w:b w:val="1"/>
                <w:bCs w:val="1"/>
                <w:color w:val="D7282F"/>
              </w:rPr>
              <w:t>MDCC</w:t>
            </w:r>
          </w:p>
        </w:tc>
        <w:tc>
          <w:tcPr>
            <w:tcW w:w="0" w:type="dxa"/>
            <w:vAlign w:val="bottom"/>
          </w:tcPr>
          <w:p>
            <w:pPr>
              <w:spacing w:after="0"/>
              <w:rPr>
                <w:sz w:val="1"/>
                <w:szCs w:val="1"/>
                <w:color w:val="auto"/>
              </w:rPr>
            </w:pPr>
          </w:p>
        </w:tc>
      </w:tr>
      <w:tr>
        <w:trPr>
          <w:trHeight w:val="257"/>
        </w:trPr>
        <w:tc>
          <w:tcPr>
            <w:tcW w:w="280" w:type="dxa"/>
            <w:vAlign w:val="bottom"/>
          </w:tcPr>
          <w:p>
            <w:pPr>
              <w:ind w:left="160"/>
              <w:spacing w:after="0"/>
              <w:rPr>
                <w:sz w:val="20"/>
                <w:szCs w:val="20"/>
                <w:color w:val="auto"/>
              </w:rPr>
            </w:pPr>
            <w:r>
              <w:rPr>
                <w:rFonts w:ascii="Arial" w:cs="Arial" w:eastAsia="Arial" w:hAnsi="Arial"/>
                <w:sz w:val="16"/>
                <w:szCs w:val="16"/>
                <w:b w:val="1"/>
                <w:bCs w:val="1"/>
                <w:color w:val="D7282F"/>
              </w:rPr>
              <w:t>•</w:t>
            </w:r>
          </w:p>
        </w:tc>
        <w:tc>
          <w:tcPr>
            <w:tcW w:w="2480" w:type="dxa"/>
            <w:vAlign w:val="bottom"/>
            <w:tcBorders>
              <w:right w:val="single" w:sz="8" w:color="939598"/>
            </w:tcBorders>
          </w:tcPr>
          <w:p>
            <w:pPr>
              <w:ind w:left="60"/>
              <w:spacing w:after="0"/>
              <w:rPr>
                <w:sz w:val="20"/>
                <w:szCs w:val="20"/>
                <w:color w:val="auto"/>
              </w:rPr>
            </w:pPr>
            <w:r>
              <w:rPr>
                <w:rFonts w:ascii="Arial" w:cs="Arial" w:eastAsia="Arial" w:hAnsi="Arial"/>
                <w:sz w:val="16"/>
                <w:szCs w:val="16"/>
                <w:color w:val="auto"/>
              </w:rPr>
              <w:t>Environmental</w:t>
            </w:r>
          </w:p>
        </w:tc>
        <w:tc>
          <w:tcPr>
            <w:tcW w:w="240" w:type="dxa"/>
            <w:vAlign w:val="bottom"/>
          </w:tcPr>
          <w:p>
            <w:pPr>
              <w:ind w:left="100"/>
              <w:spacing w:after="0"/>
              <w:rPr>
                <w:sz w:val="20"/>
                <w:szCs w:val="20"/>
                <w:color w:val="auto"/>
              </w:rPr>
            </w:pPr>
            <w:r>
              <w:rPr>
                <w:rFonts w:ascii="Arial" w:cs="Arial" w:eastAsia="Arial" w:hAnsi="Arial"/>
                <w:sz w:val="16"/>
                <w:szCs w:val="16"/>
                <w:b w:val="1"/>
                <w:bCs w:val="1"/>
                <w:color w:val="D7282F"/>
              </w:rPr>
              <w:t>•</w:t>
            </w:r>
          </w:p>
        </w:tc>
        <w:tc>
          <w:tcPr>
            <w:tcW w:w="2500" w:type="dxa"/>
            <w:vAlign w:val="bottom"/>
            <w:tcBorders>
              <w:right w:val="single" w:sz="8" w:color="939598"/>
            </w:tcBorders>
          </w:tcPr>
          <w:p>
            <w:pPr>
              <w:ind w:left="40"/>
              <w:spacing w:after="0"/>
              <w:rPr>
                <w:sz w:val="20"/>
                <w:szCs w:val="20"/>
                <w:color w:val="auto"/>
              </w:rPr>
            </w:pPr>
            <w:r>
              <w:rPr>
                <w:rFonts w:ascii="Arial" w:cs="Arial" w:eastAsia="Arial" w:hAnsi="Arial"/>
                <w:sz w:val="16"/>
                <w:szCs w:val="16"/>
                <w:color w:val="auto"/>
              </w:rPr>
              <w:t>Tax</w:t>
            </w:r>
          </w:p>
        </w:tc>
        <w:tc>
          <w:tcPr>
            <w:tcW w:w="240" w:type="dxa"/>
            <w:vAlign w:val="bottom"/>
          </w:tcPr>
          <w:p>
            <w:pPr>
              <w:ind w:left="100"/>
              <w:spacing w:after="0"/>
              <w:rPr>
                <w:sz w:val="20"/>
                <w:szCs w:val="20"/>
                <w:color w:val="auto"/>
              </w:rPr>
            </w:pPr>
            <w:r>
              <w:rPr>
                <w:rFonts w:ascii="Arial" w:cs="Arial" w:eastAsia="Arial" w:hAnsi="Arial"/>
                <w:sz w:val="16"/>
                <w:szCs w:val="16"/>
                <w:b w:val="1"/>
                <w:bCs w:val="1"/>
                <w:color w:val="D7282F"/>
              </w:rPr>
              <w:t>•</w:t>
            </w:r>
          </w:p>
        </w:tc>
        <w:tc>
          <w:tcPr>
            <w:tcW w:w="2480" w:type="dxa"/>
            <w:vAlign w:val="bottom"/>
          </w:tcPr>
          <w:p>
            <w:pPr>
              <w:ind w:left="40"/>
              <w:spacing w:after="0"/>
              <w:rPr>
                <w:sz w:val="20"/>
                <w:szCs w:val="20"/>
                <w:color w:val="auto"/>
              </w:rPr>
            </w:pPr>
            <w:r>
              <w:rPr>
                <w:rFonts w:ascii="Arial" w:cs="Arial" w:eastAsia="Arial" w:hAnsi="Arial"/>
                <w:sz w:val="16"/>
                <w:szCs w:val="16"/>
                <w:color w:val="auto"/>
              </w:rPr>
              <w:t>Human Capital Management</w:t>
            </w:r>
          </w:p>
        </w:tc>
        <w:tc>
          <w:tcPr>
            <w:tcW w:w="0" w:type="dxa"/>
            <w:vAlign w:val="bottom"/>
          </w:tcPr>
          <w:p>
            <w:pPr>
              <w:spacing w:after="0"/>
              <w:rPr>
                <w:sz w:val="1"/>
                <w:szCs w:val="1"/>
                <w:color w:val="auto"/>
              </w:rPr>
            </w:pPr>
          </w:p>
        </w:tc>
      </w:tr>
      <w:tr>
        <w:trPr>
          <w:trHeight w:val="257"/>
        </w:trPr>
        <w:tc>
          <w:tcPr>
            <w:tcW w:w="280" w:type="dxa"/>
            <w:vAlign w:val="bottom"/>
          </w:tcPr>
          <w:p>
            <w:pPr>
              <w:ind w:left="160"/>
              <w:spacing w:after="0"/>
              <w:rPr>
                <w:sz w:val="20"/>
                <w:szCs w:val="20"/>
                <w:color w:val="auto"/>
              </w:rPr>
            </w:pPr>
            <w:r>
              <w:rPr>
                <w:rFonts w:ascii="Arial" w:cs="Arial" w:eastAsia="Arial" w:hAnsi="Arial"/>
                <w:sz w:val="16"/>
                <w:szCs w:val="16"/>
                <w:b w:val="1"/>
                <w:bCs w:val="1"/>
                <w:color w:val="D7282F"/>
              </w:rPr>
              <w:t>•</w:t>
            </w:r>
          </w:p>
        </w:tc>
        <w:tc>
          <w:tcPr>
            <w:tcW w:w="2480" w:type="dxa"/>
            <w:vAlign w:val="bottom"/>
            <w:tcBorders>
              <w:right w:val="single" w:sz="8" w:color="939598"/>
            </w:tcBorders>
          </w:tcPr>
          <w:p>
            <w:pPr>
              <w:ind w:left="60"/>
              <w:spacing w:after="0"/>
              <w:rPr>
                <w:sz w:val="20"/>
                <w:szCs w:val="20"/>
                <w:color w:val="auto"/>
              </w:rPr>
            </w:pPr>
            <w:r>
              <w:rPr>
                <w:rFonts w:ascii="Arial" w:cs="Arial" w:eastAsia="Arial" w:hAnsi="Arial"/>
                <w:sz w:val="16"/>
                <w:szCs w:val="16"/>
                <w:color w:val="auto"/>
              </w:rPr>
              <w:t>Health and Safety</w:t>
            </w:r>
          </w:p>
        </w:tc>
        <w:tc>
          <w:tcPr>
            <w:tcW w:w="240" w:type="dxa"/>
            <w:vAlign w:val="bottom"/>
          </w:tcPr>
          <w:p>
            <w:pPr>
              <w:ind w:left="100"/>
              <w:spacing w:after="0"/>
              <w:rPr>
                <w:sz w:val="20"/>
                <w:szCs w:val="20"/>
                <w:color w:val="auto"/>
              </w:rPr>
            </w:pPr>
            <w:r>
              <w:rPr>
                <w:rFonts w:ascii="Arial" w:cs="Arial" w:eastAsia="Arial" w:hAnsi="Arial"/>
                <w:sz w:val="16"/>
                <w:szCs w:val="16"/>
                <w:b w:val="1"/>
                <w:bCs w:val="1"/>
                <w:color w:val="D7282F"/>
              </w:rPr>
              <w:t>•</w:t>
            </w:r>
          </w:p>
        </w:tc>
        <w:tc>
          <w:tcPr>
            <w:tcW w:w="2500" w:type="dxa"/>
            <w:vAlign w:val="bottom"/>
            <w:tcBorders>
              <w:right w:val="single" w:sz="8" w:color="939598"/>
            </w:tcBorders>
          </w:tcPr>
          <w:p>
            <w:pPr>
              <w:ind w:left="40"/>
              <w:spacing w:after="0"/>
              <w:rPr>
                <w:sz w:val="20"/>
                <w:szCs w:val="20"/>
                <w:color w:val="auto"/>
              </w:rPr>
            </w:pPr>
            <w:r>
              <w:rPr>
                <w:rFonts w:ascii="Arial" w:cs="Arial" w:eastAsia="Arial" w:hAnsi="Arial"/>
                <w:sz w:val="16"/>
                <w:szCs w:val="16"/>
                <w:color w:val="auto"/>
              </w:rPr>
              <w:t>Financial Controls</w:t>
            </w:r>
          </w:p>
        </w:tc>
        <w:tc>
          <w:tcPr>
            <w:tcW w:w="240" w:type="dxa"/>
            <w:vAlign w:val="bottom"/>
          </w:tcPr>
          <w:p>
            <w:pPr>
              <w:ind w:left="100"/>
              <w:spacing w:after="0"/>
              <w:rPr>
                <w:sz w:val="20"/>
                <w:szCs w:val="20"/>
                <w:color w:val="auto"/>
              </w:rPr>
            </w:pPr>
            <w:r>
              <w:rPr>
                <w:rFonts w:ascii="Arial" w:cs="Arial" w:eastAsia="Arial" w:hAnsi="Arial"/>
                <w:sz w:val="16"/>
                <w:szCs w:val="16"/>
                <w:b w:val="1"/>
                <w:bCs w:val="1"/>
                <w:color w:val="D7282F"/>
              </w:rPr>
              <w:t>•</w:t>
            </w:r>
          </w:p>
        </w:tc>
        <w:tc>
          <w:tcPr>
            <w:tcW w:w="2480" w:type="dxa"/>
            <w:vAlign w:val="bottom"/>
          </w:tcPr>
          <w:p>
            <w:pPr>
              <w:ind w:left="40"/>
              <w:spacing w:after="0"/>
              <w:rPr>
                <w:sz w:val="20"/>
                <w:szCs w:val="20"/>
                <w:color w:val="auto"/>
              </w:rPr>
            </w:pPr>
            <w:r>
              <w:rPr>
                <w:rFonts w:ascii="Arial" w:cs="Arial" w:eastAsia="Arial" w:hAnsi="Arial"/>
                <w:sz w:val="16"/>
                <w:szCs w:val="16"/>
                <w:color w:val="auto"/>
              </w:rPr>
              <w:t>Labor Practices</w:t>
            </w:r>
          </w:p>
        </w:tc>
        <w:tc>
          <w:tcPr>
            <w:tcW w:w="0" w:type="dxa"/>
            <w:vAlign w:val="bottom"/>
          </w:tcPr>
          <w:p>
            <w:pPr>
              <w:spacing w:after="0"/>
              <w:rPr>
                <w:sz w:val="1"/>
                <w:szCs w:val="1"/>
                <w:color w:val="auto"/>
              </w:rPr>
            </w:pPr>
          </w:p>
        </w:tc>
      </w:tr>
      <w:tr>
        <w:trPr>
          <w:trHeight w:val="256"/>
        </w:trPr>
        <w:tc>
          <w:tcPr>
            <w:tcW w:w="280" w:type="dxa"/>
            <w:vAlign w:val="bottom"/>
          </w:tcPr>
          <w:p>
            <w:pPr>
              <w:ind w:left="160"/>
              <w:spacing w:after="0"/>
              <w:rPr>
                <w:sz w:val="20"/>
                <w:szCs w:val="20"/>
                <w:color w:val="auto"/>
              </w:rPr>
            </w:pPr>
            <w:r>
              <w:rPr>
                <w:rFonts w:ascii="Arial" w:cs="Arial" w:eastAsia="Arial" w:hAnsi="Arial"/>
                <w:sz w:val="16"/>
                <w:szCs w:val="16"/>
                <w:b w:val="1"/>
                <w:bCs w:val="1"/>
                <w:color w:val="D7282F"/>
              </w:rPr>
              <w:t>•</w:t>
            </w:r>
          </w:p>
        </w:tc>
        <w:tc>
          <w:tcPr>
            <w:tcW w:w="2480" w:type="dxa"/>
            <w:vAlign w:val="bottom"/>
            <w:tcBorders>
              <w:right w:val="single" w:sz="8" w:color="939598"/>
            </w:tcBorders>
          </w:tcPr>
          <w:p>
            <w:pPr>
              <w:ind w:left="60"/>
              <w:spacing w:after="0"/>
              <w:rPr>
                <w:sz w:val="20"/>
                <w:szCs w:val="20"/>
                <w:color w:val="auto"/>
              </w:rPr>
            </w:pPr>
            <w:r>
              <w:rPr>
                <w:rFonts w:ascii="Arial" w:cs="Arial" w:eastAsia="Arial" w:hAnsi="Arial"/>
                <w:sz w:val="16"/>
                <w:szCs w:val="16"/>
                <w:color w:val="auto"/>
              </w:rPr>
              <w:t>Climate</w:t>
            </w:r>
          </w:p>
        </w:tc>
        <w:tc>
          <w:tcPr>
            <w:tcW w:w="240" w:type="dxa"/>
            <w:vAlign w:val="bottom"/>
          </w:tcPr>
          <w:p>
            <w:pPr>
              <w:ind w:left="100"/>
              <w:spacing w:after="0"/>
              <w:rPr>
                <w:sz w:val="20"/>
                <w:szCs w:val="20"/>
                <w:color w:val="auto"/>
              </w:rPr>
            </w:pPr>
            <w:r>
              <w:rPr>
                <w:rFonts w:ascii="Arial" w:cs="Arial" w:eastAsia="Arial" w:hAnsi="Arial"/>
                <w:sz w:val="16"/>
                <w:szCs w:val="16"/>
                <w:b w:val="1"/>
                <w:bCs w:val="1"/>
                <w:color w:val="D7282F"/>
              </w:rPr>
              <w:t>•</w:t>
            </w:r>
          </w:p>
        </w:tc>
        <w:tc>
          <w:tcPr>
            <w:tcW w:w="2500" w:type="dxa"/>
            <w:vAlign w:val="bottom"/>
            <w:tcBorders>
              <w:right w:val="single" w:sz="8" w:color="939598"/>
            </w:tcBorders>
          </w:tcPr>
          <w:p>
            <w:pPr>
              <w:ind w:left="40"/>
              <w:spacing w:after="0"/>
              <w:rPr>
                <w:sz w:val="20"/>
                <w:szCs w:val="20"/>
                <w:color w:val="auto"/>
              </w:rPr>
            </w:pPr>
            <w:r>
              <w:rPr>
                <w:rFonts w:ascii="Arial" w:cs="Arial" w:eastAsia="Arial" w:hAnsi="Arial"/>
                <w:sz w:val="16"/>
                <w:szCs w:val="16"/>
                <w:color w:val="auto"/>
              </w:rPr>
              <w:t>Enterprise Risk</w:t>
            </w:r>
          </w:p>
        </w:tc>
        <w:tc>
          <w:tcPr>
            <w:tcW w:w="240" w:type="dxa"/>
            <w:vAlign w:val="bottom"/>
          </w:tcPr>
          <w:p>
            <w:pPr>
              <w:ind w:left="100"/>
              <w:spacing w:after="0"/>
              <w:rPr>
                <w:sz w:val="20"/>
                <w:szCs w:val="20"/>
                <w:color w:val="auto"/>
              </w:rPr>
            </w:pPr>
            <w:r>
              <w:rPr>
                <w:rFonts w:ascii="Arial" w:cs="Arial" w:eastAsia="Arial" w:hAnsi="Arial"/>
                <w:sz w:val="16"/>
                <w:szCs w:val="16"/>
                <w:b w:val="1"/>
                <w:bCs w:val="1"/>
                <w:color w:val="D7282F"/>
              </w:rPr>
              <w:t>•</w:t>
            </w:r>
          </w:p>
        </w:tc>
        <w:tc>
          <w:tcPr>
            <w:tcW w:w="2480" w:type="dxa"/>
            <w:vAlign w:val="bottom"/>
          </w:tcPr>
          <w:p>
            <w:pPr>
              <w:ind w:left="40"/>
              <w:spacing w:after="0"/>
              <w:rPr>
                <w:sz w:val="20"/>
                <w:szCs w:val="20"/>
                <w:color w:val="auto"/>
              </w:rPr>
            </w:pPr>
            <w:r>
              <w:rPr>
                <w:rFonts w:ascii="Arial" w:cs="Arial" w:eastAsia="Arial" w:hAnsi="Arial"/>
                <w:sz w:val="16"/>
                <w:szCs w:val="16"/>
                <w:color w:val="auto"/>
              </w:rPr>
              <w:t>Culture</w:t>
            </w:r>
          </w:p>
        </w:tc>
        <w:tc>
          <w:tcPr>
            <w:tcW w:w="0" w:type="dxa"/>
            <w:vAlign w:val="bottom"/>
          </w:tcPr>
          <w:p>
            <w:pPr>
              <w:spacing w:after="0"/>
              <w:rPr>
                <w:sz w:val="1"/>
                <w:szCs w:val="1"/>
                <w:color w:val="auto"/>
              </w:rPr>
            </w:pPr>
          </w:p>
        </w:tc>
      </w:tr>
      <w:tr>
        <w:trPr>
          <w:trHeight w:val="257"/>
        </w:trPr>
        <w:tc>
          <w:tcPr>
            <w:tcW w:w="280" w:type="dxa"/>
            <w:vAlign w:val="bottom"/>
          </w:tcPr>
          <w:p>
            <w:pPr>
              <w:ind w:left="160"/>
              <w:spacing w:after="0"/>
              <w:rPr>
                <w:sz w:val="20"/>
                <w:szCs w:val="20"/>
                <w:color w:val="auto"/>
              </w:rPr>
            </w:pPr>
            <w:r>
              <w:rPr>
                <w:rFonts w:ascii="Arial" w:cs="Arial" w:eastAsia="Arial" w:hAnsi="Arial"/>
                <w:sz w:val="16"/>
                <w:szCs w:val="16"/>
                <w:b w:val="1"/>
                <w:bCs w:val="1"/>
                <w:color w:val="D7282F"/>
              </w:rPr>
              <w:t>•</w:t>
            </w:r>
          </w:p>
        </w:tc>
        <w:tc>
          <w:tcPr>
            <w:tcW w:w="2480" w:type="dxa"/>
            <w:vAlign w:val="bottom"/>
            <w:tcBorders>
              <w:right w:val="single" w:sz="8" w:color="939598"/>
            </w:tcBorders>
          </w:tcPr>
          <w:p>
            <w:pPr>
              <w:ind w:left="60"/>
              <w:spacing w:after="0"/>
              <w:rPr>
                <w:sz w:val="20"/>
                <w:szCs w:val="20"/>
                <w:color w:val="auto"/>
              </w:rPr>
            </w:pPr>
            <w:r>
              <w:rPr>
                <w:rFonts w:ascii="Arial" w:cs="Arial" w:eastAsia="Arial" w:hAnsi="Arial"/>
                <w:sz w:val="16"/>
                <w:szCs w:val="16"/>
                <w:color w:val="auto"/>
              </w:rPr>
              <w:t>Remediation</w:t>
            </w:r>
          </w:p>
        </w:tc>
        <w:tc>
          <w:tcPr>
            <w:tcW w:w="240" w:type="dxa"/>
            <w:vAlign w:val="bottom"/>
          </w:tcPr>
          <w:p>
            <w:pPr>
              <w:ind w:left="100"/>
              <w:spacing w:after="0"/>
              <w:rPr>
                <w:sz w:val="20"/>
                <w:szCs w:val="20"/>
                <w:color w:val="auto"/>
              </w:rPr>
            </w:pPr>
            <w:r>
              <w:rPr>
                <w:rFonts w:ascii="Arial" w:cs="Arial" w:eastAsia="Arial" w:hAnsi="Arial"/>
                <w:sz w:val="16"/>
                <w:szCs w:val="16"/>
                <w:b w:val="1"/>
                <w:bCs w:val="1"/>
                <w:color w:val="D7282F"/>
              </w:rPr>
              <w:t>•</w:t>
            </w:r>
          </w:p>
        </w:tc>
        <w:tc>
          <w:tcPr>
            <w:tcW w:w="2500" w:type="dxa"/>
            <w:vAlign w:val="bottom"/>
            <w:tcBorders>
              <w:right w:val="single" w:sz="8" w:color="939598"/>
            </w:tcBorders>
          </w:tcPr>
          <w:p>
            <w:pPr>
              <w:ind w:left="40"/>
              <w:spacing w:after="0"/>
              <w:rPr>
                <w:sz w:val="20"/>
                <w:szCs w:val="20"/>
                <w:color w:val="auto"/>
              </w:rPr>
            </w:pPr>
            <w:r>
              <w:rPr>
                <w:rFonts w:ascii="Arial" w:cs="Arial" w:eastAsia="Arial" w:hAnsi="Arial"/>
                <w:sz w:val="16"/>
                <w:szCs w:val="16"/>
                <w:color w:val="auto"/>
              </w:rPr>
              <w:t>Litigation/Controversies</w:t>
            </w:r>
          </w:p>
        </w:tc>
        <w:tc>
          <w:tcPr>
            <w:tcW w:w="240" w:type="dxa"/>
            <w:vAlign w:val="bottom"/>
          </w:tcPr>
          <w:p>
            <w:pPr>
              <w:ind w:left="100"/>
              <w:spacing w:after="0"/>
              <w:rPr>
                <w:sz w:val="20"/>
                <w:szCs w:val="20"/>
                <w:color w:val="auto"/>
              </w:rPr>
            </w:pPr>
            <w:r>
              <w:rPr>
                <w:rFonts w:ascii="Arial" w:cs="Arial" w:eastAsia="Arial" w:hAnsi="Arial"/>
                <w:sz w:val="16"/>
                <w:szCs w:val="16"/>
                <w:b w:val="1"/>
                <w:bCs w:val="1"/>
                <w:color w:val="D7282F"/>
              </w:rPr>
              <w:t>•</w:t>
            </w:r>
          </w:p>
        </w:tc>
        <w:tc>
          <w:tcPr>
            <w:tcW w:w="2480" w:type="dxa"/>
            <w:vAlign w:val="bottom"/>
          </w:tcPr>
          <w:p>
            <w:pPr>
              <w:ind w:left="40"/>
              <w:spacing w:after="0"/>
              <w:rPr>
                <w:sz w:val="20"/>
                <w:szCs w:val="20"/>
                <w:color w:val="auto"/>
              </w:rPr>
            </w:pPr>
            <w:r>
              <w:rPr>
                <w:rFonts w:ascii="Arial" w:cs="Arial" w:eastAsia="Arial" w:hAnsi="Arial"/>
                <w:sz w:val="16"/>
                <w:szCs w:val="16"/>
                <w:color w:val="auto"/>
              </w:rPr>
              <w:t>Compensation</w:t>
            </w:r>
          </w:p>
        </w:tc>
        <w:tc>
          <w:tcPr>
            <w:tcW w:w="0" w:type="dxa"/>
            <w:vAlign w:val="bottom"/>
          </w:tcPr>
          <w:p>
            <w:pPr>
              <w:spacing w:after="0"/>
              <w:rPr>
                <w:sz w:val="1"/>
                <w:szCs w:val="1"/>
                <w:color w:val="auto"/>
              </w:rPr>
            </w:pPr>
          </w:p>
        </w:tc>
      </w:tr>
      <w:tr>
        <w:trPr>
          <w:trHeight w:val="270"/>
        </w:trPr>
        <w:tc>
          <w:tcPr>
            <w:tcW w:w="280" w:type="dxa"/>
            <w:vAlign w:val="bottom"/>
          </w:tcPr>
          <w:p>
            <w:pPr>
              <w:ind w:left="160"/>
              <w:spacing w:after="0"/>
              <w:rPr>
                <w:sz w:val="20"/>
                <w:szCs w:val="20"/>
                <w:color w:val="auto"/>
              </w:rPr>
            </w:pPr>
            <w:r>
              <w:rPr>
                <w:rFonts w:ascii="Arial" w:cs="Arial" w:eastAsia="Arial" w:hAnsi="Arial"/>
                <w:sz w:val="16"/>
                <w:szCs w:val="16"/>
                <w:b w:val="1"/>
                <w:bCs w:val="1"/>
                <w:color w:val="D7282F"/>
              </w:rPr>
              <w:t>•</w:t>
            </w:r>
          </w:p>
        </w:tc>
        <w:tc>
          <w:tcPr>
            <w:tcW w:w="2480" w:type="dxa"/>
            <w:vAlign w:val="bottom"/>
            <w:tcBorders>
              <w:right w:val="single" w:sz="8" w:color="939598"/>
            </w:tcBorders>
          </w:tcPr>
          <w:p>
            <w:pPr>
              <w:ind w:left="60"/>
              <w:spacing w:after="0"/>
              <w:rPr>
                <w:sz w:val="20"/>
                <w:szCs w:val="20"/>
                <w:color w:val="auto"/>
              </w:rPr>
            </w:pPr>
            <w:r>
              <w:rPr>
                <w:rFonts w:ascii="Arial" w:cs="Arial" w:eastAsia="Arial" w:hAnsi="Arial"/>
                <w:sz w:val="16"/>
                <w:szCs w:val="16"/>
                <w:color w:val="auto"/>
              </w:rPr>
              <w:t>Political Engagement</w:t>
            </w:r>
          </w:p>
        </w:tc>
        <w:tc>
          <w:tcPr>
            <w:tcW w:w="240" w:type="dxa"/>
            <w:vAlign w:val="bottom"/>
          </w:tcPr>
          <w:p>
            <w:pPr>
              <w:ind w:left="100"/>
              <w:spacing w:after="0"/>
              <w:rPr>
                <w:sz w:val="20"/>
                <w:szCs w:val="20"/>
                <w:color w:val="auto"/>
              </w:rPr>
            </w:pPr>
            <w:r>
              <w:rPr>
                <w:rFonts w:ascii="Arial" w:cs="Arial" w:eastAsia="Arial" w:hAnsi="Arial"/>
                <w:sz w:val="16"/>
                <w:szCs w:val="16"/>
                <w:b w:val="1"/>
                <w:bCs w:val="1"/>
                <w:color w:val="D7282F"/>
              </w:rPr>
              <w:t>•</w:t>
            </w:r>
          </w:p>
        </w:tc>
        <w:tc>
          <w:tcPr>
            <w:tcW w:w="2500" w:type="dxa"/>
            <w:vAlign w:val="bottom"/>
            <w:tcBorders>
              <w:right w:val="single" w:sz="8" w:color="939598"/>
            </w:tcBorders>
          </w:tcPr>
          <w:p>
            <w:pPr>
              <w:ind w:left="40"/>
              <w:spacing w:after="0"/>
              <w:rPr>
                <w:sz w:val="20"/>
                <w:szCs w:val="20"/>
                <w:color w:val="auto"/>
              </w:rPr>
            </w:pPr>
            <w:r>
              <w:rPr>
                <w:rFonts w:ascii="Arial" w:cs="Arial" w:eastAsia="Arial" w:hAnsi="Arial"/>
                <w:sz w:val="16"/>
                <w:szCs w:val="16"/>
                <w:color w:val="auto"/>
              </w:rPr>
              <w:t>Raw Materials Sourcing</w:t>
            </w:r>
          </w:p>
        </w:tc>
        <w:tc>
          <w:tcPr>
            <w:tcW w:w="240" w:type="dxa"/>
            <w:vAlign w:val="bottom"/>
          </w:tcPr>
          <w:p>
            <w:pPr>
              <w:ind w:left="100"/>
              <w:spacing w:after="0"/>
              <w:rPr>
                <w:sz w:val="20"/>
                <w:szCs w:val="20"/>
                <w:color w:val="auto"/>
              </w:rPr>
            </w:pPr>
            <w:r>
              <w:rPr>
                <w:rFonts w:ascii="Arial" w:cs="Arial" w:eastAsia="Arial" w:hAnsi="Arial"/>
                <w:sz w:val="16"/>
                <w:szCs w:val="16"/>
                <w:b w:val="1"/>
                <w:bCs w:val="1"/>
                <w:color w:val="D7282F"/>
              </w:rPr>
              <w:t>•</w:t>
            </w:r>
          </w:p>
        </w:tc>
        <w:tc>
          <w:tcPr>
            <w:tcW w:w="2480" w:type="dxa"/>
            <w:vAlign w:val="bottom"/>
          </w:tcPr>
          <w:p>
            <w:pPr>
              <w:ind w:left="40"/>
              <w:spacing w:after="0"/>
              <w:rPr>
                <w:sz w:val="20"/>
                <w:szCs w:val="20"/>
                <w:color w:val="auto"/>
              </w:rPr>
            </w:pPr>
            <w:r>
              <w:rPr>
                <w:rFonts w:ascii="Arial" w:cs="Arial" w:eastAsia="Arial" w:hAnsi="Arial"/>
                <w:sz w:val="16"/>
                <w:szCs w:val="16"/>
                <w:color w:val="auto"/>
              </w:rPr>
              <w:t>Workplace Respect</w:t>
            </w:r>
          </w:p>
        </w:tc>
        <w:tc>
          <w:tcPr>
            <w:tcW w:w="0" w:type="dxa"/>
            <w:vAlign w:val="bottom"/>
          </w:tcPr>
          <w:p>
            <w:pPr>
              <w:spacing w:after="0"/>
              <w:rPr>
                <w:sz w:val="1"/>
                <w:szCs w:val="1"/>
                <w:color w:val="auto"/>
              </w:rPr>
            </w:pPr>
          </w:p>
        </w:tc>
      </w:tr>
      <w:tr>
        <w:trPr>
          <w:trHeight w:val="257"/>
        </w:trPr>
        <w:tc>
          <w:tcPr>
            <w:tcW w:w="280" w:type="dxa"/>
            <w:vAlign w:val="bottom"/>
          </w:tcPr>
          <w:p>
            <w:pPr>
              <w:ind w:left="160"/>
              <w:spacing w:after="0"/>
              <w:rPr>
                <w:sz w:val="20"/>
                <w:szCs w:val="20"/>
                <w:color w:val="auto"/>
              </w:rPr>
            </w:pPr>
            <w:r>
              <w:rPr>
                <w:rFonts w:ascii="Arial" w:cs="Arial" w:eastAsia="Arial" w:hAnsi="Arial"/>
                <w:sz w:val="16"/>
                <w:szCs w:val="16"/>
                <w:b w:val="1"/>
                <w:bCs w:val="1"/>
                <w:color w:val="D7282F"/>
              </w:rPr>
              <w:t>•</w:t>
            </w:r>
          </w:p>
        </w:tc>
        <w:tc>
          <w:tcPr>
            <w:tcW w:w="2480" w:type="dxa"/>
            <w:vAlign w:val="bottom"/>
            <w:tcBorders>
              <w:right w:val="single" w:sz="8" w:color="939598"/>
            </w:tcBorders>
          </w:tcPr>
          <w:p>
            <w:pPr>
              <w:ind w:left="60"/>
              <w:spacing w:after="0"/>
              <w:rPr>
                <w:sz w:val="20"/>
                <w:szCs w:val="20"/>
                <w:color w:val="auto"/>
              </w:rPr>
            </w:pPr>
            <w:r>
              <w:rPr>
                <w:rFonts w:ascii="Arial" w:cs="Arial" w:eastAsia="Arial" w:hAnsi="Arial"/>
                <w:sz w:val="16"/>
                <w:szCs w:val="16"/>
                <w:color w:val="auto"/>
              </w:rPr>
              <w:t>Governance</w:t>
            </w:r>
          </w:p>
        </w:tc>
        <w:tc>
          <w:tcPr>
            <w:tcW w:w="240" w:type="dxa"/>
            <w:vAlign w:val="bottom"/>
          </w:tcPr>
          <w:p>
            <w:pPr>
              <w:ind w:left="100"/>
              <w:spacing w:after="0"/>
              <w:rPr>
                <w:sz w:val="20"/>
                <w:szCs w:val="20"/>
                <w:color w:val="auto"/>
              </w:rPr>
            </w:pPr>
            <w:r>
              <w:rPr>
                <w:rFonts w:ascii="Arial" w:cs="Arial" w:eastAsia="Arial" w:hAnsi="Arial"/>
                <w:sz w:val="16"/>
                <w:szCs w:val="16"/>
                <w:b w:val="1"/>
                <w:bCs w:val="1"/>
                <w:color w:val="D7282F"/>
              </w:rPr>
              <w:t>•</w:t>
            </w:r>
          </w:p>
        </w:tc>
        <w:tc>
          <w:tcPr>
            <w:tcW w:w="2500" w:type="dxa"/>
            <w:vAlign w:val="bottom"/>
            <w:tcBorders>
              <w:right w:val="single" w:sz="8" w:color="939598"/>
            </w:tcBorders>
          </w:tcPr>
          <w:p>
            <w:pPr>
              <w:ind w:left="40"/>
              <w:spacing w:after="0"/>
              <w:rPr>
                <w:sz w:val="20"/>
                <w:szCs w:val="20"/>
                <w:color w:val="auto"/>
              </w:rPr>
            </w:pPr>
            <w:r>
              <w:rPr>
                <w:rFonts w:ascii="Arial" w:cs="Arial" w:eastAsia="Arial" w:hAnsi="Arial"/>
                <w:sz w:val="16"/>
                <w:szCs w:val="16"/>
                <w:color w:val="auto"/>
              </w:rPr>
              <w:t>Product Safety and Integrity</w:t>
            </w:r>
          </w:p>
        </w:tc>
        <w:tc>
          <w:tcPr>
            <w:tcW w:w="240" w:type="dxa"/>
            <w:vAlign w:val="bottom"/>
          </w:tcPr>
          <w:p>
            <w:pPr>
              <w:ind w:left="100"/>
              <w:spacing w:after="0"/>
              <w:rPr>
                <w:sz w:val="20"/>
                <w:szCs w:val="20"/>
                <w:color w:val="auto"/>
              </w:rPr>
            </w:pPr>
            <w:r>
              <w:rPr>
                <w:rFonts w:ascii="Arial" w:cs="Arial" w:eastAsia="Arial" w:hAnsi="Arial"/>
                <w:sz w:val="16"/>
                <w:szCs w:val="16"/>
                <w:b w:val="1"/>
                <w:bCs w:val="1"/>
                <w:color w:val="D7282F"/>
              </w:rPr>
              <w:t>•</w:t>
            </w:r>
          </w:p>
        </w:tc>
        <w:tc>
          <w:tcPr>
            <w:tcW w:w="2480" w:type="dxa"/>
            <w:vAlign w:val="bottom"/>
          </w:tcPr>
          <w:p>
            <w:pPr>
              <w:ind w:left="40"/>
              <w:spacing w:after="0"/>
              <w:rPr>
                <w:sz w:val="20"/>
                <w:szCs w:val="20"/>
                <w:color w:val="auto"/>
              </w:rPr>
            </w:pPr>
            <w:r>
              <w:rPr>
                <w:rFonts w:ascii="Arial" w:cs="Arial" w:eastAsia="Arial" w:hAnsi="Arial"/>
                <w:sz w:val="16"/>
                <w:szCs w:val="16"/>
                <w:color w:val="auto"/>
              </w:rPr>
              <w:t>Workforce Composition</w:t>
            </w:r>
          </w:p>
        </w:tc>
        <w:tc>
          <w:tcPr>
            <w:tcW w:w="0" w:type="dxa"/>
            <w:vAlign w:val="bottom"/>
          </w:tcPr>
          <w:p>
            <w:pPr>
              <w:spacing w:after="0"/>
              <w:rPr>
                <w:sz w:val="1"/>
                <w:szCs w:val="1"/>
                <w:color w:val="auto"/>
              </w:rPr>
            </w:pPr>
          </w:p>
        </w:tc>
      </w:tr>
      <w:tr>
        <w:trPr>
          <w:trHeight w:val="223"/>
        </w:trPr>
        <w:tc>
          <w:tcPr>
            <w:tcW w:w="280" w:type="dxa"/>
            <w:vAlign w:val="bottom"/>
          </w:tcPr>
          <w:p>
            <w:pPr>
              <w:ind w:left="160"/>
              <w:spacing w:after="0"/>
              <w:rPr>
                <w:sz w:val="20"/>
                <w:szCs w:val="20"/>
                <w:color w:val="auto"/>
              </w:rPr>
            </w:pPr>
            <w:r>
              <w:rPr>
                <w:rFonts w:ascii="Arial" w:cs="Arial" w:eastAsia="Arial" w:hAnsi="Arial"/>
                <w:sz w:val="16"/>
                <w:szCs w:val="16"/>
                <w:b w:val="1"/>
                <w:bCs w:val="1"/>
                <w:color w:val="D7282F"/>
              </w:rPr>
              <w:t>•</w:t>
            </w:r>
          </w:p>
        </w:tc>
        <w:tc>
          <w:tcPr>
            <w:tcW w:w="2480" w:type="dxa"/>
            <w:vAlign w:val="bottom"/>
            <w:tcBorders>
              <w:right w:val="single" w:sz="8" w:color="939598"/>
            </w:tcBorders>
          </w:tcPr>
          <w:p>
            <w:pPr>
              <w:ind w:left="60"/>
              <w:spacing w:after="0"/>
              <w:rPr>
                <w:sz w:val="20"/>
                <w:szCs w:val="20"/>
                <w:color w:val="auto"/>
              </w:rPr>
            </w:pPr>
            <w:r>
              <w:rPr>
                <w:rFonts w:ascii="Arial" w:cs="Arial" w:eastAsia="Arial" w:hAnsi="Arial"/>
                <w:sz w:val="16"/>
                <w:szCs w:val="16"/>
                <w:color w:val="auto"/>
              </w:rPr>
              <w:t>Integrity and Compliance</w:t>
            </w:r>
          </w:p>
        </w:tc>
        <w:tc>
          <w:tcPr>
            <w:tcW w:w="240" w:type="dxa"/>
            <w:vAlign w:val="bottom"/>
          </w:tcPr>
          <w:p>
            <w:pPr>
              <w:ind w:left="100"/>
              <w:spacing w:after="0"/>
              <w:rPr>
                <w:sz w:val="20"/>
                <w:szCs w:val="20"/>
                <w:color w:val="auto"/>
              </w:rPr>
            </w:pPr>
            <w:r>
              <w:rPr>
                <w:rFonts w:ascii="Arial" w:cs="Arial" w:eastAsia="Arial" w:hAnsi="Arial"/>
                <w:sz w:val="16"/>
                <w:szCs w:val="16"/>
                <w:b w:val="1"/>
                <w:bCs w:val="1"/>
                <w:color w:val="D7282F"/>
              </w:rPr>
              <w:t>•</w:t>
            </w:r>
          </w:p>
        </w:tc>
        <w:tc>
          <w:tcPr>
            <w:tcW w:w="2500" w:type="dxa"/>
            <w:vAlign w:val="bottom"/>
            <w:tcBorders>
              <w:right w:val="single" w:sz="8" w:color="939598"/>
            </w:tcBorders>
          </w:tcPr>
          <w:p>
            <w:pPr>
              <w:ind w:left="40"/>
              <w:spacing w:after="0"/>
              <w:rPr>
                <w:sz w:val="20"/>
                <w:szCs w:val="20"/>
                <w:color w:val="auto"/>
              </w:rPr>
            </w:pPr>
            <w:r>
              <w:rPr>
                <w:rFonts w:ascii="Arial" w:cs="Arial" w:eastAsia="Arial" w:hAnsi="Arial"/>
                <w:sz w:val="16"/>
                <w:szCs w:val="16"/>
                <w:color w:val="auto"/>
              </w:rPr>
              <w:t>Supply Chain</w:t>
            </w:r>
          </w:p>
        </w:tc>
        <w:tc>
          <w:tcPr>
            <w:tcW w:w="240" w:type="dxa"/>
            <w:vAlign w:val="bottom"/>
          </w:tcPr>
          <w:p>
            <w:pPr>
              <w:ind w:left="100"/>
              <w:spacing w:after="0"/>
              <w:rPr>
                <w:sz w:val="20"/>
                <w:szCs w:val="20"/>
                <w:color w:val="auto"/>
              </w:rPr>
            </w:pPr>
            <w:r>
              <w:rPr>
                <w:rFonts w:ascii="Arial" w:cs="Arial" w:eastAsia="Arial" w:hAnsi="Arial"/>
                <w:sz w:val="16"/>
                <w:szCs w:val="16"/>
                <w:b w:val="1"/>
                <w:bCs w:val="1"/>
                <w:color w:val="D7282F"/>
              </w:rPr>
              <w:t>•</w:t>
            </w:r>
          </w:p>
        </w:tc>
        <w:tc>
          <w:tcPr>
            <w:tcW w:w="2480" w:type="dxa"/>
            <w:vAlign w:val="bottom"/>
          </w:tcPr>
          <w:p>
            <w:pPr>
              <w:ind w:left="40"/>
              <w:spacing w:after="0"/>
              <w:rPr>
                <w:sz w:val="20"/>
                <w:szCs w:val="20"/>
                <w:color w:val="auto"/>
              </w:rPr>
            </w:pPr>
            <w:r>
              <w:rPr>
                <w:rFonts w:ascii="Arial" w:cs="Arial" w:eastAsia="Arial" w:hAnsi="Arial"/>
                <w:sz w:val="16"/>
                <w:szCs w:val="16"/>
                <w:color w:val="auto"/>
              </w:rPr>
              <w:t>Employee Engagement and</w:t>
            </w:r>
          </w:p>
        </w:tc>
        <w:tc>
          <w:tcPr>
            <w:tcW w:w="0" w:type="dxa"/>
            <w:vAlign w:val="bottom"/>
          </w:tcPr>
          <w:p>
            <w:pPr>
              <w:spacing w:after="0"/>
              <w:rPr>
                <w:sz w:val="1"/>
                <w:szCs w:val="1"/>
                <w:color w:val="auto"/>
              </w:rPr>
            </w:pPr>
          </w:p>
        </w:tc>
      </w:tr>
      <w:tr>
        <w:trPr>
          <w:trHeight w:val="215"/>
        </w:trPr>
        <w:tc>
          <w:tcPr>
            <w:tcW w:w="280" w:type="dxa"/>
            <w:vAlign w:val="bottom"/>
            <w:vMerge w:val="restart"/>
          </w:tcPr>
          <w:p>
            <w:pPr>
              <w:ind w:left="160"/>
              <w:spacing w:after="0"/>
              <w:rPr>
                <w:sz w:val="20"/>
                <w:szCs w:val="20"/>
                <w:color w:val="auto"/>
              </w:rPr>
            </w:pPr>
            <w:r>
              <w:rPr>
                <w:rFonts w:ascii="Arial" w:cs="Arial" w:eastAsia="Arial" w:hAnsi="Arial"/>
                <w:sz w:val="16"/>
                <w:szCs w:val="16"/>
                <w:b w:val="1"/>
                <w:bCs w:val="1"/>
                <w:color w:val="D7282F"/>
              </w:rPr>
              <w:t>•</w:t>
            </w:r>
          </w:p>
        </w:tc>
        <w:tc>
          <w:tcPr>
            <w:tcW w:w="2480" w:type="dxa"/>
            <w:vAlign w:val="bottom"/>
            <w:tcBorders>
              <w:right w:val="single" w:sz="8" w:color="939598"/>
            </w:tcBorders>
            <w:vMerge w:val="restart"/>
          </w:tcPr>
          <w:p>
            <w:pPr>
              <w:ind w:left="60"/>
              <w:spacing w:after="0"/>
              <w:rPr>
                <w:sz w:val="20"/>
                <w:szCs w:val="20"/>
                <w:color w:val="auto"/>
              </w:rPr>
            </w:pPr>
            <w:r>
              <w:rPr>
                <w:rFonts w:ascii="Arial" w:cs="Arial" w:eastAsia="Arial" w:hAnsi="Arial"/>
                <w:sz w:val="16"/>
                <w:szCs w:val="16"/>
                <w:color w:val="auto"/>
              </w:rPr>
              <w:t>Data Privacy</w:t>
            </w:r>
          </w:p>
        </w:tc>
        <w:tc>
          <w:tcPr>
            <w:tcW w:w="240" w:type="dxa"/>
            <w:vAlign w:val="bottom"/>
            <w:vMerge w:val="restart"/>
          </w:tcPr>
          <w:p>
            <w:pPr>
              <w:ind w:left="100"/>
              <w:spacing w:after="0"/>
              <w:rPr>
                <w:sz w:val="20"/>
                <w:szCs w:val="20"/>
                <w:color w:val="auto"/>
              </w:rPr>
            </w:pPr>
            <w:r>
              <w:rPr>
                <w:rFonts w:ascii="Arial" w:cs="Arial" w:eastAsia="Arial" w:hAnsi="Arial"/>
                <w:sz w:val="16"/>
                <w:szCs w:val="16"/>
                <w:b w:val="1"/>
                <w:bCs w:val="1"/>
                <w:color w:val="D7282F"/>
              </w:rPr>
              <w:t>•</w:t>
            </w:r>
          </w:p>
        </w:tc>
        <w:tc>
          <w:tcPr>
            <w:tcW w:w="2500" w:type="dxa"/>
            <w:vAlign w:val="bottom"/>
            <w:tcBorders>
              <w:right w:val="single" w:sz="8" w:color="939598"/>
            </w:tcBorders>
            <w:vMerge w:val="restart"/>
          </w:tcPr>
          <w:p>
            <w:pPr>
              <w:ind w:left="40"/>
              <w:spacing w:after="0"/>
              <w:rPr>
                <w:sz w:val="20"/>
                <w:szCs w:val="20"/>
                <w:color w:val="auto"/>
              </w:rPr>
            </w:pPr>
            <w:r>
              <w:rPr>
                <w:rFonts w:ascii="Arial" w:cs="Arial" w:eastAsia="Arial" w:hAnsi="Arial"/>
                <w:sz w:val="16"/>
                <w:szCs w:val="16"/>
                <w:color w:val="auto"/>
              </w:rPr>
              <w:t>Cybersecurity</w:t>
            </w:r>
          </w:p>
        </w:tc>
        <w:tc>
          <w:tcPr>
            <w:tcW w:w="240" w:type="dxa"/>
            <w:vAlign w:val="bottom"/>
          </w:tcPr>
          <w:p>
            <w:pPr>
              <w:spacing w:after="0"/>
              <w:rPr>
                <w:sz w:val="18"/>
                <w:szCs w:val="18"/>
                <w:color w:val="auto"/>
              </w:rPr>
            </w:pPr>
          </w:p>
        </w:tc>
        <w:tc>
          <w:tcPr>
            <w:tcW w:w="2480" w:type="dxa"/>
            <w:vAlign w:val="bottom"/>
          </w:tcPr>
          <w:p>
            <w:pPr>
              <w:ind w:left="40"/>
              <w:spacing w:after="0"/>
              <w:rPr>
                <w:sz w:val="20"/>
                <w:szCs w:val="20"/>
                <w:color w:val="auto"/>
              </w:rPr>
            </w:pPr>
            <w:r>
              <w:rPr>
                <w:rFonts w:ascii="Arial" w:cs="Arial" w:eastAsia="Arial" w:hAnsi="Arial"/>
                <w:sz w:val="16"/>
                <w:szCs w:val="16"/>
                <w:color w:val="auto"/>
              </w:rPr>
              <w:t>Wellness</w:t>
            </w:r>
          </w:p>
        </w:tc>
        <w:tc>
          <w:tcPr>
            <w:tcW w:w="0" w:type="dxa"/>
            <w:vAlign w:val="bottom"/>
          </w:tcPr>
          <w:p>
            <w:pPr>
              <w:spacing w:after="0"/>
              <w:rPr>
                <w:sz w:val="1"/>
                <w:szCs w:val="1"/>
                <w:color w:val="auto"/>
              </w:rPr>
            </w:pPr>
          </w:p>
        </w:tc>
      </w:tr>
      <w:tr>
        <w:trPr>
          <w:trHeight w:val="75"/>
        </w:trPr>
        <w:tc>
          <w:tcPr>
            <w:tcW w:w="280" w:type="dxa"/>
            <w:vAlign w:val="bottom"/>
            <w:vMerge w:val="continue"/>
          </w:tcPr>
          <w:p>
            <w:pPr>
              <w:spacing w:after="0"/>
              <w:rPr>
                <w:sz w:val="6"/>
                <w:szCs w:val="6"/>
                <w:color w:val="auto"/>
              </w:rPr>
            </w:pPr>
          </w:p>
        </w:tc>
        <w:tc>
          <w:tcPr>
            <w:tcW w:w="2480" w:type="dxa"/>
            <w:vAlign w:val="bottom"/>
            <w:tcBorders>
              <w:right w:val="single" w:sz="8" w:color="939598"/>
            </w:tcBorders>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2500" w:type="dxa"/>
            <w:vAlign w:val="bottom"/>
            <w:tcBorders>
              <w:right w:val="single" w:sz="8" w:color="939598"/>
            </w:tcBorders>
            <w:vMerge w:val="continue"/>
          </w:tcPr>
          <w:p>
            <w:pPr>
              <w:spacing w:after="0"/>
              <w:rPr>
                <w:sz w:val="6"/>
                <w:szCs w:val="6"/>
                <w:color w:val="auto"/>
              </w:rPr>
            </w:pPr>
          </w:p>
        </w:tc>
        <w:tc>
          <w:tcPr>
            <w:tcW w:w="240" w:type="dxa"/>
            <w:vAlign w:val="bottom"/>
          </w:tcPr>
          <w:p>
            <w:pPr>
              <w:spacing w:after="0"/>
              <w:rPr>
                <w:sz w:val="6"/>
                <w:szCs w:val="6"/>
                <w:color w:val="auto"/>
              </w:rPr>
            </w:pPr>
          </w:p>
        </w:tc>
        <w:tc>
          <w:tcPr>
            <w:tcW w:w="2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80" w:type="dxa"/>
            <w:vAlign w:val="bottom"/>
          </w:tcPr>
          <w:p>
            <w:pPr>
              <w:ind w:left="160"/>
              <w:spacing w:after="0"/>
              <w:rPr>
                <w:sz w:val="20"/>
                <w:szCs w:val="20"/>
                <w:color w:val="auto"/>
              </w:rPr>
            </w:pPr>
            <w:r>
              <w:rPr>
                <w:rFonts w:ascii="Arial" w:cs="Arial" w:eastAsia="Arial" w:hAnsi="Arial"/>
                <w:sz w:val="16"/>
                <w:szCs w:val="16"/>
                <w:b w:val="1"/>
                <w:bCs w:val="1"/>
                <w:color w:val="D7282F"/>
              </w:rPr>
              <w:t>•</w:t>
            </w:r>
          </w:p>
        </w:tc>
        <w:tc>
          <w:tcPr>
            <w:tcW w:w="2480" w:type="dxa"/>
            <w:vAlign w:val="bottom"/>
            <w:tcBorders>
              <w:right w:val="single" w:sz="8" w:color="939598"/>
            </w:tcBorders>
          </w:tcPr>
          <w:p>
            <w:pPr>
              <w:ind w:left="60"/>
              <w:spacing w:after="0"/>
              <w:rPr>
                <w:sz w:val="20"/>
                <w:szCs w:val="20"/>
                <w:color w:val="auto"/>
              </w:rPr>
            </w:pPr>
            <w:r>
              <w:rPr>
                <w:rFonts w:ascii="Arial" w:cs="Arial" w:eastAsia="Arial" w:hAnsi="Arial"/>
                <w:sz w:val="16"/>
                <w:szCs w:val="16"/>
                <w:color w:val="auto"/>
              </w:rPr>
              <w:t>Responsible AI Governance</w:t>
            </w:r>
          </w:p>
        </w:tc>
        <w:tc>
          <w:tcPr>
            <w:tcW w:w="240" w:type="dxa"/>
            <w:vAlign w:val="bottom"/>
          </w:tcPr>
          <w:p>
            <w:pPr>
              <w:ind w:left="100"/>
              <w:spacing w:after="0"/>
              <w:rPr>
                <w:sz w:val="20"/>
                <w:szCs w:val="20"/>
                <w:color w:val="auto"/>
              </w:rPr>
            </w:pPr>
            <w:r>
              <w:rPr>
                <w:rFonts w:ascii="Arial" w:cs="Arial" w:eastAsia="Arial" w:hAnsi="Arial"/>
                <w:sz w:val="16"/>
                <w:szCs w:val="16"/>
                <w:b w:val="1"/>
                <w:bCs w:val="1"/>
                <w:color w:val="D7282F"/>
              </w:rPr>
              <w:t>•</w:t>
            </w:r>
          </w:p>
        </w:tc>
        <w:tc>
          <w:tcPr>
            <w:tcW w:w="2500" w:type="dxa"/>
            <w:vAlign w:val="bottom"/>
            <w:tcBorders>
              <w:right w:val="single" w:sz="8" w:color="939598"/>
            </w:tcBorders>
          </w:tcPr>
          <w:p>
            <w:pPr>
              <w:ind w:left="40"/>
              <w:spacing w:after="0"/>
              <w:rPr>
                <w:sz w:val="20"/>
                <w:szCs w:val="20"/>
                <w:color w:val="auto"/>
              </w:rPr>
            </w:pPr>
            <w:r>
              <w:rPr>
                <w:rFonts w:ascii="Arial" w:cs="Arial" w:eastAsia="Arial" w:hAnsi="Arial"/>
                <w:sz w:val="16"/>
                <w:szCs w:val="16"/>
                <w:color w:val="auto"/>
              </w:rPr>
              <w:t>Data Use and Compliance</w:t>
            </w:r>
          </w:p>
        </w:tc>
        <w:tc>
          <w:tcPr>
            <w:tcW w:w="2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80" w:type="dxa"/>
            <w:vAlign w:val="bottom"/>
            <w:vMerge w:val="restart"/>
          </w:tcPr>
          <w:p>
            <w:pPr>
              <w:ind w:left="160"/>
              <w:spacing w:after="0"/>
              <w:rPr>
                <w:sz w:val="20"/>
                <w:szCs w:val="20"/>
                <w:color w:val="auto"/>
              </w:rPr>
            </w:pPr>
            <w:r>
              <w:rPr>
                <w:rFonts w:ascii="Arial" w:cs="Arial" w:eastAsia="Arial" w:hAnsi="Arial"/>
                <w:sz w:val="16"/>
                <w:szCs w:val="16"/>
                <w:b w:val="1"/>
                <w:bCs w:val="1"/>
                <w:color w:val="D7282F"/>
              </w:rPr>
              <w:t>•</w:t>
            </w:r>
          </w:p>
        </w:tc>
        <w:tc>
          <w:tcPr>
            <w:tcW w:w="2480" w:type="dxa"/>
            <w:vAlign w:val="bottom"/>
            <w:tcBorders>
              <w:right w:val="single" w:sz="8" w:color="939598"/>
            </w:tcBorders>
            <w:vMerge w:val="restart"/>
          </w:tcPr>
          <w:p>
            <w:pPr>
              <w:ind w:left="60"/>
              <w:spacing w:after="0"/>
              <w:rPr>
                <w:sz w:val="20"/>
                <w:szCs w:val="20"/>
                <w:color w:val="auto"/>
              </w:rPr>
            </w:pPr>
            <w:r>
              <w:rPr>
                <w:rFonts w:ascii="Arial" w:cs="Arial" w:eastAsia="Arial" w:hAnsi="Arial"/>
                <w:sz w:val="16"/>
                <w:szCs w:val="16"/>
                <w:color w:val="auto"/>
              </w:rPr>
              <w:t>Environmental Justice</w:t>
            </w:r>
          </w:p>
        </w:tc>
        <w:tc>
          <w:tcPr>
            <w:tcW w:w="240" w:type="dxa"/>
            <w:vAlign w:val="bottom"/>
          </w:tcPr>
          <w:p>
            <w:pPr>
              <w:spacing w:after="0"/>
              <w:rPr>
                <w:sz w:val="18"/>
                <w:szCs w:val="18"/>
                <w:color w:val="auto"/>
              </w:rPr>
            </w:pPr>
          </w:p>
        </w:tc>
        <w:tc>
          <w:tcPr>
            <w:tcW w:w="2500" w:type="dxa"/>
            <w:vAlign w:val="bottom"/>
            <w:tcBorders>
              <w:right w:val="single" w:sz="8" w:color="939598"/>
            </w:tcBorders>
          </w:tcPr>
          <w:p>
            <w:pPr>
              <w:ind w:left="40"/>
              <w:spacing w:after="0"/>
              <w:rPr>
                <w:sz w:val="20"/>
                <w:szCs w:val="20"/>
                <w:color w:val="auto"/>
              </w:rPr>
            </w:pPr>
            <w:r>
              <w:rPr>
                <w:rFonts w:ascii="Arial" w:cs="Arial" w:eastAsia="Arial" w:hAnsi="Arial"/>
                <w:sz w:val="16"/>
                <w:szCs w:val="16"/>
                <w:color w:val="auto"/>
              </w:rPr>
              <w:t>(including AI regulations)</w:t>
            </w:r>
          </w:p>
        </w:tc>
        <w:tc>
          <w:tcPr>
            <w:tcW w:w="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80" w:type="dxa"/>
            <w:vAlign w:val="bottom"/>
            <w:vMerge w:val="continue"/>
          </w:tcPr>
          <w:p>
            <w:pPr>
              <w:spacing w:after="0"/>
              <w:rPr>
                <w:sz w:val="6"/>
                <w:szCs w:val="6"/>
                <w:color w:val="auto"/>
              </w:rPr>
            </w:pPr>
          </w:p>
        </w:tc>
        <w:tc>
          <w:tcPr>
            <w:tcW w:w="2480" w:type="dxa"/>
            <w:vAlign w:val="bottom"/>
            <w:tcBorders>
              <w:right w:val="single" w:sz="8" w:color="939598"/>
            </w:tcBorders>
            <w:vMerge w:val="continue"/>
          </w:tcPr>
          <w:p>
            <w:pPr>
              <w:spacing w:after="0"/>
              <w:rPr>
                <w:sz w:val="6"/>
                <w:szCs w:val="6"/>
                <w:color w:val="auto"/>
              </w:rPr>
            </w:pPr>
          </w:p>
        </w:tc>
        <w:tc>
          <w:tcPr>
            <w:tcW w:w="240" w:type="dxa"/>
            <w:vAlign w:val="bottom"/>
          </w:tcPr>
          <w:p>
            <w:pPr>
              <w:spacing w:after="0"/>
              <w:rPr>
                <w:sz w:val="6"/>
                <w:szCs w:val="6"/>
                <w:color w:val="auto"/>
              </w:rPr>
            </w:pPr>
          </w:p>
        </w:tc>
        <w:tc>
          <w:tcPr>
            <w:tcW w:w="2500" w:type="dxa"/>
            <w:vAlign w:val="bottom"/>
            <w:tcBorders>
              <w:right w:val="single" w:sz="8" w:color="939598"/>
            </w:tcBorders>
          </w:tcPr>
          <w:p>
            <w:pPr>
              <w:spacing w:after="0"/>
              <w:rPr>
                <w:sz w:val="6"/>
                <w:szCs w:val="6"/>
                <w:color w:val="auto"/>
              </w:rPr>
            </w:pPr>
          </w:p>
        </w:tc>
        <w:tc>
          <w:tcPr>
            <w:tcW w:w="240" w:type="dxa"/>
            <w:vAlign w:val="bottom"/>
          </w:tcPr>
          <w:p>
            <w:pPr>
              <w:spacing w:after="0"/>
              <w:rPr>
                <w:sz w:val="6"/>
                <w:szCs w:val="6"/>
                <w:color w:val="auto"/>
              </w:rPr>
            </w:pPr>
          </w:p>
        </w:tc>
        <w:tc>
          <w:tcPr>
            <w:tcW w:w="2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80" w:type="dxa"/>
            <w:vAlign w:val="bottom"/>
            <w:tcBorders>
              <w:bottom w:val="single" w:sz="8" w:color="939598"/>
            </w:tcBorders>
          </w:tcPr>
          <w:p>
            <w:pPr>
              <w:spacing w:after="0"/>
              <w:rPr>
                <w:sz w:val="17"/>
                <w:szCs w:val="17"/>
                <w:color w:val="auto"/>
              </w:rPr>
            </w:pPr>
          </w:p>
        </w:tc>
        <w:tc>
          <w:tcPr>
            <w:tcW w:w="2480" w:type="dxa"/>
            <w:vAlign w:val="bottom"/>
            <w:tcBorders>
              <w:bottom w:val="single" w:sz="8" w:color="939598"/>
              <w:right w:val="single" w:sz="8" w:color="939598"/>
            </w:tcBorders>
          </w:tcPr>
          <w:p>
            <w:pPr>
              <w:spacing w:after="0"/>
              <w:rPr>
                <w:sz w:val="17"/>
                <w:szCs w:val="17"/>
                <w:color w:val="auto"/>
              </w:rPr>
            </w:pPr>
          </w:p>
        </w:tc>
        <w:tc>
          <w:tcPr>
            <w:tcW w:w="240" w:type="dxa"/>
            <w:vAlign w:val="bottom"/>
            <w:tcBorders>
              <w:bottom w:val="single" w:sz="8" w:color="939598"/>
            </w:tcBorders>
          </w:tcPr>
          <w:p>
            <w:pPr>
              <w:spacing w:after="0"/>
              <w:rPr>
                <w:sz w:val="17"/>
                <w:szCs w:val="17"/>
                <w:color w:val="auto"/>
              </w:rPr>
            </w:pPr>
          </w:p>
        </w:tc>
        <w:tc>
          <w:tcPr>
            <w:tcW w:w="2500" w:type="dxa"/>
            <w:vAlign w:val="bottom"/>
            <w:tcBorders>
              <w:bottom w:val="single" w:sz="8" w:color="939598"/>
              <w:right w:val="single" w:sz="8" w:color="939598"/>
            </w:tcBorders>
          </w:tcPr>
          <w:p>
            <w:pPr>
              <w:spacing w:after="0"/>
              <w:rPr>
                <w:sz w:val="17"/>
                <w:szCs w:val="17"/>
                <w:color w:val="auto"/>
              </w:rPr>
            </w:pPr>
          </w:p>
        </w:tc>
        <w:tc>
          <w:tcPr>
            <w:tcW w:w="2720" w:type="dxa"/>
            <w:vAlign w:val="bottom"/>
            <w:tcBorders>
              <w:bottom w:val="single" w:sz="8" w:color="939598"/>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280" w:type="dxa"/>
            <w:vAlign w:val="bottom"/>
          </w:tcPr>
          <w:p>
            <w:pPr>
              <w:ind w:left="160"/>
              <w:spacing w:after="0"/>
              <w:rPr>
                <w:sz w:val="20"/>
                <w:szCs w:val="20"/>
                <w:color w:val="auto"/>
              </w:rPr>
            </w:pPr>
            <w:r>
              <w:rPr>
                <w:rFonts w:ascii="Arial" w:cs="Arial" w:eastAsia="Arial" w:hAnsi="Arial"/>
                <w:sz w:val="16"/>
                <w:szCs w:val="16"/>
                <w:b w:val="1"/>
                <w:bCs w:val="1"/>
                <w:color w:val="D7282F"/>
              </w:rPr>
              <w:t>•</w:t>
            </w:r>
          </w:p>
        </w:tc>
        <w:tc>
          <w:tcPr>
            <w:tcW w:w="2480" w:type="dxa"/>
            <w:vAlign w:val="bottom"/>
            <w:tcBorders>
              <w:right w:val="single" w:sz="8" w:color="939598"/>
            </w:tcBorders>
          </w:tcPr>
          <w:p>
            <w:pPr>
              <w:ind w:left="60"/>
              <w:spacing w:after="0"/>
              <w:rPr>
                <w:sz w:val="20"/>
                <w:szCs w:val="20"/>
                <w:color w:val="auto"/>
              </w:rPr>
            </w:pPr>
            <w:r>
              <w:rPr>
                <w:rFonts w:ascii="Arial" w:cs="Arial" w:eastAsia="Arial" w:hAnsi="Arial"/>
                <w:sz w:val="16"/>
                <w:szCs w:val="16"/>
                <w:color w:val="auto"/>
              </w:rPr>
              <w:t>SVP, General Counsel and</w:t>
            </w:r>
          </w:p>
        </w:tc>
        <w:tc>
          <w:tcPr>
            <w:tcW w:w="240" w:type="dxa"/>
            <w:vAlign w:val="bottom"/>
          </w:tcPr>
          <w:p>
            <w:pPr>
              <w:ind w:left="140"/>
              <w:spacing w:after="0"/>
              <w:rPr>
                <w:sz w:val="20"/>
                <w:szCs w:val="20"/>
                <w:color w:val="auto"/>
              </w:rPr>
            </w:pPr>
            <w:r>
              <w:rPr>
                <w:rFonts w:ascii="Arial" w:cs="Arial" w:eastAsia="Arial" w:hAnsi="Arial"/>
                <w:sz w:val="16"/>
                <w:szCs w:val="16"/>
                <w:b w:val="1"/>
                <w:bCs w:val="1"/>
                <w:color w:val="D7282F"/>
              </w:rPr>
              <w:t>•</w:t>
            </w:r>
          </w:p>
        </w:tc>
        <w:tc>
          <w:tcPr>
            <w:tcW w:w="2500" w:type="dxa"/>
            <w:vAlign w:val="bottom"/>
            <w:tcBorders>
              <w:right w:val="single" w:sz="8" w:color="939598"/>
            </w:tcBorders>
          </w:tcPr>
          <w:p>
            <w:pPr>
              <w:ind w:left="100"/>
              <w:spacing w:after="0"/>
              <w:rPr>
                <w:sz w:val="20"/>
                <w:szCs w:val="20"/>
                <w:color w:val="auto"/>
              </w:rPr>
            </w:pPr>
            <w:r>
              <w:rPr>
                <w:rFonts w:ascii="Arial" w:cs="Arial" w:eastAsia="Arial" w:hAnsi="Arial"/>
                <w:sz w:val="16"/>
                <w:szCs w:val="16"/>
                <w:color w:val="auto"/>
              </w:rPr>
              <w:t>SVP and Chief Financial Officer</w:t>
            </w:r>
          </w:p>
        </w:tc>
        <w:tc>
          <w:tcPr>
            <w:tcW w:w="2720" w:type="dxa"/>
            <w:vAlign w:val="bottom"/>
            <w:gridSpan w:val="2"/>
          </w:tcPr>
          <w:p>
            <w:pPr>
              <w:ind w:left="14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SVP and Chief Human</w:t>
            </w:r>
          </w:p>
        </w:tc>
        <w:tc>
          <w:tcPr>
            <w:tcW w:w="0" w:type="dxa"/>
            <w:vAlign w:val="bottom"/>
          </w:tcPr>
          <w:p>
            <w:pPr>
              <w:spacing w:after="0"/>
              <w:rPr>
                <w:sz w:val="1"/>
                <w:szCs w:val="1"/>
                <w:color w:val="auto"/>
              </w:rPr>
            </w:pPr>
          </w:p>
        </w:tc>
      </w:tr>
      <w:tr>
        <w:trPr>
          <w:trHeight w:val="215"/>
        </w:trPr>
        <w:tc>
          <w:tcPr>
            <w:tcW w:w="280" w:type="dxa"/>
            <w:vAlign w:val="bottom"/>
          </w:tcPr>
          <w:p>
            <w:pPr>
              <w:spacing w:after="0"/>
              <w:rPr>
                <w:sz w:val="18"/>
                <w:szCs w:val="18"/>
                <w:color w:val="auto"/>
              </w:rPr>
            </w:pPr>
          </w:p>
        </w:tc>
        <w:tc>
          <w:tcPr>
            <w:tcW w:w="2480" w:type="dxa"/>
            <w:vAlign w:val="bottom"/>
            <w:tcBorders>
              <w:right w:val="single" w:sz="8" w:color="939598"/>
            </w:tcBorders>
          </w:tcPr>
          <w:p>
            <w:pPr>
              <w:ind w:left="60"/>
              <w:spacing w:after="0"/>
              <w:rPr>
                <w:sz w:val="20"/>
                <w:szCs w:val="20"/>
                <w:color w:val="auto"/>
              </w:rPr>
            </w:pPr>
            <w:r>
              <w:rPr>
                <w:rFonts w:ascii="Arial" w:cs="Arial" w:eastAsia="Arial" w:hAnsi="Arial"/>
                <w:sz w:val="16"/>
                <w:szCs w:val="16"/>
                <w:color w:val="auto"/>
              </w:rPr>
              <w:t>Corporate Secretary</w:t>
            </w:r>
          </w:p>
        </w:tc>
        <w:tc>
          <w:tcPr>
            <w:tcW w:w="2740" w:type="dxa"/>
            <w:vAlign w:val="bottom"/>
            <w:tcBorders>
              <w:right w:val="single" w:sz="8" w:color="939598"/>
            </w:tcBorders>
            <w:gridSpan w:val="2"/>
            <w:vMerge w:val="restart"/>
          </w:tcPr>
          <w:p>
            <w:pPr>
              <w:ind w:left="14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SVP, General Counsel and</w:t>
            </w:r>
          </w:p>
        </w:tc>
        <w:tc>
          <w:tcPr>
            <w:tcW w:w="240" w:type="dxa"/>
            <w:vAlign w:val="bottom"/>
          </w:tcPr>
          <w:p>
            <w:pPr>
              <w:spacing w:after="0"/>
              <w:rPr>
                <w:sz w:val="18"/>
                <w:szCs w:val="18"/>
                <w:color w:val="auto"/>
              </w:rPr>
            </w:pPr>
          </w:p>
        </w:tc>
        <w:tc>
          <w:tcPr>
            <w:tcW w:w="2480" w:type="dxa"/>
            <w:vAlign w:val="bottom"/>
          </w:tcPr>
          <w:p>
            <w:pPr>
              <w:ind w:left="100"/>
              <w:spacing w:after="0"/>
              <w:rPr>
                <w:sz w:val="20"/>
                <w:szCs w:val="20"/>
                <w:color w:val="auto"/>
              </w:rPr>
            </w:pPr>
            <w:r>
              <w:rPr>
                <w:rFonts w:ascii="Arial" w:cs="Arial" w:eastAsia="Arial" w:hAnsi="Arial"/>
                <w:sz w:val="16"/>
                <w:szCs w:val="16"/>
                <w:color w:val="auto"/>
              </w:rPr>
              <w:t>Resources Officer</w:t>
            </w:r>
          </w:p>
        </w:tc>
        <w:tc>
          <w:tcPr>
            <w:tcW w:w="0" w:type="dxa"/>
            <w:vAlign w:val="bottom"/>
          </w:tcPr>
          <w:p>
            <w:pPr>
              <w:spacing w:after="0"/>
              <w:rPr>
                <w:sz w:val="1"/>
                <w:szCs w:val="1"/>
                <w:color w:val="auto"/>
              </w:rPr>
            </w:pPr>
          </w:p>
        </w:tc>
      </w:tr>
      <w:tr>
        <w:trPr>
          <w:trHeight w:val="42"/>
        </w:trPr>
        <w:tc>
          <w:tcPr>
            <w:tcW w:w="280" w:type="dxa"/>
            <w:vAlign w:val="bottom"/>
          </w:tcPr>
          <w:p>
            <w:pPr>
              <w:spacing w:after="0"/>
              <w:rPr>
                <w:sz w:val="3"/>
                <w:szCs w:val="3"/>
                <w:color w:val="auto"/>
              </w:rPr>
            </w:pPr>
          </w:p>
        </w:tc>
        <w:tc>
          <w:tcPr>
            <w:tcW w:w="2480" w:type="dxa"/>
            <w:vAlign w:val="bottom"/>
            <w:tcBorders>
              <w:right w:val="single" w:sz="8" w:color="939598"/>
            </w:tcBorders>
          </w:tcPr>
          <w:p>
            <w:pPr>
              <w:spacing w:after="0"/>
              <w:rPr>
                <w:sz w:val="3"/>
                <w:szCs w:val="3"/>
                <w:color w:val="auto"/>
              </w:rPr>
            </w:pPr>
          </w:p>
        </w:tc>
        <w:tc>
          <w:tcPr>
            <w:tcW w:w="2740" w:type="dxa"/>
            <w:vAlign w:val="bottom"/>
            <w:tcBorders>
              <w:right w:val="single" w:sz="8" w:color="939598"/>
            </w:tcBorders>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2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80" w:type="dxa"/>
            <w:vAlign w:val="bottom"/>
          </w:tcPr>
          <w:p>
            <w:pPr>
              <w:ind w:left="160"/>
              <w:spacing w:after="0"/>
              <w:rPr>
                <w:sz w:val="20"/>
                <w:szCs w:val="20"/>
                <w:color w:val="auto"/>
              </w:rPr>
            </w:pPr>
            <w:r>
              <w:rPr>
                <w:rFonts w:ascii="Arial" w:cs="Arial" w:eastAsia="Arial" w:hAnsi="Arial"/>
                <w:sz w:val="16"/>
                <w:szCs w:val="16"/>
                <w:b w:val="1"/>
                <w:bCs w:val="1"/>
                <w:color w:val="D7282F"/>
              </w:rPr>
              <w:t>•</w:t>
            </w:r>
          </w:p>
        </w:tc>
        <w:tc>
          <w:tcPr>
            <w:tcW w:w="2480" w:type="dxa"/>
            <w:vAlign w:val="bottom"/>
            <w:tcBorders>
              <w:right w:val="single" w:sz="8" w:color="939598"/>
            </w:tcBorders>
          </w:tcPr>
          <w:p>
            <w:pPr>
              <w:ind w:left="60"/>
              <w:spacing w:after="0"/>
              <w:rPr>
                <w:sz w:val="20"/>
                <w:szCs w:val="20"/>
                <w:color w:val="auto"/>
              </w:rPr>
            </w:pPr>
            <w:r>
              <w:rPr>
                <w:rFonts w:ascii="Arial" w:cs="Arial" w:eastAsia="Arial" w:hAnsi="Arial"/>
                <w:sz w:val="16"/>
                <w:szCs w:val="16"/>
                <w:color w:val="auto"/>
              </w:rPr>
              <w:t>Chief Sustainability Officer</w:t>
            </w:r>
          </w:p>
        </w:tc>
        <w:tc>
          <w:tcPr>
            <w:tcW w:w="240" w:type="dxa"/>
            <w:vAlign w:val="bottom"/>
          </w:tcPr>
          <w:p>
            <w:pPr>
              <w:spacing w:after="0"/>
              <w:rPr>
                <w:sz w:val="19"/>
                <w:szCs w:val="19"/>
                <w:color w:val="auto"/>
              </w:rPr>
            </w:pPr>
          </w:p>
        </w:tc>
        <w:tc>
          <w:tcPr>
            <w:tcW w:w="2500" w:type="dxa"/>
            <w:vAlign w:val="bottom"/>
            <w:tcBorders>
              <w:right w:val="single" w:sz="8" w:color="939598"/>
            </w:tcBorders>
          </w:tcPr>
          <w:p>
            <w:pPr>
              <w:ind w:left="100"/>
              <w:spacing w:after="0"/>
              <w:rPr>
                <w:sz w:val="20"/>
                <w:szCs w:val="20"/>
                <w:color w:val="auto"/>
              </w:rPr>
            </w:pPr>
            <w:r>
              <w:rPr>
                <w:rFonts w:ascii="Arial" w:cs="Arial" w:eastAsia="Arial" w:hAnsi="Arial"/>
                <w:sz w:val="16"/>
                <w:szCs w:val="16"/>
                <w:color w:val="auto"/>
              </w:rPr>
              <w:t>Corporate Secretary</w:t>
            </w:r>
          </w:p>
        </w:tc>
        <w:tc>
          <w:tcPr>
            <w:tcW w:w="240" w:type="dxa"/>
            <w:vAlign w:val="bottom"/>
          </w:tcPr>
          <w:p>
            <w:pPr>
              <w:ind w:left="140"/>
              <w:spacing w:after="0"/>
              <w:rPr>
                <w:sz w:val="20"/>
                <w:szCs w:val="20"/>
                <w:color w:val="auto"/>
              </w:rPr>
            </w:pPr>
            <w:r>
              <w:rPr>
                <w:rFonts w:ascii="Arial" w:cs="Arial" w:eastAsia="Arial" w:hAnsi="Arial"/>
                <w:sz w:val="16"/>
                <w:szCs w:val="16"/>
                <w:b w:val="1"/>
                <w:bCs w:val="1"/>
                <w:color w:val="D7282F"/>
              </w:rPr>
              <w:t>•</w:t>
            </w:r>
          </w:p>
        </w:tc>
        <w:tc>
          <w:tcPr>
            <w:tcW w:w="2480" w:type="dxa"/>
            <w:vAlign w:val="bottom"/>
          </w:tcPr>
          <w:p>
            <w:pPr>
              <w:ind w:left="100"/>
              <w:spacing w:after="0"/>
              <w:rPr>
                <w:sz w:val="20"/>
                <w:szCs w:val="20"/>
                <w:color w:val="auto"/>
              </w:rPr>
            </w:pPr>
            <w:r>
              <w:rPr>
                <w:rFonts w:ascii="Arial" w:cs="Arial" w:eastAsia="Arial" w:hAnsi="Arial"/>
                <w:sz w:val="16"/>
                <w:szCs w:val="16"/>
                <w:color w:val="auto"/>
              </w:rPr>
              <w:t>VP, Talent Engagement</w:t>
            </w:r>
          </w:p>
        </w:tc>
        <w:tc>
          <w:tcPr>
            <w:tcW w:w="0" w:type="dxa"/>
            <w:vAlign w:val="bottom"/>
          </w:tcPr>
          <w:p>
            <w:pPr>
              <w:spacing w:after="0"/>
              <w:rPr>
                <w:sz w:val="1"/>
                <w:szCs w:val="1"/>
                <w:color w:val="auto"/>
              </w:rPr>
            </w:pPr>
          </w:p>
        </w:tc>
      </w:tr>
      <w:tr>
        <w:trPr>
          <w:trHeight w:val="223"/>
        </w:trPr>
        <w:tc>
          <w:tcPr>
            <w:tcW w:w="280" w:type="dxa"/>
            <w:vAlign w:val="bottom"/>
          </w:tcPr>
          <w:p>
            <w:pPr>
              <w:ind w:left="160"/>
              <w:spacing w:after="0"/>
              <w:rPr>
                <w:sz w:val="20"/>
                <w:szCs w:val="20"/>
                <w:color w:val="auto"/>
              </w:rPr>
            </w:pPr>
            <w:r>
              <w:rPr>
                <w:rFonts w:ascii="Arial" w:cs="Arial" w:eastAsia="Arial" w:hAnsi="Arial"/>
                <w:sz w:val="16"/>
                <w:szCs w:val="16"/>
                <w:b w:val="1"/>
                <w:bCs w:val="1"/>
                <w:color w:val="D7282F"/>
              </w:rPr>
              <w:t>•</w:t>
            </w:r>
          </w:p>
        </w:tc>
        <w:tc>
          <w:tcPr>
            <w:tcW w:w="2480" w:type="dxa"/>
            <w:vAlign w:val="bottom"/>
            <w:tcBorders>
              <w:right w:val="single" w:sz="8" w:color="939598"/>
            </w:tcBorders>
          </w:tcPr>
          <w:p>
            <w:pPr>
              <w:ind w:left="60"/>
              <w:spacing w:after="0"/>
              <w:rPr>
                <w:sz w:val="20"/>
                <w:szCs w:val="20"/>
                <w:color w:val="auto"/>
              </w:rPr>
            </w:pPr>
            <w:r>
              <w:rPr>
                <w:rFonts w:ascii="Arial" w:cs="Arial" w:eastAsia="Arial" w:hAnsi="Arial"/>
                <w:sz w:val="16"/>
                <w:szCs w:val="16"/>
                <w:color w:val="auto"/>
              </w:rPr>
              <w:t>SVP, Global Government</w:t>
            </w:r>
          </w:p>
        </w:tc>
        <w:tc>
          <w:tcPr>
            <w:tcW w:w="240" w:type="dxa"/>
            <w:vAlign w:val="bottom"/>
          </w:tcPr>
          <w:p>
            <w:pPr>
              <w:ind w:left="140"/>
              <w:spacing w:after="0"/>
              <w:rPr>
                <w:sz w:val="20"/>
                <w:szCs w:val="20"/>
                <w:color w:val="auto"/>
              </w:rPr>
            </w:pPr>
            <w:r>
              <w:rPr>
                <w:rFonts w:ascii="Arial" w:cs="Arial" w:eastAsia="Arial" w:hAnsi="Arial"/>
                <w:sz w:val="16"/>
                <w:szCs w:val="16"/>
                <w:b w:val="1"/>
                <w:bCs w:val="1"/>
                <w:color w:val="D7282F"/>
              </w:rPr>
              <w:t>•</w:t>
            </w:r>
          </w:p>
        </w:tc>
        <w:tc>
          <w:tcPr>
            <w:tcW w:w="2500" w:type="dxa"/>
            <w:vAlign w:val="bottom"/>
            <w:tcBorders>
              <w:right w:val="single" w:sz="8" w:color="939598"/>
            </w:tcBorders>
          </w:tcPr>
          <w:p>
            <w:pPr>
              <w:ind w:left="100"/>
              <w:spacing w:after="0"/>
              <w:rPr>
                <w:sz w:val="20"/>
                <w:szCs w:val="20"/>
                <w:color w:val="auto"/>
              </w:rPr>
            </w:pPr>
            <w:r>
              <w:rPr>
                <w:rFonts w:ascii="Arial" w:cs="Arial" w:eastAsia="Arial" w:hAnsi="Arial"/>
                <w:sz w:val="16"/>
                <w:szCs w:val="16"/>
                <w:color w:val="auto"/>
              </w:rPr>
              <w:t>VP, Corporate Audit</w:t>
            </w:r>
          </w:p>
        </w:tc>
        <w:tc>
          <w:tcPr>
            <w:tcW w:w="2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80" w:type="dxa"/>
            <w:vAlign w:val="bottom"/>
          </w:tcPr>
          <w:p>
            <w:pPr>
              <w:spacing w:after="0"/>
              <w:rPr>
                <w:sz w:val="18"/>
                <w:szCs w:val="18"/>
                <w:color w:val="auto"/>
              </w:rPr>
            </w:pPr>
          </w:p>
        </w:tc>
        <w:tc>
          <w:tcPr>
            <w:tcW w:w="2480" w:type="dxa"/>
            <w:vAlign w:val="bottom"/>
            <w:tcBorders>
              <w:right w:val="single" w:sz="8" w:color="939598"/>
            </w:tcBorders>
          </w:tcPr>
          <w:p>
            <w:pPr>
              <w:ind w:left="60"/>
              <w:spacing w:after="0"/>
              <w:rPr>
                <w:sz w:val="20"/>
                <w:szCs w:val="20"/>
                <w:color w:val="auto"/>
              </w:rPr>
            </w:pPr>
            <w:r>
              <w:rPr>
                <w:rFonts w:ascii="Arial" w:cs="Arial" w:eastAsia="Arial" w:hAnsi="Arial"/>
                <w:sz w:val="16"/>
                <w:szCs w:val="16"/>
                <w:color w:val="auto"/>
              </w:rPr>
              <w:t>Relations</w:t>
            </w:r>
          </w:p>
        </w:tc>
        <w:tc>
          <w:tcPr>
            <w:tcW w:w="240" w:type="dxa"/>
            <w:vAlign w:val="bottom"/>
            <w:vMerge w:val="restart"/>
          </w:tcPr>
          <w:p>
            <w:pPr>
              <w:ind w:left="140"/>
              <w:spacing w:after="0"/>
              <w:rPr>
                <w:sz w:val="20"/>
                <w:szCs w:val="20"/>
                <w:color w:val="auto"/>
              </w:rPr>
            </w:pPr>
            <w:r>
              <w:rPr>
                <w:rFonts w:ascii="Arial" w:cs="Arial" w:eastAsia="Arial" w:hAnsi="Arial"/>
                <w:sz w:val="16"/>
                <w:szCs w:val="16"/>
                <w:b w:val="1"/>
                <w:bCs w:val="1"/>
                <w:color w:val="D7282F"/>
              </w:rPr>
              <w:t>•</w:t>
            </w:r>
          </w:p>
        </w:tc>
        <w:tc>
          <w:tcPr>
            <w:tcW w:w="2500" w:type="dxa"/>
            <w:vAlign w:val="bottom"/>
            <w:tcBorders>
              <w:right w:val="single" w:sz="8" w:color="939598"/>
            </w:tcBorders>
            <w:vMerge w:val="restart"/>
          </w:tcPr>
          <w:p>
            <w:pPr>
              <w:ind w:left="100"/>
              <w:spacing w:after="0"/>
              <w:rPr>
                <w:sz w:val="20"/>
                <w:szCs w:val="20"/>
                <w:color w:val="auto"/>
              </w:rPr>
            </w:pPr>
            <w:r>
              <w:rPr>
                <w:rFonts w:ascii="Arial" w:cs="Arial" w:eastAsia="Arial" w:hAnsi="Arial"/>
                <w:sz w:val="16"/>
                <w:szCs w:val="16"/>
                <w:color w:val="auto"/>
              </w:rPr>
              <w:t>Chief Security Officer</w:t>
            </w:r>
          </w:p>
        </w:tc>
        <w:tc>
          <w:tcPr>
            <w:tcW w:w="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80" w:type="dxa"/>
            <w:vAlign w:val="bottom"/>
            <w:vMerge w:val="restart"/>
          </w:tcPr>
          <w:p>
            <w:pPr>
              <w:ind w:left="160"/>
              <w:spacing w:after="0"/>
              <w:rPr>
                <w:sz w:val="20"/>
                <w:szCs w:val="20"/>
                <w:color w:val="auto"/>
              </w:rPr>
            </w:pPr>
            <w:r>
              <w:rPr>
                <w:rFonts w:ascii="Arial" w:cs="Arial" w:eastAsia="Arial" w:hAnsi="Arial"/>
                <w:sz w:val="16"/>
                <w:szCs w:val="16"/>
                <w:b w:val="1"/>
                <w:bCs w:val="1"/>
                <w:color w:val="D7282F"/>
              </w:rPr>
              <w:t>•</w:t>
            </w:r>
          </w:p>
        </w:tc>
        <w:tc>
          <w:tcPr>
            <w:tcW w:w="2480" w:type="dxa"/>
            <w:vAlign w:val="bottom"/>
            <w:tcBorders>
              <w:right w:val="single" w:sz="8" w:color="939598"/>
            </w:tcBorders>
            <w:vMerge w:val="restart"/>
          </w:tcPr>
          <w:p>
            <w:pPr>
              <w:ind w:left="60"/>
              <w:spacing w:after="0"/>
              <w:rPr>
                <w:sz w:val="20"/>
                <w:szCs w:val="20"/>
                <w:color w:val="auto"/>
              </w:rPr>
            </w:pPr>
            <w:r>
              <w:rPr>
                <w:rFonts w:ascii="Arial" w:cs="Arial" w:eastAsia="Arial" w:hAnsi="Arial"/>
                <w:sz w:val="16"/>
                <w:szCs w:val="16"/>
                <w:color w:val="auto"/>
              </w:rPr>
              <w:t>Chief Compliance Officer</w:t>
            </w:r>
          </w:p>
        </w:tc>
        <w:tc>
          <w:tcPr>
            <w:tcW w:w="240" w:type="dxa"/>
            <w:vAlign w:val="bottom"/>
            <w:vMerge w:val="continue"/>
          </w:tcPr>
          <w:p>
            <w:pPr>
              <w:spacing w:after="0"/>
              <w:rPr>
                <w:sz w:val="6"/>
                <w:szCs w:val="6"/>
                <w:color w:val="auto"/>
              </w:rPr>
            </w:pPr>
          </w:p>
        </w:tc>
        <w:tc>
          <w:tcPr>
            <w:tcW w:w="2500" w:type="dxa"/>
            <w:vAlign w:val="bottom"/>
            <w:tcBorders>
              <w:right w:val="single" w:sz="8" w:color="939598"/>
            </w:tcBorders>
            <w:vMerge w:val="continue"/>
          </w:tcPr>
          <w:p>
            <w:pPr>
              <w:spacing w:after="0"/>
              <w:rPr>
                <w:sz w:val="6"/>
                <w:szCs w:val="6"/>
                <w:color w:val="auto"/>
              </w:rPr>
            </w:pPr>
          </w:p>
        </w:tc>
        <w:tc>
          <w:tcPr>
            <w:tcW w:w="240" w:type="dxa"/>
            <w:vAlign w:val="bottom"/>
          </w:tcPr>
          <w:p>
            <w:pPr>
              <w:spacing w:after="0"/>
              <w:rPr>
                <w:sz w:val="6"/>
                <w:szCs w:val="6"/>
                <w:color w:val="auto"/>
              </w:rPr>
            </w:pPr>
          </w:p>
        </w:tc>
        <w:tc>
          <w:tcPr>
            <w:tcW w:w="2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80" w:type="dxa"/>
            <w:vAlign w:val="bottom"/>
            <w:vMerge w:val="continue"/>
          </w:tcPr>
          <w:p>
            <w:pPr>
              <w:spacing w:after="0"/>
              <w:rPr>
                <w:sz w:val="16"/>
                <w:szCs w:val="16"/>
                <w:color w:val="auto"/>
              </w:rPr>
            </w:pPr>
          </w:p>
        </w:tc>
        <w:tc>
          <w:tcPr>
            <w:tcW w:w="2480" w:type="dxa"/>
            <w:vAlign w:val="bottom"/>
            <w:tcBorders>
              <w:right w:val="single" w:sz="8" w:color="939598"/>
            </w:tcBorders>
            <w:vMerge w:val="continue"/>
          </w:tcPr>
          <w:p>
            <w:pPr>
              <w:spacing w:after="0"/>
              <w:rPr>
                <w:sz w:val="16"/>
                <w:szCs w:val="16"/>
                <w:color w:val="auto"/>
              </w:rPr>
            </w:pPr>
          </w:p>
        </w:tc>
        <w:tc>
          <w:tcPr>
            <w:tcW w:w="240" w:type="dxa"/>
            <w:vAlign w:val="bottom"/>
            <w:vMerge w:val="restart"/>
          </w:tcPr>
          <w:p>
            <w:pPr>
              <w:ind w:left="140"/>
              <w:spacing w:after="0"/>
              <w:rPr>
                <w:sz w:val="20"/>
                <w:szCs w:val="20"/>
                <w:color w:val="auto"/>
              </w:rPr>
            </w:pPr>
            <w:r>
              <w:rPr>
                <w:rFonts w:ascii="Arial" w:cs="Arial" w:eastAsia="Arial" w:hAnsi="Arial"/>
                <w:sz w:val="16"/>
                <w:szCs w:val="16"/>
                <w:b w:val="1"/>
                <w:bCs w:val="1"/>
                <w:color w:val="D7282F"/>
              </w:rPr>
              <w:t>•</w:t>
            </w:r>
          </w:p>
        </w:tc>
        <w:tc>
          <w:tcPr>
            <w:tcW w:w="2500" w:type="dxa"/>
            <w:vAlign w:val="bottom"/>
            <w:tcBorders>
              <w:right w:val="single" w:sz="8" w:color="939598"/>
            </w:tcBorders>
            <w:vMerge w:val="restart"/>
          </w:tcPr>
          <w:p>
            <w:pPr>
              <w:ind w:left="100"/>
              <w:spacing w:after="0"/>
              <w:rPr>
                <w:sz w:val="20"/>
                <w:szCs w:val="20"/>
                <w:color w:val="auto"/>
              </w:rPr>
            </w:pPr>
            <w:r>
              <w:rPr>
                <w:rFonts w:ascii="Arial" w:cs="Arial" w:eastAsia="Arial" w:hAnsi="Arial"/>
                <w:sz w:val="16"/>
                <w:szCs w:val="16"/>
                <w:color w:val="auto"/>
              </w:rPr>
              <w:t>VP, Controller</w:t>
            </w:r>
          </w:p>
        </w:tc>
        <w:tc>
          <w:tcPr>
            <w:tcW w:w="2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2480" w:type="dxa"/>
            <w:vAlign w:val="bottom"/>
            <w:tcBorders>
              <w:right w:val="single" w:sz="8" w:color="939598"/>
            </w:tcBorders>
          </w:tcPr>
          <w:p>
            <w:pPr>
              <w:spacing w:after="0"/>
              <w:rPr>
                <w:sz w:val="5"/>
                <w:szCs w:val="5"/>
                <w:color w:val="auto"/>
              </w:rPr>
            </w:pPr>
          </w:p>
        </w:tc>
        <w:tc>
          <w:tcPr>
            <w:tcW w:w="240" w:type="dxa"/>
            <w:vAlign w:val="bottom"/>
            <w:vMerge w:val="continue"/>
          </w:tcPr>
          <w:p>
            <w:pPr>
              <w:spacing w:after="0"/>
              <w:rPr>
                <w:sz w:val="5"/>
                <w:szCs w:val="5"/>
                <w:color w:val="auto"/>
              </w:rPr>
            </w:pPr>
          </w:p>
        </w:tc>
        <w:tc>
          <w:tcPr>
            <w:tcW w:w="2500" w:type="dxa"/>
            <w:vAlign w:val="bottom"/>
            <w:tcBorders>
              <w:right w:val="single" w:sz="8" w:color="939598"/>
            </w:tcBorders>
            <w:vMerge w:val="continue"/>
          </w:tcPr>
          <w:p>
            <w:pPr>
              <w:spacing w:after="0"/>
              <w:rPr>
                <w:sz w:val="5"/>
                <w:szCs w:val="5"/>
                <w:color w:val="auto"/>
              </w:rPr>
            </w:pPr>
          </w:p>
        </w:tc>
        <w:tc>
          <w:tcPr>
            <w:tcW w:w="240" w:type="dxa"/>
            <w:vAlign w:val="bottom"/>
          </w:tcPr>
          <w:p>
            <w:pPr>
              <w:spacing w:after="0"/>
              <w:rPr>
                <w:sz w:val="5"/>
                <w:szCs w:val="5"/>
                <w:color w:val="auto"/>
              </w:rPr>
            </w:pPr>
          </w:p>
        </w:tc>
        <w:tc>
          <w:tcPr>
            <w:tcW w:w="2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80" w:type="dxa"/>
            <w:vAlign w:val="bottom"/>
          </w:tcPr>
          <w:p>
            <w:pPr>
              <w:spacing w:after="0"/>
              <w:rPr>
                <w:sz w:val="22"/>
                <w:szCs w:val="22"/>
                <w:color w:val="auto"/>
              </w:rPr>
            </w:pPr>
          </w:p>
        </w:tc>
        <w:tc>
          <w:tcPr>
            <w:tcW w:w="2480" w:type="dxa"/>
            <w:vAlign w:val="bottom"/>
            <w:tcBorders>
              <w:right w:val="single" w:sz="8" w:color="939598"/>
            </w:tcBorders>
          </w:tcPr>
          <w:p>
            <w:pPr>
              <w:spacing w:after="0"/>
              <w:rPr>
                <w:sz w:val="22"/>
                <w:szCs w:val="22"/>
                <w:color w:val="auto"/>
              </w:rPr>
            </w:pPr>
          </w:p>
        </w:tc>
        <w:tc>
          <w:tcPr>
            <w:tcW w:w="240" w:type="dxa"/>
            <w:vAlign w:val="bottom"/>
          </w:tcPr>
          <w:p>
            <w:pPr>
              <w:ind w:left="140"/>
              <w:spacing w:after="0"/>
              <w:rPr>
                <w:sz w:val="20"/>
                <w:szCs w:val="20"/>
                <w:color w:val="auto"/>
              </w:rPr>
            </w:pPr>
            <w:r>
              <w:rPr>
                <w:rFonts w:ascii="Arial" w:cs="Arial" w:eastAsia="Arial" w:hAnsi="Arial"/>
                <w:sz w:val="16"/>
                <w:szCs w:val="16"/>
                <w:b w:val="1"/>
                <w:bCs w:val="1"/>
                <w:color w:val="D7282F"/>
              </w:rPr>
              <w:t>•</w:t>
            </w:r>
          </w:p>
        </w:tc>
        <w:tc>
          <w:tcPr>
            <w:tcW w:w="2500" w:type="dxa"/>
            <w:vAlign w:val="bottom"/>
            <w:tcBorders>
              <w:right w:val="single" w:sz="8" w:color="939598"/>
            </w:tcBorders>
          </w:tcPr>
          <w:p>
            <w:pPr>
              <w:ind w:left="100"/>
              <w:spacing w:after="0"/>
              <w:rPr>
                <w:sz w:val="20"/>
                <w:szCs w:val="20"/>
                <w:color w:val="auto"/>
              </w:rPr>
            </w:pPr>
            <w:r>
              <w:rPr>
                <w:rFonts w:ascii="Arial" w:cs="Arial" w:eastAsia="Arial" w:hAnsi="Arial"/>
                <w:sz w:val="16"/>
                <w:szCs w:val="16"/>
                <w:color w:val="auto"/>
              </w:rPr>
              <w:t>VP, Tax</w:t>
            </w:r>
          </w:p>
        </w:tc>
        <w:tc>
          <w:tcPr>
            <w:tcW w:w="24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80" w:type="dxa"/>
            <w:vAlign w:val="bottom"/>
          </w:tcPr>
          <w:p>
            <w:pPr>
              <w:spacing w:after="0"/>
              <w:rPr>
                <w:sz w:val="22"/>
                <w:szCs w:val="22"/>
                <w:color w:val="auto"/>
              </w:rPr>
            </w:pPr>
          </w:p>
        </w:tc>
        <w:tc>
          <w:tcPr>
            <w:tcW w:w="2480" w:type="dxa"/>
            <w:vAlign w:val="bottom"/>
            <w:tcBorders>
              <w:right w:val="single" w:sz="8" w:color="939598"/>
            </w:tcBorders>
          </w:tcPr>
          <w:p>
            <w:pPr>
              <w:spacing w:after="0"/>
              <w:rPr>
                <w:sz w:val="22"/>
                <w:szCs w:val="22"/>
                <w:color w:val="auto"/>
              </w:rPr>
            </w:pPr>
          </w:p>
        </w:tc>
        <w:tc>
          <w:tcPr>
            <w:tcW w:w="2740" w:type="dxa"/>
            <w:vAlign w:val="bottom"/>
            <w:tcBorders>
              <w:right w:val="single" w:sz="8" w:color="939598"/>
            </w:tcBorders>
            <w:gridSpan w:val="2"/>
          </w:tcPr>
          <w:p>
            <w:pPr>
              <w:ind w:left="14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Chief Supply Chain Officer</w:t>
            </w:r>
          </w:p>
        </w:tc>
        <w:tc>
          <w:tcPr>
            <w:tcW w:w="24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2480" w:type="dxa"/>
            <w:vAlign w:val="bottom"/>
            <w:tcBorders>
              <w:right w:val="single" w:sz="8" w:color="939598"/>
            </w:tcBorders>
          </w:tcPr>
          <w:p>
            <w:pPr>
              <w:spacing w:after="0"/>
              <w:rPr>
                <w:sz w:val="23"/>
                <w:szCs w:val="23"/>
                <w:color w:val="auto"/>
              </w:rPr>
            </w:pPr>
          </w:p>
        </w:tc>
        <w:tc>
          <w:tcPr>
            <w:tcW w:w="240" w:type="dxa"/>
            <w:vAlign w:val="bottom"/>
          </w:tcPr>
          <w:p>
            <w:pPr>
              <w:ind w:left="140"/>
              <w:spacing w:after="0"/>
              <w:rPr>
                <w:sz w:val="20"/>
                <w:szCs w:val="20"/>
                <w:color w:val="auto"/>
              </w:rPr>
            </w:pPr>
            <w:r>
              <w:rPr>
                <w:rFonts w:ascii="Arial" w:cs="Arial" w:eastAsia="Arial" w:hAnsi="Arial"/>
                <w:sz w:val="16"/>
                <w:szCs w:val="16"/>
                <w:b w:val="1"/>
                <w:bCs w:val="1"/>
                <w:color w:val="D7282F"/>
              </w:rPr>
              <w:t>•</w:t>
            </w:r>
          </w:p>
        </w:tc>
        <w:tc>
          <w:tcPr>
            <w:tcW w:w="2500" w:type="dxa"/>
            <w:vAlign w:val="bottom"/>
            <w:tcBorders>
              <w:right w:val="single" w:sz="8" w:color="939598"/>
            </w:tcBorders>
          </w:tcPr>
          <w:p>
            <w:pPr>
              <w:ind w:left="100"/>
              <w:spacing w:after="0"/>
              <w:rPr>
                <w:sz w:val="20"/>
                <w:szCs w:val="20"/>
                <w:color w:val="auto"/>
              </w:rPr>
            </w:pPr>
            <w:r>
              <w:rPr>
                <w:rFonts w:ascii="Arial" w:cs="Arial" w:eastAsia="Arial" w:hAnsi="Arial"/>
                <w:sz w:val="16"/>
                <w:szCs w:val="16"/>
                <w:color w:val="auto"/>
              </w:rPr>
              <w:t>Chief Compliance Officer</w:t>
            </w:r>
          </w:p>
        </w:tc>
        <w:tc>
          <w:tcPr>
            <w:tcW w:w="24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80" w:type="dxa"/>
            <w:vAlign w:val="bottom"/>
          </w:tcPr>
          <w:p>
            <w:pPr>
              <w:spacing w:after="0"/>
              <w:rPr>
                <w:sz w:val="22"/>
                <w:szCs w:val="22"/>
                <w:color w:val="auto"/>
              </w:rPr>
            </w:pPr>
          </w:p>
        </w:tc>
        <w:tc>
          <w:tcPr>
            <w:tcW w:w="2480" w:type="dxa"/>
            <w:vAlign w:val="bottom"/>
            <w:tcBorders>
              <w:right w:val="single" w:sz="8" w:color="939598"/>
            </w:tcBorders>
          </w:tcPr>
          <w:p>
            <w:pPr>
              <w:spacing w:after="0"/>
              <w:rPr>
                <w:sz w:val="22"/>
                <w:szCs w:val="22"/>
                <w:color w:val="auto"/>
              </w:rPr>
            </w:pPr>
          </w:p>
        </w:tc>
        <w:tc>
          <w:tcPr>
            <w:tcW w:w="2740" w:type="dxa"/>
            <w:vAlign w:val="bottom"/>
            <w:tcBorders>
              <w:right w:val="single" w:sz="8" w:color="939598"/>
            </w:tcBorders>
            <w:gridSpan w:val="2"/>
          </w:tcPr>
          <w:p>
            <w:pPr>
              <w:ind w:left="14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Chief Digital Technology Officer</w:t>
            </w:r>
          </w:p>
        </w:tc>
        <w:tc>
          <w:tcPr>
            <w:tcW w:w="24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2480" w:type="dxa"/>
            <w:vAlign w:val="bottom"/>
            <w:tcBorders>
              <w:right w:val="single" w:sz="8" w:color="939598"/>
            </w:tcBorders>
          </w:tcPr>
          <w:p>
            <w:pPr>
              <w:spacing w:after="0"/>
              <w:rPr>
                <w:sz w:val="13"/>
                <w:szCs w:val="13"/>
                <w:color w:val="auto"/>
              </w:rPr>
            </w:pPr>
          </w:p>
        </w:tc>
        <w:tc>
          <w:tcPr>
            <w:tcW w:w="240" w:type="dxa"/>
            <w:vAlign w:val="bottom"/>
          </w:tcPr>
          <w:p>
            <w:pPr>
              <w:spacing w:after="0"/>
              <w:rPr>
                <w:sz w:val="13"/>
                <w:szCs w:val="13"/>
                <w:color w:val="auto"/>
              </w:rPr>
            </w:pPr>
          </w:p>
        </w:tc>
        <w:tc>
          <w:tcPr>
            <w:tcW w:w="2500" w:type="dxa"/>
            <w:vAlign w:val="bottom"/>
            <w:tcBorders>
              <w:right w:val="single" w:sz="8" w:color="939598"/>
            </w:tcBorders>
          </w:tcPr>
          <w:p>
            <w:pPr>
              <w:spacing w:after="0"/>
              <w:rPr>
                <w:sz w:val="13"/>
                <w:szCs w:val="13"/>
                <w:color w:val="auto"/>
              </w:rPr>
            </w:pPr>
          </w:p>
        </w:tc>
        <w:tc>
          <w:tcPr>
            <w:tcW w:w="2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-8255</wp:posOffset>
            </wp:positionV>
            <wp:extent cx="712343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40" w:space="360"/>
            <w:col w:w="8240"/>
          </w:cols>
          <w:pgMar w:left="320" w:top="230" w:right="339" w:bottom="1440" w:gutter="0" w:footer="0" w:header="0"/>
          <w:type w:val="continuous"/>
        </w:sectPr>
      </w:pP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2026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45</w:t>
            </w:r>
          </w:p>
        </w:tc>
      </w:tr>
      <w:tr>
        <w:trPr>
          <w:trHeight w:val="373"/>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3"/>
          <w:szCs w:val="13"/>
          <w:b w:val="1"/>
          <w:bCs w:val="1"/>
          <w:color w:val="6D6E71"/>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OVERSIGHT OF HUMAN CAPITAL AND CULTURE</w:t>
      </w:r>
    </w:p>
    <w:p>
      <w:pPr>
        <w:spacing w:after="0" w:line="128"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The Board and the MDCC provide oversight over human capital, with particular focus on culture, talent development and assessment, and succession planning. Honeywell has built a reputation for “doing what we say.” At the center of that commitment to excellence is a high-performance culture driven by the Six Honeywell Behaviors: Drive Accountability Culture, Be Courageous, Build Exceptional Talent, Win Together, Innovate and Create Value for Customers, and Embrace Transformation, and grounded in our Foundational Principles: Safety Always, Integrity and Ethics, Inclusion and Global Mindset, and Workplace Respect — these are our core values. Working at Honeywell requires fully embracing the Foundational Principles, and Honeywell expects all employees to exemplify these principles in words and actions.</w:t>
      </w:r>
    </w:p>
    <w:p>
      <w:pPr>
        <w:spacing w:after="0" w:line="110" w:lineRule="exact"/>
        <w:rPr>
          <w:sz w:val="20"/>
          <w:szCs w:val="20"/>
          <w:color w:val="auto"/>
        </w:rPr>
      </w:pPr>
    </w:p>
    <w:tbl>
      <w:tblPr>
        <w:tblLayout w:type="fixed"/>
        <w:tblInd w:w="1120" w:type="dxa"/>
        <w:tblCellMar>
          <w:top w:w="0" w:type="dxa"/>
          <w:left w:w="0" w:type="dxa"/>
          <w:bottom w:w="0" w:type="dxa"/>
          <w:right w:w="0" w:type="dxa"/>
        </w:tblCellMar>
      </w:tblPr>
      <w:tr>
        <w:trPr>
          <w:trHeight w:val="377"/>
        </w:trPr>
        <w:tc>
          <w:tcPr>
            <w:tcW w:w="3000" w:type="dxa"/>
            <w:vAlign w:val="bottom"/>
            <w:vMerge w:val="restart"/>
            <w:shd w:val="clear" w:color="auto" w:fill="D1D2D5"/>
          </w:tcPr>
          <w:p>
            <w:pPr>
              <w:ind w:left="160"/>
              <w:spacing w:after="0"/>
              <w:rPr>
                <w:sz w:val="20"/>
                <w:szCs w:val="20"/>
                <w:color w:val="auto"/>
              </w:rPr>
            </w:pPr>
            <w:r>
              <w:rPr>
                <w:rFonts w:ascii="Arial" w:cs="Arial" w:eastAsia="Arial" w:hAnsi="Arial"/>
                <w:sz w:val="31"/>
                <w:szCs w:val="31"/>
                <w:b w:val="1"/>
                <w:bCs w:val="1"/>
                <w:color w:val="D7282F"/>
              </w:rPr>
              <w:t>FOUNDATIONAL</w:t>
            </w:r>
          </w:p>
        </w:tc>
        <w:tc>
          <w:tcPr>
            <w:tcW w:w="1440" w:type="dxa"/>
            <w:vAlign w:val="bottom"/>
            <w:vMerge w:val="restart"/>
            <w:shd w:val="clear" w:color="auto" w:fill="D1D2D5"/>
          </w:tcPr>
          <w:p>
            <w:pPr>
              <w:ind w:left="420"/>
              <w:spacing w:after="0"/>
              <w:rPr>
                <w:sz w:val="20"/>
                <w:szCs w:val="20"/>
                <w:color w:val="auto"/>
              </w:rPr>
            </w:pPr>
            <w:r>
              <w:rPr>
                <w:rFonts w:ascii="Arial" w:cs="Arial" w:eastAsia="Arial" w:hAnsi="Arial"/>
                <w:sz w:val="16"/>
                <w:szCs w:val="16"/>
                <w:b w:val="1"/>
                <w:bCs w:val="1"/>
                <w:color w:val="auto"/>
              </w:rPr>
              <w:t>SAFETY</w:t>
            </w:r>
          </w:p>
        </w:tc>
        <w:tc>
          <w:tcPr>
            <w:tcW w:w="1540" w:type="dxa"/>
            <w:vAlign w:val="bottom"/>
            <w:vMerge w:val="restart"/>
            <w:shd w:val="clear" w:color="auto" w:fill="D1D2D5"/>
          </w:tcPr>
          <w:p>
            <w:pPr>
              <w:ind w:left="340"/>
              <w:spacing w:after="0"/>
              <w:rPr>
                <w:sz w:val="20"/>
                <w:szCs w:val="20"/>
                <w:color w:val="auto"/>
              </w:rPr>
            </w:pPr>
            <w:r>
              <w:rPr>
                <w:rFonts w:ascii="Arial" w:cs="Arial" w:eastAsia="Arial" w:hAnsi="Arial"/>
                <w:sz w:val="16"/>
                <w:szCs w:val="16"/>
                <w:b w:val="1"/>
                <w:bCs w:val="1"/>
                <w:color w:val="auto"/>
              </w:rPr>
              <w:t>INTEGRITY</w:t>
            </w:r>
          </w:p>
        </w:tc>
        <w:tc>
          <w:tcPr>
            <w:tcW w:w="1440" w:type="dxa"/>
            <w:vAlign w:val="bottom"/>
            <w:shd w:val="clear" w:color="auto" w:fill="D1D2D5"/>
          </w:tcPr>
          <w:p>
            <w:pPr>
              <w:ind w:left="200"/>
              <w:spacing w:after="0"/>
              <w:rPr>
                <w:sz w:val="20"/>
                <w:szCs w:val="20"/>
                <w:color w:val="auto"/>
              </w:rPr>
            </w:pPr>
            <w:r>
              <w:rPr>
                <w:rFonts w:ascii="Arial" w:cs="Arial" w:eastAsia="Arial" w:hAnsi="Arial"/>
                <w:sz w:val="16"/>
                <w:szCs w:val="16"/>
                <w:b w:val="1"/>
                <w:bCs w:val="1"/>
                <w:color w:val="auto"/>
              </w:rPr>
              <w:t>INCLUSION</w:t>
            </w:r>
          </w:p>
        </w:tc>
        <w:tc>
          <w:tcPr>
            <w:tcW w:w="1580" w:type="dxa"/>
            <w:vAlign w:val="bottom"/>
            <w:vMerge w:val="restart"/>
            <w:shd w:val="clear" w:color="auto" w:fill="D1D2D5"/>
          </w:tcPr>
          <w:p>
            <w:pPr>
              <w:ind w:left="160"/>
              <w:spacing w:after="0"/>
              <w:rPr>
                <w:sz w:val="20"/>
                <w:szCs w:val="20"/>
                <w:color w:val="auto"/>
              </w:rPr>
            </w:pPr>
            <w:r>
              <w:rPr>
                <w:rFonts w:ascii="Arial" w:cs="Arial" w:eastAsia="Arial" w:hAnsi="Arial"/>
                <w:sz w:val="16"/>
                <w:szCs w:val="16"/>
                <w:b w:val="1"/>
                <w:bCs w:val="1"/>
                <w:color w:val="auto"/>
              </w:rPr>
              <w:t>WORKPLACE</w:t>
            </w:r>
          </w:p>
        </w:tc>
        <w:tc>
          <w:tcPr>
            <w:tcW w:w="0" w:type="dxa"/>
            <w:vAlign w:val="bottom"/>
          </w:tcPr>
          <w:p>
            <w:pPr>
              <w:spacing w:after="0"/>
              <w:rPr>
                <w:sz w:val="1"/>
                <w:szCs w:val="1"/>
                <w:color w:val="auto"/>
              </w:rPr>
            </w:pPr>
          </w:p>
        </w:tc>
      </w:tr>
      <w:tr>
        <w:trPr>
          <w:trHeight w:val="111"/>
        </w:trPr>
        <w:tc>
          <w:tcPr>
            <w:tcW w:w="3000" w:type="dxa"/>
            <w:vAlign w:val="bottom"/>
            <w:vMerge w:val="continue"/>
            <w:shd w:val="clear" w:color="auto" w:fill="D1D2D5"/>
          </w:tcPr>
          <w:p>
            <w:pPr>
              <w:spacing w:after="0"/>
              <w:rPr>
                <w:sz w:val="9"/>
                <w:szCs w:val="9"/>
                <w:color w:val="auto"/>
              </w:rPr>
            </w:pPr>
          </w:p>
        </w:tc>
        <w:tc>
          <w:tcPr>
            <w:tcW w:w="1440" w:type="dxa"/>
            <w:vAlign w:val="bottom"/>
            <w:vMerge w:val="continue"/>
            <w:shd w:val="clear" w:color="auto" w:fill="D1D2D5"/>
          </w:tcPr>
          <w:p>
            <w:pPr>
              <w:spacing w:after="0"/>
              <w:rPr>
                <w:sz w:val="9"/>
                <w:szCs w:val="9"/>
                <w:color w:val="auto"/>
              </w:rPr>
            </w:pPr>
          </w:p>
        </w:tc>
        <w:tc>
          <w:tcPr>
            <w:tcW w:w="1540" w:type="dxa"/>
            <w:vAlign w:val="bottom"/>
            <w:vMerge w:val="continue"/>
            <w:shd w:val="clear" w:color="auto" w:fill="D1D2D5"/>
          </w:tcPr>
          <w:p>
            <w:pPr>
              <w:spacing w:after="0"/>
              <w:rPr>
                <w:sz w:val="9"/>
                <w:szCs w:val="9"/>
                <w:color w:val="auto"/>
              </w:rPr>
            </w:pPr>
          </w:p>
        </w:tc>
        <w:tc>
          <w:tcPr>
            <w:tcW w:w="1440" w:type="dxa"/>
            <w:vAlign w:val="bottom"/>
            <w:shd w:val="clear" w:color="auto" w:fill="D1D2D5"/>
          </w:tcPr>
          <w:p>
            <w:pPr>
              <w:ind w:left="200"/>
              <w:spacing w:after="0" w:line="111" w:lineRule="exact"/>
              <w:rPr>
                <w:sz w:val="20"/>
                <w:szCs w:val="20"/>
                <w:color w:val="auto"/>
              </w:rPr>
            </w:pPr>
            <w:r>
              <w:rPr>
                <w:rFonts w:ascii="Arial" w:cs="Arial" w:eastAsia="Arial" w:hAnsi="Arial"/>
                <w:sz w:val="12"/>
                <w:szCs w:val="12"/>
                <w:b w:val="1"/>
                <w:bCs w:val="1"/>
                <w:color w:val="auto"/>
              </w:rPr>
              <w:t>AND GLOBAL</w:t>
            </w:r>
          </w:p>
        </w:tc>
        <w:tc>
          <w:tcPr>
            <w:tcW w:w="1580" w:type="dxa"/>
            <w:vAlign w:val="bottom"/>
            <w:vMerge w:val="continue"/>
            <w:shd w:val="clear" w:color="auto" w:fill="D1D2D5"/>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3000" w:type="dxa"/>
            <w:vAlign w:val="bottom"/>
            <w:vMerge w:val="restart"/>
            <w:shd w:val="clear" w:color="auto" w:fill="D1D2D5"/>
          </w:tcPr>
          <w:p>
            <w:pPr>
              <w:ind w:left="160"/>
              <w:spacing w:after="0"/>
              <w:rPr>
                <w:sz w:val="20"/>
                <w:szCs w:val="20"/>
                <w:color w:val="auto"/>
              </w:rPr>
            </w:pPr>
            <w:r>
              <w:rPr>
                <w:rFonts w:ascii="Arial" w:cs="Arial" w:eastAsia="Arial" w:hAnsi="Arial"/>
                <w:sz w:val="31"/>
                <w:szCs w:val="31"/>
                <w:b w:val="1"/>
                <w:bCs w:val="1"/>
                <w:color w:val="auto"/>
              </w:rPr>
              <w:t>PRINCIPLES</w:t>
            </w:r>
          </w:p>
        </w:tc>
        <w:tc>
          <w:tcPr>
            <w:tcW w:w="1440" w:type="dxa"/>
            <w:vAlign w:val="bottom"/>
            <w:shd w:val="clear" w:color="auto" w:fill="D1D2D5"/>
          </w:tcPr>
          <w:p>
            <w:pPr>
              <w:ind w:left="420"/>
              <w:spacing w:after="0"/>
              <w:rPr>
                <w:sz w:val="20"/>
                <w:szCs w:val="20"/>
                <w:color w:val="auto"/>
              </w:rPr>
            </w:pPr>
            <w:r>
              <w:rPr>
                <w:rFonts w:ascii="Arial" w:cs="Arial" w:eastAsia="Arial" w:hAnsi="Arial"/>
                <w:sz w:val="16"/>
                <w:szCs w:val="16"/>
                <w:b w:val="1"/>
                <w:bCs w:val="1"/>
                <w:color w:val="auto"/>
              </w:rPr>
              <w:t>ALWAYS</w:t>
            </w:r>
          </w:p>
        </w:tc>
        <w:tc>
          <w:tcPr>
            <w:tcW w:w="1540" w:type="dxa"/>
            <w:vAlign w:val="bottom"/>
            <w:shd w:val="clear" w:color="auto" w:fill="D1D2D5"/>
          </w:tcPr>
          <w:p>
            <w:pPr>
              <w:ind w:left="340"/>
              <w:spacing w:after="0"/>
              <w:rPr>
                <w:sz w:val="20"/>
                <w:szCs w:val="20"/>
                <w:color w:val="auto"/>
              </w:rPr>
            </w:pPr>
            <w:r>
              <w:rPr>
                <w:rFonts w:ascii="Arial" w:cs="Arial" w:eastAsia="Arial" w:hAnsi="Arial"/>
                <w:sz w:val="16"/>
                <w:szCs w:val="16"/>
                <w:b w:val="1"/>
                <w:bCs w:val="1"/>
                <w:color w:val="auto"/>
              </w:rPr>
              <w:t>AND ETHICS</w:t>
            </w:r>
          </w:p>
        </w:tc>
        <w:tc>
          <w:tcPr>
            <w:tcW w:w="1440" w:type="dxa"/>
            <w:vAlign w:val="bottom"/>
            <w:vMerge w:val="restart"/>
            <w:shd w:val="clear" w:color="auto" w:fill="D1D2D5"/>
          </w:tcPr>
          <w:p>
            <w:pPr>
              <w:ind w:left="200"/>
              <w:spacing w:after="0"/>
              <w:rPr>
                <w:sz w:val="20"/>
                <w:szCs w:val="20"/>
                <w:color w:val="auto"/>
              </w:rPr>
            </w:pPr>
            <w:r>
              <w:rPr>
                <w:rFonts w:ascii="Arial" w:cs="Arial" w:eastAsia="Arial" w:hAnsi="Arial"/>
                <w:sz w:val="16"/>
                <w:szCs w:val="16"/>
                <w:b w:val="1"/>
                <w:bCs w:val="1"/>
                <w:color w:val="auto"/>
              </w:rPr>
              <w:t>MINDSET</w:t>
            </w:r>
          </w:p>
        </w:tc>
        <w:tc>
          <w:tcPr>
            <w:tcW w:w="1580" w:type="dxa"/>
            <w:vAlign w:val="bottom"/>
            <w:shd w:val="clear" w:color="auto" w:fill="D1D2D5"/>
          </w:tcPr>
          <w:p>
            <w:pPr>
              <w:ind w:left="160"/>
              <w:spacing w:after="0"/>
              <w:rPr>
                <w:sz w:val="20"/>
                <w:szCs w:val="20"/>
                <w:color w:val="auto"/>
              </w:rPr>
            </w:pPr>
            <w:r>
              <w:rPr>
                <w:rFonts w:ascii="Arial" w:cs="Arial" w:eastAsia="Arial" w:hAnsi="Arial"/>
                <w:sz w:val="16"/>
                <w:szCs w:val="16"/>
                <w:b w:val="1"/>
                <w:bCs w:val="1"/>
                <w:color w:val="auto"/>
              </w:rPr>
              <w:t>RESPECT</w:t>
            </w:r>
          </w:p>
        </w:tc>
        <w:tc>
          <w:tcPr>
            <w:tcW w:w="0" w:type="dxa"/>
            <w:vAlign w:val="bottom"/>
          </w:tcPr>
          <w:p>
            <w:pPr>
              <w:spacing w:after="0"/>
              <w:rPr>
                <w:sz w:val="1"/>
                <w:szCs w:val="1"/>
                <w:color w:val="auto"/>
              </w:rPr>
            </w:pPr>
          </w:p>
        </w:tc>
      </w:tr>
      <w:tr>
        <w:trPr>
          <w:trHeight w:val="200"/>
        </w:trPr>
        <w:tc>
          <w:tcPr>
            <w:tcW w:w="3000" w:type="dxa"/>
            <w:vAlign w:val="bottom"/>
            <w:vMerge w:val="continue"/>
            <w:shd w:val="clear" w:color="auto" w:fill="D1D2D5"/>
          </w:tcPr>
          <w:p>
            <w:pPr>
              <w:spacing w:after="0"/>
              <w:rPr>
                <w:sz w:val="17"/>
                <w:szCs w:val="17"/>
                <w:color w:val="auto"/>
              </w:rPr>
            </w:pPr>
          </w:p>
        </w:tc>
        <w:tc>
          <w:tcPr>
            <w:tcW w:w="1440" w:type="dxa"/>
            <w:vAlign w:val="bottom"/>
            <w:shd w:val="clear" w:color="auto" w:fill="D1D2D5"/>
          </w:tcPr>
          <w:p>
            <w:pPr>
              <w:spacing w:after="0"/>
              <w:rPr>
                <w:sz w:val="17"/>
                <w:szCs w:val="17"/>
                <w:color w:val="auto"/>
              </w:rPr>
            </w:pPr>
          </w:p>
        </w:tc>
        <w:tc>
          <w:tcPr>
            <w:tcW w:w="1540" w:type="dxa"/>
            <w:vAlign w:val="bottom"/>
            <w:shd w:val="clear" w:color="auto" w:fill="D1D2D5"/>
          </w:tcPr>
          <w:p>
            <w:pPr>
              <w:spacing w:after="0"/>
              <w:rPr>
                <w:sz w:val="17"/>
                <w:szCs w:val="17"/>
                <w:color w:val="auto"/>
              </w:rPr>
            </w:pPr>
          </w:p>
        </w:tc>
        <w:tc>
          <w:tcPr>
            <w:tcW w:w="1440" w:type="dxa"/>
            <w:vAlign w:val="bottom"/>
            <w:vMerge w:val="continue"/>
            <w:shd w:val="clear" w:color="auto" w:fill="D1D2D5"/>
          </w:tcPr>
          <w:p>
            <w:pPr>
              <w:spacing w:after="0"/>
              <w:rPr>
                <w:sz w:val="17"/>
                <w:szCs w:val="17"/>
                <w:color w:val="auto"/>
              </w:rPr>
            </w:pPr>
          </w:p>
        </w:tc>
        <w:tc>
          <w:tcPr>
            <w:tcW w:w="1580" w:type="dxa"/>
            <w:vAlign w:val="bottom"/>
            <w:shd w:val="clear" w:color="auto" w:fill="D1D2D5"/>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3000" w:type="dxa"/>
            <w:vAlign w:val="bottom"/>
            <w:shd w:val="clear" w:color="auto" w:fill="D1D2D5"/>
          </w:tcPr>
          <w:p>
            <w:pPr>
              <w:spacing w:after="0"/>
              <w:rPr>
                <w:sz w:val="4"/>
                <w:szCs w:val="4"/>
                <w:color w:val="auto"/>
              </w:rPr>
            </w:pPr>
          </w:p>
        </w:tc>
        <w:tc>
          <w:tcPr>
            <w:tcW w:w="1440" w:type="dxa"/>
            <w:vAlign w:val="bottom"/>
            <w:shd w:val="clear" w:color="auto" w:fill="D1D2D5"/>
          </w:tcPr>
          <w:p>
            <w:pPr>
              <w:spacing w:after="0"/>
              <w:rPr>
                <w:sz w:val="4"/>
                <w:szCs w:val="4"/>
                <w:color w:val="auto"/>
              </w:rPr>
            </w:pPr>
          </w:p>
        </w:tc>
        <w:tc>
          <w:tcPr>
            <w:tcW w:w="1540" w:type="dxa"/>
            <w:vAlign w:val="bottom"/>
            <w:shd w:val="clear" w:color="auto" w:fill="D1D2D5"/>
          </w:tcPr>
          <w:p>
            <w:pPr>
              <w:spacing w:after="0"/>
              <w:rPr>
                <w:sz w:val="4"/>
                <w:szCs w:val="4"/>
                <w:color w:val="auto"/>
              </w:rPr>
            </w:pPr>
          </w:p>
        </w:tc>
        <w:tc>
          <w:tcPr>
            <w:tcW w:w="1440" w:type="dxa"/>
            <w:vAlign w:val="bottom"/>
            <w:shd w:val="clear" w:color="auto" w:fill="D1D2D5"/>
          </w:tcPr>
          <w:p>
            <w:pPr>
              <w:spacing w:after="0"/>
              <w:rPr>
                <w:sz w:val="4"/>
                <w:szCs w:val="4"/>
                <w:color w:val="auto"/>
              </w:rPr>
            </w:pPr>
          </w:p>
        </w:tc>
        <w:tc>
          <w:tcPr>
            <w:tcW w:w="1580" w:type="dxa"/>
            <w:vAlign w:val="bottom"/>
            <w:shd w:val="clear" w:color="auto" w:fill="D1D2D5"/>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248285</wp:posOffset>
            </wp:positionV>
            <wp:extent cx="5666105" cy="107188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5666105"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1160" w:type="dxa"/>
        <w:tblCellMar>
          <w:top w:w="0" w:type="dxa"/>
          <w:left w:w="0" w:type="dxa"/>
          <w:bottom w:w="0" w:type="dxa"/>
          <w:right w:w="0" w:type="dxa"/>
        </w:tblCellMar>
      </w:tblPr>
      <w:tr>
        <w:trPr>
          <w:trHeight w:val="135"/>
        </w:trPr>
        <w:tc>
          <w:tcPr>
            <w:tcW w:w="1120" w:type="dxa"/>
            <w:vAlign w:val="bottom"/>
          </w:tcPr>
          <w:p>
            <w:pPr>
              <w:spacing w:after="0"/>
              <w:rPr>
                <w:sz w:val="20"/>
                <w:szCs w:val="20"/>
                <w:color w:val="auto"/>
              </w:rPr>
            </w:pPr>
            <w:r>
              <w:rPr>
                <w:rFonts w:ascii="Arial" w:cs="Arial" w:eastAsia="Arial" w:hAnsi="Arial"/>
                <w:sz w:val="11"/>
                <w:szCs w:val="11"/>
                <w:b w:val="1"/>
                <w:bCs w:val="1"/>
                <w:color w:val="auto"/>
              </w:rPr>
              <w:t>DRIVE</w:t>
            </w:r>
          </w:p>
        </w:tc>
        <w:tc>
          <w:tcPr>
            <w:tcW w:w="1180" w:type="dxa"/>
            <w:vAlign w:val="bottom"/>
          </w:tcPr>
          <w:p>
            <w:pPr>
              <w:ind w:left="160"/>
              <w:spacing w:after="0"/>
              <w:rPr>
                <w:sz w:val="20"/>
                <w:szCs w:val="20"/>
                <w:color w:val="auto"/>
              </w:rPr>
            </w:pPr>
            <w:r>
              <w:rPr>
                <w:rFonts w:ascii="Arial" w:cs="Arial" w:eastAsia="Arial" w:hAnsi="Arial"/>
                <w:sz w:val="11"/>
                <w:szCs w:val="11"/>
                <w:b w:val="1"/>
                <w:bCs w:val="1"/>
                <w:color w:val="auto"/>
              </w:rPr>
              <w:t>BE</w:t>
            </w:r>
          </w:p>
        </w:tc>
        <w:tc>
          <w:tcPr>
            <w:tcW w:w="1280" w:type="dxa"/>
            <w:vAlign w:val="bottom"/>
          </w:tcPr>
          <w:p>
            <w:pPr>
              <w:ind w:left="260"/>
              <w:spacing w:after="0"/>
              <w:rPr>
                <w:sz w:val="20"/>
                <w:szCs w:val="20"/>
                <w:color w:val="auto"/>
              </w:rPr>
            </w:pPr>
            <w:r>
              <w:rPr>
                <w:rFonts w:ascii="Arial" w:cs="Arial" w:eastAsia="Arial" w:hAnsi="Arial"/>
                <w:sz w:val="11"/>
                <w:szCs w:val="11"/>
                <w:b w:val="1"/>
                <w:bCs w:val="1"/>
                <w:color w:val="auto"/>
              </w:rPr>
              <w:t>BUILD</w:t>
            </w:r>
          </w:p>
        </w:tc>
        <w:tc>
          <w:tcPr>
            <w:tcW w:w="1200" w:type="dxa"/>
            <w:vAlign w:val="bottom"/>
          </w:tcPr>
          <w:p>
            <w:pPr>
              <w:ind w:left="260"/>
              <w:spacing w:after="0"/>
              <w:rPr>
                <w:sz w:val="20"/>
                <w:szCs w:val="20"/>
                <w:color w:val="auto"/>
              </w:rPr>
            </w:pPr>
            <w:r>
              <w:rPr>
                <w:rFonts w:ascii="Arial" w:cs="Arial" w:eastAsia="Arial" w:hAnsi="Arial"/>
                <w:sz w:val="11"/>
                <w:szCs w:val="11"/>
                <w:b w:val="1"/>
                <w:bCs w:val="1"/>
                <w:color w:val="D7282F"/>
              </w:rPr>
              <w:t>W</w:t>
            </w:r>
            <w:r>
              <w:rPr>
                <w:rFonts w:ascii="Arial" w:cs="Arial" w:eastAsia="Arial" w:hAnsi="Arial"/>
                <w:sz w:val="11"/>
                <w:szCs w:val="11"/>
                <w:b w:val="1"/>
                <w:bCs w:val="1"/>
                <w:color w:val="000000"/>
              </w:rPr>
              <w:t>IN</w:t>
            </w:r>
          </w:p>
        </w:tc>
        <w:tc>
          <w:tcPr>
            <w:tcW w:w="1460" w:type="dxa"/>
            <w:vAlign w:val="bottom"/>
          </w:tcPr>
          <w:p>
            <w:pPr>
              <w:ind w:left="340"/>
              <w:spacing w:after="0"/>
              <w:rPr>
                <w:sz w:val="20"/>
                <w:szCs w:val="20"/>
                <w:color w:val="auto"/>
              </w:rPr>
            </w:pPr>
            <w:r>
              <w:rPr>
                <w:rFonts w:ascii="Arial" w:cs="Arial" w:eastAsia="Arial" w:hAnsi="Arial"/>
                <w:sz w:val="11"/>
                <w:szCs w:val="11"/>
                <w:b w:val="1"/>
                <w:bCs w:val="1"/>
                <w:color w:val="D7282F"/>
              </w:rPr>
              <w:t>I</w:t>
            </w:r>
            <w:r>
              <w:rPr>
                <w:rFonts w:ascii="Arial" w:cs="Arial" w:eastAsia="Arial" w:hAnsi="Arial"/>
                <w:sz w:val="11"/>
                <w:szCs w:val="11"/>
                <w:b w:val="1"/>
                <w:bCs w:val="1"/>
                <w:color w:val="000000"/>
              </w:rPr>
              <w:t>NNOVATE AND</w:t>
            </w:r>
          </w:p>
        </w:tc>
        <w:tc>
          <w:tcPr>
            <w:tcW w:w="1340" w:type="dxa"/>
            <w:vAlign w:val="bottom"/>
          </w:tcPr>
          <w:p>
            <w:pPr>
              <w:ind w:left="160"/>
              <w:spacing w:after="0"/>
              <w:rPr>
                <w:sz w:val="20"/>
                <w:szCs w:val="20"/>
                <w:color w:val="auto"/>
              </w:rPr>
            </w:pPr>
            <w:r>
              <w:rPr>
                <w:rFonts w:ascii="Arial" w:cs="Arial" w:eastAsia="Arial" w:hAnsi="Arial"/>
                <w:sz w:val="11"/>
                <w:szCs w:val="11"/>
                <w:b w:val="1"/>
                <w:bCs w:val="1"/>
                <w:color w:val="auto"/>
              </w:rPr>
              <w:t>EMBRACE</w:t>
            </w:r>
          </w:p>
        </w:tc>
        <w:tc>
          <w:tcPr>
            <w:tcW w:w="1040" w:type="dxa"/>
            <w:vAlign w:val="bottom"/>
          </w:tcPr>
          <w:p>
            <w:pPr>
              <w:ind w:left="160"/>
              <w:spacing w:after="0"/>
              <w:rPr>
                <w:sz w:val="20"/>
                <w:szCs w:val="20"/>
                <w:color w:val="auto"/>
              </w:rPr>
            </w:pPr>
            <w:r>
              <w:rPr>
                <w:rFonts w:ascii="Arial" w:cs="Arial" w:eastAsia="Arial" w:hAnsi="Arial"/>
                <w:sz w:val="11"/>
                <w:szCs w:val="11"/>
                <w:b w:val="1"/>
                <w:bCs w:val="1"/>
                <w:color w:val="auto"/>
                <w:w w:val="95"/>
              </w:rPr>
              <w:t>...@</w:t>
            </w:r>
            <w:r>
              <w:rPr>
                <w:rFonts w:ascii="Arial" w:cs="Arial" w:eastAsia="Arial" w:hAnsi="Arial"/>
                <w:sz w:val="11"/>
                <w:szCs w:val="11"/>
                <w:b w:val="1"/>
                <w:bCs w:val="1"/>
                <w:color w:val="D7282F"/>
                <w:w w:val="95"/>
              </w:rPr>
              <w:t>H</w:t>
            </w:r>
            <w:r>
              <w:rPr>
                <w:rFonts w:ascii="Arial" w:cs="Arial" w:eastAsia="Arial" w:hAnsi="Arial"/>
                <w:sz w:val="11"/>
                <w:szCs w:val="11"/>
                <w:b w:val="1"/>
                <w:bCs w:val="1"/>
                <w:color w:val="auto"/>
                <w:w w:val="95"/>
              </w:rPr>
              <w:t>ONEYWELL</w:t>
            </w:r>
          </w:p>
        </w:tc>
      </w:tr>
      <w:tr>
        <w:trPr>
          <w:trHeight w:val="122"/>
        </w:trPr>
        <w:tc>
          <w:tcPr>
            <w:tcW w:w="1120" w:type="dxa"/>
            <w:vAlign w:val="bottom"/>
          </w:tcPr>
          <w:p>
            <w:pPr>
              <w:spacing w:after="0" w:line="122" w:lineRule="exact"/>
              <w:rPr>
                <w:sz w:val="20"/>
                <w:szCs w:val="20"/>
                <w:color w:val="auto"/>
              </w:rPr>
            </w:pPr>
            <w:r>
              <w:rPr>
                <w:rFonts w:ascii="Arial" w:cs="Arial" w:eastAsia="Arial" w:hAnsi="Arial"/>
                <w:sz w:val="11"/>
                <w:szCs w:val="11"/>
                <w:b w:val="1"/>
                <w:bCs w:val="1"/>
                <w:color w:val="D7282F"/>
              </w:rPr>
              <w:t>A</w:t>
            </w:r>
            <w:r>
              <w:rPr>
                <w:rFonts w:ascii="Arial" w:cs="Arial" w:eastAsia="Arial" w:hAnsi="Arial"/>
                <w:sz w:val="11"/>
                <w:szCs w:val="11"/>
                <w:b w:val="1"/>
                <w:bCs w:val="1"/>
                <w:color w:val="000000"/>
              </w:rPr>
              <w:t>CCOUNTABILITY</w:t>
            </w:r>
          </w:p>
        </w:tc>
        <w:tc>
          <w:tcPr>
            <w:tcW w:w="1180" w:type="dxa"/>
            <w:vAlign w:val="bottom"/>
          </w:tcPr>
          <w:p>
            <w:pPr>
              <w:ind w:left="160"/>
              <w:spacing w:after="0" w:line="122" w:lineRule="exact"/>
              <w:rPr>
                <w:sz w:val="20"/>
                <w:szCs w:val="20"/>
                <w:color w:val="auto"/>
              </w:rPr>
            </w:pPr>
            <w:r>
              <w:rPr>
                <w:rFonts w:ascii="Arial" w:cs="Arial" w:eastAsia="Arial" w:hAnsi="Arial"/>
                <w:sz w:val="11"/>
                <w:szCs w:val="11"/>
                <w:b w:val="1"/>
                <w:bCs w:val="1"/>
                <w:color w:val="D7282F"/>
              </w:rPr>
              <w:t>C</w:t>
            </w:r>
            <w:r>
              <w:rPr>
                <w:rFonts w:ascii="Arial" w:cs="Arial" w:eastAsia="Arial" w:hAnsi="Arial"/>
                <w:sz w:val="11"/>
                <w:szCs w:val="11"/>
                <w:b w:val="1"/>
                <w:bCs w:val="1"/>
                <w:color w:val="000000"/>
              </w:rPr>
              <w:t>OURAGEOUS</w:t>
            </w:r>
          </w:p>
        </w:tc>
        <w:tc>
          <w:tcPr>
            <w:tcW w:w="1280" w:type="dxa"/>
            <w:vAlign w:val="bottom"/>
          </w:tcPr>
          <w:p>
            <w:pPr>
              <w:ind w:left="260"/>
              <w:spacing w:after="0" w:line="122" w:lineRule="exact"/>
              <w:rPr>
                <w:sz w:val="20"/>
                <w:szCs w:val="20"/>
                <w:color w:val="auto"/>
              </w:rPr>
            </w:pPr>
            <w:r>
              <w:rPr>
                <w:rFonts w:ascii="Arial" w:cs="Arial" w:eastAsia="Arial" w:hAnsi="Arial"/>
                <w:sz w:val="11"/>
                <w:szCs w:val="11"/>
                <w:b w:val="1"/>
                <w:bCs w:val="1"/>
                <w:color w:val="auto"/>
              </w:rPr>
              <w:t>EXCEPTIONAL</w:t>
            </w:r>
          </w:p>
        </w:tc>
        <w:tc>
          <w:tcPr>
            <w:tcW w:w="1200" w:type="dxa"/>
            <w:vAlign w:val="bottom"/>
          </w:tcPr>
          <w:p>
            <w:pPr>
              <w:ind w:left="260"/>
              <w:spacing w:after="0" w:line="122" w:lineRule="exact"/>
              <w:rPr>
                <w:sz w:val="20"/>
                <w:szCs w:val="20"/>
                <w:color w:val="auto"/>
              </w:rPr>
            </w:pPr>
            <w:r>
              <w:rPr>
                <w:rFonts w:ascii="Arial" w:cs="Arial" w:eastAsia="Arial" w:hAnsi="Arial"/>
                <w:sz w:val="11"/>
                <w:szCs w:val="11"/>
                <w:b w:val="1"/>
                <w:bCs w:val="1"/>
                <w:color w:val="auto"/>
              </w:rPr>
              <w:t>TOGETHER</w:t>
            </w:r>
          </w:p>
        </w:tc>
        <w:tc>
          <w:tcPr>
            <w:tcW w:w="1460" w:type="dxa"/>
            <w:vAlign w:val="bottom"/>
          </w:tcPr>
          <w:p>
            <w:pPr>
              <w:ind w:left="340"/>
              <w:spacing w:after="0" w:line="122" w:lineRule="exact"/>
              <w:rPr>
                <w:sz w:val="20"/>
                <w:szCs w:val="20"/>
                <w:color w:val="auto"/>
              </w:rPr>
            </w:pPr>
            <w:r>
              <w:rPr>
                <w:rFonts w:ascii="Arial" w:cs="Arial" w:eastAsia="Arial" w:hAnsi="Arial"/>
                <w:sz w:val="11"/>
                <w:szCs w:val="11"/>
                <w:b w:val="1"/>
                <w:bCs w:val="1"/>
                <w:color w:val="auto"/>
              </w:rPr>
              <w:t>CREATE VALUE</w:t>
            </w:r>
          </w:p>
        </w:tc>
        <w:tc>
          <w:tcPr>
            <w:tcW w:w="1340" w:type="dxa"/>
            <w:vAlign w:val="bottom"/>
          </w:tcPr>
          <w:p>
            <w:pPr>
              <w:ind w:left="160"/>
              <w:spacing w:after="0" w:line="122" w:lineRule="exact"/>
              <w:rPr>
                <w:sz w:val="20"/>
                <w:szCs w:val="20"/>
                <w:color w:val="auto"/>
              </w:rPr>
            </w:pPr>
            <w:r>
              <w:rPr>
                <w:rFonts w:ascii="Arial" w:cs="Arial" w:eastAsia="Arial" w:hAnsi="Arial"/>
                <w:sz w:val="11"/>
                <w:szCs w:val="11"/>
                <w:b w:val="1"/>
                <w:bCs w:val="1"/>
                <w:color w:val="D7282F"/>
              </w:rPr>
              <w:t>T</w:t>
            </w:r>
            <w:r>
              <w:rPr>
                <w:rFonts w:ascii="Arial" w:cs="Arial" w:eastAsia="Arial" w:hAnsi="Arial"/>
                <w:sz w:val="11"/>
                <w:szCs w:val="11"/>
                <w:b w:val="1"/>
                <w:bCs w:val="1"/>
                <w:color w:val="000000"/>
              </w:rPr>
              <w:t>RANSFORMATION</w:t>
            </w:r>
          </w:p>
        </w:tc>
        <w:tc>
          <w:tcPr>
            <w:tcW w:w="1040" w:type="dxa"/>
            <w:vAlign w:val="bottom"/>
          </w:tcPr>
          <w:p>
            <w:pPr>
              <w:spacing w:after="0"/>
              <w:rPr>
                <w:sz w:val="10"/>
                <w:szCs w:val="10"/>
                <w:color w:val="auto"/>
              </w:rPr>
            </w:pPr>
          </w:p>
        </w:tc>
      </w:tr>
      <w:tr>
        <w:trPr>
          <w:trHeight w:val="148"/>
        </w:trPr>
        <w:tc>
          <w:tcPr>
            <w:tcW w:w="1120" w:type="dxa"/>
            <w:vAlign w:val="bottom"/>
          </w:tcPr>
          <w:p>
            <w:pPr>
              <w:spacing w:after="0"/>
              <w:rPr>
                <w:sz w:val="20"/>
                <w:szCs w:val="20"/>
                <w:color w:val="auto"/>
              </w:rPr>
            </w:pPr>
            <w:r>
              <w:rPr>
                <w:rFonts w:ascii="Arial" w:cs="Arial" w:eastAsia="Arial" w:hAnsi="Arial"/>
                <w:sz w:val="11"/>
                <w:szCs w:val="11"/>
                <w:b w:val="1"/>
                <w:bCs w:val="1"/>
                <w:color w:val="auto"/>
              </w:rPr>
              <w:t>CULTURE</w:t>
            </w:r>
          </w:p>
        </w:tc>
        <w:tc>
          <w:tcPr>
            <w:tcW w:w="1180" w:type="dxa"/>
            <w:vAlign w:val="bottom"/>
          </w:tcPr>
          <w:p>
            <w:pPr>
              <w:spacing w:after="0"/>
              <w:rPr>
                <w:sz w:val="12"/>
                <w:szCs w:val="12"/>
                <w:color w:val="auto"/>
              </w:rPr>
            </w:pPr>
          </w:p>
        </w:tc>
        <w:tc>
          <w:tcPr>
            <w:tcW w:w="1280" w:type="dxa"/>
            <w:vAlign w:val="bottom"/>
          </w:tcPr>
          <w:p>
            <w:pPr>
              <w:ind w:left="260"/>
              <w:spacing w:after="0"/>
              <w:rPr>
                <w:sz w:val="20"/>
                <w:szCs w:val="20"/>
                <w:color w:val="auto"/>
              </w:rPr>
            </w:pPr>
            <w:r>
              <w:rPr>
                <w:rFonts w:ascii="Arial" w:cs="Arial" w:eastAsia="Arial" w:hAnsi="Arial"/>
                <w:sz w:val="11"/>
                <w:szCs w:val="11"/>
                <w:b w:val="1"/>
                <w:bCs w:val="1"/>
                <w:color w:val="D7282F"/>
              </w:rPr>
              <w:t>T</w:t>
            </w:r>
            <w:r>
              <w:rPr>
                <w:rFonts w:ascii="Arial" w:cs="Arial" w:eastAsia="Arial" w:hAnsi="Arial"/>
                <w:sz w:val="11"/>
                <w:szCs w:val="11"/>
                <w:b w:val="1"/>
                <w:bCs w:val="1"/>
                <w:color w:val="000000"/>
              </w:rPr>
              <w:t>ALENT</w:t>
            </w:r>
          </w:p>
        </w:tc>
        <w:tc>
          <w:tcPr>
            <w:tcW w:w="1200" w:type="dxa"/>
            <w:vAlign w:val="bottom"/>
          </w:tcPr>
          <w:p>
            <w:pPr>
              <w:spacing w:after="0"/>
              <w:rPr>
                <w:sz w:val="12"/>
                <w:szCs w:val="12"/>
                <w:color w:val="auto"/>
              </w:rPr>
            </w:pPr>
          </w:p>
        </w:tc>
        <w:tc>
          <w:tcPr>
            <w:tcW w:w="1460" w:type="dxa"/>
            <w:vAlign w:val="bottom"/>
          </w:tcPr>
          <w:p>
            <w:pPr>
              <w:ind w:left="340"/>
              <w:spacing w:after="0"/>
              <w:rPr>
                <w:sz w:val="20"/>
                <w:szCs w:val="20"/>
                <w:color w:val="auto"/>
              </w:rPr>
            </w:pPr>
            <w:r>
              <w:rPr>
                <w:rFonts w:ascii="Arial" w:cs="Arial" w:eastAsia="Arial" w:hAnsi="Arial"/>
                <w:sz w:val="11"/>
                <w:szCs w:val="11"/>
                <w:b w:val="1"/>
                <w:bCs w:val="1"/>
                <w:color w:val="auto"/>
              </w:rPr>
              <w:t>FOR CUSTOMERS</w:t>
            </w:r>
          </w:p>
        </w:tc>
        <w:tc>
          <w:tcPr>
            <w:tcW w:w="1340" w:type="dxa"/>
            <w:vAlign w:val="bottom"/>
          </w:tcPr>
          <w:p>
            <w:pPr>
              <w:spacing w:after="0"/>
              <w:rPr>
                <w:sz w:val="12"/>
                <w:szCs w:val="12"/>
                <w:color w:val="auto"/>
              </w:rPr>
            </w:pPr>
          </w:p>
        </w:tc>
        <w:tc>
          <w:tcPr>
            <w:tcW w:w="1040" w:type="dxa"/>
            <w:vAlign w:val="bottom"/>
          </w:tcPr>
          <w:p>
            <w:pPr>
              <w:spacing w:after="0"/>
              <w:rPr>
                <w:sz w:val="12"/>
                <w:szCs w:val="12"/>
                <w:color w:val="auto"/>
              </w:rPr>
            </w:pPr>
          </w:p>
        </w:tc>
      </w:tr>
    </w:tbl>
    <w:p>
      <w:pPr>
        <w:spacing w:after="0" w:line="324" w:lineRule="exact"/>
        <w:rPr>
          <w:sz w:val="20"/>
          <w:szCs w:val="20"/>
          <w:color w:val="auto"/>
        </w:rPr>
      </w:pPr>
    </w:p>
    <w:p>
      <w:pPr>
        <w:ind w:right="740"/>
        <w:spacing w:after="0" w:line="286" w:lineRule="auto"/>
        <w:rPr>
          <w:sz w:val="20"/>
          <w:szCs w:val="20"/>
          <w:color w:val="auto"/>
        </w:rPr>
      </w:pPr>
      <w:r>
        <w:rPr>
          <w:rFonts w:ascii="Arial" w:cs="Arial" w:eastAsia="Arial" w:hAnsi="Arial"/>
          <w:sz w:val="16"/>
          <w:szCs w:val="16"/>
          <w:color w:val="auto"/>
        </w:rPr>
        <w:t>The strength of the Company’s culture is essential to fulfilling our strategic vision, and the Board and the MDCC work with management to oversee adherence to our core values and measure progress against the Honeywell Behaviors.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120015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32320" cy="1200150"/>
                    </a:xfrm>
                    <a:prstGeom prst="rect">
                      <a:avLst/>
                    </a:prstGeom>
                    <a:noFill/>
                  </pic:spPr>
                </pic:pic>
              </a:graphicData>
            </a:graphic>
          </wp:anchor>
        </w:drawing>
      </w:r>
    </w:p>
    <w:p>
      <w:pPr>
        <w:spacing w:after="0" w:line="19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Each of the Board’s committees plays a role in ensuring that our core values remain at the center of Honeywell’s culture.</w:t>
      </w:r>
    </w:p>
    <w:p>
      <w:pPr>
        <w:spacing w:after="0" w:line="127" w:lineRule="exact"/>
        <w:rPr>
          <w:sz w:val="20"/>
          <w:szCs w:val="20"/>
          <w:color w:val="auto"/>
        </w:rPr>
      </w:pPr>
    </w:p>
    <w:p>
      <w:pPr>
        <w:ind w:left="360" w:right="220" w:hanging="191"/>
        <w:spacing w:after="0" w:line="286" w:lineRule="auto"/>
        <w:tabs>
          <w:tab w:leader="none" w:pos="357" w:val="left"/>
        </w:tabs>
        <w:numPr>
          <w:ilvl w:val="0"/>
          <w:numId w:val="120"/>
        </w:numPr>
        <w:rPr>
          <w:rFonts w:ascii="Arial" w:cs="Arial" w:eastAsia="Arial" w:hAnsi="Arial"/>
          <w:sz w:val="16"/>
          <w:szCs w:val="16"/>
          <w:b w:val="1"/>
          <w:bCs w:val="1"/>
          <w:color w:val="D7282F"/>
        </w:rPr>
      </w:pPr>
      <w:r>
        <w:rPr>
          <w:rFonts w:ascii="Arial" w:cs="Arial" w:eastAsia="Arial" w:hAnsi="Arial"/>
          <w:sz w:val="16"/>
          <w:szCs w:val="16"/>
          <w:color w:val="auto"/>
        </w:rPr>
        <w:t>The CGRC meets regularly with our General Counsel and our Chief Compliance Officer to review the Company’s safety and integrity and compliance programs, policies, and scorecards.</w:t>
      </w:r>
    </w:p>
    <w:p>
      <w:pPr>
        <w:spacing w:after="0" w:line="20" w:lineRule="exact"/>
        <w:rPr>
          <w:rFonts w:ascii="Arial" w:cs="Arial" w:eastAsia="Arial" w:hAnsi="Arial"/>
          <w:sz w:val="16"/>
          <w:szCs w:val="16"/>
          <w:b w:val="1"/>
          <w:bCs w:val="1"/>
          <w:color w:val="D7282F"/>
        </w:rPr>
      </w:pPr>
    </w:p>
    <w:p>
      <w:pPr>
        <w:ind w:left="360" w:right="280" w:hanging="191"/>
        <w:spacing w:after="0" w:line="286" w:lineRule="auto"/>
        <w:tabs>
          <w:tab w:leader="none" w:pos="357" w:val="left"/>
        </w:tabs>
        <w:numPr>
          <w:ilvl w:val="0"/>
          <w:numId w:val="120"/>
        </w:numPr>
        <w:rPr>
          <w:rFonts w:ascii="Arial" w:cs="Arial" w:eastAsia="Arial" w:hAnsi="Arial"/>
          <w:sz w:val="16"/>
          <w:szCs w:val="16"/>
          <w:b w:val="1"/>
          <w:bCs w:val="1"/>
          <w:color w:val="D7282F"/>
        </w:rPr>
      </w:pPr>
      <w:r>
        <w:rPr>
          <w:rFonts w:ascii="Arial" w:cs="Arial" w:eastAsia="Arial" w:hAnsi="Arial"/>
          <w:sz w:val="16"/>
          <w:szCs w:val="16"/>
          <w:color w:val="auto"/>
        </w:rPr>
        <w:t>The Audit Committee receives detailed investigation reports on a quarterly basis to monitor trends, ensure that allegations are investigated promptly, and as necessary, confirm that appropriate disciplinary measures are taken in a timely fashion.</w:t>
      </w:r>
    </w:p>
    <w:p>
      <w:pPr>
        <w:spacing w:after="0" w:line="20" w:lineRule="exact"/>
        <w:rPr>
          <w:rFonts w:ascii="Arial" w:cs="Arial" w:eastAsia="Arial" w:hAnsi="Arial"/>
          <w:sz w:val="16"/>
          <w:szCs w:val="16"/>
          <w:b w:val="1"/>
          <w:bCs w:val="1"/>
          <w:color w:val="D7282F"/>
        </w:rPr>
      </w:pPr>
    </w:p>
    <w:p>
      <w:pPr>
        <w:ind w:left="360" w:right="320" w:hanging="191"/>
        <w:spacing w:after="0" w:line="286" w:lineRule="auto"/>
        <w:tabs>
          <w:tab w:leader="none" w:pos="357" w:val="left"/>
        </w:tabs>
        <w:numPr>
          <w:ilvl w:val="0"/>
          <w:numId w:val="120"/>
        </w:numPr>
        <w:rPr>
          <w:rFonts w:ascii="Arial" w:cs="Arial" w:eastAsia="Arial" w:hAnsi="Arial"/>
          <w:sz w:val="16"/>
          <w:szCs w:val="16"/>
          <w:b w:val="1"/>
          <w:bCs w:val="1"/>
          <w:color w:val="D7282F"/>
        </w:rPr>
      </w:pPr>
      <w:r>
        <w:rPr>
          <w:rFonts w:ascii="Arial" w:cs="Arial" w:eastAsia="Arial" w:hAnsi="Arial"/>
          <w:sz w:val="16"/>
          <w:szCs w:val="16"/>
          <w:color w:val="auto"/>
        </w:rPr>
        <w:t>The MDCC has responsibility for CEO and officer succession and development and works with management to monitor workplace culture, establish related expectations, and review progress.</w:t>
      </w:r>
    </w:p>
    <w:p>
      <w:pPr>
        <w:spacing w:after="0" w:line="291"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The Board is also closely engaged in the development and management of human capital. The Board’s involvement in leadership development and succession planning is systematic and ongoing, and the Board provides input on important decisions in each of these areas. The Board has primary responsibility for CEO succession planning and oversight over succession planning for other executive officer positions. Annually, the full Board reviews the leadership succession plan for the CEO and the CEO's direct reports, which includes identification of “ready now” successors, management’s view of potential successors that are not “ready now” but will be ready within a reasonable timeframe, and development actions necessary to address any gaps in the leadership succession plan. Also discussed are recent and future potential changes involving various leaders and their organizations. In addition, the Board meets regularly with high-potential executives.</w:t>
      </w:r>
    </w:p>
    <w:p>
      <w:pPr>
        <w:spacing w:after="0" w:line="68"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 Board believes that an inclusive culture and a workforce that is representative of our customers and communities around the world are critical enablers as the Company executes its long-term growth and portfolio transformation strategy. The Board and the MDCC oversee the Company’s progress and actions in these important areas.</w:t>
      </w:r>
    </w:p>
    <w:p>
      <w:pPr>
        <w:spacing w:after="0" w:line="116"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sz w:val="1"/>
          <w:szCs w:val="1"/>
          <w:color w:val="auto"/>
        </w:rPr>
        <w:drawing>
          <wp:inline distT="0" distB="0" distL="0" distR="0">
            <wp:extent cx="548640" cy="102870"/>
            <wp:effectExtent l="0" t="0" r="0" b="0"/>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2026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247015</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3"/>
          <w:szCs w:val="13"/>
          <w:b w:val="1"/>
          <w:bCs w:val="1"/>
          <w:color w:val="6D6E71"/>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INTEGRITY AND ETHICS</w:t>
      </w:r>
    </w:p>
    <w:p>
      <w:pPr>
        <w:spacing w:after="0" w:line="128"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At the core of Honeywell’s Foundational Principles is the Company’s Code of Business Conduct (the Code), which applies to all directors, officers (including our Chief Executive Officer, Chief Financial Officer, and Controller), and employees across the Company in all businesses and in all countries. The Code is a baseline set of requirements that enables employees to recognize and be aware of how to report integrity, compliance, and legal issues. In addition, the Code sets forth its commitment to maintaining an inclusive, safe, and respectful environment and outlines our pledge to zero tolerance for harassment and unlawful discrimination.</w:t>
      </w:r>
    </w:p>
    <w:p>
      <w:pPr>
        <w:spacing w:after="0" w:line="64"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The Code provides guidance and expectations in a number of key integrity and compliance areas, including how employees should treat each other; conflicts of interest; health, safety, environmental, product stewardship, and sustainability (HSEPS); books and records; anti-corruption; proper business practices; trade compliance; insider trading; data privacy; respect for human rights; and the appropriate use of information technology and social media. To reinforce the Code, Honeywell provides comprehensive training on key compliance topics, develops training scenarios, deploys monthly manager communication toolkits, provides mechanisms for employees and third parties to report concerns (including anonymously), and ensures timely and fair reviews of integrity and compliance concerns through a best-in-class process to report and investigate allegations. Honeywell responds to 100% of reported allegations.</w:t>
      </w:r>
    </w:p>
    <w:p>
      <w:pPr>
        <w:spacing w:after="0" w:line="280"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Any amendments or revisions to the Code will be published on the Company website. Any waiver of the Code for any of Honeywell’s directors or executive officers requires pre-approval from the Board, and if granted, the Board ensures that appropriate controls are in place to protect the Company and its shareowners. All officers and employees must complete Code of Conduct training and, where permitted by law, must also certify each year that they will comply with the Code. In 2025, the Company received Code certifications from 100% of its officers and eligible employees, where permitted by law. Honeywell’s Code of Conduct training includes a variety of topics, including conflicts of interest, workplace respect, anticorruption, trade controls, cybersecurity, responsible AI and data privacy.</w:t>
      </w:r>
    </w:p>
    <w:p>
      <w:pPr>
        <w:spacing w:after="0" w:line="68"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Honeywell is committed to fostering a culture of integrity, ethics, and workplace respect by setting the tone at the top and by unambiguously and repeatedly reinforcing its expectations. Honeywell also empowers our people managers to communicate openly with their team members regarding the importance of conducting themselves with integrity and fostering an environment that encourages candid discussion of integrity and compliance topics and how to raise and report any instances of ethical misconduct. The Integrity and Compliance team delivers integrity awareness communications across Honeywell, including through town halls, newsletters, and monthly integrity-awareness manager toolkits that provide people managers with ready-to-use materials to support discussions of integrity and compliance topics with their teams.</w:t>
      </w:r>
    </w:p>
    <w:p>
      <w:pPr>
        <w:spacing w:after="0" w:line="68" w:lineRule="exact"/>
        <w:rPr>
          <w:sz w:val="20"/>
          <w:szCs w:val="20"/>
          <w:color w:val="auto"/>
        </w:rPr>
      </w:pPr>
    </w:p>
    <w:p>
      <w:pPr>
        <w:ind w:right="180"/>
        <w:spacing w:after="0" w:line="314" w:lineRule="auto"/>
        <w:rPr>
          <w:sz w:val="20"/>
          <w:szCs w:val="20"/>
          <w:color w:val="auto"/>
        </w:rPr>
      </w:pPr>
      <w:r>
        <w:rPr>
          <w:rFonts w:ascii="Arial" w:cs="Arial" w:eastAsia="Arial" w:hAnsi="Arial"/>
          <w:sz w:val="16"/>
          <w:szCs w:val="16"/>
          <w:color w:val="auto"/>
        </w:rPr>
        <w:t xml:space="preserve">Additional details about the Code, the Supplier Code of Business Conduct, and other components of Honeywell’s integrity and compliance program can be found on our website at </w:t>
      </w:r>
      <w:r>
        <w:rPr>
          <w:rFonts w:ascii="Arial" w:cs="Arial" w:eastAsia="Arial" w:hAnsi="Arial"/>
          <w:sz w:val="16"/>
          <w:szCs w:val="16"/>
          <w:b w:val="1"/>
          <w:bCs w:val="1"/>
          <w:color w:val="D7282F"/>
        </w:rPr>
        <w:t>investor.honeywell.com</w:t>
      </w:r>
      <w:r>
        <w:rPr>
          <w:rFonts w:ascii="Arial" w:cs="Arial" w:eastAsia="Arial" w:hAnsi="Arial"/>
          <w:sz w:val="16"/>
          <w:szCs w:val="16"/>
          <w:color w:val="auto"/>
        </w:rPr>
        <w:t xml:space="preserve"> (see “ESG/Integrity and Compliance”).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2026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47</w:t>
            </w:r>
          </w:p>
        </w:tc>
      </w:tr>
      <w:tr>
        <w:trPr>
          <w:trHeight w:val="360"/>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-368300</wp:posOffset>
            </wp:positionV>
            <wp:extent cx="548640" cy="10287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52" w:name="page53"/>
    <w:bookmarkEnd w:id="52"/>
    <w:p>
      <w:pPr>
        <w:spacing w:after="0"/>
        <w:rPr>
          <w:sz w:val="20"/>
          <w:szCs w:val="20"/>
          <w:color w:val="auto"/>
        </w:rPr>
      </w:pPr>
      <w:r>
        <w:rPr>
          <w:rFonts w:ascii="Arial" w:cs="Arial" w:eastAsia="Arial" w:hAnsi="Arial"/>
          <w:sz w:val="45"/>
          <w:szCs w:val="45"/>
          <w:b w:val="1"/>
          <w:bCs w:val="1"/>
          <w:color w:val="auto"/>
        </w:rPr>
        <w:t>DIRECTOR COMPENSATION</w:t>
      </w:r>
    </w:p>
    <w:p>
      <w:pPr>
        <w:spacing w:after="0" w:line="200" w:lineRule="exact"/>
        <w:rPr>
          <w:sz w:val="20"/>
          <w:szCs w:val="20"/>
          <w:color w:val="auto"/>
        </w:rPr>
      </w:pPr>
    </w:p>
    <w:p>
      <w:pPr>
        <w:spacing w:after="0" w:line="289" w:lineRule="exact"/>
        <w:rPr>
          <w:sz w:val="20"/>
          <w:szCs w:val="20"/>
          <w:color w:val="auto"/>
        </w:rPr>
      </w:pPr>
    </w:p>
    <w:p>
      <w:pPr>
        <w:jc w:val="both"/>
        <w:ind w:right="280"/>
        <w:spacing w:after="0" w:line="265" w:lineRule="auto"/>
        <w:rPr>
          <w:sz w:val="20"/>
          <w:szCs w:val="20"/>
          <w:color w:val="auto"/>
        </w:rPr>
      </w:pPr>
      <w:r>
        <w:rPr>
          <w:rFonts w:ascii="Arial" w:cs="Arial" w:eastAsia="Arial" w:hAnsi="Arial"/>
          <w:sz w:val="16"/>
          <w:szCs w:val="16"/>
          <w:color w:val="auto"/>
        </w:rPr>
        <w:t>The Corporate Governance and Responsibility Committee (CGRC) reviews and makes recommendations to the Board regarding the form and amount of compensation for non-employee directors. Any director who is an employee of Honeywell receives no additional compensation for services on the Board. Honeywell’s director compensation program is designed to enable continued attraction and retention of highly qualified directors and to address the time, effort, expertise, and accountability required of active Board membership.</w:t>
      </w:r>
    </w:p>
    <w:p>
      <w:pPr>
        <w:spacing w:after="0" w:line="270"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ELEMENTS OF COMPENSATION</w:t>
      </w:r>
    </w:p>
    <w:p>
      <w:pPr>
        <w:spacing w:after="0" w:line="127" w:lineRule="exact"/>
        <w:rPr>
          <w:sz w:val="20"/>
          <w:szCs w:val="20"/>
          <w:color w:val="auto"/>
        </w:rPr>
      </w:pPr>
    </w:p>
    <w:p>
      <w:pPr>
        <w:ind w:right="260"/>
        <w:spacing w:after="0" w:line="275" w:lineRule="auto"/>
        <w:rPr>
          <w:sz w:val="20"/>
          <w:szCs w:val="20"/>
          <w:color w:val="auto"/>
        </w:rPr>
      </w:pPr>
      <w:r>
        <w:rPr>
          <w:rFonts w:ascii="Arial" w:cs="Arial" w:eastAsia="Arial" w:hAnsi="Arial"/>
          <w:sz w:val="16"/>
          <w:szCs w:val="16"/>
          <w:color w:val="auto"/>
        </w:rPr>
        <w:t>In general, the CGRC and the Board believe that annual compensation for non-employee directors should consist of both a cash component, designed to compensate members for their service on the Board and its committees, and an equity component, designed to align the interests of directors and shareowners.</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ANNUAL COMPENSATION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2320" w:type="dxa"/>
            <w:vAlign w:val="bottom"/>
            <w:tcBorders>
              <w:top w:val="single" w:sz="8" w:color="D7282F"/>
            </w:tcBorders>
            <w:shd w:val="clear" w:color="auto" w:fill="E6E7E8"/>
          </w:tcPr>
          <w:p>
            <w:pPr>
              <w:ind w:left="20"/>
              <w:spacing w:after="0"/>
              <w:rPr>
                <w:sz w:val="20"/>
                <w:szCs w:val="20"/>
                <w:color w:val="auto"/>
              </w:rPr>
            </w:pPr>
            <w:r>
              <w:rPr>
                <w:rFonts w:ascii="Arial" w:cs="Arial" w:eastAsia="Arial" w:hAnsi="Arial"/>
                <w:sz w:val="16"/>
                <w:szCs w:val="16"/>
                <w:b w:val="1"/>
                <w:bCs w:val="1"/>
                <w:color w:val="auto"/>
              </w:rPr>
              <w:t>Board Cash Retainer</w:t>
            </w:r>
          </w:p>
        </w:tc>
        <w:tc>
          <w:tcPr>
            <w:tcW w:w="160" w:type="dxa"/>
            <w:vAlign w:val="bottom"/>
            <w:tcBorders>
              <w:top w:val="single" w:sz="8" w:color="D7282F"/>
            </w:tcBorders>
          </w:tcPr>
          <w:p>
            <w:pPr>
              <w:spacing w:after="0"/>
              <w:rPr>
                <w:sz w:val="24"/>
                <w:szCs w:val="24"/>
                <w:color w:val="auto"/>
              </w:rPr>
            </w:pPr>
          </w:p>
        </w:tc>
        <w:tc>
          <w:tcPr>
            <w:tcW w:w="5320" w:type="dxa"/>
            <w:vAlign w:val="bottom"/>
            <w:tcBorders>
              <w:top w:val="single" w:sz="8" w:color="D7282F"/>
              <w:right w:val="single" w:sz="8" w:color="939598"/>
            </w:tcBorders>
          </w:tcPr>
          <w:p>
            <w:pPr>
              <w:ind w:left="2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Paid in quarterly installments.</w:t>
            </w:r>
          </w:p>
        </w:tc>
        <w:tc>
          <w:tcPr>
            <w:tcW w:w="3420" w:type="dxa"/>
            <w:vAlign w:val="bottom"/>
            <w:tcBorders>
              <w:top w:val="single" w:sz="8" w:color="D7282F"/>
            </w:tcBorders>
          </w:tcPr>
          <w:p>
            <w:pPr>
              <w:ind w:left="240"/>
              <w:spacing w:after="0"/>
              <w:rPr>
                <w:sz w:val="20"/>
                <w:szCs w:val="20"/>
                <w:color w:val="auto"/>
              </w:rPr>
            </w:pPr>
            <w:r>
              <w:rPr>
                <w:rFonts w:ascii="Arial" w:cs="Arial" w:eastAsia="Arial" w:hAnsi="Arial"/>
                <w:sz w:val="16"/>
                <w:szCs w:val="16"/>
                <w:color w:val="auto"/>
              </w:rPr>
              <w:t>$120,000 per annum.</w:t>
            </w:r>
          </w:p>
        </w:tc>
        <w:tc>
          <w:tcPr>
            <w:tcW w:w="0" w:type="dxa"/>
            <w:vAlign w:val="bottom"/>
          </w:tcPr>
          <w:p>
            <w:pPr>
              <w:spacing w:after="0"/>
              <w:rPr>
                <w:sz w:val="1"/>
                <w:szCs w:val="1"/>
                <w:color w:val="auto"/>
              </w:rPr>
            </w:pPr>
          </w:p>
        </w:tc>
      </w:tr>
      <w:tr>
        <w:trPr>
          <w:trHeight w:val="75"/>
        </w:trPr>
        <w:tc>
          <w:tcPr>
            <w:tcW w:w="2320" w:type="dxa"/>
            <w:vAlign w:val="bottom"/>
            <w:tcBorders>
              <w:bottom w:val="single" w:sz="8" w:color="E6E7E8"/>
            </w:tcBorders>
            <w:shd w:val="clear" w:color="auto" w:fill="E6E7E8"/>
          </w:tcPr>
          <w:p>
            <w:pPr>
              <w:spacing w:after="0"/>
              <w:rPr>
                <w:sz w:val="6"/>
                <w:szCs w:val="6"/>
                <w:color w:val="auto"/>
              </w:rPr>
            </w:pPr>
          </w:p>
        </w:tc>
        <w:tc>
          <w:tcPr>
            <w:tcW w:w="160" w:type="dxa"/>
            <w:vAlign w:val="bottom"/>
          </w:tcPr>
          <w:p>
            <w:pPr>
              <w:spacing w:after="0"/>
              <w:rPr>
                <w:sz w:val="6"/>
                <w:szCs w:val="6"/>
                <w:color w:val="auto"/>
              </w:rPr>
            </w:pPr>
          </w:p>
        </w:tc>
        <w:tc>
          <w:tcPr>
            <w:tcW w:w="5320" w:type="dxa"/>
            <w:vAlign w:val="bottom"/>
            <w:tcBorders>
              <w:bottom w:val="single" w:sz="8" w:color="939598"/>
              <w:right w:val="single" w:sz="8" w:color="939598"/>
            </w:tcBorders>
          </w:tcPr>
          <w:p>
            <w:pPr>
              <w:spacing w:after="0"/>
              <w:rPr>
                <w:sz w:val="6"/>
                <w:szCs w:val="6"/>
                <w:color w:val="auto"/>
              </w:rPr>
            </w:pPr>
          </w:p>
        </w:tc>
        <w:tc>
          <w:tcPr>
            <w:tcW w:w="3420" w:type="dxa"/>
            <w:vAlign w:val="bottom"/>
            <w:tcBorders>
              <w:bottom w:val="single" w:sz="8" w:color="939598"/>
            </w:tcBorders>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2320" w:type="dxa"/>
            <w:vAlign w:val="bottom"/>
            <w:shd w:val="clear" w:color="auto" w:fill="E6E7E8"/>
          </w:tcPr>
          <w:p>
            <w:pPr>
              <w:ind w:left="20"/>
              <w:spacing w:after="0"/>
              <w:rPr>
                <w:sz w:val="20"/>
                <w:szCs w:val="20"/>
                <w:color w:val="auto"/>
              </w:rPr>
            </w:pPr>
            <w:r>
              <w:rPr>
                <w:rFonts w:ascii="Arial" w:cs="Arial" w:eastAsia="Arial" w:hAnsi="Arial"/>
                <w:sz w:val="16"/>
                <w:szCs w:val="16"/>
                <w:b w:val="1"/>
                <w:bCs w:val="1"/>
                <w:color w:val="auto"/>
              </w:rPr>
              <w:t>Lead Director Compensation</w:t>
            </w:r>
          </w:p>
        </w:tc>
        <w:tc>
          <w:tcPr>
            <w:tcW w:w="160" w:type="dxa"/>
            <w:vAlign w:val="bottom"/>
          </w:tcPr>
          <w:p>
            <w:pPr>
              <w:spacing w:after="0"/>
              <w:rPr>
                <w:sz w:val="23"/>
                <w:szCs w:val="23"/>
                <w:color w:val="auto"/>
              </w:rPr>
            </w:pPr>
          </w:p>
        </w:tc>
        <w:tc>
          <w:tcPr>
            <w:tcW w:w="5320" w:type="dxa"/>
            <w:vAlign w:val="bottom"/>
            <w:tcBorders>
              <w:right w:val="single" w:sz="8" w:color="939598"/>
            </w:tcBorders>
          </w:tcPr>
          <w:p>
            <w:pPr>
              <w:ind w:left="2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Paid in quarterly installments (in addition to Board cash retainer).</w:t>
            </w:r>
          </w:p>
        </w:tc>
        <w:tc>
          <w:tcPr>
            <w:tcW w:w="3420" w:type="dxa"/>
            <w:vAlign w:val="bottom"/>
            <w:vMerge w:val="restart"/>
          </w:tcPr>
          <w:p>
            <w:pPr>
              <w:ind w:left="240"/>
              <w:spacing w:after="0"/>
              <w:rPr>
                <w:sz w:val="20"/>
                <w:szCs w:val="20"/>
                <w:color w:val="auto"/>
              </w:rPr>
            </w:pPr>
            <w:r>
              <w:rPr>
                <w:rFonts w:ascii="Arial" w:cs="Arial" w:eastAsia="Arial" w:hAnsi="Arial"/>
                <w:sz w:val="16"/>
                <w:szCs w:val="16"/>
                <w:color w:val="auto"/>
              </w:rPr>
              <w:t>$60,000 per annum.</w:t>
            </w:r>
          </w:p>
        </w:tc>
        <w:tc>
          <w:tcPr>
            <w:tcW w:w="0" w:type="dxa"/>
            <w:vAlign w:val="bottom"/>
          </w:tcPr>
          <w:p>
            <w:pPr>
              <w:spacing w:after="0"/>
              <w:rPr>
                <w:sz w:val="1"/>
                <w:szCs w:val="1"/>
                <w:color w:val="auto"/>
              </w:rPr>
            </w:pPr>
          </w:p>
        </w:tc>
      </w:tr>
      <w:tr>
        <w:trPr>
          <w:trHeight w:val="86"/>
        </w:trPr>
        <w:tc>
          <w:tcPr>
            <w:tcW w:w="2320" w:type="dxa"/>
            <w:vAlign w:val="bottom"/>
            <w:shd w:val="clear" w:color="auto" w:fill="E6E7E8"/>
          </w:tcPr>
          <w:p>
            <w:pPr>
              <w:spacing w:after="0"/>
              <w:rPr>
                <w:sz w:val="7"/>
                <w:szCs w:val="7"/>
                <w:color w:val="auto"/>
              </w:rPr>
            </w:pPr>
          </w:p>
        </w:tc>
        <w:tc>
          <w:tcPr>
            <w:tcW w:w="160" w:type="dxa"/>
            <w:vAlign w:val="bottom"/>
          </w:tcPr>
          <w:p>
            <w:pPr>
              <w:spacing w:after="0"/>
              <w:rPr>
                <w:sz w:val="7"/>
                <w:szCs w:val="7"/>
                <w:color w:val="auto"/>
              </w:rPr>
            </w:pPr>
          </w:p>
        </w:tc>
        <w:tc>
          <w:tcPr>
            <w:tcW w:w="5320" w:type="dxa"/>
            <w:vAlign w:val="bottom"/>
            <w:tcBorders>
              <w:right w:val="single" w:sz="8" w:color="939598"/>
            </w:tcBorders>
          </w:tcPr>
          <w:p>
            <w:pPr>
              <w:spacing w:after="0"/>
              <w:rPr>
                <w:sz w:val="7"/>
                <w:szCs w:val="7"/>
                <w:color w:val="auto"/>
              </w:rPr>
            </w:pPr>
          </w:p>
        </w:tc>
        <w:tc>
          <w:tcPr>
            <w:tcW w:w="3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320" w:type="dxa"/>
            <w:vAlign w:val="bottom"/>
            <w:tcBorders>
              <w:bottom w:val="single" w:sz="8" w:color="E6E7E8"/>
            </w:tcBorders>
            <w:shd w:val="clear" w:color="auto" w:fill="E6E7E8"/>
          </w:tcPr>
          <w:p>
            <w:pPr>
              <w:spacing w:after="0"/>
              <w:rPr>
                <w:sz w:val="7"/>
                <w:szCs w:val="7"/>
                <w:color w:val="auto"/>
              </w:rPr>
            </w:pPr>
          </w:p>
        </w:tc>
        <w:tc>
          <w:tcPr>
            <w:tcW w:w="160" w:type="dxa"/>
            <w:vAlign w:val="bottom"/>
          </w:tcPr>
          <w:p>
            <w:pPr>
              <w:spacing w:after="0"/>
              <w:rPr>
                <w:sz w:val="7"/>
                <w:szCs w:val="7"/>
                <w:color w:val="auto"/>
              </w:rPr>
            </w:pPr>
          </w:p>
        </w:tc>
        <w:tc>
          <w:tcPr>
            <w:tcW w:w="5320" w:type="dxa"/>
            <w:vAlign w:val="bottom"/>
            <w:tcBorders>
              <w:bottom w:val="single" w:sz="8" w:color="939598"/>
              <w:right w:val="single" w:sz="8" w:color="939598"/>
            </w:tcBorders>
          </w:tcPr>
          <w:p>
            <w:pPr>
              <w:spacing w:after="0"/>
              <w:rPr>
                <w:sz w:val="7"/>
                <w:szCs w:val="7"/>
                <w:color w:val="auto"/>
              </w:rPr>
            </w:pPr>
          </w:p>
        </w:tc>
        <w:tc>
          <w:tcPr>
            <w:tcW w:w="3420" w:type="dxa"/>
            <w:vAlign w:val="bottom"/>
            <w:tcBorders>
              <w:bottom w:val="single" w:sz="8" w:color="939598"/>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320" w:type="dxa"/>
            <w:vAlign w:val="bottom"/>
            <w:shd w:val="clear" w:color="auto" w:fill="E6E7E8"/>
          </w:tcPr>
          <w:p>
            <w:pPr>
              <w:ind w:left="20"/>
              <w:spacing w:after="0"/>
              <w:rPr>
                <w:sz w:val="20"/>
                <w:szCs w:val="20"/>
                <w:color w:val="auto"/>
              </w:rPr>
            </w:pPr>
            <w:r>
              <w:rPr>
                <w:rFonts w:ascii="Arial" w:cs="Arial" w:eastAsia="Arial" w:hAnsi="Arial"/>
                <w:sz w:val="16"/>
                <w:szCs w:val="16"/>
                <w:b w:val="1"/>
                <w:bCs w:val="1"/>
                <w:color w:val="auto"/>
              </w:rPr>
              <w:t>Committee Membership</w:t>
            </w:r>
          </w:p>
        </w:tc>
        <w:tc>
          <w:tcPr>
            <w:tcW w:w="160" w:type="dxa"/>
            <w:vAlign w:val="bottom"/>
          </w:tcPr>
          <w:p>
            <w:pPr>
              <w:spacing w:after="0"/>
              <w:rPr>
                <w:sz w:val="20"/>
                <w:szCs w:val="20"/>
                <w:color w:val="auto"/>
              </w:rPr>
            </w:pPr>
          </w:p>
        </w:tc>
        <w:tc>
          <w:tcPr>
            <w:tcW w:w="5320" w:type="dxa"/>
            <w:vAlign w:val="bottom"/>
            <w:tcBorders>
              <w:right w:val="single" w:sz="8" w:color="939598"/>
            </w:tcBorders>
          </w:tcPr>
          <w:p>
            <w:pPr>
              <w:ind w:left="2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For each committee membership, paid in quarterly installments.</w:t>
            </w:r>
          </w:p>
        </w:tc>
        <w:tc>
          <w:tcPr>
            <w:tcW w:w="3420" w:type="dxa"/>
            <w:vAlign w:val="bottom"/>
          </w:tcPr>
          <w:p>
            <w:pPr>
              <w:ind w:left="240"/>
              <w:spacing w:after="0"/>
              <w:rPr>
                <w:sz w:val="20"/>
                <w:szCs w:val="20"/>
                <w:color w:val="auto"/>
              </w:rPr>
            </w:pPr>
            <w:r>
              <w:rPr>
                <w:rFonts w:ascii="Arial" w:cs="Arial" w:eastAsia="Arial" w:hAnsi="Arial"/>
                <w:sz w:val="16"/>
                <w:szCs w:val="16"/>
                <w:color w:val="auto"/>
              </w:rPr>
              <w:t>$10,000 per annum (or $15,000 per annum</w:t>
            </w:r>
          </w:p>
        </w:tc>
        <w:tc>
          <w:tcPr>
            <w:tcW w:w="0" w:type="dxa"/>
            <w:vAlign w:val="bottom"/>
          </w:tcPr>
          <w:p>
            <w:pPr>
              <w:spacing w:after="0"/>
              <w:rPr>
                <w:sz w:val="1"/>
                <w:szCs w:val="1"/>
                <w:color w:val="auto"/>
              </w:rPr>
            </w:pPr>
          </w:p>
        </w:tc>
      </w:tr>
      <w:tr>
        <w:trPr>
          <w:trHeight w:val="223"/>
        </w:trPr>
        <w:tc>
          <w:tcPr>
            <w:tcW w:w="2320" w:type="dxa"/>
            <w:vAlign w:val="bottom"/>
            <w:shd w:val="clear" w:color="auto" w:fill="E6E7E8"/>
          </w:tcPr>
          <w:p>
            <w:pPr>
              <w:ind w:left="20"/>
              <w:spacing w:after="0"/>
              <w:rPr>
                <w:sz w:val="20"/>
                <w:szCs w:val="20"/>
                <w:color w:val="auto"/>
              </w:rPr>
            </w:pPr>
            <w:r>
              <w:rPr>
                <w:rFonts w:ascii="Arial" w:cs="Arial" w:eastAsia="Arial" w:hAnsi="Arial"/>
                <w:sz w:val="16"/>
                <w:szCs w:val="16"/>
                <w:b w:val="1"/>
                <w:bCs w:val="1"/>
                <w:color w:val="auto"/>
              </w:rPr>
              <w:t>Compensation</w:t>
            </w:r>
          </w:p>
        </w:tc>
        <w:tc>
          <w:tcPr>
            <w:tcW w:w="160" w:type="dxa"/>
            <w:vAlign w:val="bottom"/>
          </w:tcPr>
          <w:p>
            <w:pPr>
              <w:spacing w:after="0"/>
              <w:rPr>
                <w:sz w:val="19"/>
                <w:szCs w:val="19"/>
                <w:color w:val="auto"/>
              </w:rPr>
            </w:pPr>
          </w:p>
        </w:tc>
        <w:tc>
          <w:tcPr>
            <w:tcW w:w="5320" w:type="dxa"/>
            <w:vAlign w:val="bottom"/>
            <w:tcBorders>
              <w:right w:val="single" w:sz="8" w:color="939598"/>
            </w:tcBorders>
          </w:tcPr>
          <w:p>
            <w:pPr>
              <w:spacing w:after="0"/>
              <w:rPr>
                <w:sz w:val="19"/>
                <w:szCs w:val="19"/>
                <w:color w:val="auto"/>
              </w:rPr>
            </w:pPr>
          </w:p>
        </w:tc>
        <w:tc>
          <w:tcPr>
            <w:tcW w:w="3420" w:type="dxa"/>
            <w:vAlign w:val="bottom"/>
          </w:tcPr>
          <w:p>
            <w:pPr>
              <w:ind w:left="240"/>
              <w:spacing w:after="0"/>
              <w:rPr>
                <w:sz w:val="20"/>
                <w:szCs w:val="20"/>
                <w:color w:val="auto"/>
              </w:rPr>
            </w:pPr>
            <w:r>
              <w:rPr>
                <w:rFonts w:ascii="Arial" w:cs="Arial" w:eastAsia="Arial" w:hAnsi="Arial"/>
                <w:sz w:val="16"/>
                <w:szCs w:val="16"/>
                <w:color w:val="auto"/>
              </w:rPr>
              <w:t>for members of the Audit Committee).</w:t>
            </w:r>
          </w:p>
        </w:tc>
        <w:tc>
          <w:tcPr>
            <w:tcW w:w="0" w:type="dxa"/>
            <w:vAlign w:val="bottom"/>
          </w:tcPr>
          <w:p>
            <w:pPr>
              <w:spacing w:after="0"/>
              <w:rPr>
                <w:sz w:val="1"/>
                <w:szCs w:val="1"/>
                <w:color w:val="auto"/>
              </w:rPr>
            </w:pPr>
          </w:p>
        </w:tc>
      </w:tr>
      <w:tr>
        <w:trPr>
          <w:trHeight w:val="75"/>
        </w:trPr>
        <w:tc>
          <w:tcPr>
            <w:tcW w:w="2320" w:type="dxa"/>
            <w:vAlign w:val="bottom"/>
            <w:tcBorders>
              <w:bottom w:val="single" w:sz="8" w:color="E6E7E8"/>
            </w:tcBorders>
            <w:shd w:val="clear" w:color="auto" w:fill="E6E7E8"/>
          </w:tcPr>
          <w:p>
            <w:pPr>
              <w:spacing w:after="0"/>
              <w:rPr>
                <w:sz w:val="6"/>
                <w:szCs w:val="6"/>
                <w:color w:val="auto"/>
              </w:rPr>
            </w:pPr>
          </w:p>
        </w:tc>
        <w:tc>
          <w:tcPr>
            <w:tcW w:w="160" w:type="dxa"/>
            <w:vAlign w:val="bottom"/>
          </w:tcPr>
          <w:p>
            <w:pPr>
              <w:spacing w:after="0"/>
              <w:rPr>
                <w:sz w:val="6"/>
                <w:szCs w:val="6"/>
                <w:color w:val="auto"/>
              </w:rPr>
            </w:pPr>
          </w:p>
        </w:tc>
        <w:tc>
          <w:tcPr>
            <w:tcW w:w="5320" w:type="dxa"/>
            <w:vAlign w:val="bottom"/>
            <w:tcBorders>
              <w:bottom w:val="single" w:sz="8" w:color="939598"/>
              <w:right w:val="single" w:sz="8" w:color="939598"/>
            </w:tcBorders>
          </w:tcPr>
          <w:p>
            <w:pPr>
              <w:spacing w:after="0"/>
              <w:rPr>
                <w:sz w:val="6"/>
                <w:szCs w:val="6"/>
                <w:color w:val="auto"/>
              </w:rPr>
            </w:pPr>
          </w:p>
        </w:tc>
        <w:tc>
          <w:tcPr>
            <w:tcW w:w="3420" w:type="dxa"/>
            <w:vAlign w:val="bottom"/>
            <w:tcBorders>
              <w:bottom w:val="single" w:sz="8" w:color="939598"/>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320" w:type="dxa"/>
            <w:vAlign w:val="bottom"/>
            <w:shd w:val="clear" w:color="auto" w:fill="E6E7E8"/>
          </w:tcPr>
          <w:p>
            <w:pPr>
              <w:ind w:left="20"/>
              <w:spacing w:after="0"/>
              <w:rPr>
                <w:sz w:val="20"/>
                <w:szCs w:val="20"/>
                <w:color w:val="auto"/>
              </w:rPr>
            </w:pPr>
            <w:r>
              <w:rPr>
                <w:rFonts w:ascii="Arial" w:cs="Arial" w:eastAsia="Arial" w:hAnsi="Arial"/>
                <w:sz w:val="16"/>
                <w:szCs w:val="16"/>
                <w:b w:val="1"/>
                <w:bCs w:val="1"/>
                <w:color w:val="auto"/>
              </w:rPr>
              <w:t>Committee Chair</w:t>
            </w:r>
          </w:p>
        </w:tc>
        <w:tc>
          <w:tcPr>
            <w:tcW w:w="160" w:type="dxa"/>
            <w:vAlign w:val="bottom"/>
          </w:tcPr>
          <w:p>
            <w:pPr>
              <w:spacing w:after="0"/>
              <w:rPr>
                <w:sz w:val="20"/>
                <w:szCs w:val="20"/>
                <w:color w:val="auto"/>
              </w:rPr>
            </w:pPr>
          </w:p>
        </w:tc>
        <w:tc>
          <w:tcPr>
            <w:tcW w:w="5320" w:type="dxa"/>
            <w:vAlign w:val="bottom"/>
            <w:tcBorders>
              <w:right w:val="single" w:sz="8" w:color="939598"/>
            </w:tcBorders>
          </w:tcPr>
          <w:p>
            <w:pPr>
              <w:ind w:left="2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Paid in quarterly installments (in addition to committee membership</w:t>
            </w:r>
          </w:p>
        </w:tc>
        <w:tc>
          <w:tcPr>
            <w:tcW w:w="3420" w:type="dxa"/>
            <w:vAlign w:val="bottom"/>
          </w:tcPr>
          <w:p>
            <w:pPr>
              <w:ind w:left="240"/>
              <w:spacing w:after="0"/>
              <w:rPr>
                <w:sz w:val="20"/>
                <w:szCs w:val="20"/>
                <w:color w:val="auto"/>
              </w:rPr>
            </w:pPr>
            <w:r>
              <w:rPr>
                <w:rFonts w:ascii="Arial" w:cs="Arial" w:eastAsia="Arial" w:hAnsi="Arial"/>
                <w:sz w:val="16"/>
                <w:szCs w:val="16"/>
                <w:color w:val="auto"/>
              </w:rPr>
              <w:t>$40,000 per annum for the Audit Committee</w:t>
            </w:r>
          </w:p>
        </w:tc>
        <w:tc>
          <w:tcPr>
            <w:tcW w:w="0" w:type="dxa"/>
            <w:vAlign w:val="bottom"/>
          </w:tcPr>
          <w:p>
            <w:pPr>
              <w:spacing w:after="0"/>
              <w:rPr>
                <w:sz w:val="1"/>
                <w:szCs w:val="1"/>
                <w:color w:val="auto"/>
              </w:rPr>
            </w:pPr>
          </w:p>
        </w:tc>
      </w:tr>
      <w:tr>
        <w:trPr>
          <w:trHeight w:val="242"/>
        </w:trPr>
        <w:tc>
          <w:tcPr>
            <w:tcW w:w="2320" w:type="dxa"/>
            <w:vAlign w:val="bottom"/>
            <w:shd w:val="clear" w:color="auto" w:fill="E6E7E8"/>
          </w:tcPr>
          <w:p>
            <w:pPr>
              <w:ind w:left="20"/>
              <w:spacing w:after="0"/>
              <w:rPr>
                <w:sz w:val="20"/>
                <w:szCs w:val="20"/>
                <w:color w:val="auto"/>
              </w:rPr>
            </w:pPr>
            <w:r>
              <w:rPr>
                <w:rFonts w:ascii="Arial" w:cs="Arial" w:eastAsia="Arial" w:hAnsi="Arial"/>
                <w:sz w:val="16"/>
                <w:szCs w:val="16"/>
                <w:b w:val="1"/>
                <w:bCs w:val="1"/>
                <w:color w:val="auto"/>
              </w:rPr>
              <w:t>Compensation</w:t>
            </w:r>
          </w:p>
        </w:tc>
        <w:tc>
          <w:tcPr>
            <w:tcW w:w="160" w:type="dxa"/>
            <w:vAlign w:val="bottom"/>
          </w:tcPr>
          <w:p>
            <w:pPr>
              <w:spacing w:after="0"/>
              <w:rPr>
                <w:sz w:val="21"/>
                <w:szCs w:val="21"/>
                <w:color w:val="auto"/>
              </w:rPr>
            </w:pPr>
          </w:p>
        </w:tc>
        <w:tc>
          <w:tcPr>
            <w:tcW w:w="5320" w:type="dxa"/>
            <w:vAlign w:val="bottom"/>
            <w:tcBorders>
              <w:right w:val="single" w:sz="8" w:color="939598"/>
            </w:tcBorders>
          </w:tcPr>
          <w:p>
            <w:pPr>
              <w:ind w:left="220"/>
              <w:spacing w:after="0"/>
              <w:rPr>
                <w:sz w:val="20"/>
                <w:szCs w:val="20"/>
                <w:color w:val="auto"/>
              </w:rPr>
            </w:pPr>
            <w:r>
              <w:rPr>
                <w:rFonts w:ascii="Arial" w:cs="Arial" w:eastAsia="Arial" w:hAnsi="Arial"/>
                <w:sz w:val="16"/>
                <w:szCs w:val="16"/>
                <w:color w:val="auto"/>
              </w:rPr>
              <w:t>compensation).</w:t>
            </w:r>
          </w:p>
        </w:tc>
        <w:tc>
          <w:tcPr>
            <w:tcW w:w="3420" w:type="dxa"/>
            <w:vAlign w:val="bottom"/>
          </w:tcPr>
          <w:p>
            <w:pPr>
              <w:ind w:left="240"/>
              <w:spacing w:after="0"/>
              <w:rPr>
                <w:sz w:val="20"/>
                <w:szCs w:val="20"/>
                <w:color w:val="auto"/>
              </w:rPr>
            </w:pPr>
            <w:r>
              <w:rPr>
                <w:rFonts w:ascii="Arial" w:cs="Arial" w:eastAsia="Arial" w:hAnsi="Arial"/>
                <w:sz w:val="16"/>
                <w:szCs w:val="16"/>
                <w:color w:val="auto"/>
              </w:rPr>
              <w:t>Chair.</w:t>
            </w:r>
          </w:p>
        </w:tc>
        <w:tc>
          <w:tcPr>
            <w:tcW w:w="0" w:type="dxa"/>
            <w:vAlign w:val="bottom"/>
          </w:tcPr>
          <w:p>
            <w:pPr>
              <w:spacing w:after="0"/>
              <w:rPr>
                <w:sz w:val="1"/>
                <w:szCs w:val="1"/>
                <w:color w:val="auto"/>
              </w:rPr>
            </w:pPr>
          </w:p>
        </w:tc>
      </w:tr>
      <w:tr>
        <w:trPr>
          <w:trHeight w:val="258"/>
        </w:trPr>
        <w:tc>
          <w:tcPr>
            <w:tcW w:w="2320" w:type="dxa"/>
            <w:vAlign w:val="bottom"/>
            <w:shd w:val="clear" w:color="auto" w:fill="E6E7E8"/>
          </w:tcPr>
          <w:p>
            <w:pPr>
              <w:spacing w:after="0"/>
              <w:rPr>
                <w:sz w:val="22"/>
                <w:szCs w:val="22"/>
                <w:color w:val="auto"/>
              </w:rPr>
            </w:pPr>
          </w:p>
        </w:tc>
        <w:tc>
          <w:tcPr>
            <w:tcW w:w="160" w:type="dxa"/>
            <w:vAlign w:val="bottom"/>
          </w:tcPr>
          <w:p>
            <w:pPr>
              <w:spacing w:after="0"/>
              <w:rPr>
                <w:sz w:val="22"/>
                <w:szCs w:val="22"/>
                <w:color w:val="auto"/>
              </w:rPr>
            </w:pPr>
          </w:p>
        </w:tc>
        <w:tc>
          <w:tcPr>
            <w:tcW w:w="5320" w:type="dxa"/>
            <w:vAlign w:val="bottom"/>
            <w:tcBorders>
              <w:right w:val="single" w:sz="8" w:color="939598"/>
            </w:tcBorders>
          </w:tcPr>
          <w:p>
            <w:pPr>
              <w:spacing w:after="0"/>
              <w:rPr>
                <w:sz w:val="22"/>
                <w:szCs w:val="22"/>
                <w:color w:val="auto"/>
              </w:rPr>
            </w:pPr>
          </w:p>
        </w:tc>
        <w:tc>
          <w:tcPr>
            <w:tcW w:w="3420" w:type="dxa"/>
            <w:vAlign w:val="bottom"/>
          </w:tcPr>
          <w:p>
            <w:pPr>
              <w:ind w:left="240"/>
              <w:spacing w:after="0"/>
              <w:rPr>
                <w:sz w:val="20"/>
                <w:szCs w:val="20"/>
                <w:color w:val="auto"/>
              </w:rPr>
            </w:pPr>
            <w:r>
              <w:rPr>
                <w:rFonts w:ascii="Arial" w:cs="Arial" w:eastAsia="Arial" w:hAnsi="Arial"/>
                <w:sz w:val="16"/>
                <w:szCs w:val="16"/>
                <w:color w:val="auto"/>
              </w:rPr>
              <w:t>$25,000 per annum for the Management</w:t>
            </w:r>
          </w:p>
        </w:tc>
        <w:tc>
          <w:tcPr>
            <w:tcW w:w="0" w:type="dxa"/>
            <w:vAlign w:val="bottom"/>
          </w:tcPr>
          <w:p>
            <w:pPr>
              <w:spacing w:after="0"/>
              <w:rPr>
                <w:sz w:val="1"/>
                <w:szCs w:val="1"/>
                <w:color w:val="auto"/>
              </w:rPr>
            </w:pPr>
          </w:p>
        </w:tc>
      </w:tr>
      <w:tr>
        <w:trPr>
          <w:trHeight w:val="203"/>
        </w:trPr>
        <w:tc>
          <w:tcPr>
            <w:tcW w:w="2320" w:type="dxa"/>
            <w:vAlign w:val="bottom"/>
            <w:shd w:val="clear" w:color="auto" w:fill="E6E7E8"/>
          </w:tcPr>
          <w:p>
            <w:pPr>
              <w:spacing w:after="0"/>
              <w:rPr>
                <w:sz w:val="17"/>
                <w:szCs w:val="17"/>
                <w:color w:val="auto"/>
              </w:rPr>
            </w:pPr>
          </w:p>
        </w:tc>
        <w:tc>
          <w:tcPr>
            <w:tcW w:w="160" w:type="dxa"/>
            <w:vAlign w:val="bottom"/>
          </w:tcPr>
          <w:p>
            <w:pPr>
              <w:spacing w:after="0"/>
              <w:rPr>
                <w:sz w:val="17"/>
                <w:szCs w:val="17"/>
                <w:color w:val="auto"/>
              </w:rPr>
            </w:pPr>
          </w:p>
        </w:tc>
        <w:tc>
          <w:tcPr>
            <w:tcW w:w="5320" w:type="dxa"/>
            <w:vAlign w:val="bottom"/>
            <w:tcBorders>
              <w:right w:val="single" w:sz="8" w:color="939598"/>
            </w:tcBorders>
          </w:tcPr>
          <w:p>
            <w:pPr>
              <w:spacing w:after="0"/>
              <w:rPr>
                <w:sz w:val="17"/>
                <w:szCs w:val="17"/>
                <w:color w:val="auto"/>
              </w:rPr>
            </w:pPr>
          </w:p>
        </w:tc>
        <w:tc>
          <w:tcPr>
            <w:tcW w:w="3420" w:type="dxa"/>
            <w:vAlign w:val="bottom"/>
          </w:tcPr>
          <w:p>
            <w:pPr>
              <w:ind w:left="240"/>
              <w:spacing w:after="0"/>
              <w:rPr>
                <w:sz w:val="20"/>
                <w:szCs w:val="20"/>
                <w:color w:val="auto"/>
              </w:rPr>
            </w:pPr>
            <w:r>
              <w:rPr>
                <w:rFonts w:ascii="Arial" w:cs="Arial" w:eastAsia="Arial" w:hAnsi="Arial"/>
                <w:sz w:val="16"/>
                <w:szCs w:val="16"/>
                <w:color w:val="auto"/>
              </w:rPr>
              <w:t>Development and Compensation</w:t>
            </w:r>
          </w:p>
        </w:tc>
        <w:tc>
          <w:tcPr>
            <w:tcW w:w="0" w:type="dxa"/>
            <w:vAlign w:val="bottom"/>
          </w:tcPr>
          <w:p>
            <w:pPr>
              <w:spacing w:after="0"/>
              <w:rPr>
                <w:sz w:val="1"/>
                <w:szCs w:val="1"/>
                <w:color w:val="auto"/>
              </w:rPr>
            </w:pPr>
          </w:p>
        </w:tc>
      </w:tr>
      <w:tr>
        <w:trPr>
          <w:trHeight w:val="215"/>
        </w:trPr>
        <w:tc>
          <w:tcPr>
            <w:tcW w:w="2320" w:type="dxa"/>
            <w:vAlign w:val="bottom"/>
            <w:shd w:val="clear" w:color="auto" w:fill="E6E7E8"/>
          </w:tcPr>
          <w:p>
            <w:pPr>
              <w:spacing w:after="0"/>
              <w:rPr>
                <w:sz w:val="18"/>
                <w:szCs w:val="18"/>
                <w:color w:val="auto"/>
              </w:rPr>
            </w:pPr>
          </w:p>
        </w:tc>
        <w:tc>
          <w:tcPr>
            <w:tcW w:w="160" w:type="dxa"/>
            <w:vAlign w:val="bottom"/>
          </w:tcPr>
          <w:p>
            <w:pPr>
              <w:spacing w:after="0"/>
              <w:rPr>
                <w:sz w:val="18"/>
                <w:szCs w:val="18"/>
                <w:color w:val="auto"/>
              </w:rPr>
            </w:pPr>
          </w:p>
        </w:tc>
        <w:tc>
          <w:tcPr>
            <w:tcW w:w="5320" w:type="dxa"/>
            <w:vAlign w:val="bottom"/>
            <w:tcBorders>
              <w:right w:val="single" w:sz="8" w:color="939598"/>
            </w:tcBorders>
          </w:tcPr>
          <w:p>
            <w:pPr>
              <w:spacing w:after="0"/>
              <w:rPr>
                <w:sz w:val="18"/>
                <w:szCs w:val="18"/>
                <w:color w:val="auto"/>
              </w:rPr>
            </w:pPr>
          </w:p>
        </w:tc>
        <w:tc>
          <w:tcPr>
            <w:tcW w:w="3420" w:type="dxa"/>
            <w:vAlign w:val="bottom"/>
          </w:tcPr>
          <w:p>
            <w:pPr>
              <w:ind w:left="240"/>
              <w:spacing w:after="0"/>
              <w:rPr>
                <w:sz w:val="20"/>
                <w:szCs w:val="20"/>
                <w:color w:val="auto"/>
              </w:rPr>
            </w:pPr>
            <w:r>
              <w:rPr>
                <w:rFonts w:ascii="Arial" w:cs="Arial" w:eastAsia="Arial" w:hAnsi="Arial"/>
                <w:sz w:val="16"/>
                <w:szCs w:val="16"/>
                <w:color w:val="auto"/>
              </w:rPr>
              <w:t>Committee Chair.</w:t>
            </w:r>
          </w:p>
        </w:tc>
        <w:tc>
          <w:tcPr>
            <w:tcW w:w="0" w:type="dxa"/>
            <w:vAlign w:val="bottom"/>
          </w:tcPr>
          <w:p>
            <w:pPr>
              <w:spacing w:after="0"/>
              <w:rPr>
                <w:sz w:val="1"/>
                <w:szCs w:val="1"/>
                <w:color w:val="auto"/>
              </w:rPr>
            </w:pPr>
          </w:p>
        </w:tc>
      </w:tr>
      <w:tr>
        <w:trPr>
          <w:trHeight w:val="271"/>
        </w:trPr>
        <w:tc>
          <w:tcPr>
            <w:tcW w:w="2320" w:type="dxa"/>
            <w:vAlign w:val="bottom"/>
            <w:shd w:val="clear" w:color="auto" w:fill="E6E7E8"/>
          </w:tcPr>
          <w:p>
            <w:pPr>
              <w:spacing w:after="0"/>
              <w:rPr>
                <w:sz w:val="23"/>
                <w:szCs w:val="23"/>
                <w:color w:val="auto"/>
              </w:rPr>
            </w:pPr>
          </w:p>
        </w:tc>
        <w:tc>
          <w:tcPr>
            <w:tcW w:w="160" w:type="dxa"/>
            <w:vAlign w:val="bottom"/>
          </w:tcPr>
          <w:p>
            <w:pPr>
              <w:spacing w:after="0"/>
              <w:rPr>
                <w:sz w:val="23"/>
                <w:szCs w:val="23"/>
                <w:color w:val="auto"/>
              </w:rPr>
            </w:pPr>
          </w:p>
        </w:tc>
        <w:tc>
          <w:tcPr>
            <w:tcW w:w="5320" w:type="dxa"/>
            <w:vAlign w:val="bottom"/>
            <w:tcBorders>
              <w:right w:val="single" w:sz="8" w:color="939598"/>
            </w:tcBorders>
          </w:tcPr>
          <w:p>
            <w:pPr>
              <w:spacing w:after="0"/>
              <w:rPr>
                <w:sz w:val="23"/>
                <w:szCs w:val="23"/>
                <w:color w:val="auto"/>
              </w:rPr>
            </w:pPr>
          </w:p>
        </w:tc>
        <w:tc>
          <w:tcPr>
            <w:tcW w:w="3420" w:type="dxa"/>
            <w:vAlign w:val="bottom"/>
          </w:tcPr>
          <w:p>
            <w:pPr>
              <w:ind w:left="240"/>
              <w:spacing w:after="0"/>
              <w:rPr>
                <w:sz w:val="20"/>
                <w:szCs w:val="20"/>
                <w:color w:val="auto"/>
              </w:rPr>
            </w:pPr>
            <w:r>
              <w:rPr>
                <w:rFonts w:ascii="Arial" w:cs="Arial" w:eastAsia="Arial" w:hAnsi="Arial"/>
                <w:sz w:val="16"/>
                <w:szCs w:val="16"/>
                <w:color w:val="auto"/>
              </w:rPr>
              <w:t>$20,000 per annum for the Corporate</w:t>
            </w:r>
          </w:p>
        </w:tc>
        <w:tc>
          <w:tcPr>
            <w:tcW w:w="0" w:type="dxa"/>
            <w:vAlign w:val="bottom"/>
          </w:tcPr>
          <w:p>
            <w:pPr>
              <w:spacing w:after="0"/>
              <w:rPr>
                <w:sz w:val="1"/>
                <w:szCs w:val="1"/>
                <w:color w:val="auto"/>
              </w:rPr>
            </w:pPr>
          </w:p>
        </w:tc>
      </w:tr>
      <w:tr>
        <w:trPr>
          <w:trHeight w:val="203"/>
        </w:trPr>
        <w:tc>
          <w:tcPr>
            <w:tcW w:w="2320" w:type="dxa"/>
            <w:vAlign w:val="bottom"/>
            <w:shd w:val="clear" w:color="auto" w:fill="E6E7E8"/>
          </w:tcPr>
          <w:p>
            <w:pPr>
              <w:spacing w:after="0"/>
              <w:rPr>
                <w:sz w:val="17"/>
                <w:szCs w:val="17"/>
                <w:color w:val="auto"/>
              </w:rPr>
            </w:pPr>
          </w:p>
        </w:tc>
        <w:tc>
          <w:tcPr>
            <w:tcW w:w="160" w:type="dxa"/>
            <w:vAlign w:val="bottom"/>
          </w:tcPr>
          <w:p>
            <w:pPr>
              <w:spacing w:after="0"/>
              <w:rPr>
                <w:sz w:val="17"/>
                <w:szCs w:val="17"/>
                <w:color w:val="auto"/>
              </w:rPr>
            </w:pPr>
          </w:p>
        </w:tc>
        <w:tc>
          <w:tcPr>
            <w:tcW w:w="5320" w:type="dxa"/>
            <w:vAlign w:val="bottom"/>
            <w:tcBorders>
              <w:right w:val="single" w:sz="8" w:color="939598"/>
            </w:tcBorders>
          </w:tcPr>
          <w:p>
            <w:pPr>
              <w:spacing w:after="0"/>
              <w:rPr>
                <w:sz w:val="17"/>
                <w:szCs w:val="17"/>
                <w:color w:val="auto"/>
              </w:rPr>
            </w:pPr>
          </w:p>
        </w:tc>
        <w:tc>
          <w:tcPr>
            <w:tcW w:w="3420" w:type="dxa"/>
            <w:vAlign w:val="bottom"/>
          </w:tcPr>
          <w:p>
            <w:pPr>
              <w:ind w:left="240"/>
              <w:spacing w:after="0"/>
              <w:rPr>
                <w:sz w:val="20"/>
                <w:szCs w:val="20"/>
                <w:color w:val="auto"/>
              </w:rPr>
            </w:pPr>
            <w:r>
              <w:rPr>
                <w:rFonts w:ascii="Arial" w:cs="Arial" w:eastAsia="Arial" w:hAnsi="Arial"/>
                <w:sz w:val="16"/>
                <w:szCs w:val="16"/>
                <w:color w:val="auto"/>
              </w:rPr>
              <w:t>Governance and Responsibility Committee</w:t>
            </w:r>
          </w:p>
        </w:tc>
        <w:tc>
          <w:tcPr>
            <w:tcW w:w="0" w:type="dxa"/>
            <w:vAlign w:val="bottom"/>
          </w:tcPr>
          <w:p>
            <w:pPr>
              <w:spacing w:after="0"/>
              <w:rPr>
                <w:sz w:val="1"/>
                <w:szCs w:val="1"/>
                <w:color w:val="auto"/>
              </w:rPr>
            </w:pPr>
          </w:p>
        </w:tc>
      </w:tr>
      <w:tr>
        <w:trPr>
          <w:trHeight w:val="215"/>
        </w:trPr>
        <w:tc>
          <w:tcPr>
            <w:tcW w:w="2320" w:type="dxa"/>
            <w:vAlign w:val="bottom"/>
            <w:shd w:val="clear" w:color="auto" w:fill="E6E7E8"/>
          </w:tcPr>
          <w:p>
            <w:pPr>
              <w:spacing w:after="0"/>
              <w:rPr>
                <w:sz w:val="18"/>
                <w:szCs w:val="18"/>
                <w:color w:val="auto"/>
              </w:rPr>
            </w:pPr>
          </w:p>
        </w:tc>
        <w:tc>
          <w:tcPr>
            <w:tcW w:w="160" w:type="dxa"/>
            <w:vAlign w:val="bottom"/>
          </w:tcPr>
          <w:p>
            <w:pPr>
              <w:spacing w:after="0"/>
              <w:rPr>
                <w:sz w:val="18"/>
                <w:szCs w:val="18"/>
                <w:color w:val="auto"/>
              </w:rPr>
            </w:pPr>
          </w:p>
        </w:tc>
        <w:tc>
          <w:tcPr>
            <w:tcW w:w="5320" w:type="dxa"/>
            <w:vAlign w:val="bottom"/>
            <w:tcBorders>
              <w:right w:val="single" w:sz="8" w:color="939598"/>
            </w:tcBorders>
          </w:tcPr>
          <w:p>
            <w:pPr>
              <w:spacing w:after="0"/>
              <w:rPr>
                <w:sz w:val="18"/>
                <w:szCs w:val="18"/>
                <w:color w:val="auto"/>
              </w:rPr>
            </w:pPr>
          </w:p>
        </w:tc>
        <w:tc>
          <w:tcPr>
            <w:tcW w:w="3420" w:type="dxa"/>
            <w:vAlign w:val="bottom"/>
          </w:tcPr>
          <w:p>
            <w:pPr>
              <w:ind w:left="240"/>
              <w:spacing w:after="0"/>
              <w:rPr>
                <w:sz w:val="20"/>
                <w:szCs w:val="20"/>
                <w:color w:val="auto"/>
              </w:rPr>
            </w:pPr>
            <w:r>
              <w:rPr>
                <w:rFonts w:ascii="Arial" w:cs="Arial" w:eastAsia="Arial" w:hAnsi="Arial"/>
                <w:sz w:val="16"/>
                <w:szCs w:val="16"/>
                <w:color w:val="auto"/>
              </w:rPr>
              <w:t>Chair.</w:t>
            </w:r>
          </w:p>
        </w:tc>
        <w:tc>
          <w:tcPr>
            <w:tcW w:w="0" w:type="dxa"/>
            <w:vAlign w:val="bottom"/>
          </w:tcPr>
          <w:p>
            <w:pPr>
              <w:spacing w:after="0"/>
              <w:rPr>
                <w:sz w:val="1"/>
                <w:szCs w:val="1"/>
                <w:color w:val="auto"/>
              </w:rPr>
            </w:pPr>
          </w:p>
        </w:tc>
      </w:tr>
      <w:tr>
        <w:trPr>
          <w:trHeight w:val="70"/>
        </w:trPr>
        <w:tc>
          <w:tcPr>
            <w:tcW w:w="2320" w:type="dxa"/>
            <w:vAlign w:val="bottom"/>
            <w:tcBorders>
              <w:bottom w:val="single" w:sz="8" w:color="E6E7E8"/>
            </w:tcBorders>
            <w:shd w:val="clear" w:color="auto" w:fill="E6E7E8"/>
          </w:tcPr>
          <w:p>
            <w:pPr>
              <w:spacing w:after="0"/>
              <w:rPr>
                <w:sz w:val="6"/>
                <w:szCs w:val="6"/>
                <w:color w:val="auto"/>
              </w:rPr>
            </w:pPr>
          </w:p>
        </w:tc>
        <w:tc>
          <w:tcPr>
            <w:tcW w:w="160" w:type="dxa"/>
            <w:vAlign w:val="bottom"/>
          </w:tcPr>
          <w:p>
            <w:pPr>
              <w:spacing w:after="0"/>
              <w:rPr>
                <w:sz w:val="6"/>
                <w:szCs w:val="6"/>
                <w:color w:val="auto"/>
              </w:rPr>
            </w:pPr>
          </w:p>
        </w:tc>
        <w:tc>
          <w:tcPr>
            <w:tcW w:w="5320" w:type="dxa"/>
            <w:vAlign w:val="bottom"/>
            <w:tcBorders>
              <w:bottom w:val="single" w:sz="8" w:color="939598"/>
              <w:right w:val="single" w:sz="8" w:color="939598"/>
            </w:tcBorders>
          </w:tcPr>
          <w:p>
            <w:pPr>
              <w:spacing w:after="0"/>
              <w:rPr>
                <w:sz w:val="6"/>
                <w:szCs w:val="6"/>
                <w:color w:val="auto"/>
              </w:rPr>
            </w:pPr>
          </w:p>
        </w:tc>
        <w:tc>
          <w:tcPr>
            <w:tcW w:w="3420" w:type="dxa"/>
            <w:vAlign w:val="bottom"/>
            <w:tcBorders>
              <w:bottom w:val="single" w:sz="8" w:color="939598"/>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320" w:type="dxa"/>
            <w:vAlign w:val="bottom"/>
            <w:shd w:val="clear" w:color="auto" w:fill="E6E7E8"/>
          </w:tcPr>
          <w:p>
            <w:pPr>
              <w:ind w:left="20"/>
              <w:spacing w:after="0"/>
              <w:rPr>
                <w:sz w:val="20"/>
                <w:szCs w:val="20"/>
                <w:color w:val="auto"/>
              </w:rPr>
            </w:pPr>
            <w:r>
              <w:rPr>
                <w:rFonts w:ascii="Arial" w:cs="Arial" w:eastAsia="Arial" w:hAnsi="Arial"/>
                <w:sz w:val="16"/>
                <w:szCs w:val="16"/>
                <w:b w:val="1"/>
                <w:bCs w:val="1"/>
                <w:color w:val="auto"/>
              </w:rPr>
              <w:t>Common Stock Equivalents</w:t>
            </w:r>
          </w:p>
        </w:tc>
        <w:tc>
          <w:tcPr>
            <w:tcW w:w="160" w:type="dxa"/>
            <w:vAlign w:val="bottom"/>
          </w:tcPr>
          <w:p>
            <w:pPr>
              <w:spacing w:after="0"/>
              <w:rPr>
                <w:sz w:val="20"/>
                <w:szCs w:val="20"/>
                <w:color w:val="auto"/>
              </w:rPr>
            </w:pPr>
          </w:p>
        </w:tc>
        <w:tc>
          <w:tcPr>
            <w:tcW w:w="5320" w:type="dxa"/>
            <w:vAlign w:val="bottom"/>
            <w:tcBorders>
              <w:right w:val="single" w:sz="8" w:color="939598"/>
            </w:tcBorders>
          </w:tcPr>
          <w:p>
            <w:pPr>
              <w:ind w:left="2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Automatically credited to each director’s account in the Deferred</w:t>
            </w:r>
          </w:p>
        </w:tc>
        <w:tc>
          <w:tcPr>
            <w:tcW w:w="3420" w:type="dxa"/>
            <w:vAlign w:val="bottom"/>
            <w:vMerge w:val="restart"/>
          </w:tcPr>
          <w:p>
            <w:pPr>
              <w:ind w:left="240"/>
              <w:spacing w:after="0"/>
              <w:rPr>
                <w:sz w:val="20"/>
                <w:szCs w:val="20"/>
                <w:color w:val="auto"/>
              </w:rPr>
            </w:pPr>
            <w:r>
              <w:rPr>
                <w:rFonts w:ascii="Arial" w:cs="Arial" w:eastAsia="Arial" w:hAnsi="Arial"/>
                <w:sz w:val="16"/>
                <w:szCs w:val="16"/>
                <w:color w:val="auto"/>
              </w:rPr>
              <w:t>$60,000 in common stock equivalents per</w:t>
            </w:r>
          </w:p>
        </w:tc>
        <w:tc>
          <w:tcPr>
            <w:tcW w:w="0" w:type="dxa"/>
            <w:vAlign w:val="bottom"/>
          </w:tcPr>
          <w:p>
            <w:pPr>
              <w:spacing w:after="0"/>
              <w:rPr>
                <w:sz w:val="1"/>
                <w:szCs w:val="1"/>
                <w:color w:val="auto"/>
              </w:rPr>
            </w:pPr>
          </w:p>
        </w:tc>
      </w:tr>
      <w:tr>
        <w:trPr>
          <w:trHeight w:val="108"/>
        </w:trPr>
        <w:tc>
          <w:tcPr>
            <w:tcW w:w="2320" w:type="dxa"/>
            <w:vAlign w:val="bottom"/>
            <w:shd w:val="clear" w:color="auto" w:fill="E6E7E8"/>
          </w:tcPr>
          <w:p>
            <w:pPr>
              <w:spacing w:after="0"/>
              <w:rPr>
                <w:sz w:val="9"/>
                <w:szCs w:val="9"/>
                <w:color w:val="auto"/>
              </w:rPr>
            </w:pPr>
          </w:p>
        </w:tc>
        <w:tc>
          <w:tcPr>
            <w:tcW w:w="160" w:type="dxa"/>
            <w:vAlign w:val="bottom"/>
          </w:tcPr>
          <w:p>
            <w:pPr>
              <w:spacing w:after="0"/>
              <w:rPr>
                <w:sz w:val="9"/>
                <w:szCs w:val="9"/>
                <w:color w:val="auto"/>
              </w:rPr>
            </w:pPr>
          </w:p>
        </w:tc>
        <w:tc>
          <w:tcPr>
            <w:tcW w:w="5320" w:type="dxa"/>
            <w:vAlign w:val="bottom"/>
            <w:tcBorders>
              <w:right w:val="single" w:sz="8" w:color="939598"/>
            </w:tcBorders>
            <w:vMerge w:val="restart"/>
          </w:tcPr>
          <w:p>
            <w:pPr>
              <w:ind w:left="220"/>
              <w:spacing w:after="0"/>
              <w:rPr>
                <w:sz w:val="20"/>
                <w:szCs w:val="20"/>
                <w:color w:val="auto"/>
              </w:rPr>
            </w:pPr>
            <w:r>
              <w:rPr>
                <w:rFonts w:ascii="Arial" w:cs="Arial" w:eastAsia="Arial" w:hAnsi="Arial"/>
                <w:sz w:val="16"/>
                <w:szCs w:val="16"/>
                <w:color w:val="auto"/>
              </w:rPr>
              <w:t>Compensation Plan for Non-Employee Directors at the beginning of</w:t>
            </w:r>
          </w:p>
        </w:tc>
        <w:tc>
          <w:tcPr>
            <w:tcW w:w="3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320" w:type="dxa"/>
            <w:vAlign w:val="bottom"/>
            <w:shd w:val="clear" w:color="auto" w:fill="E6E7E8"/>
          </w:tcPr>
          <w:p>
            <w:pPr>
              <w:spacing w:after="0"/>
              <w:rPr>
                <w:sz w:val="8"/>
                <w:szCs w:val="8"/>
                <w:color w:val="auto"/>
              </w:rPr>
            </w:pPr>
          </w:p>
        </w:tc>
        <w:tc>
          <w:tcPr>
            <w:tcW w:w="160" w:type="dxa"/>
            <w:vAlign w:val="bottom"/>
          </w:tcPr>
          <w:p>
            <w:pPr>
              <w:spacing w:after="0"/>
              <w:rPr>
                <w:sz w:val="8"/>
                <w:szCs w:val="8"/>
                <w:color w:val="auto"/>
              </w:rPr>
            </w:pPr>
          </w:p>
        </w:tc>
        <w:tc>
          <w:tcPr>
            <w:tcW w:w="5320" w:type="dxa"/>
            <w:vAlign w:val="bottom"/>
            <w:tcBorders>
              <w:right w:val="single" w:sz="8" w:color="939598"/>
            </w:tcBorders>
            <w:vMerge w:val="continue"/>
          </w:tcPr>
          <w:p>
            <w:pPr>
              <w:spacing w:after="0"/>
              <w:rPr>
                <w:sz w:val="8"/>
                <w:szCs w:val="8"/>
                <w:color w:val="auto"/>
              </w:rPr>
            </w:pPr>
          </w:p>
        </w:tc>
        <w:tc>
          <w:tcPr>
            <w:tcW w:w="3420" w:type="dxa"/>
            <w:vAlign w:val="bottom"/>
            <w:vMerge w:val="restart"/>
          </w:tcPr>
          <w:p>
            <w:pPr>
              <w:ind w:left="240"/>
              <w:spacing w:after="0"/>
              <w:rPr>
                <w:sz w:val="20"/>
                <w:szCs w:val="20"/>
                <w:color w:val="auto"/>
              </w:rPr>
            </w:pPr>
            <w:r>
              <w:rPr>
                <w:rFonts w:ascii="Arial" w:cs="Arial" w:eastAsia="Arial" w:hAnsi="Arial"/>
                <w:sz w:val="16"/>
                <w:szCs w:val="16"/>
                <w:color w:val="auto"/>
              </w:rPr>
              <w:t>annum.</w:t>
            </w:r>
          </w:p>
        </w:tc>
        <w:tc>
          <w:tcPr>
            <w:tcW w:w="0" w:type="dxa"/>
            <w:vAlign w:val="bottom"/>
          </w:tcPr>
          <w:p>
            <w:pPr>
              <w:spacing w:after="0"/>
              <w:rPr>
                <w:sz w:val="1"/>
                <w:szCs w:val="1"/>
                <w:color w:val="auto"/>
              </w:rPr>
            </w:pPr>
          </w:p>
        </w:tc>
      </w:tr>
      <w:tr>
        <w:trPr>
          <w:trHeight w:val="120"/>
        </w:trPr>
        <w:tc>
          <w:tcPr>
            <w:tcW w:w="2320" w:type="dxa"/>
            <w:vAlign w:val="bottom"/>
            <w:shd w:val="clear" w:color="auto" w:fill="E6E7E8"/>
          </w:tcPr>
          <w:p>
            <w:pPr>
              <w:spacing w:after="0"/>
              <w:rPr>
                <w:sz w:val="10"/>
                <w:szCs w:val="10"/>
                <w:color w:val="auto"/>
              </w:rPr>
            </w:pPr>
          </w:p>
        </w:tc>
        <w:tc>
          <w:tcPr>
            <w:tcW w:w="160" w:type="dxa"/>
            <w:vAlign w:val="bottom"/>
          </w:tcPr>
          <w:p>
            <w:pPr>
              <w:spacing w:after="0"/>
              <w:rPr>
                <w:sz w:val="10"/>
                <w:szCs w:val="10"/>
                <w:color w:val="auto"/>
              </w:rPr>
            </w:pPr>
          </w:p>
        </w:tc>
        <w:tc>
          <w:tcPr>
            <w:tcW w:w="5320" w:type="dxa"/>
            <w:vAlign w:val="bottom"/>
            <w:tcBorders>
              <w:right w:val="single" w:sz="8" w:color="939598"/>
            </w:tcBorders>
            <w:vMerge w:val="restart"/>
          </w:tcPr>
          <w:p>
            <w:pPr>
              <w:ind w:left="220"/>
              <w:spacing w:after="0"/>
              <w:rPr>
                <w:sz w:val="20"/>
                <w:szCs w:val="20"/>
                <w:color w:val="auto"/>
              </w:rPr>
            </w:pPr>
            <w:r>
              <w:rPr>
                <w:rFonts w:ascii="Arial" w:cs="Arial" w:eastAsia="Arial" w:hAnsi="Arial"/>
                <w:sz w:val="16"/>
                <w:szCs w:val="16"/>
                <w:color w:val="auto"/>
              </w:rPr>
              <w:t>each calendar year. Dividend equivalents are credited with respect to</w:t>
            </w:r>
          </w:p>
        </w:tc>
        <w:tc>
          <w:tcPr>
            <w:tcW w:w="3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2320" w:type="dxa"/>
            <w:vAlign w:val="bottom"/>
            <w:shd w:val="clear" w:color="auto" w:fill="E6E7E8"/>
          </w:tcPr>
          <w:p>
            <w:pPr>
              <w:spacing w:after="0"/>
              <w:rPr>
                <w:sz w:val="5"/>
                <w:szCs w:val="5"/>
                <w:color w:val="auto"/>
              </w:rPr>
            </w:pPr>
          </w:p>
        </w:tc>
        <w:tc>
          <w:tcPr>
            <w:tcW w:w="160" w:type="dxa"/>
            <w:vAlign w:val="bottom"/>
          </w:tcPr>
          <w:p>
            <w:pPr>
              <w:spacing w:after="0"/>
              <w:rPr>
                <w:sz w:val="5"/>
                <w:szCs w:val="5"/>
                <w:color w:val="auto"/>
              </w:rPr>
            </w:pPr>
          </w:p>
        </w:tc>
        <w:tc>
          <w:tcPr>
            <w:tcW w:w="5320" w:type="dxa"/>
            <w:vAlign w:val="bottom"/>
            <w:tcBorders>
              <w:right w:val="single" w:sz="8" w:color="939598"/>
            </w:tcBorders>
            <w:vMerge w:val="continue"/>
          </w:tcPr>
          <w:p>
            <w:pPr>
              <w:spacing w:after="0"/>
              <w:rPr>
                <w:sz w:val="5"/>
                <w:szCs w:val="5"/>
                <w:color w:val="auto"/>
              </w:rPr>
            </w:pPr>
          </w:p>
        </w:tc>
        <w:tc>
          <w:tcPr>
            <w:tcW w:w="3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2320" w:type="dxa"/>
            <w:vAlign w:val="bottom"/>
            <w:shd w:val="clear" w:color="auto" w:fill="E6E7E8"/>
          </w:tcPr>
          <w:p>
            <w:pPr>
              <w:spacing w:after="0"/>
              <w:rPr>
                <w:sz w:val="18"/>
                <w:szCs w:val="18"/>
                <w:color w:val="auto"/>
              </w:rPr>
            </w:pPr>
          </w:p>
        </w:tc>
        <w:tc>
          <w:tcPr>
            <w:tcW w:w="160" w:type="dxa"/>
            <w:vAlign w:val="bottom"/>
          </w:tcPr>
          <w:p>
            <w:pPr>
              <w:spacing w:after="0"/>
              <w:rPr>
                <w:sz w:val="18"/>
                <w:szCs w:val="18"/>
                <w:color w:val="auto"/>
              </w:rPr>
            </w:pPr>
          </w:p>
        </w:tc>
        <w:tc>
          <w:tcPr>
            <w:tcW w:w="5320" w:type="dxa"/>
            <w:vAlign w:val="bottom"/>
            <w:tcBorders>
              <w:right w:val="single" w:sz="8" w:color="939598"/>
            </w:tcBorders>
          </w:tcPr>
          <w:p>
            <w:pPr>
              <w:ind w:left="220"/>
              <w:spacing w:after="0"/>
              <w:rPr>
                <w:sz w:val="20"/>
                <w:szCs w:val="20"/>
                <w:color w:val="auto"/>
              </w:rPr>
            </w:pPr>
            <w:r>
              <w:rPr>
                <w:rFonts w:ascii="Arial" w:cs="Arial" w:eastAsia="Arial" w:hAnsi="Arial"/>
                <w:sz w:val="16"/>
                <w:szCs w:val="16"/>
                <w:color w:val="auto"/>
              </w:rPr>
              <w:t>these amounts.</w:t>
            </w: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320" w:type="dxa"/>
            <w:vAlign w:val="bottom"/>
            <w:shd w:val="clear" w:color="auto" w:fill="E6E7E8"/>
          </w:tcPr>
          <w:p>
            <w:pPr>
              <w:spacing w:after="0"/>
              <w:rPr>
                <w:sz w:val="21"/>
                <w:szCs w:val="21"/>
                <w:color w:val="auto"/>
              </w:rPr>
            </w:pPr>
          </w:p>
        </w:tc>
        <w:tc>
          <w:tcPr>
            <w:tcW w:w="160" w:type="dxa"/>
            <w:vAlign w:val="bottom"/>
          </w:tcPr>
          <w:p>
            <w:pPr>
              <w:spacing w:after="0"/>
              <w:rPr>
                <w:sz w:val="21"/>
                <w:szCs w:val="21"/>
                <w:color w:val="auto"/>
              </w:rPr>
            </w:pPr>
          </w:p>
        </w:tc>
        <w:tc>
          <w:tcPr>
            <w:tcW w:w="5320" w:type="dxa"/>
            <w:vAlign w:val="bottom"/>
            <w:tcBorders>
              <w:right w:val="single" w:sz="8" w:color="939598"/>
            </w:tcBorders>
          </w:tcPr>
          <w:p>
            <w:pPr>
              <w:ind w:left="2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Payment of these amounts is deferred until termination of Board</w:t>
            </w:r>
          </w:p>
        </w:tc>
        <w:tc>
          <w:tcPr>
            <w:tcW w:w="3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320" w:type="dxa"/>
            <w:vAlign w:val="bottom"/>
            <w:shd w:val="clear" w:color="auto" w:fill="E6E7E8"/>
          </w:tcPr>
          <w:p>
            <w:pPr>
              <w:spacing w:after="0"/>
              <w:rPr>
                <w:sz w:val="17"/>
                <w:szCs w:val="17"/>
                <w:color w:val="auto"/>
              </w:rPr>
            </w:pPr>
          </w:p>
        </w:tc>
        <w:tc>
          <w:tcPr>
            <w:tcW w:w="160" w:type="dxa"/>
            <w:vAlign w:val="bottom"/>
          </w:tcPr>
          <w:p>
            <w:pPr>
              <w:spacing w:after="0"/>
              <w:rPr>
                <w:sz w:val="17"/>
                <w:szCs w:val="17"/>
                <w:color w:val="auto"/>
              </w:rPr>
            </w:pPr>
          </w:p>
        </w:tc>
        <w:tc>
          <w:tcPr>
            <w:tcW w:w="5320" w:type="dxa"/>
            <w:vAlign w:val="bottom"/>
            <w:tcBorders>
              <w:right w:val="single" w:sz="8" w:color="939598"/>
            </w:tcBorders>
          </w:tcPr>
          <w:p>
            <w:pPr>
              <w:ind w:left="220"/>
              <w:spacing w:after="0"/>
              <w:rPr>
                <w:sz w:val="20"/>
                <w:szCs w:val="20"/>
                <w:color w:val="auto"/>
              </w:rPr>
            </w:pPr>
            <w:r>
              <w:rPr>
                <w:rFonts w:ascii="Arial" w:cs="Arial" w:eastAsia="Arial" w:hAnsi="Arial"/>
                <w:sz w:val="16"/>
                <w:szCs w:val="16"/>
                <w:color w:val="auto"/>
              </w:rPr>
              <w:t>service. Payments are made in cash, as either a lump sum or in</w:t>
            </w:r>
          </w:p>
        </w:tc>
        <w:tc>
          <w:tcPr>
            <w:tcW w:w="3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320" w:type="dxa"/>
            <w:vAlign w:val="bottom"/>
            <w:shd w:val="clear" w:color="auto" w:fill="E6E7E8"/>
          </w:tcPr>
          <w:p>
            <w:pPr>
              <w:spacing w:after="0"/>
              <w:rPr>
                <w:sz w:val="18"/>
                <w:szCs w:val="18"/>
                <w:color w:val="auto"/>
              </w:rPr>
            </w:pPr>
          </w:p>
        </w:tc>
        <w:tc>
          <w:tcPr>
            <w:tcW w:w="160" w:type="dxa"/>
            <w:vAlign w:val="bottom"/>
          </w:tcPr>
          <w:p>
            <w:pPr>
              <w:spacing w:after="0"/>
              <w:rPr>
                <w:sz w:val="18"/>
                <w:szCs w:val="18"/>
                <w:color w:val="auto"/>
              </w:rPr>
            </w:pPr>
          </w:p>
        </w:tc>
        <w:tc>
          <w:tcPr>
            <w:tcW w:w="5320" w:type="dxa"/>
            <w:vAlign w:val="bottom"/>
            <w:tcBorders>
              <w:right w:val="single" w:sz="8" w:color="939598"/>
            </w:tcBorders>
          </w:tcPr>
          <w:p>
            <w:pPr>
              <w:ind w:left="220"/>
              <w:spacing w:after="0"/>
              <w:rPr>
                <w:sz w:val="20"/>
                <w:szCs w:val="20"/>
                <w:color w:val="auto"/>
              </w:rPr>
            </w:pPr>
            <w:r>
              <w:rPr>
                <w:rFonts w:ascii="Arial" w:cs="Arial" w:eastAsia="Arial" w:hAnsi="Arial"/>
                <w:sz w:val="16"/>
                <w:szCs w:val="16"/>
                <w:color w:val="auto"/>
              </w:rPr>
              <w:t>equal annual installments.</w:t>
            </w: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2320" w:type="dxa"/>
            <w:vAlign w:val="bottom"/>
            <w:tcBorders>
              <w:bottom w:val="single" w:sz="8" w:color="E6E7E8"/>
            </w:tcBorders>
            <w:shd w:val="clear" w:color="auto" w:fill="E6E7E8"/>
          </w:tcPr>
          <w:p>
            <w:pPr>
              <w:spacing w:after="0"/>
              <w:rPr>
                <w:sz w:val="11"/>
                <w:szCs w:val="11"/>
                <w:color w:val="auto"/>
              </w:rPr>
            </w:pPr>
          </w:p>
        </w:tc>
        <w:tc>
          <w:tcPr>
            <w:tcW w:w="160" w:type="dxa"/>
            <w:vAlign w:val="bottom"/>
          </w:tcPr>
          <w:p>
            <w:pPr>
              <w:spacing w:after="0"/>
              <w:rPr>
                <w:sz w:val="11"/>
                <w:szCs w:val="11"/>
                <w:color w:val="auto"/>
              </w:rPr>
            </w:pPr>
          </w:p>
        </w:tc>
        <w:tc>
          <w:tcPr>
            <w:tcW w:w="5320" w:type="dxa"/>
            <w:vAlign w:val="bottom"/>
            <w:tcBorders>
              <w:bottom w:val="single" w:sz="8" w:color="939598"/>
              <w:right w:val="single" w:sz="8" w:color="939598"/>
            </w:tcBorders>
          </w:tcPr>
          <w:p>
            <w:pPr>
              <w:spacing w:after="0"/>
              <w:rPr>
                <w:sz w:val="11"/>
                <w:szCs w:val="11"/>
                <w:color w:val="auto"/>
              </w:rPr>
            </w:pPr>
          </w:p>
        </w:tc>
        <w:tc>
          <w:tcPr>
            <w:tcW w:w="342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269"/>
        </w:trPr>
        <w:tc>
          <w:tcPr>
            <w:tcW w:w="2320" w:type="dxa"/>
            <w:vAlign w:val="bottom"/>
            <w:vMerge w:val="restart"/>
            <w:shd w:val="clear" w:color="auto" w:fill="E6E7E8"/>
          </w:tcPr>
          <w:p>
            <w:pPr>
              <w:ind w:left="20"/>
              <w:spacing w:after="0"/>
              <w:rPr>
                <w:sz w:val="20"/>
                <w:szCs w:val="20"/>
                <w:color w:val="auto"/>
              </w:rPr>
            </w:pPr>
            <w:r>
              <w:rPr>
                <w:rFonts w:ascii="Arial" w:cs="Arial" w:eastAsia="Arial" w:hAnsi="Arial"/>
                <w:sz w:val="16"/>
                <w:szCs w:val="16"/>
                <w:b w:val="1"/>
                <w:bCs w:val="1"/>
                <w:color w:val="auto"/>
              </w:rPr>
              <w:t>Annual Equity Grants</w:t>
            </w:r>
          </w:p>
        </w:tc>
        <w:tc>
          <w:tcPr>
            <w:tcW w:w="160" w:type="dxa"/>
            <w:vAlign w:val="bottom"/>
          </w:tcPr>
          <w:p>
            <w:pPr>
              <w:spacing w:after="0"/>
              <w:rPr>
                <w:sz w:val="23"/>
                <w:szCs w:val="23"/>
                <w:color w:val="auto"/>
              </w:rPr>
            </w:pPr>
          </w:p>
        </w:tc>
        <w:tc>
          <w:tcPr>
            <w:tcW w:w="5320" w:type="dxa"/>
            <w:vAlign w:val="bottom"/>
            <w:tcBorders>
              <w:right w:val="single" w:sz="8" w:color="939598"/>
            </w:tcBorders>
          </w:tcPr>
          <w:p>
            <w:pPr>
              <w:ind w:left="2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Awarded on the date of the Annual Meeting of Shareowners.</w:t>
            </w:r>
          </w:p>
        </w:tc>
        <w:tc>
          <w:tcPr>
            <w:tcW w:w="3420" w:type="dxa"/>
            <w:vAlign w:val="bottom"/>
            <w:vMerge w:val="restart"/>
          </w:tcPr>
          <w:p>
            <w:pPr>
              <w:ind w:left="240"/>
              <w:spacing w:after="0"/>
              <w:rPr>
                <w:sz w:val="20"/>
                <w:szCs w:val="20"/>
                <w:color w:val="auto"/>
              </w:rPr>
            </w:pPr>
            <w:r>
              <w:rPr>
                <w:rFonts w:ascii="Arial" w:cs="Arial" w:eastAsia="Arial" w:hAnsi="Arial"/>
                <w:sz w:val="16"/>
                <w:szCs w:val="16"/>
                <w:color w:val="auto"/>
              </w:rPr>
              <w:t>$130,000 target value per annum.</w:t>
            </w:r>
          </w:p>
        </w:tc>
        <w:tc>
          <w:tcPr>
            <w:tcW w:w="0" w:type="dxa"/>
            <w:vAlign w:val="bottom"/>
          </w:tcPr>
          <w:p>
            <w:pPr>
              <w:spacing w:after="0"/>
              <w:rPr>
                <w:sz w:val="1"/>
                <w:szCs w:val="1"/>
                <w:color w:val="auto"/>
              </w:rPr>
            </w:pPr>
          </w:p>
        </w:tc>
      </w:tr>
      <w:tr>
        <w:trPr>
          <w:trHeight w:val="108"/>
        </w:trPr>
        <w:tc>
          <w:tcPr>
            <w:tcW w:w="2320" w:type="dxa"/>
            <w:vAlign w:val="bottom"/>
            <w:vMerge w:val="continue"/>
            <w:shd w:val="clear" w:color="auto" w:fill="E6E7E8"/>
          </w:tcPr>
          <w:p>
            <w:pPr>
              <w:spacing w:after="0"/>
              <w:rPr>
                <w:sz w:val="9"/>
                <w:szCs w:val="9"/>
                <w:color w:val="auto"/>
              </w:rPr>
            </w:pPr>
          </w:p>
        </w:tc>
        <w:tc>
          <w:tcPr>
            <w:tcW w:w="160" w:type="dxa"/>
            <w:vAlign w:val="bottom"/>
          </w:tcPr>
          <w:p>
            <w:pPr>
              <w:spacing w:after="0"/>
              <w:rPr>
                <w:sz w:val="9"/>
                <w:szCs w:val="9"/>
                <w:color w:val="auto"/>
              </w:rPr>
            </w:pPr>
          </w:p>
        </w:tc>
        <w:tc>
          <w:tcPr>
            <w:tcW w:w="5320" w:type="dxa"/>
            <w:vAlign w:val="bottom"/>
            <w:tcBorders>
              <w:right w:val="single" w:sz="8" w:color="939598"/>
            </w:tcBorders>
            <w:vMerge w:val="restart"/>
          </w:tcPr>
          <w:p>
            <w:pPr>
              <w:ind w:left="2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Each non-employee director receives an annual equity grant with a</w:t>
            </w:r>
          </w:p>
        </w:tc>
        <w:tc>
          <w:tcPr>
            <w:tcW w:w="3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320" w:type="dxa"/>
            <w:vAlign w:val="bottom"/>
            <w:shd w:val="clear" w:color="auto" w:fill="E6E7E8"/>
          </w:tcPr>
          <w:p>
            <w:pPr>
              <w:spacing w:after="0"/>
              <w:rPr>
                <w:sz w:val="11"/>
                <w:szCs w:val="11"/>
                <w:color w:val="auto"/>
              </w:rPr>
            </w:pPr>
          </w:p>
        </w:tc>
        <w:tc>
          <w:tcPr>
            <w:tcW w:w="160" w:type="dxa"/>
            <w:vAlign w:val="bottom"/>
          </w:tcPr>
          <w:p>
            <w:pPr>
              <w:spacing w:after="0"/>
              <w:rPr>
                <w:sz w:val="11"/>
                <w:szCs w:val="11"/>
                <w:color w:val="auto"/>
              </w:rPr>
            </w:pPr>
          </w:p>
        </w:tc>
        <w:tc>
          <w:tcPr>
            <w:tcW w:w="5320" w:type="dxa"/>
            <w:vAlign w:val="bottom"/>
            <w:tcBorders>
              <w:right w:val="single" w:sz="8" w:color="939598"/>
            </w:tcBorders>
            <w:vMerge w:val="continue"/>
          </w:tcPr>
          <w:p>
            <w:pPr>
              <w:spacing w:after="0"/>
              <w:rPr>
                <w:sz w:val="11"/>
                <w:szCs w:val="11"/>
                <w:color w:val="auto"/>
              </w:rPr>
            </w:pPr>
          </w:p>
        </w:tc>
        <w:tc>
          <w:tcPr>
            <w:tcW w:w="3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320" w:type="dxa"/>
            <w:vAlign w:val="bottom"/>
            <w:shd w:val="clear" w:color="auto" w:fill="E6E7E8"/>
          </w:tcPr>
          <w:p>
            <w:pPr>
              <w:spacing w:after="0"/>
              <w:rPr>
                <w:sz w:val="16"/>
                <w:szCs w:val="16"/>
                <w:color w:val="auto"/>
              </w:rPr>
            </w:pPr>
          </w:p>
        </w:tc>
        <w:tc>
          <w:tcPr>
            <w:tcW w:w="160" w:type="dxa"/>
            <w:vAlign w:val="bottom"/>
          </w:tcPr>
          <w:p>
            <w:pPr>
              <w:spacing w:after="0"/>
              <w:rPr>
                <w:sz w:val="16"/>
                <w:szCs w:val="16"/>
                <w:color w:val="auto"/>
              </w:rPr>
            </w:pPr>
          </w:p>
        </w:tc>
        <w:tc>
          <w:tcPr>
            <w:tcW w:w="5320" w:type="dxa"/>
            <w:vAlign w:val="bottom"/>
            <w:tcBorders>
              <w:right w:val="single" w:sz="8" w:color="939598"/>
            </w:tcBorders>
          </w:tcPr>
          <w:p>
            <w:pPr>
              <w:ind w:left="220"/>
              <w:spacing w:after="0"/>
              <w:rPr>
                <w:sz w:val="20"/>
                <w:szCs w:val="20"/>
                <w:color w:val="auto"/>
              </w:rPr>
            </w:pPr>
            <w:r>
              <w:rPr>
                <w:rFonts w:ascii="Arial" w:cs="Arial" w:eastAsia="Arial" w:hAnsi="Arial"/>
                <w:sz w:val="16"/>
                <w:szCs w:val="16"/>
                <w:color w:val="auto"/>
              </w:rPr>
              <w:t>target value of $130,000, in the form of Restricted Stock Units</w:t>
            </w:r>
          </w:p>
        </w:tc>
        <w:tc>
          <w:tcPr>
            <w:tcW w:w="3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320" w:type="dxa"/>
            <w:vAlign w:val="bottom"/>
            <w:shd w:val="clear" w:color="auto" w:fill="E6E7E8"/>
          </w:tcPr>
          <w:p>
            <w:pPr>
              <w:spacing w:after="0"/>
              <w:rPr>
                <w:sz w:val="18"/>
                <w:szCs w:val="18"/>
                <w:color w:val="auto"/>
              </w:rPr>
            </w:pPr>
          </w:p>
        </w:tc>
        <w:tc>
          <w:tcPr>
            <w:tcW w:w="160" w:type="dxa"/>
            <w:vAlign w:val="bottom"/>
          </w:tcPr>
          <w:p>
            <w:pPr>
              <w:spacing w:after="0"/>
              <w:rPr>
                <w:sz w:val="18"/>
                <w:szCs w:val="18"/>
                <w:color w:val="auto"/>
              </w:rPr>
            </w:pPr>
          </w:p>
        </w:tc>
        <w:tc>
          <w:tcPr>
            <w:tcW w:w="5320" w:type="dxa"/>
            <w:vAlign w:val="bottom"/>
            <w:tcBorders>
              <w:right w:val="single" w:sz="8" w:color="939598"/>
            </w:tcBorders>
          </w:tcPr>
          <w:p>
            <w:pPr>
              <w:ind w:left="220"/>
              <w:spacing w:after="0"/>
              <w:rPr>
                <w:sz w:val="20"/>
                <w:szCs w:val="20"/>
                <w:color w:val="auto"/>
              </w:rPr>
            </w:pPr>
            <w:r>
              <w:rPr>
                <w:rFonts w:ascii="Arial" w:cs="Arial" w:eastAsia="Arial" w:hAnsi="Arial"/>
                <w:sz w:val="16"/>
                <w:szCs w:val="16"/>
                <w:color w:val="auto"/>
              </w:rPr>
              <w:t>(RSUs).</w:t>
            </w: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2320" w:type="dxa"/>
            <w:vAlign w:val="bottom"/>
            <w:shd w:val="clear" w:color="auto" w:fill="E6E7E8"/>
          </w:tcPr>
          <w:p>
            <w:pPr>
              <w:spacing w:after="0"/>
              <w:rPr>
                <w:sz w:val="22"/>
                <w:szCs w:val="22"/>
                <w:color w:val="auto"/>
              </w:rPr>
            </w:pPr>
          </w:p>
        </w:tc>
        <w:tc>
          <w:tcPr>
            <w:tcW w:w="160" w:type="dxa"/>
            <w:vAlign w:val="bottom"/>
          </w:tcPr>
          <w:p>
            <w:pPr>
              <w:spacing w:after="0"/>
              <w:rPr>
                <w:sz w:val="22"/>
                <w:szCs w:val="22"/>
                <w:color w:val="auto"/>
              </w:rPr>
            </w:pPr>
          </w:p>
        </w:tc>
        <w:tc>
          <w:tcPr>
            <w:tcW w:w="5320" w:type="dxa"/>
            <w:vAlign w:val="bottom"/>
            <w:tcBorders>
              <w:right w:val="single" w:sz="8" w:color="939598"/>
            </w:tcBorders>
          </w:tcPr>
          <w:p>
            <w:pPr>
              <w:ind w:left="2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Annual RSUs vest on the earliest of (i) the April 15th immediately</w:t>
            </w:r>
          </w:p>
        </w:tc>
        <w:tc>
          <w:tcPr>
            <w:tcW w:w="3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320" w:type="dxa"/>
            <w:vAlign w:val="bottom"/>
            <w:shd w:val="clear" w:color="auto" w:fill="E6E7E8"/>
          </w:tcPr>
          <w:p>
            <w:pPr>
              <w:spacing w:after="0"/>
              <w:rPr>
                <w:sz w:val="16"/>
                <w:szCs w:val="16"/>
                <w:color w:val="auto"/>
              </w:rPr>
            </w:pPr>
          </w:p>
        </w:tc>
        <w:tc>
          <w:tcPr>
            <w:tcW w:w="160" w:type="dxa"/>
            <w:vAlign w:val="bottom"/>
          </w:tcPr>
          <w:p>
            <w:pPr>
              <w:spacing w:after="0"/>
              <w:rPr>
                <w:sz w:val="16"/>
                <w:szCs w:val="16"/>
                <w:color w:val="auto"/>
              </w:rPr>
            </w:pPr>
          </w:p>
        </w:tc>
        <w:tc>
          <w:tcPr>
            <w:tcW w:w="5320" w:type="dxa"/>
            <w:vAlign w:val="bottom"/>
            <w:tcBorders>
              <w:right w:val="single" w:sz="8" w:color="939598"/>
            </w:tcBorders>
          </w:tcPr>
          <w:p>
            <w:pPr>
              <w:ind w:left="220"/>
              <w:spacing w:after="0"/>
              <w:rPr>
                <w:sz w:val="20"/>
                <w:szCs w:val="20"/>
                <w:color w:val="auto"/>
              </w:rPr>
            </w:pPr>
            <w:r>
              <w:rPr>
                <w:rFonts w:ascii="Arial" w:cs="Arial" w:eastAsia="Arial" w:hAnsi="Arial"/>
                <w:sz w:val="16"/>
                <w:szCs w:val="16"/>
                <w:color w:val="auto"/>
              </w:rPr>
              <w:t>preceding the first anniversary of the grant date, (ii) the director’s</w:t>
            </w:r>
          </w:p>
        </w:tc>
        <w:tc>
          <w:tcPr>
            <w:tcW w:w="3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20" w:type="dxa"/>
            <w:vAlign w:val="bottom"/>
            <w:shd w:val="clear" w:color="auto" w:fill="E6E7E8"/>
          </w:tcPr>
          <w:p>
            <w:pPr>
              <w:spacing w:after="0"/>
              <w:rPr>
                <w:sz w:val="16"/>
                <w:szCs w:val="16"/>
                <w:color w:val="auto"/>
              </w:rPr>
            </w:pPr>
          </w:p>
        </w:tc>
        <w:tc>
          <w:tcPr>
            <w:tcW w:w="160" w:type="dxa"/>
            <w:vAlign w:val="bottom"/>
          </w:tcPr>
          <w:p>
            <w:pPr>
              <w:spacing w:after="0"/>
              <w:rPr>
                <w:sz w:val="16"/>
                <w:szCs w:val="16"/>
                <w:color w:val="auto"/>
              </w:rPr>
            </w:pPr>
          </w:p>
        </w:tc>
        <w:tc>
          <w:tcPr>
            <w:tcW w:w="5320" w:type="dxa"/>
            <w:vAlign w:val="bottom"/>
            <w:tcBorders>
              <w:right w:val="single" w:sz="8" w:color="939598"/>
            </w:tcBorders>
          </w:tcPr>
          <w:p>
            <w:pPr>
              <w:ind w:left="220"/>
              <w:spacing w:after="0"/>
              <w:rPr>
                <w:sz w:val="20"/>
                <w:szCs w:val="20"/>
                <w:color w:val="auto"/>
              </w:rPr>
            </w:pPr>
            <w:r>
              <w:rPr>
                <w:rFonts w:ascii="Arial" w:cs="Arial" w:eastAsia="Arial" w:hAnsi="Arial"/>
                <w:sz w:val="16"/>
                <w:szCs w:val="16"/>
                <w:color w:val="auto"/>
              </w:rPr>
              <w:t>termination of service due to death or disability, (iii) the occurrence of</w:t>
            </w:r>
          </w:p>
        </w:tc>
        <w:tc>
          <w:tcPr>
            <w:tcW w:w="3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320" w:type="dxa"/>
            <w:vAlign w:val="bottom"/>
            <w:shd w:val="clear" w:color="auto" w:fill="E6E7E8"/>
          </w:tcPr>
          <w:p>
            <w:pPr>
              <w:spacing w:after="0"/>
              <w:rPr>
                <w:sz w:val="17"/>
                <w:szCs w:val="17"/>
                <w:color w:val="auto"/>
              </w:rPr>
            </w:pPr>
          </w:p>
        </w:tc>
        <w:tc>
          <w:tcPr>
            <w:tcW w:w="160" w:type="dxa"/>
            <w:vAlign w:val="bottom"/>
          </w:tcPr>
          <w:p>
            <w:pPr>
              <w:spacing w:after="0"/>
              <w:rPr>
                <w:sz w:val="17"/>
                <w:szCs w:val="17"/>
                <w:color w:val="auto"/>
              </w:rPr>
            </w:pPr>
          </w:p>
        </w:tc>
        <w:tc>
          <w:tcPr>
            <w:tcW w:w="5320" w:type="dxa"/>
            <w:vAlign w:val="bottom"/>
            <w:tcBorders>
              <w:right w:val="single" w:sz="8" w:color="939598"/>
            </w:tcBorders>
          </w:tcPr>
          <w:p>
            <w:pPr>
              <w:ind w:left="220"/>
              <w:spacing w:after="0"/>
              <w:rPr>
                <w:sz w:val="20"/>
                <w:szCs w:val="20"/>
                <w:color w:val="auto"/>
              </w:rPr>
            </w:pPr>
            <w:r>
              <w:rPr>
                <w:rFonts w:ascii="Arial" w:cs="Arial" w:eastAsia="Arial" w:hAnsi="Arial"/>
                <w:sz w:val="16"/>
                <w:szCs w:val="16"/>
                <w:color w:val="auto"/>
              </w:rPr>
              <w:t>a Change in Control, or (iv) the voluntary termination of service on or</w:t>
            </w:r>
          </w:p>
        </w:tc>
        <w:tc>
          <w:tcPr>
            <w:tcW w:w="3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320" w:type="dxa"/>
            <w:vAlign w:val="bottom"/>
            <w:shd w:val="clear" w:color="auto" w:fill="E6E7E8"/>
          </w:tcPr>
          <w:p>
            <w:pPr>
              <w:spacing w:after="0"/>
              <w:rPr>
                <w:sz w:val="16"/>
                <w:szCs w:val="16"/>
                <w:color w:val="auto"/>
              </w:rPr>
            </w:pPr>
          </w:p>
        </w:tc>
        <w:tc>
          <w:tcPr>
            <w:tcW w:w="160" w:type="dxa"/>
            <w:vAlign w:val="bottom"/>
          </w:tcPr>
          <w:p>
            <w:pPr>
              <w:spacing w:after="0"/>
              <w:rPr>
                <w:sz w:val="16"/>
                <w:szCs w:val="16"/>
                <w:color w:val="auto"/>
              </w:rPr>
            </w:pPr>
          </w:p>
        </w:tc>
        <w:tc>
          <w:tcPr>
            <w:tcW w:w="5320" w:type="dxa"/>
            <w:vAlign w:val="bottom"/>
            <w:tcBorders>
              <w:right w:val="single" w:sz="8" w:color="939598"/>
            </w:tcBorders>
          </w:tcPr>
          <w:p>
            <w:pPr>
              <w:ind w:left="220"/>
              <w:spacing w:after="0"/>
              <w:rPr>
                <w:sz w:val="20"/>
                <w:szCs w:val="20"/>
                <w:color w:val="auto"/>
              </w:rPr>
            </w:pPr>
            <w:r>
              <w:rPr>
                <w:rFonts w:ascii="Arial" w:cs="Arial" w:eastAsia="Arial" w:hAnsi="Arial"/>
                <w:sz w:val="16"/>
                <w:szCs w:val="16"/>
                <w:color w:val="auto"/>
              </w:rPr>
              <w:t>after the director’s tenth anniversary as a Board member in good</w:t>
            </w:r>
          </w:p>
        </w:tc>
        <w:tc>
          <w:tcPr>
            <w:tcW w:w="3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320" w:type="dxa"/>
            <w:vAlign w:val="bottom"/>
            <w:shd w:val="clear" w:color="auto" w:fill="E6E7E8"/>
          </w:tcPr>
          <w:p>
            <w:pPr>
              <w:spacing w:after="0"/>
              <w:rPr>
                <w:sz w:val="18"/>
                <w:szCs w:val="18"/>
                <w:color w:val="auto"/>
              </w:rPr>
            </w:pPr>
          </w:p>
        </w:tc>
        <w:tc>
          <w:tcPr>
            <w:tcW w:w="160" w:type="dxa"/>
            <w:vAlign w:val="bottom"/>
          </w:tcPr>
          <w:p>
            <w:pPr>
              <w:spacing w:after="0"/>
              <w:rPr>
                <w:sz w:val="18"/>
                <w:szCs w:val="18"/>
                <w:color w:val="auto"/>
              </w:rPr>
            </w:pPr>
          </w:p>
        </w:tc>
        <w:tc>
          <w:tcPr>
            <w:tcW w:w="5320" w:type="dxa"/>
            <w:vAlign w:val="bottom"/>
            <w:tcBorders>
              <w:right w:val="single" w:sz="8" w:color="939598"/>
            </w:tcBorders>
          </w:tcPr>
          <w:p>
            <w:pPr>
              <w:ind w:left="220"/>
              <w:spacing w:after="0"/>
              <w:rPr>
                <w:sz w:val="20"/>
                <w:szCs w:val="20"/>
                <w:color w:val="auto"/>
              </w:rPr>
            </w:pPr>
            <w:r>
              <w:rPr>
                <w:rFonts w:ascii="Arial" w:cs="Arial" w:eastAsia="Arial" w:hAnsi="Arial"/>
                <w:sz w:val="16"/>
                <w:szCs w:val="16"/>
                <w:color w:val="auto"/>
              </w:rPr>
              <w:t>standing.</w:t>
            </w: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2320" w:type="dxa"/>
            <w:vAlign w:val="bottom"/>
            <w:tcBorders>
              <w:bottom w:val="single" w:sz="8" w:color="D7282F"/>
            </w:tcBorders>
            <w:shd w:val="clear" w:color="auto" w:fill="E6E7E8"/>
          </w:tcPr>
          <w:p>
            <w:pPr>
              <w:spacing w:after="0"/>
              <w:rPr>
                <w:sz w:val="13"/>
                <w:szCs w:val="13"/>
                <w:color w:val="auto"/>
              </w:rPr>
            </w:pPr>
          </w:p>
        </w:tc>
        <w:tc>
          <w:tcPr>
            <w:tcW w:w="160" w:type="dxa"/>
            <w:vAlign w:val="bottom"/>
            <w:tcBorders>
              <w:bottom w:val="single" w:sz="8" w:color="D7282F"/>
            </w:tcBorders>
          </w:tcPr>
          <w:p>
            <w:pPr>
              <w:spacing w:after="0"/>
              <w:rPr>
                <w:sz w:val="13"/>
                <w:szCs w:val="13"/>
                <w:color w:val="auto"/>
              </w:rPr>
            </w:pPr>
          </w:p>
        </w:tc>
        <w:tc>
          <w:tcPr>
            <w:tcW w:w="5320" w:type="dxa"/>
            <w:vAlign w:val="bottom"/>
            <w:tcBorders>
              <w:bottom w:val="single" w:sz="8" w:color="D7282F"/>
              <w:right w:val="single" w:sz="8" w:color="939598"/>
            </w:tcBorders>
          </w:tcPr>
          <w:p>
            <w:pPr>
              <w:spacing w:after="0"/>
              <w:rPr>
                <w:sz w:val="13"/>
                <w:szCs w:val="13"/>
                <w:color w:val="auto"/>
              </w:rPr>
            </w:pPr>
          </w:p>
        </w:tc>
        <w:tc>
          <w:tcPr>
            <w:tcW w:w="3420" w:type="dxa"/>
            <w:vAlign w:val="bottom"/>
            <w:tcBorders>
              <w:bottom w:val="single" w:sz="8" w:color="D7282F"/>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-1482090</wp:posOffset>
            </wp:positionV>
            <wp:extent cx="147447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-2536825</wp:posOffset>
            </wp:positionV>
            <wp:extent cx="147447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-3763010</wp:posOffset>
            </wp:positionV>
            <wp:extent cx="147447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-4114165</wp:posOffset>
            </wp:positionV>
            <wp:extent cx="147447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-4405630</wp:posOffset>
            </wp:positionV>
            <wp:extent cx="156845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97"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48</w:t>
      </w:r>
      <w:r>
        <w:rPr>
          <w:sz w:val="20"/>
          <w:szCs w:val="20"/>
          <w:color w:val="auto"/>
        </w:rPr>
        <w:tab/>
      </w:r>
      <w:r>
        <w:rPr>
          <w:sz w:val="1"/>
          <w:szCs w:val="1"/>
          <w:color w:val="auto"/>
        </w:rPr>
        <w:drawing>
          <wp:inline distT="0" distB="0" distL="0" distR="0">
            <wp:extent cx="548640" cy="102870"/>
            <wp:effectExtent l="0" t="0" r="0" b="0"/>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2026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3" w:right="359" w:bottom="1440" w:gutter="0" w:footer="0" w:header="0"/>
        </w:sectPr>
      </w:pPr>
    </w:p>
    <w:bookmarkStart w:id="53" w:name="page54"/>
    <w:bookmarkEnd w:id="53"/>
    <w:p>
      <w:pPr>
        <w:jc w:val="right"/>
        <w:spacing w:after="0"/>
        <w:rPr>
          <w:sz w:val="20"/>
          <w:szCs w:val="20"/>
          <w:color w:val="auto"/>
        </w:rPr>
      </w:pPr>
      <w:r>
        <w:rPr>
          <w:rFonts w:ascii="Arial" w:cs="Arial" w:eastAsia="Arial" w:hAnsi="Arial"/>
          <w:sz w:val="13"/>
          <w:szCs w:val="13"/>
          <w:b w:val="1"/>
          <w:bCs w:val="1"/>
          <w:color w:val="6D6E71"/>
        </w:rPr>
        <w:t>DIRECTOR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DEFERRED COMPENSATION</w:t>
      </w:r>
    </w:p>
    <w:p>
      <w:pPr>
        <w:spacing w:after="0" w:line="128"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Non-employee directors may elect to defer all or any portion of their annual cash retainers and fees, until a specified calendar year or termination of Board service. Compensation is credited to their accounts in the Deferred Compensation Plan for Non-Employee Directors. Amounts credited either accrue interest (4.91% for 2025) or are valued as if invested in a Honeywell common stock fund or one of the other funds available to participants in our employee savings plan as elected by the participant. The unit price of the Honeywell common stock fund is increased to take dividends into account. In addition to payments at the termination of Board service, upon a Change in Control, as defined in the Non-Employee Director Plan, a director may receive a lump-sum payment for amounts deferred before 2006 pursuant to a prior election.</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CHARITABLE MATCH</w:t>
      </w:r>
    </w:p>
    <w:p>
      <w:pPr>
        <w:spacing w:after="0" w:line="128"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Honeywell also matches, dollar for dollar, any charitable contribution made by a director to any qualified charity, up to an aggregate maximum of $25,000 per director, per calendar year.</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OTHER BENEFITS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Directors may utilize available Company aircraft for travel to and from Board and committee meetings, and non-employee directors are provided with</w:t>
      </w:r>
    </w:p>
    <w:p>
      <w:pPr>
        <w:spacing w:after="0" w:line="31" w:lineRule="exact"/>
        <w:rPr>
          <w:sz w:val="20"/>
          <w:szCs w:val="20"/>
          <w:color w:val="auto"/>
        </w:rPr>
      </w:pPr>
    </w:p>
    <w:p>
      <w:pPr>
        <w:ind w:right="240"/>
        <w:spacing w:after="0" w:line="270" w:lineRule="auto"/>
        <w:rPr>
          <w:sz w:val="20"/>
          <w:szCs w:val="20"/>
          <w:color w:val="auto"/>
        </w:rPr>
      </w:pPr>
      <w:r>
        <w:rPr>
          <w:rFonts w:ascii="Arial" w:cs="Arial" w:eastAsia="Arial" w:hAnsi="Arial"/>
          <w:sz w:val="16"/>
          <w:szCs w:val="16"/>
          <w:color w:val="auto"/>
        </w:rPr>
        <w:t>$350,000 in business travel accident insurance. In addition, directors elected to the Board prior to September 2008 are provided with $100,000 in term life insurance on a grandfathered basis (benefit eliminated prospectively).</w:t>
      </w:r>
    </w:p>
    <w:p>
      <w:pPr>
        <w:spacing w:after="0" w:line="19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COMPENSATION UPON ELECTION TO BOARD</w:t>
      </w:r>
    </w:p>
    <w:p>
      <w:pPr>
        <w:spacing w:after="0" w:line="128"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Newly appointed directors are awarded the regular elements of annual director compensation determined on a prorated basis upon joining the Board. Prorated annual equity grants to new directors will be made on substantially the same terms and conditions as the annual grant made to other non-employee directors of the Company.</w:t>
      </w:r>
    </w:p>
    <w:p>
      <w:pPr>
        <w:spacing w:after="0" w:line="247"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2025 DIRECTOR COMPENSATION TABLE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2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Change in</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jc w:val="right"/>
              <w:ind w:right="248"/>
              <w:spacing w:after="0"/>
              <w:rPr>
                <w:sz w:val="20"/>
                <w:szCs w:val="20"/>
                <w:color w:val="auto"/>
              </w:rPr>
            </w:pPr>
            <w:r>
              <w:rPr>
                <w:rFonts w:ascii="Arial" w:cs="Arial" w:eastAsia="Arial" w:hAnsi="Arial"/>
                <w:sz w:val="14"/>
                <w:szCs w:val="14"/>
                <w:b w:val="1"/>
                <w:bCs w:val="1"/>
                <w:color w:val="auto"/>
              </w:rPr>
              <w:t>Pension</w:t>
            </w: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2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Value and</w:t>
            </w: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60" w:type="dxa"/>
            <w:vAlign w:val="bottom"/>
          </w:tcPr>
          <w:p>
            <w:pPr>
              <w:spacing w:after="0"/>
              <w:rPr>
                <w:sz w:val="15"/>
                <w:szCs w:val="15"/>
                <w:color w:val="auto"/>
              </w:rPr>
            </w:pPr>
          </w:p>
        </w:tc>
        <w:tc>
          <w:tcPr>
            <w:tcW w:w="1980" w:type="dxa"/>
            <w:vAlign w:val="bottom"/>
          </w:tcPr>
          <w:p>
            <w:pPr>
              <w:jc w:val="right"/>
              <w:ind w:right="148"/>
              <w:spacing w:after="0"/>
              <w:rPr>
                <w:sz w:val="20"/>
                <w:szCs w:val="20"/>
                <w:color w:val="auto"/>
              </w:rPr>
            </w:pPr>
            <w:r>
              <w:rPr>
                <w:rFonts w:ascii="Arial" w:cs="Arial" w:eastAsia="Arial" w:hAnsi="Arial"/>
                <w:sz w:val="14"/>
                <w:szCs w:val="14"/>
                <w:b w:val="1"/>
                <w:bCs w:val="1"/>
                <w:color w:val="auto"/>
              </w:rPr>
              <w:t>Fees</w:t>
            </w: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2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Nonqualified</w:t>
            </w: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1980" w:type="dxa"/>
            <w:vAlign w:val="bottom"/>
          </w:tcPr>
          <w:p>
            <w:pPr>
              <w:jc w:val="right"/>
              <w:ind w:right="148"/>
              <w:spacing w:after="0"/>
              <w:rPr>
                <w:sz w:val="20"/>
                <w:szCs w:val="20"/>
                <w:color w:val="auto"/>
              </w:rPr>
            </w:pPr>
            <w:r>
              <w:rPr>
                <w:rFonts w:ascii="Arial" w:cs="Arial" w:eastAsia="Arial" w:hAnsi="Arial"/>
                <w:sz w:val="14"/>
                <w:szCs w:val="14"/>
                <w:b w:val="1"/>
                <w:bCs w:val="1"/>
                <w:color w:val="auto"/>
              </w:rPr>
              <w:t>Earned</w:t>
            </w: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jc w:val="right"/>
              <w:ind w:right="248"/>
              <w:spacing w:after="0"/>
              <w:rPr>
                <w:sz w:val="20"/>
                <w:szCs w:val="20"/>
                <w:color w:val="auto"/>
              </w:rPr>
            </w:pPr>
            <w:r>
              <w:rPr>
                <w:rFonts w:ascii="Arial" w:cs="Arial" w:eastAsia="Arial" w:hAnsi="Arial"/>
                <w:sz w:val="14"/>
                <w:szCs w:val="14"/>
                <w:b w:val="1"/>
                <w:bCs w:val="1"/>
                <w:color w:val="auto"/>
              </w:rPr>
              <w:t>Deferred</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Director Name</w:t>
            </w:r>
          </w:p>
        </w:tc>
        <w:tc>
          <w:tcPr>
            <w:tcW w:w="1980" w:type="dxa"/>
            <w:vAlign w:val="bottom"/>
          </w:tcPr>
          <w:p>
            <w:pPr>
              <w:jc w:val="right"/>
              <w:ind w:right="148"/>
              <w:spacing w:after="0"/>
              <w:rPr>
                <w:sz w:val="20"/>
                <w:szCs w:val="20"/>
                <w:color w:val="auto"/>
              </w:rPr>
            </w:pPr>
            <w:r>
              <w:rPr>
                <w:rFonts w:ascii="Arial" w:cs="Arial" w:eastAsia="Arial" w:hAnsi="Arial"/>
                <w:sz w:val="14"/>
                <w:szCs w:val="14"/>
                <w:b w:val="1"/>
                <w:bCs w:val="1"/>
                <w:color w:val="auto"/>
              </w:rPr>
              <w:t>or Paid in</w:t>
            </w:r>
          </w:p>
        </w:tc>
        <w:tc>
          <w:tcPr>
            <w:tcW w:w="1220" w:type="dxa"/>
            <w:vAlign w:val="bottom"/>
          </w:tcPr>
          <w:p>
            <w:pPr>
              <w:jc w:val="right"/>
              <w:ind w:right="68"/>
              <w:spacing w:after="0"/>
              <w:rPr>
                <w:sz w:val="20"/>
                <w:szCs w:val="20"/>
                <w:color w:val="auto"/>
              </w:rPr>
            </w:pPr>
            <w:r>
              <w:rPr>
                <w:rFonts w:ascii="Arial" w:cs="Arial" w:eastAsia="Arial" w:hAnsi="Arial"/>
                <w:sz w:val="14"/>
                <w:szCs w:val="14"/>
                <w:b w:val="1"/>
                <w:bCs w:val="1"/>
                <w:color w:val="auto"/>
              </w:rPr>
              <w:t>Stock</w:t>
            </w:r>
          </w:p>
        </w:tc>
        <w:tc>
          <w:tcPr>
            <w:tcW w:w="280" w:type="dxa"/>
            <w:vAlign w:val="bottom"/>
          </w:tcPr>
          <w:p>
            <w:pPr>
              <w:spacing w:after="0"/>
              <w:rPr>
                <w:sz w:val="15"/>
                <w:szCs w:val="15"/>
                <w:color w:val="auto"/>
              </w:rPr>
            </w:pPr>
          </w:p>
        </w:tc>
        <w:tc>
          <w:tcPr>
            <w:tcW w:w="1120" w:type="dxa"/>
            <w:vAlign w:val="bottom"/>
          </w:tcPr>
          <w:p>
            <w:pPr>
              <w:jc w:val="right"/>
              <w:ind w:right="228"/>
              <w:spacing w:after="0"/>
              <w:rPr>
                <w:sz w:val="20"/>
                <w:szCs w:val="20"/>
                <w:color w:val="auto"/>
              </w:rPr>
            </w:pPr>
            <w:r>
              <w:rPr>
                <w:rFonts w:ascii="Arial" w:cs="Arial" w:eastAsia="Arial" w:hAnsi="Arial"/>
                <w:sz w:val="14"/>
                <w:szCs w:val="14"/>
                <w:b w:val="1"/>
                <w:bCs w:val="1"/>
                <w:color w:val="auto"/>
              </w:rPr>
              <w:t>Option</w:t>
            </w:r>
          </w:p>
        </w:tc>
        <w:tc>
          <w:tcPr>
            <w:tcW w:w="162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Compensation</w:t>
            </w:r>
          </w:p>
        </w:tc>
        <w:tc>
          <w:tcPr>
            <w:tcW w:w="78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auto"/>
              </w:rPr>
              <w:t>All Other</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460" w:type="dxa"/>
            <w:vAlign w:val="bottom"/>
            <w:vMerge w:val="continue"/>
          </w:tcPr>
          <w:p>
            <w:pPr>
              <w:spacing w:after="0"/>
              <w:rPr>
                <w:sz w:val="8"/>
                <w:szCs w:val="8"/>
                <w:color w:val="auto"/>
              </w:rPr>
            </w:pPr>
          </w:p>
        </w:tc>
        <w:tc>
          <w:tcPr>
            <w:tcW w:w="19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Cash</w:t>
            </w:r>
            <w:r>
              <w:rPr>
                <w:rFonts w:ascii="Arial" w:cs="Arial" w:eastAsia="Arial" w:hAnsi="Arial"/>
                <w:sz w:val="18"/>
                <w:szCs w:val="18"/>
                <w:b w:val="1"/>
                <w:bCs w:val="1"/>
                <w:color w:val="auto"/>
                <w:vertAlign w:val="superscript"/>
              </w:rPr>
              <w:t>(1)</w:t>
            </w:r>
          </w:p>
        </w:tc>
        <w:tc>
          <w:tcPr>
            <w:tcW w:w="12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Awards</w:t>
            </w:r>
            <w:r>
              <w:rPr>
                <w:rFonts w:ascii="Arial" w:cs="Arial" w:eastAsia="Arial" w:hAnsi="Arial"/>
                <w:sz w:val="18"/>
                <w:szCs w:val="18"/>
                <w:b w:val="1"/>
                <w:bCs w:val="1"/>
                <w:color w:val="auto"/>
                <w:vertAlign w:val="superscript"/>
              </w:rPr>
              <w:t>(2)(3)</w:t>
            </w:r>
          </w:p>
        </w:tc>
        <w:tc>
          <w:tcPr>
            <w:tcW w:w="280" w:type="dxa"/>
            <w:vAlign w:val="bottom"/>
          </w:tcPr>
          <w:p>
            <w:pPr>
              <w:spacing w:after="0"/>
              <w:rPr>
                <w:sz w:val="8"/>
                <w:szCs w:val="8"/>
                <w:color w:val="auto"/>
              </w:rPr>
            </w:pPr>
          </w:p>
        </w:tc>
        <w:tc>
          <w:tcPr>
            <w:tcW w:w="11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Awards</w:t>
            </w:r>
            <w:r>
              <w:rPr>
                <w:rFonts w:ascii="Arial" w:cs="Arial" w:eastAsia="Arial" w:hAnsi="Arial"/>
                <w:sz w:val="18"/>
                <w:szCs w:val="18"/>
                <w:b w:val="1"/>
                <w:bCs w:val="1"/>
                <w:color w:val="auto"/>
                <w:vertAlign w:val="superscript"/>
              </w:rPr>
              <w:t>(2)(4)</w:t>
            </w:r>
          </w:p>
        </w:tc>
        <w:tc>
          <w:tcPr>
            <w:tcW w:w="1620" w:type="dxa"/>
            <w:vAlign w:val="bottom"/>
            <w:gridSpan w:val="2"/>
            <w:vMerge w:val="restart"/>
          </w:tcPr>
          <w:p>
            <w:pPr>
              <w:jc w:val="right"/>
              <w:ind w:right="248"/>
              <w:spacing w:after="0"/>
              <w:rPr>
                <w:sz w:val="20"/>
                <w:szCs w:val="20"/>
                <w:color w:val="auto"/>
              </w:rPr>
            </w:pPr>
            <w:r>
              <w:rPr>
                <w:rFonts w:ascii="Arial" w:cs="Arial" w:eastAsia="Arial" w:hAnsi="Arial"/>
                <w:sz w:val="14"/>
                <w:szCs w:val="14"/>
                <w:b w:val="1"/>
                <w:bCs w:val="1"/>
                <w:color w:val="auto"/>
              </w:rPr>
              <w:t>Earnings</w:t>
            </w:r>
            <w:r>
              <w:rPr>
                <w:rFonts w:ascii="Arial" w:cs="Arial" w:eastAsia="Arial" w:hAnsi="Arial"/>
                <w:sz w:val="9"/>
                <w:szCs w:val="9"/>
                <w:b w:val="1"/>
                <w:bCs w:val="1"/>
                <w:color w:val="auto"/>
              </w:rPr>
              <w:t>(5)</w:t>
            </w:r>
          </w:p>
        </w:tc>
        <w:tc>
          <w:tcPr>
            <w:tcW w:w="1540" w:type="dxa"/>
            <w:vAlign w:val="bottom"/>
            <w:gridSpan w:val="2"/>
            <w:vMerge w:val="restart"/>
          </w:tcPr>
          <w:p>
            <w:pPr>
              <w:jc w:val="right"/>
              <w:ind w:right="48"/>
              <w:spacing w:after="0"/>
              <w:rPr>
                <w:sz w:val="20"/>
                <w:szCs w:val="20"/>
                <w:color w:val="auto"/>
              </w:rPr>
            </w:pPr>
            <w:r>
              <w:rPr>
                <w:rFonts w:ascii="Arial" w:cs="Arial" w:eastAsia="Arial" w:hAnsi="Arial"/>
                <w:sz w:val="14"/>
                <w:szCs w:val="14"/>
                <w:b w:val="1"/>
                <w:bCs w:val="1"/>
                <w:color w:val="auto"/>
              </w:rPr>
              <w:t>Compensation</w:t>
            </w:r>
            <w:r>
              <w:rPr>
                <w:rFonts w:ascii="Arial" w:cs="Arial" w:eastAsia="Arial" w:hAnsi="Arial"/>
                <w:sz w:val="9"/>
                <w:szCs w:val="9"/>
                <w:b w:val="1"/>
                <w:bCs w:val="1"/>
                <w:color w:val="auto"/>
              </w:rPr>
              <w:t>(6)</w:t>
            </w: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3"/>
        </w:trPr>
        <w:tc>
          <w:tcPr>
            <w:tcW w:w="2460" w:type="dxa"/>
            <w:vAlign w:val="bottom"/>
            <w:tcBorders>
              <w:bottom w:val="single" w:sz="8" w:color="D7282F"/>
            </w:tcBorders>
          </w:tcPr>
          <w:p>
            <w:pPr>
              <w:spacing w:after="0"/>
              <w:rPr>
                <w:sz w:val="10"/>
                <w:szCs w:val="10"/>
                <w:color w:val="auto"/>
              </w:rPr>
            </w:pPr>
          </w:p>
        </w:tc>
        <w:tc>
          <w:tcPr>
            <w:tcW w:w="1980" w:type="dxa"/>
            <w:vAlign w:val="bottom"/>
            <w:tcBorders>
              <w:bottom w:val="single" w:sz="8" w:color="D7282F"/>
            </w:tcBorders>
            <w:vMerge w:val="continue"/>
          </w:tcPr>
          <w:p>
            <w:pPr>
              <w:spacing w:after="0"/>
              <w:rPr>
                <w:sz w:val="10"/>
                <w:szCs w:val="10"/>
                <w:color w:val="auto"/>
              </w:rPr>
            </w:pPr>
          </w:p>
        </w:tc>
        <w:tc>
          <w:tcPr>
            <w:tcW w:w="1220" w:type="dxa"/>
            <w:vAlign w:val="bottom"/>
            <w:tcBorders>
              <w:bottom w:val="single" w:sz="8" w:color="D7282F"/>
            </w:tcBorders>
            <w:vMerge w:val="continue"/>
          </w:tcPr>
          <w:p>
            <w:pPr>
              <w:spacing w:after="0"/>
              <w:rPr>
                <w:sz w:val="10"/>
                <w:szCs w:val="10"/>
                <w:color w:val="auto"/>
              </w:rPr>
            </w:pPr>
          </w:p>
        </w:tc>
        <w:tc>
          <w:tcPr>
            <w:tcW w:w="280" w:type="dxa"/>
            <w:vAlign w:val="bottom"/>
            <w:tcBorders>
              <w:bottom w:val="single" w:sz="8" w:color="D7282F"/>
            </w:tcBorders>
          </w:tcPr>
          <w:p>
            <w:pPr>
              <w:spacing w:after="0"/>
              <w:rPr>
                <w:sz w:val="10"/>
                <w:szCs w:val="10"/>
                <w:color w:val="auto"/>
              </w:rPr>
            </w:pPr>
          </w:p>
        </w:tc>
        <w:tc>
          <w:tcPr>
            <w:tcW w:w="1120" w:type="dxa"/>
            <w:vAlign w:val="bottom"/>
            <w:tcBorders>
              <w:bottom w:val="single" w:sz="8" w:color="D7282F"/>
            </w:tcBorders>
            <w:vMerge w:val="continue"/>
          </w:tcPr>
          <w:p>
            <w:pPr>
              <w:spacing w:after="0"/>
              <w:rPr>
                <w:sz w:val="10"/>
                <w:szCs w:val="10"/>
                <w:color w:val="auto"/>
              </w:rPr>
            </w:pPr>
          </w:p>
        </w:tc>
        <w:tc>
          <w:tcPr>
            <w:tcW w:w="1620" w:type="dxa"/>
            <w:vAlign w:val="bottom"/>
            <w:tcBorders>
              <w:bottom w:val="single" w:sz="8" w:color="D7282F"/>
            </w:tcBorders>
            <w:gridSpan w:val="2"/>
            <w:vMerge w:val="continue"/>
          </w:tcPr>
          <w:p>
            <w:pPr>
              <w:spacing w:after="0"/>
              <w:rPr>
                <w:sz w:val="10"/>
                <w:szCs w:val="10"/>
                <w:color w:val="auto"/>
              </w:rPr>
            </w:pPr>
          </w:p>
        </w:tc>
        <w:tc>
          <w:tcPr>
            <w:tcW w:w="1540" w:type="dxa"/>
            <w:vAlign w:val="bottom"/>
            <w:tcBorders>
              <w:bottom w:val="single" w:sz="8" w:color="D7282F"/>
            </w:tcBorders>
            <w:gridSpan w:val="2"/>
            <w:vMerge w:val="continue"/>
          </w:tcPr>
          <w:p>
            <w:pPr>
              <w:spacing w:after="0"/>
              <w:rPr>
                <w:sz w:val="10"/>
                <w:szCs w:val="10"/>
                <w:color w:val="auto"/>
              </w:rPr>
            </w:pPr>
          </w:p>
        </w:tc>
        <w:tc>
          <w:tcPr>
            <w:tcW w:w="1000" w:type="dxa"/>
            <w:vAlign w:val="bottom"/>
            <w:tcBorders>
              <w:bottom w:val="single" w:sz="8" w:color="D7282F"/>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7"/>
        </w:trPr>
        <w:tc>
          <w:tcPr>
            <w:tcW w:w="246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Duncan B. Angove</w:t>
            </w:r>
          </w:p>
        </w:tc>
        <w:tc>
          <w:tcPr>
            <w:tcW w:w="1980" w:type="dxa"/>
            <w:vAlign w:val="bottom"/>
            <w:tcBorders>
              <w:bottom w:val="single" w:sz="8" w:color="939598"/>
            </w:tcBorders>
          </w:tcPr>
          <w:p>
            <w:pPr>
              <w:jc w:val="right"/>
              <w:ind w:right="208"/>
              <w:spacing w:after="0"/>
              <w:rPr>
                <w:sz w:val="20"/>
                <w:szCs w:val="20"/>
                <w:color w:val="auto"/>
              </w:rPr>
            </w:pPr>
            <w:r>
              <w:rPr>
                <w:rFonts w:ascii="Arial" w:cs="Arial" w:eastAsia="Arial" w:hAnsi="Arial"/>
                <w:sz w:val="14"/>
                <w:szCs w:val="14"/>
                <w:color w:val="auto"/>
              </w:rPr>
              <w:t>$   200,000</w:t>
            </w:r>
          </w:p>
        </w:tc>
        <w:tc>
          <w:tcPr>
            <w:tcW w:w="1220" w:type="dxa"/>
            <w:vAlign w:val="bottom"/>
            <w:tcBorders>
              <w:bottom w:val="single" w:sz="8" w:color="939598"/>
            </w:tcBorders>
          </w:tcPr>
          <w:p>
            <w:pPr>
              <w:jc w:val="right"/>
              <w:ind w:right="108"/>
              <w:spacing w:after="0"/>
              <w:rPr>
                <w:sz w:val="20"/>
                <w:szCs w:val="20"/>
                <w:color w:val="auto"/>
              </w:rPr>
            </w:pPr>
            <w:r>
              <w:rPr>
                <w:rFonts w:ascii="Arial" w:cs="Arial" w:eastAsia="Arial" w:hAnsi="Arial"/>
                <w:sz w:val="14"/>
                <w:szCs w:val="14"/>
                <w:color w:val="auto"/>
              </w:rPr>
              <w:t>$   130,071</w:t>
            </w:r>
          </w:p>
        </w:tc>
        <w:tc>
          <w:tcPr>
            <w:tcW w:w="280" w:type="dxa"/>
            <w:vAlign w:val="bottom"/>
            <w:tcBorders>
              <w:bottom w:val="single" w:sz="8" w:color="939598"/>
            </w:tcBorders>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939598"/>
            </w:tcBorders>
          </w:tcPr>
          <w:p>
            <w:pPr>
              <w:ind w:left="6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939598"/>
            </w:tcBorders>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939598"/>
            </w:tcBorders>
          </w:tcPr>
          <w:p>
            <w:pPr>
              <w:jc w:val="right"/>
              <w:ind w:right="88"/>
              <w:spacing w:after="0"/>
              <w:rPr>
                <w:sz w:val="20"/>
                <w:szCs w:val="20"/>
                <w:color w:val="auto"/>
              </w:rPr>
            </w:pPr>
            <w:r>
              <w:rPr>
                <w:rFonts w:ascii="Arial" w:cs="Arial" w:eastAsia="Arial" w:hAnsi="Arial"/>
                <w:sz w:val="14"/>
                <w:szCs w:val="14"/>
                <w:color w:val="auto"/>
              </w:rPr>
              <w:t>40</w:t>
            </w:r>
          </w:p>
        </w:tc>
        <w:tc>
          <w:tcPr>
            <w:tcW w:w="10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   330,111</w:t>
            </w:r>
          </w:p>
        </w:tc>
        <w:tc>
          <w:tcPr>
            <w:tcW w:w="0" w:type="dxa"/>
            <w:vAlign w:val="bottom"/>
          </w:tcPr>
          <w:p>
            <w:pPr>
              <w:spacing w:after="0"/>
              <w:rPr>
                <w:sz w:val="1"/>
                <w:szCs w:val="1"/>
                <w:color w:val="auto"/>
              </w:rPr>
            </w:pPr>
          </w:p>
        </w:tc>
      </w:tr>
      <w:tr>
        <w:trPr>
          <w:trHeight w:val="223"/>
        </w:trPr>
        <w:tc>
          <w:tcPr>
            <w:tcW w:w="246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Craig Arnold</w:t>
            </w:r>
          </w:p>
        </w:tc>
        <w:tc>
          <w:tcPr>
            <w:tcW w:w="1980" w:type="dxa"/>
            <w:vAlign w:val="bottom"/>
            <w:tcBorders>
              <w:bottom w:val="single" w:sz="8" w:color="939598"/>
            </w:tcBorders>
          </w:tcPr>
          <w:p>
            <w:pPr>
              <w:jc w:val="right"/>
              <w:ind w:right="208"/>
              <w:spacing w:after="0"/>
              <w:rPr>
                <w:sz w:val="20"/>
                <w:szCs w:val="20"/>
                <w:color w:val="auto"/>
              </w:rPr>
            </w:pPr>
            <w:r>
              <w:rPr>
                <w:rFonts w:ascii="Arial" w:cs="Arial" w:eastAsia="Arial" w:hAnsi="Arial"/>
                <w:sz w:val="14"/>
                <w:szCs w:val="14"/>
                <w:color w:val="auto"/>
              </w:rPr>
              <w:t>29,400</w:t>
            </w:r>
          </w:p>
        </w:tc>
        <w:tc>
          <w:tcPr>
            <w:tcW w:w="1220" w:type="dxa"/>
            <w:vAlign w:val="bottom"/>
            <w:tcBorders>
              <w:bottom w:val="single" w:sz="8" w:color="939598"/>
            </w:tcBorders>
          </w:tcPr>
          <w:p>
            <w:pPr>
              <w:jc w:val="right"/>
              <w:ind w:right="108"/>
              <w:spacing w:after="0"/>
              <w:rPr>
                <w:sz w:val="20"/>
                <w:szCs w:val="20"/>
                <w:color w:val="auto"/>
              </w:rPr>
            </w:pPr>
            <w:r>
              <w:rPr>
                <w:rFonts w:ascii="Arial" w:cs="Arial" w:eastAsia="Arial" w:hAnsi="Arial"/>
                <w:sz w:val="14"/>
                <w:szCs w:val="14"/>
                <w:color w:val="auto"/>
              </w:rPr>
              <w:t>70,744</w:t>
            </w:r>
          </w:p>
        </w:tc>
        <w:tc>
          <w:tcPr>
            <w:tcW w:w="280" w:type="dxa"/>
            <w:vAlign w:val="bottom"/>
            <w:tcBorders>
              <w:bottom w:val="single" w:sz="8" w:color="939598"/>
            </w:tcBorders>
          </w:tcPr>
          <w:p>
            <w:pPr>
              <w:spacing w:after="0"/>
              <w:rPr>
                <w:sz w:val="19"/>
                <w:szCs w:val="19"/>
                <w:color w:val="auto"/>
              </w:rPr>
            </w:pPr>
          </w:p>
        </w:tc>
        <w:tc>
          <w:tcPr>
            <w:tcW w:w="1120" w:type="dxa"/>
            <w:vAlign w:val="bottom"/>
            <w:tcBorders>
              <w:bottom w:val="single" w:sz="8" w:color="939598"/>
            </w:tcBorders>
          </w:tcPr>
          <w:p>
            <w:pPr>
              <w:ind w:left="6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939598"/>
            </w:tcBorders>
          </w:tcPr>
          <w:p>
            <w:pPr>
              <w:spacing w:after="0"/>
              <w:rPr>
                <w:sz w:val="19"/>
                <w:szCs w:val="19"/>
                <w:color w:val="auto"/>
              </w:rPr>
            </w:pPr>
          </w:p>
        </w:tc>
        <w:tc>
          <w:tcPr>
            <w:tcW w:w="920" w:type="dxa"/>
            <w:vAlign w:val="bottom"/>
            <w:tcBorders>
              <w:bottom w:val="single" w:sz="8" w:color="939598"/>
            </w:tcBorders>
          </w:tcPr>
          <w:p>
            <w:pPr>
              <w:spacing w:after="0"/>
              <w:rPr>
                <w:sz w:val="19"/>
                <w:szCs w:val="19"/>
                <w:color w:val="auto"/>
              </w:rPr>
            </w:pPr>
          </w:p>
        </w:tc>
        <w:tc>
          <w:tcPr>
            <w:tcW w:w="780" w:type="dxa"/>
            <w:vAlign w:val="bottom"/>
            <w:tcBorders>
              <w:bottom w:val="single" w:sz="8" w:color="939598"/>
            </w:tcBorders>
          </w:tcPr>
          <w:p>
            <w:pPr>
              <w:spacing w:after="0"/>
              <w:rPr>
                <w:sz w:val="19"/>
                <w:szCs w:val="19"/>
                <w:color w:val="auto"/>
              </w:rPr>
            </w:pPr>
          </w:p>
        </w:tc>
        <w:tc>
          <w:tcPr>
            <w:tcW w:w="760" w:type="dxa"/>
            <w:vAlign w:val="bottom"/>
            <w:tcBorders>
              <w:bottom w:val="single" w:sz="8" w:color="939598"/>
            </w:tcBorders>
          </w:tcPr>
          <w:p>
            <w:pPr>
              <w:jc w:val="right"/>
              <w:ind w:right="88"/>
              <w:spacing w:after="0"/>
              <w:rPr>
                <w:sz w:val="20"/>
                <w:szCs w:val="20"/>
                <w:color w:val="auto"/>
              </w:rPr>
            </w:pPr>
            <w:r>
              <w:rPr>
                <w:rFonts w:ascii="Arial" w:cs="Arial" w:eastAsia="Arial" w:hAnsi="Arial"/>
                <w:sz w:val="14"/>
                <w:szCs w:val="14"/>
                <w:color w:val="auto"/>
              </w:rPr>
              <w:t>6</w:t>
            </w:r>
          </w:p>
        </w:tc>
        <w:tc>
          <w:tcPr>
            <w:tcW w:w="10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100,150</w:t>
            </w:r>
          </w:p>
        </w:tc>
        <w:tc>
          <w:tcPr>
            <w:tcW w:w="0" w:type="dxa"/>
            <w:vAlign w:val="bottom"/>
          </w:tcPr>
          <w:p>
            <w:pPr>
              <w:spacing w:after="0"/>
              <w:rPr>
                <w:sz w:val="1"/>
                <w:szCs w:val="1"/>
                <w:color w:val="auto"/>
              </w:rPr>
            </w:pPr>
          </w:p>
        </w:tc>
      </w:tr>
      <w:tr>
        <w:trPr>
          <w:trHeight w:val="223"/>
        </w:trPr>
        <w:tc>
          <w:tcPr>
            <w:tcW w:w="246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William S. Ayer</w:t>
            </w:r>
          </w:p>
        </w:tc>
        <w:tc>
          <w:tcPr>
            <w:tcW w:w="1980" w:type="dxa"/>
            <w:vAlign w:val="bottom"/>
            <w:tcBorders>
              <w:bottom w:val="single" w:sz="8" w:color="939598"/>
            </w:tcBorders>
          </w:tcPr>
          <w:p>
            <w:pPr>
              <w:jc w:val="right"/>
              <w:ind w:right="208"/>
              <w:spacing w:after="0"/>
              <w:rPr>
                <w:sz w:val="20"/>
                <w:szCs w:val="20"/>
                <w:color w:val="auto"/>
              </w:rPr>
            </w:pPr>
            <w:r>
              <w:rPr>
                <w:rFonts w:ascii="Arial" w:cs="Arial" w:eastAsia="Arial" w:hAnsi="Arial"/>
                <w:sz w:val="14"/>
                <w:szCs w:val="14"/>
                <w:color w:val="auto"/>
              </w:rPr>
              <w:t>240,000</w:t>
            </w:r>
          </w:p>
        </w:tc>
        <w:tc>
          <w:tcPr>
            <w:tcW w:w="1220" w:type="dxa"/>
            <w:vAlign w:val="bottom"/>
            <w:tcBorders>
              <w:bottom w:val="single" w:sz="8" w:color="939598"/>
            </w:tcBorders>
          </w:tcPr>
          <w:p>
            <w:pPr>
              <w:jc w:val="right"/>
              <w:ind w:right="108"/>
              <w:spacing w:after="0"/>
              <w:rPr>
                <w:sz w:val="20"/>
                <w:szCs w:val="20"/>
                <w:color w:val="auto"/>
              </w:rPr>
            </w:pPr>
            <w:r>
              <w:rPr>
                <w:rFonts w:ascii="Arial" w:cs="Arial" w:eastAsia="Arial" w:hAnsi="Arial"/>
                <w:sz w:val="14"/>
                <w:szCs w:val="14"/>
                <w:color w:val="auto"/>
              </w:rPr>
              <w:t>130,071</w:t>
            </w:r>
          </w:p>
        </w:tc>
        <w:tc>
          <w:tcPr>
            <w:tcW w:w="280" w:type="dxa"/>
            <w:vAlign w:val="bottom"/>
            <w:tcBorders>
              <w:bottom w:val="single" w:sz="8" w:color="939598"/>
            </w:tcBorders>
          </w:tcPr>
          <w:p>
            <w:pPr>
              <w:spacing w:after="0"/>
              <w:rPr>
                <w:sz w:val="19"/>
                <w:szCs w:val="19"/>
                <w:color w:val="auto"/>
              </w:rPr>
            </w:pPr>
          </w:p>
        </w:tc>
        <w:tc>
          <w:tcPr>
            <w:tcW w:w="1120" w:type="dxa"/>
            <w:vAlign w:val="bottom"/>
            <w:tcBorders>
              <w:bottom w:val="single" w:sz="8" w:color="939598"/>
            </w:tcBorders>
          </w:tcPr>
          <w:p>
            <w:pPr>
              <w:ind w:left="6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939598"/>
            </w:tcBorders>
          </w:tcPr>
          <w:p>
            <w:pPr>
              <w:spacing w:after="0"/>
              <w:rPr>
                <w:sz w:val="19"/>
                <w:szCs w:val="19"/>
                <w:color w:val="auto"/>
              </w:rPr>
            </w:pPr>
          </w:p>
        </w:tc>
        <w:tc>
          <w:tcPr>
            <w:tcW w:w="920" w:type="dxa"/>
            <w:vAlign w:val="bottom"/>
            <w:tcBorders>
              <w:bottom w:val="single" w:sz="8" w:color="939598"/>
            </w:tcBorders>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939598"/>
            </w:tcBorders>
          </w:tcPr>
          <w:p>
            <w:pPr>
              <w:spacing w:after="0"/>
              <w:rPr>
                <w:sz w:val="19"/>
                <w:szCs w:val="19"/>
                <w:color w:val="auto"/>
              </w:rPr>
            </w:pPr>
          </w:p>
        </w:tc>
        <w:tc>
          <w:tcPr>
            <w:tcW w:w="760" w:type="dxa"/>
            <w:vAlign w:val="bottom"/>
            <w:tcBorders>
              <w:bottom w:val="single" w:sz="8" w:color="939598"/>
            </w:tcBorders>
          </w:tcPr>
          <w:p>
            <w:pPr>
              <w:jc w:val="right"/>
              <w:ind w:right="88"/>
              <w:spacing w:after="0"/>
              <w:rPr>
                <w:sz w:val="20"/>
                <w:szCs w:val="20"/>
                <w:color w:val="auto"/>
              </w:rPr>
            </w:pPr>
            <w:r>
              <w:rPr>
                <w:rFonts w:ascii="Arial" w:cs="Arial" w:eastAsia="Arial" w:hAnsi="Arial"/>
                <w:sz w:val="14"/>
                <w:szCs w:val="14"/>
                <w:color w:val="auto"/>
              </w:rPr>
              <w:t>25,040</w:t>
            </w:r>
          </w:p>
        </w:tc>
        <w:tc>
          <w:tcPr>
            <w:tcW w:w="10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395,111</w:t>
            </w:r>
          </w:p>
        </w:tc>
        <w:tc>
          <w:tcPr>
            <w:tcW w:w="0" w:type="dxa"/>
            <w:vAlign w:val="bottom"/>
          </w:tcPr>
          <w:p>
            <w:pPr>
              <w:spacing w:after="0"/>
              <w:rPr>
                <w:sz w:val="1"/>
                <w:szCs w:val="1"/>
                <w:color w:val="auto"/>
              </w:rPr>
            </w:pPr>
          </w:p>
        </w:tc>
      </w:tr>
      <w:tr>
        <w:trPr>
          <w:trHeight w:val="223"/>
        </w:trPr>
        <w:tc>
          <w:tcPr>
            <w:tcW w:w="246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Kevin Burke</w:t>
            </w:r>
          </w:p>
        </w:tc>
        <w:tc>
          <w:tcPr>
            <w:tcW w:w="1980" w:type="dxa"/>
            <w:vAlign w:val="bottom"/>
            <w:tcBorders>
              <w:bottom w:val="single" w:sz="8" w:color="939598"/>
            </w:tcBorders>
          </w:tcPr>
          <w:p>
            <w:pPr>
              <w:jc w:val="right"/>
              <w:ind w:right="208"/>
              <w:spacing w:after="0"/>
              <w:rPr>
                <w:sz w:val="20"/>
                <w:szCs w:val="20"/>
                <w:color w:val="auto"/>
              </w:rPr>
            </w:pPr>
            <w:r>
              <w:rPr>
                <w:rFonts w:ascii="Arial" w:cs="Arial" w:eastAsia="Arial" w:hAnsi="Arial"/>
                <w:sz w:val="14"/>
                <w:szCs w:val="14"/>
                <w:color w:val="auto"/>
              </w:rPr>
              <w:t>195,000</w:t>
            </w:r>
          </w:p>
        </w:tc>
        <w:tc>
          <w:tcPr>
            <w:tcW w:w="1220" w:type="dxa"/>
            <w:vAlign w:val="bottom"/>
            <w:tcBorders>
              <w:bottom w:val="single" w:sz="8" w:color="939598"/>
            </w:tcBorders>
          </w:tcPr>
          <w:p>
            <w:pPr>
              <w:jc w:val="right"/>
              <w:ind w:right="108"/>
              <w:spacing w:after="0"/>
              <w:rPr>
                <w:sz w:val="20"/>
                <w:szCs w:val="20"/>
                <w:color w:val="auto"/>
              </w:rPr>
            </w:pPr>
            <w:r>
              <w:rPr>
                <w:rFonts w:ascii="Arial" w:cs="Arial" w:eastAsia="Arial" w:hAnsi="Arial"/>
                <w:sz w:val="14"/>
                <w:szCs w:val="14"/>
                <w:color w:val="auto"/>
              </w:rPr>
              <w:t>130,071</w:t>
            </w:r>
          </w:p>
        </w:tc>
        <w:tc>
          <w:tcPr>
            <w:tcW w:w="280" w:type="dxa"/>
            <w:vAlign w:val="bottom"/>
            <w:tcBorders>
              <w:bottom w:val="single" w:sz="8" w:color="939598"/>
            </w:tcBorders>
          </w:tcPr>
          <w:p>
            <w:pPr>
              <w:spacing w:after="0"/>
              <w:rPr>
                <w:sz w:val="19"/>
                <w:szCs w:val="19"/>
                <w:color w:val="auto"/>
              </w:rPr>
            </w:pPr>
          </w:p>
        </w:tc>
        <w:tc>
          <w:tcPr>
            <w:tcW w:w="1120" w:type="dxa"/>
            <w:vAlign w:val="bottom"/>
            <w:tcBorders>
              <w:bottom w:val="single" w:sz="8" w:color="939598"/>
            </w:tcBorders>
          </w:tcPr>
          <w:p>
            <w:pPr>
              <w:ind w:left="6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939598"/>
            </w:tcBorders>
          </w:tcPr>
          <w:p>
            <w:pPr>
              <w:spacing w:after="0"/>
              <w:rPr>
                <w:sz w:val="19"/>
                <w:szCs w:val="19"/>
                <w:color w:val="auto"/>
              </w:rPr>
            </w:pPr>
          </w:p>
        </w:tc>
        <w:tc>
          <w:tcPr>
            <w:tcW w:w="920" w:type="dxa"/>
            <w:vAlign w:val="bottom"/>
            <w:tcBorders>
              <w:bottom w:val="single" w:sz="8" w:color="939598"/>
            </w:tcBorders>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939598"/>
            </w:tcBorders>
          </w:tcPr>
          <w:p>
            <w:pPr>
              <w:spacing w:after="0"/>
              <w:rPr>
                <w:sz w:val="19"/>
                <w:szCs w:val="19"/>
                <w:color w:val="auto"/>
              </w:rPr>
            </w:pPr>
          </w:p>
        </w:tc>
        <w:tc>
          <w:tcPr>
            <w:tcW w:w="760" w:type="dxa"/>
            <w:vAlign w:val="bottom"/>
            <w:tcBorders>
              <w:bottom w:val="single" w:sz="8" w:color="939598"/>
            </w:tcBorders>
          </w:tcPr>
          <w:p>
            <w:pPr>
              <w:jc w:val="right"/>
              <w:ind w:right="88"/>
              <w:spacing w:after="0"/>
              <w:rPr>
                <w:sz w:val="20"/>
                <w:szCs w:val="20"/>
                <w:color w:val="auto"/>
              </w:rPr>
            </w:pPr>
            <w:r>
              <w:rPr>
                <w:rFonts w:ascii="Arial" w:cs="Arial" w:eastAsia="Arial" w:hAnsi="Arial"/>
                <w:sz w:val="14"/>
                <w:szCs w:val="14"/>
                <w:color w:val="auto"/>
              </w:rPr>
              <w:t>25,040</w:t>
            </w:r>
          </w:p>
        </w:tc>
        <w:tc>
          <w:tcPr>
            <w:tcW w:w="10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350,111</w:t>
            </w:r>
          </w:p>
        </w:tc>
        <w:tc>
          <w:tcPr>
            <w:tcW w:w="0" w:type="dxa"/>
            <w:vAlign w:val="bottom"/>
          </w:tcPr>
          <w:p>
            <w:pPr>
              <w:spacing w:after="0"/>
              <w:rPr>
                <w:sz w:val="1"/>
                <w:szCs w:val="1"/>
                <w:color w:val="auto"/>
              </w:rPr>
            </w:pPr>
          </w:p>
        </w:tc>
      </w:tr>
      <w:tr>
        <w:trPr>
          <w:trHeight w:val="223"/>
        </w:trPr>
        <w:tc>
          <w:tcPr>
            <w:tcW w:w="246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D. Scott Davis</w:t>
            </w:r>
          </w:p>
        </w:tc>
        <w:tc>
          <w:tcPr>
            <w:tcW w:w="1980" w:type="dxa"/>
            <w:vAlign w:val="bottom"/>
            <w:tcBorders>
              <w:bottom w:val="single" w:sz="8" w:color="939598"/>
            </w:tcBorders>
          </w:tcPr>
          <w:p>
            <w:pPr>
              <w:jc w:val="right"/>
              <w:ind w:right="208"/>
              <w:spacing w:after="0"/>
              <w:rPr>
                <w:sz w:val="20"/>
                <w:szCs w:val="20"/>
                <w:color w:val="auto"/>
              </w:rPr>
            </w:pPr>
            <w:r>
              <w:rPr>
                <w:rFonts w:ascii="Arial" w:cs="Arial" w:eastAsia="Arial" w:hAnsi="Arial"/>
                <w:sz w:val="14"/>
                <w:szCs w:val="14"/>
                <w:color w:val="auto"/>
              </w:rPr>
              <w:t>225,000</w:t>
            </w:r>
          </w:p>
        </w:tc>
        <w:tc>
          <w:tcPr>
            <w:tcW w:w="1220" w:type="dxa"/>
            <w:vAlign w:val="bottom"/>
            <w:tcBorders>
              <w:bottom w:val="single" w:sz="8" w:color="939598"/>
            </w:tcBorders>
          </w:tcPr>
          <w:p>
            <w:pPr>
              <w:jc w:val="right"/>
              <w:ind w:right="108"/>
              <w:spacing w:after="0"/>
              <w:rPr>
                <w:sz w:val="20"/>
                <w:szCs w:val="20"/>
                <w:color w:val="auto"/>
              </w:rPr>
            </w:pPr>
            <w:r>
              <w:rPr>
                <w:rFonts w:ascii="Arial" w:cs="Arial" w:eastAsia="Arial" w:hAnsi="Arial"/>
                <w:sz w:val="14"/>
                <w:szCs w:val="14"/>
                <w:color w:val="auto"/>
              </w:rPr>
              <w:t>130,071</w:t>
            </w:r>
          </w:p>
        </w:tc>
        <w:tc>
          <w:tcPr>
            <w:tcW w:w="280" w:type="dxa"/>
            <w:vAlign w:val="bottom"/>
            <w:tcBorders>
              <w:bottom w:val="single" w:sz="8" w:color="939598"/>
            </w:tcBorders>
          </w:tcPr>
          <w:p>
            <w:pPr>
              <w:spacing w:after="0"/>
              <w:rPr>
                <w:sz w:val="19"/>
                <w:szCs w:val="19"/>
                <w:color w:val="auto"/>
              </w:rPr>
            </w:pPr>
          </w:p>
        </w:tc>
        <w:tc>
          <w:tcPr>
            <w:tcW w:w="1120" w:type="dxa"/>
            <w:vAlign w:val="bottom"/>
            <w:tcBorders>
              <w:bottom w:val="single" w:sz="8" w:color="939598"/>
            </w:tcBorders>
          </w:tcPr>
          <w:p>
            <w:pPr>
              <w:ind w:left="6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939598"/>
            </w:tcBorders>
          </w:tcPr>
          <w:p>
            <w:pPr>
              <w:spacing w:after="0"/>
              <w:rPr>
                <w:sz w:val="19"/>
                <w:szCs w:val="19"/>
                <w:color w:val="auto"/>
              </w:rPr>
            </w:pPr>
          </w:p>
        </w:tc>
        <w:tc>
          <w:tcPr>
            <w:tcW w:w="920" w:type="dxa"/>
            <w:vAlign w:val="bottom"/>
            <w:tcBorders>
              <w:bottom w:val="single" w:sz="8" w:color="939598"/>
            </w:tcBorders>
          </w:tcPr>
          <w:p>
            <w:pPr>
              <w:jc w:val="right"/>
              <w:ind w:right="288"/>
              <w:spacing w:after="0"/>
              <w:rPr>
                <w:sz w:val="20"/>
                <w:szCs w:val="20"/>
                <w:color w:val="auto"/>
              </w:rPr>
            </w:pPr>
            <w:r>
              <w:rPr>
                <w:rFonts w:ascii="Arial" w:cs="Arial" w:eastAsia="Arial" w:hAnsi="Arial"/>
                <w:sz w:val="14"/>
                <w:szCs w:val="14"/>
                <w:color w:val="auto"/>
              </w:rPr>
              <w:t>6,097</w:t>
            </w:r>
          </w:p>
        </w:tc>
        <w:tc>
          <w:tcPr>
            <w:tcW w:w="780" w:type="dxa"/>
            <w:vAlign w:val="bottom"/>
            <w:tcBorders>
              <w:bottom w:val="single" w:sz="8" w:color="939598"/>
            </w:tcBorders>
          </w:tcPr>
          <w:p>
            <w:pPr>
              <w:spacing w:after="0"/>
              <w:rPr>
                <w:sz w:val="19"/>
                <w:szCs w:val="19"/>
                <w:color w:val="auto"/>
              </w:rPr>
            </w:pPr>
          </w:p>
        </w:tc>
        <w:tc>
          <w:tcPr>
            <w:tcW w:w="760" w:type="dxa"/>
            <w:vAlign w:val="bottom"/>
            <w:tcBorders>
              <w:bottom w:val="single" w:sz="8" w:color="939598"/>
            </w:tcBorders>
          </w:tcPr>
          <w:p>
            <w:pPr>
              <w:jc w:val="right"/>
              <w:ind w:right="88"/>
              <w:spacing w:after="0"/>
              <w:rPr>
                <w:sz w:val="20"/>
                <w:szCs w:val="20"/>
                <w:color w:val="auto"/>
              </w:rPr>
            </w:pPr>
            <w:r>
              <w:rPr>
                <w:rFonts w:ascii="Arial" w:cs="Arial" w:eastAsia="Arial" w:hAnsi="Arial"/>
                <w:sz w:val="14"/>
                <w:szCs w:val="14"/>
                <w:color w:val="auto"/>
              </w:rPr>
              <w:t>556</w:t>
            </w:r>
          </w:p>
        </w:tc>
        <w:tc>
          <w:tcPr>
            <w:tcW w:w="10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361,723</w:t>
            </w:r>
          </w:p>
        </w:tc>
        <w:tc>
          <w:tcPr>
            <w:tcW w:w="0" w:type="dxa"/>
            <w:vAlign w:val="bottom"/>
          </w:tcPr>
          <w:p>
            <w:pPr>
              <w:spacing w:after="0"/>
              <w:rPr>
                <w:sz w:val="1"/>
                <w:szCs w:val="1"/>
                <w:color w:val="auto"/>
              </w:rPr>
            </w:pPr>
          </w:p>
        </w:tc>
      </w:tr>
      <w:tr>
        <w:trPr>
          <w:trHeight w:val="223"/>
        </w:trPr>
        <w:tc>
          <w:tcPr>
            <w:tcW w:w="246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Deborah Flint</w:t>
            </w:r>
          </w:p>
        </w:tc>
        <w:tc>
          <w:tcPr>
            <w:tcW w:w="1980" w:type="dxa"/>
            <w:vAlign w:val="bottom"/>
            <w:tcBorders>
              <w:bottom w:val="single" w:sz="8" w:color="939598"/>
            </w:tcBorders>
          </w:tcPr>
          <w:p>
            <w:pPr>
              <w:jc w:val="right"/>
              <w:ind w:right="208"/>
              <w:spacing w:after="0"/>
              <w:rPr>
                <w:sz w:val="20"/>
                <w:szCs w:val="20"/>
                <w:color w:val="auto"/>
              </w:rPr>
            </w:pPr>
            <w:r>
              <w:rPr>
                <w:rFonts w:ascii="Arial" w:cs="Arial" w:eastAsia="Arial" w:hAnsi="Arial"/>
                <w:sz w:val="14"/>
                <w:szCs w:val="14"/>
                <w:color w:val="auto"/>
              </w:rPr>
              <w:t>200,000</w:t>
            </w:r>
          </w:p>
        </w:tc>
        <w:tc>
          <w:tcPr>
            <w:tcW w:w="1220" w:type="dxa"/>
            <w:vAlign w:val="bottom"/>
            <w:tcBorders>
              <w:bottom w:val="single" w:sz="8" w:color="939598"/>
            </w:tcBorders>
          </w:tcPr>
          <w:p>
            <w:pPr>
              <w:jc w:val="right"/>
              <w:ind w:right="108"/>
              <w:spacing w:after="0"/>
              <w:rPr>
                <w:sz w:val="20"/>
                <w:szCs w:val="20"/>
                <w:color w:val="auto"/>
              </w:rPr>
            </w:pPr>
            <w:r>
              <w:rPr>
                <w:rFonts w:ascii="Arial" w:cs="Arial" w:eastAsia="Arial" w:hAnsi="Arial"/>
                <w:sz w:val="14"/>
                <w:szCs w:val="14"/>
                <w:color w:val="auto"/>
              </w:rPr>
              <w:t>130,071</w:t>
            </w:r>
          </w:p>
        </w:tc>
        <w:tc>
          <w:tcPr>
            <w:tcW w:w="280" w:type="dxa"/>
            <w:vAlign w:val="bottom"/>
            <w:tcBorders>
              <w:bottom w:val="single" w:sz="8" w:color="939598"/>
            </w:tcBorders>
          </w:tcPr>
          <w:p>
            <w:pPr>
              <w:spacing w:after="0"/>
              <w:rPr>
                <w:sz w:val="19"/>
                <w:szCs w:val="19"/>
                <w:color w:val="auto"/>
              </w:rPr>
            </w:pPr>
          </w:p>
        </w:tc>
        <w:tc>
          <w:tcPr>
            <w:tcW w:w="1120" w:type="dxa"/>
            <w:vAlign w:val="bottom"/>
            <w:tcBorders>
              <w:bottom w:val="single" w:sz="8" w:color="939598"/>
            </w:tcBorders>
          </w:tcPr>
          <w:p>
            <w:pPr>
              <w:ind w:left="6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939598"/>
            </w:tcBorders>
          </w:tcPr>
          <w:p>
            <w:pPr>
              <w:spacing w:after="0"/>
              <w:rPr>
                <w:sz w:val="19"/>
                <w:szCs w:val="19"/>
                <w:color w:val="auto"/>
              </w:rPr>
            </w:pPr>
          </w:p>
        </w:tc>
        <w:tc>
          <w:tcPr>
            <w:tcW w:w="920" w:type="dxa"/>
            <w:vAlign w:val="bottom"/>
            <w:tcBorders>
              <w:bottom w:val="single" w:sz="8" w:color="939598"/>
            </w:tcBorders>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939598"/>
            </w:tcBorders>
          </w:tcPr>
          <w:p>
            <w:pPr>
              <w:spacing w:after="0"/>
              <w:rPr>
                <w:sz w:val="19"/>
                <w:szCs w:val="19"/>
                <w:color w:val="auto"/>
              </w:rPr>
            </w:pPr>
          </w:p>
        </w:tc>
        <w:tc>
          <w:tcPr>
            <w:tcW w:w="760" w:type="dxa"/>
            <w:vAlign w:val="bottom"/>
            <w:tcBorders>
              <w:bottom w:val="single" w:sz="8" w:color="939598"/>
            </w:tcBorders>
          </w:tcPr>
          <w:p>
            <w:pPr>
              <w:jc w:val="right"/>
              <w:ind w:right="88"/>
              <w:spacing w:after="0"/>
              <w:rPr>
                <w:sz w:val="20"/>
                <w:szCs w:val="20"/>
                <w:color w:val="auto"/>
              </w:rPr>
            </w:pPr>
            <w:r>
              <w:rPr>
                <w:rFonts w:ascii="Arial" w:cs="Arial" w:eastAsia="Arial" w:hAnsi="Arial"/>
                <w:sz w:val="14"/>
                <w:szCs w:val="14"/>
                <w:color w:val="auto"/>
              </w:rPr>
              <w:t>40</w:t>
            </w:r>
          </w:p>
        </w:tc>
        <w:tc>
          <w:tcPr>
            <w:tcW w:w="10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330,111</w:t>
            </w:r>
          </w:p>
        </w:tc>
        <w:tc>
          <w:tcPr>
            <w:tcW w:w="0" w:type="dxa"/>
            <w:vAlign w:val="bottom"/>
          </w:tcPr>
          <w:p>
            <w:pPr>
              <w:spacing w:after="0"/>
              <w:rPr>
                <w:sz w:val="1"/>
                <w:szCs w:val="1"/>
                <w:color w:val="auto"/>
              </w:rPr>
            </w:pPr>
          </w:p>
        </w:tc>
      </w:tr>
      <w:tr>
        <w:trPr>
          <w:trHeight w:val="223"/>
        </w:trPr>
        <w:tc>
          <w:tcPr>
            <w:tcW w:w="246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Michael W. Lamach</w:t>
            </w:r>
          </w:p>
        </w:tc>
        <w:tc>
          <w:tcPr>
            <w:tcW w:w="1980" w:type="dxa"/>
            <w:vAlign w:val="bottom"/>
            <w:tcBorders>
              <w:bottom w:val="single" w:sz="8" w:color="939598"/>
            </w:tcBorders>
          </w:tcPr>
          <w:p>
            <w:pPr>
              <w:jc w:val="right"/>
              <w:ind w:right="208"/>
              <w:spacing w:after="0"/>
              <w:rPr>
                <w:sz w:val="20"/>
                <w:szCs w:val="20"/>
                <w:color w:val="auto"/>
              </w:rPr>
            </w:pPr>
            <w:r>
              <w:rPr>
                <w:rFonts w:ascii="Arial" w:cs="Arial" w:eastAsia="Arial" w:hAnsi="Arial"/>
                <w:sz w:val="14"/>
                <w:szCs w:val="14"/>
                <w:color w:val="auto"/>
              </w:rPr>
              <w:t>235,000</w:t>
            </w:r>
          </w:p>
        </w:tc>
        <w:tc>
          <w:tcPr>
            <w:tcW w:w="1220" w:type="dxa"/>
            <w:vAlign w:val="bottom"/>
            <w:tcBorders>
              <w:bottom w:val="single" w:sz="8" w:color="939598"/>
            </w:tcBorders>
          </w:tcPr>
          <w:p>
            <w:pPr>
              <w:jc w:val="right"/>
              <w:ind w:right="108"/>
              <w:spacing w:after="0"/>
              <w:rPr>
                <w:sz w:val="20"/>
                <w:szCs w:val="20"/>
                <w:color w:val="auto"/>
              </w:rPr>
            </w:pPr>
            <w:r>
              <w:rPr>
                <w:rFonts w:ascii="Arial" w:cs="Arial" w:eastAsia="Arial" w:hAnsi="Arial"/>
                <w:sz w:val="14"/>
                <w:szCs w:val="14"/>
                <w:color w:val="auto"/>
              </w:rPr>
              <w:t>130,071</w:t>
            </w:r>
          </w:p>
        </w:tc>
        <w:tc>
          <w:tcPr>
            <w:tcW w:w="280" w:type="dxa"/>
            <w:vAlign w:val="bottom"/>
            <w:tcBorders>
              <w:bottom w:val="single" w:sz="8" w:color="939598"/>
            </w:tcBorders>
          </w:tcPr>
          <w:p>
            <w:pPr>
              <w:spacing w:after="0"/>
              <w:rPr>
                <w:sz w:val="19"/>
                <w:szCs w:val="19"/>
                <w:color w:val="auto"/>
              </w:rPr>
            </w:pPr>
          </w:p>
        </w:tc>
        <w:tc>
          <w:tcPr>
            <w:tcW w:w="1120" w:type="dxa"/>
            <w:vAlign w:val="bottom"/>
            <w:tcBorders>
              <w:bottom w:val="single" w:sz="8" w:color="939598"/>
            </w:tcBorders>
          </w:tcPr>
          <w:p>
            <w:pPr>
              <w:ind w:left="6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939598"/>
            </w:tcBorders>
          </w:tcPr>
          <w:p>
            <w:pPr>
              <w:spacing w:after="0"/>
              <w:rPr>
                <w:sz w:val="19"/>
                <w:szCs w:val="19"/>
                <w:color w:val="auto"/>
              </w:rPr>
            </w:pPr>
          </w:p>
        </w:tc>
        <w:tc>
          <w:tcPr>
            <w:tcW w:w="920" w:type="dxa"/>
            <w:vAlign w:val="bottom"/>
            <w:tcBorders>
              <w:bottom w:val="single" w:sz="8" w:color="939598"/>
            </w:tcBorders>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939598"/>
            </w:tcBorders>
          </w:tcPr>
          <w:p>
            <w:pPr>
              <w:spacing w:after="0"/>
              <w:rPr>
                <w:sz w:val="19"/>
                <w:szCs w:val="19"/>
                <w:color w:val="auto"/>
              </w:rPr>
            </w:pPr>
          </w:p>
        </w:tc>
        <w:tc>
          <w:tcPr>
            <w:tcW w:w="760" w:type="dxa"/>
            <w:vAlign w:val="bottom"/>
            <w:tcBorders>
              <w:bottom w:val="single" w:sz="8" w:color="939598"/>
            </w:tcBorders>
          </w:tcPr>
          <w:p>
            <w:pPr>
              <w:jc w:val="right"/>
              <w:ind w:right="88"/>
              <w:spacing w:after="0"/>
              <w:rPr>
                <w:sz w:val="20"/>
                <w:szCs w:val="20"/>
                <w:color w:val="auto"/>
              </w:rPr>
            </w:pPr>
            <w:r>
              <w:rPr>
                <w:rFonts w:ascii="Arial" w:cs="Arial" w:eastAsia="Arial" w:hAnsi="Arial"/>
                <w:sz w:val="14"/>
                <w:szCs w:val="14"/>
                <w:color w:val="auto"/>
              </w:rPr>
              <w:t>25,040</w:t>
            </w:r>
          </w:p>
        </w:tc>
        <w:tc>
          <w:tcPr>
            <w:tcW w:w="10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390,111</w:t>
            </w:r>
          </w:p>
        </w:tc>
        <w:tc>
          <w:tcPr>
            <w:tcW w:w="0" w:type="dxa"/>
            <w:vAlign w:val="bottom"/>
          </w:tcPr>
          <w:p>
            <w:pPr>
              <w:spacing w:after="0"/>
              <w:rPr>
                <w:sz w:val="1"/>
                <w:szCs w:val="1"/>
                <w:color w:val="auto"/>
              </w:rPr>
            </w:pPr>
          </w:p>
        </w:tc>
      </w:tr>
      <w:tr>
        <w:trPr>
          <w:trHeight w:val="230"/>
        </w:trPr>
        <w:tc>
          <w:tcPr>
            <w:tcW w:w="246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Rose Lee</w:t>
            </w:r>
            <w:r>
              <w:rPr>
                <w:rFonts w:ascii="Arial" w:cs="Arial" w:eastAsia="Arial" w:hAnsi="Arial"/>
                <w:sz w:val="18"/>
                <w:szCs w:val="18"/>
                <w:b w:val="1"/>
                <w:bCs w:val="1"/>
                <w:color w:val="auto"/>
                <w:vertAlign w:val="superscript"/>
              </w:rPr>
              <w:t>(7)</w:t>
            </w:r>
          </w:p>
        </w:tc>
        <w:tc>
          <w:tcPr>
            <w:tcW w:w="1980" w:type="dxa"/>
            <w:vAlign w:val="bottom"/>
            <w:tcBorders>
              <w:bottom w:val="single" w:sz="8" w:color="939598"/>
            </w:tcBorders>
          </w:tcPr>
          <w:p>
            <w:pPr>
              <w:jc w:val="right"/>
              <w:ind w:right="208"/>
              <w:spacing w:after="0"/>
              <w:rPr>
                <w:sz w:val="20"/>
                <w:szCs w:val="20"/>
                <w:color w:val="auto"/>
              </w:rPr>
            </w:pPr>
            <w:r>
              <w:rPr>
                <w:rFonts w:ascii="Arial" w:cs="Arial" w:eastAsia="Arial" w:hAnsi="Arial"/>
                <w:sz w:val="14"/>
                <w:szCs w:val="14"/>
                <w:color w:val="auto"/>
              </w:rPr>
              <w:t>190,000</w:t>
            </w:r>
          </w:p>
        </w:tc>
        <w:tc>
          <w:tcPr>
            <w:tcW w:w="1220" w:type="dxa"/>
            <w:vAlign w:val="bottom"/>
            <w:tcBorders>
              <w:bottom w:val="single" w:sz="8" w:color="939598"/>
            </w:tcBorders>
          </w:tcPr>
          <w:p>
            <w:pPr>
              <w:jc w:val="right"/>
              <w:ind w:right="108"/>
              <w:spacing w:after="0"/>
              <w:rPr>
                <w:sz w:val="20"/>
                <w:szCs w:val="20"/>
                <w:color w:val="auto"/>
              </w:rPr>
            </w:pPr>
            <w:r>
              <w:rPr>
                <w:rFonts w:ascii="Arial" w:cs="Arial" w:eastAsia="Arial" w:hAnsi="Arial"/>
                <w:sz w:val="14"/>
                <w:szCs w:val="14"/>
                <w:color w:val="auto"/>
              </w:rPr>
              <w:t>130,071</w:t>
            </w:r>
          </w:p>
        </w:tc>
        <w:tc>
          <w:tcPr>
            <w:tcW w:w="280" w:type="dxa"/>
            <w:vAlign w:val="bottom"/>
            <w:tcBorders>
              <w:bottom w:val="single" w:sz="8" w:color="939598"/>
            </w:tcBorders>
          </w:tcPr>
          <w:p>
            <w:pPr>
              <w:spacing w:after="0"/>
              <w:rPr>
                <w:sz w:val="19"/>
                <w:szCs w:val="19"/>
                <w:color w:val="auto"/>
              </w:rPr>
            </w:pPr>
          </w:p>
        </w:tc>
        <w:tc>
          <w:tcPr>
            <w:tcW w:w="1120" w:type="dxa"/>
            <w:vAlign w:val="bottom"/>
            <w:tcBorders>
              <w:bottom w:val="single" w:sz="8" w:color="939598"/>
            </w:tcBorders>
          </w:tcPr>
          <w:p>
            <w:pPr>
              <w:ind w:left="6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939598"/>
            </w:tcBorders>
          </w:tcPr>
          <w:p>
            <w:pPr>
              <w:spacing w:after="0"/>
              <w:rPr>
                <w:sz w:val="19"/>
                <w:szCs w:val="19"/>
                <w:color w:val="auto"/>
              </w:rPr>
            </w:pPr>
          </w:p>
        </w:tc>
        <w:tc>
          <w:tcPr>
            <w:tcW w:w="920" w:type="dxa"/>
            <w:vAlign w:val="bottom"/>
            <w:tcBorders>
              <w:bottom w:val="single" w:sz="8" w:color="939598"/>
            </w:tcBorders>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939598"/>
            </w:tcBorders>
          </w:tcPr>
          <w:p>
            <w:pPr>
              <w:spacing w:after="0"/>
              <w:rPr>
                <w:sz w:val="19"/>
                <w:szCs w:val="19"/>
                <w:color w:val="auto"/>
              </w:rPr>
            </w:pPr>
          </w:p>
        </w:tc>
        <w:tc>
          <w:tcPr>
            <w:tcW w:w="760" w:type="dxa"/>
            <w:vAlign w:val="bottom"/>
            <w:tcBorders>
              <w:bottom w:val="single" w:sz="8" w:color="939598"/>
            </w:tcBorders>
          </w:tcPr>
          <w:p>
            <w:pPr>
              <w:jc w:val="right"/>
              <w:ind w:right="88"/>
              <w:spacing w:after="0"/>
              <w:rPr>
                <w:sz w:val="20"/>
                <w:szCs w:val="20"/>
                <w:color w:val="auto"/>
              </w:rPr>
            </w:pPr>
            <w:r>
              <w:rPr>
                <w:rFonts w:ascii="Arial" w:cs="Arial" w:eastAsia="Arial" w:hAnsi="Arial"/>
                <w:sz w:val="14"/>
                <w:szCs w:val="14"/>
                <w:color w:val="auto"/>
              </w:rPr>
              <w:t>33</w:t>
            </w:r>
          </w:p>
        </w:tc>
        <w:tc>
          <w:tcPr>
            <w:tcW w:w="10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320,104</w:t>
            </w:r>
          </w:p>
        </w:tc>
        <w:tc>
          <w:tcPr>
            <w:tcW w:w="0" w:type="dxa"/>
            <w:vAlign w:val="bottom"/>
          </w:tcPr>
          <w:p>
            <w:pPr>
              <w:spacing w:after="0"/>
              <w:rPr>
                <w:sz w:val="1"/>
                <w:szCs w:val="1"/>
                <w:color w:val="auto"/>
              </w:rPr>
            </w:pPr>
          </w:p>
        </w:tc>
      </w:tr>
      <w:tr>
        <w:trPr>
          <w:trHeight w:val="216"/>
        </w:trPr>
        <w:tc>
          <w:tcPr>
            <w:tcW w:w="246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Grace Lieblein</w:t>
            </w:r>
          </w:p>
        </w:tc>
        <w:tc>
          <w:tcPr>
            <w:tcW w:w="1980" w:type="dxa"/>
            <w:vAlign w:val="bottom"/>
            <w:tcBorders>
              <w:bottom w:val="single" w:sz="8" w:color="939598"/>
            </w:tcBorders>
          </w:tcPr>
          <w:p>
            <w:pPr>
              <w:jc w:val="right"/>
              <w:ind w:right="208"/>
              <w:spacing w:after="0"/>
              <w:rPr>
                <w:sz w:val="20"/>
                <w:szCs w:val="20"/>
                <w:color w:val="auto"/>
              </w:rPr>
            </w:pPr>
            <w:r>
              <w:rPr>
                <w:rFonts w:ascii="Arial" w:cs="Arial" w:eastAsia="Arial" w:hAnsi="Arial"/>
                <w:sz w:val="14"/>
                <w:szCs w:val="14"/>
                <w:color w:val="auto"/>
              </w:rPr>
              <w:t>225,000</w:t>
            </w:r>
          </w:p>
        </w:tc>
        <w:tc>
          <w:tcPr>
            <w:tcW w:w="1220" w:type="dxa"/>
            <w:vAlign w:val="bottom"/>
            <w:tcBorders>
              <w:bottom w:val="single" w:sz="8" w:color="939598"/>
            </w:tcBorders>
          </w:tcPr>
          <w:p>
            <w:pPr>
              <w:jc w:val="right"/>
              <w:ind w:right="108"/>
              <w:spacing w:after="0"/>
              <w:rPr>
                <w:sz w:val="20"/>
                <w:szCs w:val="20"/>
                <w:color w:val="auto"/>
              </w:rPr>
            </w:pPr>
            <w:r>
              <w:rPr>
                <w:rFonts w:ascii="Arial" w:cs="Arial" w:eastAsia="Arial" w:hAnsi="Arial"/>
                <w:sz w:val="14"/>
                <w:szCs w:val="14"/>
                <w:color w:val="auto"/>
              </w:rPr>
              <w:t>130,071</w:t>
            </w:r>
          </w:p>
        </w:tc>
        <w:tc>
          <w:tcPr>
            <w:tcW w:w="280" w:type="dxa"/>
            <w:vAlign w:val="bottom"/>
            <w:tcBorders>
              <w:bottom w:val="single" w:sz="8" w:color="939598"/>
            </w:tcBorders>
          </w:tcPr>
          <w:p>
            <w:pPr>
              <w:spacing w:after="0"/>
              <w:rPr>
                <w:sz w:val="18"/>
                <w:szCs w:val="18"/>
                <w:color w:val="auto"/>
              </w:rPr>
            </w:pPr>
          </w:p>
        </w:tc>
        <w:tc>
          <w:tcPr>
            <w:tcW w:w="1120" w:type="dxa"/>
            <w:vAlign w:val="bottom"/>
            <w:tcBorders>
              <w:bottom w:val="single" w:sz="8" w:color="939598"/>
            </w:tcBorders>
          </w:tcPr>
          <w:p>
            <w:pPr>
              <w:ind w:left="6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939598"/>
            </w:tcBorders>
          </w:tcPr>
          <w:p>
            <w:pPr>
              <w:spacing w:after="0"/>
              <w:rPr>
                <w:sz w:val="18"/>
                <w:szCs w:val="18"/>
                <w:color w:val="auto"/>
              </w:rPr>
            </w:pPr>
          </w:p>
        </w:tc>
        <w:tc>
          <w:tcPr>
            <w:tcW w:w="920" w:type="dxa"/>
            <w:vAlign w:val="bottom"/>
            <w:tcBorders>
              <w:bottom w:val="single" w:sz="8" w:color="939598"/>
            </w:tcBorders>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939598"/>
            </w:tcBorders>
          </w:tcPr>
          <w:p>
            <w:pPr>
              <w:spacing w:after="0"/>
              <w:rPr>
                <w:sz w:val="18"/>
                <w:szCs w:val="18"/>
                <w:color w:val="auto"/>
              </w:rPr>
            </w:pPr>
          </w:p>
        </w:tc>
        <w:tc>
          <w:tcPr>
            <w:tcW w:w="760" w:type="dxa"/>
            <w:vAlign w:val="bottom"/>
            <w:tcBorders>
              <w:bottom w:val="single" w:sz="8" w:color="939598"/>
            </w:tcBorders>
          </w:tcPr>
          <w:p>
            <w:pPr>
              <w:jc w:val="right"/>
              <w:ind w:right="88"/>
              <w:spacing w:after="0"/>
              <w:rPr>
                <w:sz w:val="20"/>
                <w:szCs w:val="20"/>
                <w:color w:val="auto"/>
              </w:rPr>
            </w:pPr>
            <w:r>
              <w:rPr>
                <w:rFonts w:ascii="Arial" w:cs="Arial" w:eastAsia="Arial" w:hAnsi="Arial"/>
                <w:sz w:val="14"/>
                <w:szCs w:val="14"/>
                <w:color w:val="auto"/>
              </w:rPr>
              <w:t>25,040</w:t>
            </w:r>
          </w:p>
        </w:tc>
        <w:tc>
          <w:tcPr>
            <w:tcW w:w="10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380,111</w:t>
            </w:r>
          </w:p>
        </w:tc>
        <w:tc>
          <w:tcPr>
            <w:tcW w:w="0" w:type="dxa"/>
            <w:vAlign w:val="bottom"/>
          </w:tcPr>
          <w:p>
            <w:pPr>
              <w:spacing w:after="0"/>
              <w:rPr>
                <w:sz w:val="1"/>
                <w:szCs w:val="1"/>
                <w:color w:val="auto"/>
              </w:rPr>
            </w:pPr>
          </w:p>
        </w:tc>
      </w:tr>
      <w:tr>
        <w:trPr>
          <w:trHeight w:val="223"/>
        </w:trPr>
        <w:tc>
          <w:tcPr>
            <w:tcW w:w="246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Marc Steinberg</w:t>
            </w:r>
          </w:p>
        </w:tc>
        <w:tc>
          <w:tcPr>
            <w:tcW w:w="1980" w:type="dxa"/>
            <w:vAlign w:val="bottom"/>
            <w:tcBorders>
              <w:bottom w:val="single" w:sz="8" w:color="939598"/>
            </w:tcBorders>
          </w:tcPr>
          <w:p>
            <w:pPr>
              <w:jc w:val="right"/>
              <w:ind w:right="208"/>
              <w:spacing w:after="0"/>
              <w:rPr>
                <w:sz w:val="20"/>
                <w:szCs w:val="20"/>
                <w:color w:val="auto"/>
              </w:rPr>
            </w:pPr>
            <w:r>
              <w:rPr>
                <w:rFonts w:ascii="Arial" w:cs="Arial" w:eastAsia="Arial" w:hAnsi="Arial"/>
                <w:sz w:val="14"/>
                <w:szCs w:val="14"/>
                <w:color w:val="auto"/>
              </w:rPr>
              <w:t>114,340</w:t>
            </w:r>
          </w:p>
        </w:tc>
        <w:tc>
          <w:tcPr>
            <w:tcW w:w="1220" w:type="dxa"/>
            <w:vAlign w:val="bottom"/>
            <w:tcBorders>
              <w:bottom w:val="single" w:sz="8" w:color="939598"/>
            </w:tcBorders>
          </w:tcPr>
          <w:p>
            <w:pPr>
              <w:jc w:val="right"/>
              <w:ind w:right="108"/>
              <w:spacing w:after="0"/>
              <w:rPr>
                <w:sz w:val="20"/>
                <w:szCs w:val="20"/>
                <w:color w:val="auto"/>
              </w:rPr>
            </w:pPr>
            <w:r>
              <w:rPr>
                <w:rFonts w:ascii="Arial" w:cs="Arial" w:eastAsia="Arial" w:hAnsi="Arial"/>
                <w:sz w:val="14"/>
                <w:szCs w:val="14"/>
                <w:color w:val="auto"/>
              </w:rPr>
              <w:t>126,163</w:t>
            </w:r>
          </w:p>
        </w:tc>
        <w:tc>
          <w:tcPr>
            <w:tcW w:w="280" w:type="dxa"/>
            <w:vAlign w:val="bottom"/>
            <w:tcBorders>
              <w:bottom w:val="single" w:sz="8" w:color="939598"/>
            </w:tcBorders>
          </w:tcPr>
          <w:p>
            <w:pPr>
              <w:spacing w:after="0"/>
              <w:rPr>
                <w:sz w:val="19"/>
                <w:szCs w:val="19"/>
                <w:color w:val="auto"/>
              </w:rPr>
            </w:pPr>
          </w:p>
        </w:tc>
        <w:tc>
          <w:tcPr>
            <w:tcW w:w="1120" w:type="dxa"/>
            <w:vAlign w:val="bottom"/>
            <w:tcBorders>
              <w:bottom w:val="single" w:sz="8" w:color="939598"/>
            </w:tcBorders>
          </w:tcPr>
          <w:p>
            <w:pPr>
              <w:ind w:left="6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939598"/>
            </w:tcBorders>
          </w:tcPr>
          <w:p>
            <w:pPr>
              <w:spacing w:after="0"/>
              <w:rPr>
                <w:sz w:val="19"/>
                <w:szCs w:val="19"/>
                <w:color w:val="auto"/>
              </w:rPr>
            </w:pPr>
          </w:p>
        </w:tc>
        <w:tc>
          <w:tcPr>
            <w:tcW w:w="920" w:type="dxa"/>
            <w:vAlign w:val="bottom"/>
            <w:tcBorders>
              <w:bottom w:val="single" w:sz="8" w:color="939598"/>
            </w:tcBorders>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939598"/>
            </w:tcBorders>
          </w:tcPr>
          <w:p>
            <w:pPr>
              <w:spacing w:after="0"/>
              <w:rPr>
                <w:sz w:val="19"/>
                <w:szCs w:val="19"/>
                <w:color w:val="auto"/>
              </w:rPr>
            </w:pPr>
          </w:p>
        </w:tc>
        <w:tc>
          <w:tcPr>
            <w:tcW w:w="760" w:type="dxa"/>
            <w:vAlign w:val="bottom"/>
            <w:tcBorders>
              <w:bottom w:val="single" w:sz="8" w:color="939598"/>
            </w:tcBorders>
          </w:tcPr>
          <w:p>
            <w:pPr>
              <w:jc w:val="right"/>
              <w:ind w:right="88"/>
              <w:spacing w:after="0"/>
              <w:rPr>
                <w:sz w:val="20"/>
                <w:szCs w:val="20"/>
                <w:color w:val="auto"/>
              </w:rPr>
            </w:pPr>
            <w:r>
              <w:rPr>
                <w:rFonts w:ascii="Arial" w:cs="Arial" w:eastAsia="Arial" w:hAnsi="Arial"/>
                <w:sz w:val="14"/>
                <w:szCs w:val="14"/>
                <w:color w:val="auto"/>
              </w:rPr>
              <w:t>23</w:t>
            </w:r>
          </w:p>
        </w:tc>
        <w:tc>
          <w:tcPr>
            <w:tcW w:w="10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240,526</w:t>
            </w:r>
          </w:p>
        </w:tc>
        <w:tc>
          <w:tcPr>
            <w:tcW w:w="0" w:type="dxa"/>
            <w:vAlign w:val="bottom"/>
          </w:tcPr>
          <w:p>
            <w:pPr>
              <w:spacing w:after="0"/>
              <w:rPr>
                <w:sz w:val="1"/>
                <w:szCs w:val="1"/>
                <w:color w:val="auto"/>
              </w:rPr>
            </w:pPr>
          </w:p>
        </w:tc>
      </w:tr>
      <w:tr>
        <w:trPr>
          <w:trHeight w:val="230"/>
        </w:trPr>
        <w:tc>
          <w:tcPr>
            <w:tcW w:w="246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Robin L. Washington</w:t>
            </w:r>
            <w:r>
              <w:rPr>
                <w:rFonts w:ascii="Arial" w:cs="Arial" w:eastAsia="Arial" w:hAnsi="Arial"/>
                <w:sz w:val="18"/>
                <w:szCs w:val="18"/>
                <w:b w:val="1"/>
                <w:bCs w:val="1"/>
                <w:color w:val="auto"/>
                <w:vertAlign w:val="superscript"/>
              </w:rPr>
              <w:t>(7)</w:t>
            </w:r>
          </w:p>
        </w:tc>
        <w:tc>
          <w:tcPr>
            <w:tcW w:w="1980" w:type="dxa"/>
            <w:vAlign w:val="bottom"/>
            <w:tcBorders>
              <w:bottom w:val="single" w:sz="8" w:color="939598"/>
            </w:tcBorders>
          </w:tcPr>
          <w:p>
            <w:pPr>
              <w:jc w:val="right"/>
              <w:ind w:right="208"/>
              <w:spacing w:after="0"/>
              <w:rPr>
                <w:sz w:val="20"/>
                <w:szCs w:val="20"/>
                <w:color w:val="auto"/>
              </w:rPr>
            </w:pPr>
            <w:r>
              <w:rPr>
                <w:rFonts w:ascii="Arial" w:cs="Arial" w:eastAsia="Arial" w:hAnsi="Arial"/>
                <w:sz w:val="14"/>
                <w:szCs w:val="14"/>
                <w:color w:val="auto"/>
              </w:rPr>
              <w:t>93,750</w:t>
            </w:r>
          </w:p>
        </w:tc>
        <w:tc>
          <w:tcPr>
            <w:tcW w:w="1220" w:type="dxa"/>
            <w:vAlign w:val="bottom"/>
            <w:tcBorders>
              <w:bottom w:val="single" w:sz="8" w:color="939598"/>
            </w:tcBorders>
          </w:tcPr>
          <w:p>
            <w:pPr>
              <w:jc w:val="right"/>
              <w:ind w:right="108"/>
              <w:spacing w:after="0"/>
              <w:rPr>
                <w:sz w:val="20"/>
                <w:szCs w:val="20"/>
                <w:color w:val="auto"/>
              </w:rPr>
            </w:pPr>
            <w:r>
              <w:rPr>
                <w:rFonts w:ascii="Arial" w:cs="Arial" w:eastAsia="Arial" w:hAnsi="Arial"/>
                <w:sz w:val="14"/>
                <w:szCs w:val="14"/>
                <w:color w:val="auto"/>
              </w:rPr>
              <w:t>130,071</w:t>
            </w:r>
          </w:p>
        </w:tc>
        <w:tc>
          <w:tcPr>
            <w:tcW w:w="280" w:type="dxa"/>
            <w:vAlign w:val="bottom"/>
            <w:tcBorders>
              <w:bottom w:val="single" w:sz="8" w:color="939598"/>
            </w:tcBorders>
          </w:tcPr>
          <w:p>
            <w:pPr>
              <w:spacing w:after="0"/>
              <w:rPr>
                <w:sz w:val="19"/>
                <w:szCs w:val="19"/>
                <w:color w:val="auto"/>
              </w:rPr>
            </w:pPr>
          </w:p>
        </w:tc>
        <w:tc>
          <w:tcPr>
            <w:tcW w:w="1120" w:type="dxa"/>
            <w:vAlign w:val="bottom"/>
            <w:tcBorders>
              <w:bottom w:val="single" w:sz="8" w:color="939598"/>
            </w:tcBorders>
          </w:tcPr>
          <w:p>
            <w:pPr>
              <w:ind w:left="6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939598"/>
            </w:tcBorders>
          </w:tcPr>
          <w:p>
            <w:pPr>
              <w:spacing w:after="0"/>
              <w:rPr>
                <w:sz w:val="19"/>
                <w:szCs w:val="19"/>
                <w:color w:val="auto"/>
              </w:rPr>
            </w:pPr>
          </w:p>
        </w:tc>
        <w:tc>
          <w:tcPr>
            <w:tcW w:w="920" w:type="dxa"/>
            <w:vAlign w:val="bottom"/>
            <w:tcBorders>
              <w:bottom w:val="single" w:sz="8" w:color="939598"/>
            </w:tcBorders>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939598"/>
            </w:tcBorders>
          </w:tcPr>
          <w:p>
            <w:pPr>
              <w:spacing w:after="0"/>
              <w:rPr>
                <w:sz w:val="19"/>
                <w:szCs w:val="19"/>
                <w:color w:val="auto"/>
              </w:rPr>
            </w:pPr>
          </w:p>
        </w:tc>
        <w:tc>
          <w:tcPr>
            <w:tcW w:w="760" w:type="dxa"/>
            <w:vAlign w:val="bottom"/>
            <w:tcBorders>
              <w:bottom w:val="single" w:sz="8" w:color="939598"/>
            </w:tcBorders>
          </w:tcPr>
          <w:p>
            <w:pPr>
              <w:jc w:val="right"/>
              <w:ind w:right="88"/>
              <w:spacing w:after="0"/>
              <w:rPr>
                <w:sz w:val="20"/>
                <w:szCs w:val="20"/>
                <w:color w:val="auto"/>
              </w:rPr>
            </w:pPr>
            <w:r>
              <w:rPr>
                <w:rFonts w:ascii="Arial" w:cs="Arial" w:eastAsia="Arial" w:hAnsi="Arial"/>
                <w:sz w:val="14"/>
                <w:szCs w:val="14"/>
                <w:color w:val="auto"/>
              </w:rPr>
              <w:t>10</w:t>
            </w:r>
          </w:p>
        </w:tc>
        <w:tc>
          <w:tcPr>
            <w:tcW w:w="10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223,831</w:t>
            </w:r>
          </w:p>
        </w:tc>
        <w:tc>
          <w:tcPr>
            <w:tcW w:w="0" w:type="dxa"/>
            <w:vAlign w:val="bottom"/>
          </w:tcPr>
          <w:p>
            <w:pPr>
              <w:spacing w:after="0"/>
              <w:rPr>
                <w:sz w:val="1"/>
                <w:szCs w:val="1"/>
                <w:color w:val="auto"/>
              </w:rPr>
            </w:pPr>
          </w:p>
        </w:tc>
      </w:tr>
      <w:tr>
        <w:trPr>
          <w:trHeight w:val="217"/>
        </w:trPr>
        <w:tc>
          <w:tcPr>
            <w:tcW w:w="246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Robin Watson</w:t>
            </w:r>
          </w:p>
        </w:tc>
        <w:tc>
          <w:tcPr>
            <w:tcW w:w="1980" w:type="dxa"/>
            <w:vAlign w:val="bottom"/>
            <w:tcBorders>
              <w:bottom w:val="single" w:sz="8" w:color="939598"/>
            </w:tcBorders>
          </w:tcPr>
          <w:p>
            <w:pPr>
              <w:jc w:val="right"/>
              <w:ind w:right="208"/>
              <w:spacing w:after="0"/>
              <w:rPr>
                <w:sz w:val="20"/>
                <w:szCs w:val="20"/>
                <w:color w:val="auto"/>
              </w:rPr>
            </w:pPr>
            <w:r>
              <w:rPr>
                <w:rFonts w:ascii="Arial" w:cs="Arial" w:eastAsia="Arial" w:hAnsi="Arial"/>
                <w:sz w:val="14"/>
                <w:szCs w:val="14"/>
                <w:color w:val="auto"/>
              </w:rPr>
              <w:t>195,000</w:t>
            </w:r>
          </w:p>
        </w:tc>
        <w:tc>
          <w:tcPr>
            <w:tcW w:w="1220" w:type="dxa"/>
            <w:vAlign w:val="bottom"/>
            <w:tcBorders>
              <w:bottom w:val="single" w:sz="8" w:color="939598"/>
            </w:tcBorders>
          </w:tcPr>
          <w:p>
            <w:pPr>
              <w:jc w:val="right"/>
              <w:ind w:right="108"/>
              <w:spacing w:after="0"/>
              <w:rPr>
                <w:sz w:val="20"/>
                <w:szCs w:val="20"/>
                <w:color w:val="auto"/>
              </w:rPr>
            </w:pPr>
            <w:r>
              <w:rPr>
                <w:rFonts w:ascii="Arial" w:cs="Arial" w:eastAsia="Arial" w:hAnsi="Arial"/>
                <w:sz w:val="14"/>
                <w:szCs w:val="14"/>
                <w:color w:val="auto"/>
              </w:rPr>
              <w:t>130,071</w:t>
            </w:r>
          </w:p>
        </w:tc>
        <w:tc>
          <w:tcPr>
            <w:tcW w:w="280" w:type="dxa"/>
            <w:vAlign w:val="bottom"/>
            <w:tcBorders>
              <w:bottom w:val="single" w:sz="8" w:color="939598"/>
            </w:tcBorders>
          </w:tcPr>
          <w:p>
            <w:pPr>
              <w:spacing w:after="0"/>
              <w:rPr>
                <w:sz w:val="18"/>
                <w:szCs w:val="18"/>
                <w:color w:val="auto"/>
              </w:rPr>
            </w:pPr>
          </w:p>
        </w:tc>
        <w:tc>
          <w:tcPr>
            <w:tcW w:w="1120" w:type="dxa"/>
            <w:vAlign w:val="bottom"/>
            <w:tcBorders>
              <w:bottom w:val="single" w:sz="8" w:color="939598"/>
            </w:tcBorders>
          </w:tcPr>
          <w:p>
            <w:pPr>
              <w:ind w:left="6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939598"/>
            </w:tcBorders>
          </w:tcPr>
          <w:p>
            <w:pPr>
              <w:spacing w:after="0"/>
              <w:rPr>
                <w:sz w:val="18"/>
                <w:szCs w:val="18"/>
                <w:color w:val="auto"/>
              </w:rPr>
            </w:pPr>
          </w:p>
        </w:tc>
        <w:tc>
          <w:tcPr>
            <w:tcW w:w="920" w:type="dxa"/>
            <w:vAlign w:val="bottom"/>
            <w:tcBorders>
              <w:bottom w:val="single" w:sz="8" w:color="939598"/>
            </w:tcBorders>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939598"/>
            </w:tcBorders>
          </w:tcPr>
          <w:p>
            <w:pPr>
              <w:spacing w:after="0"/>
              <w:rPr>
                <w:sz w:val="18"/>
                <w:szCs w:val="18"/>
                <w:color w:val="auto"/>
              </w:rPr>
            </w:pPr>
          </w:p>
        </w:tc>
        <w:tc>
          <w:tcPr>
            <w:tcW w:w="760" w:type="dxa"/>
            <w:vAlign w:val="bottom"/>
            <w:tcBorders>
              <w:bottom w:val="single" w:sz="8" w:color="939598"/>
            </w:tcBorders>
          </w:tcPr>
          <w:p>
            <w:pPr>
              <w:jc w:val="right"/>
              <w:ind w:right="88"/>
              <w:spacing w:after="0"/>
              <w:rPr>
                <w:sz w:val="20"/>
                <w:szCs w:val="20"/>
                <w:color w:val="auto"/>
              </w:rPr>
            </w:pPr>
            <w:r>
              <w:rPr>
                <w:rFonts w:ascii="Arial" w:cs="Arial" w:eastAsia="Arial" w:hAnsi="Arial"/>
                <w:sz w:val="14"/>
                <w:szCs w:val="14"/>
                <w:color w:val="auto"/>
              </w:rPr>
              <w:t>3,986</w:t>
            </w:r>
          </w:p>
        </w:tc>
        <w:tc>
          <w:tcPr>
            <w:tcW w:w="10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329,057</w:t>
            </w:r>
          </w:p>
        </w:tc>
        <w:tc>
          <w:tcPr>
            <w:tcW w:w="0" w:type="dxa"/>
            <w:vAlign w:val="bottom"/>
          </w:tcPr>
          <w:p>
            <w:pPr>
              <w:spacing w:after="0"/>
              <w:rPr>
                <w:sz w:val="1"/>
                <w:szCs w:val="1"/>
                <w:color w:val="auto"/>
              </w:rPr>
            </w:pPr>
          </w:p>
        </w:tc>
      </w:tr>
      <w:tr>
        <w:trPr>
          <w:trHeight w:val="223"/>
        </w:trPr>
        <w:tc>
          <w:tcPr>
            <w:tcW w:w="24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Stephen Williamson</w:t>
            </w:r>
          </w:p>
        </w:tc>
        <w:tc>
          <w:tcPr>
            <w:tcW w:w="19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color w:val="auto"/>
              </w:rPr>
              <w:t>146,455</w:t>
            </w:r>
          </w:p>
        </w:tc>
        <w:tc>
          <w:tcPr>
            <w:tcW w:w="12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147,639</w:t>
            </w:r>
          </w:p>
        </w:tc>
        <w:tc>
          <w:tcPr>
            <w:tcW w:w="280" w:type="dxa"/>
            <w:vAlign w:val="bottom"/>
            <w:tcBorders>
              <w:bottom w:val="single" w:sz="8" w:color="D7282F"/>
            </w:tcBorders>
          </w:tcPr>
          <w:p>
            <w:pPr>
              <w:spacing w:after="0"/>
              <w:rPr>
                <w:sz w:val="19"/>
                <w:szCs w:val="19"/>
                <w:color w:val="auto"/>
              </w:rPr>
            </w:pPr>
          </w:p>
        </w:tc>
        <w:tc>
          <w:tcPr>
            <w:tcW w:w="1120" w:type="dxa"/>
            <w:vAlign w:val="bottom"/>
            <w:tcBorders>
              <w:bottom w:val="single" w:sz="8" w:color="D7282F"/>
            </w:tcBorders>
          </w:tcPr>
          <w:p>
            <w:pPr>
              <w:ind w:left="6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D7282F"/>
            </w:tcBorders>
          </w:tcPr>
          <w:p>
            <w:pPr>
              <w:spacing w:after="0"/>
              <w:rPr>
                <w:sz w:val="19"/>
                <w:szCs w:val="19"/>
                <w:color w:val="auto"/>
              </w:rPr>
            </w:pPr>
          </w:p>
        </w:tc>
        <w:tc>
          <w:tcPr>
            <w:tcW w:w="920" w:type="dxa"/>
            <w:vAlign w:val="bottom"/>
            <w:tcBorders>
              <w:bottom w:val="single" w:sz="8" w:color="D7282F"/>
            </w:tcBorders>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7282F"/>
            </w:tcBorders>
          </w:tcPr>
          <w:p>
            <w:pPr>
              <w:spacing w:after="0"/>
              <w:rPr>
                <w:sz w:val="19"/>
                <w:szCs w:val="19"/>
                <w:color w:val="auto"/>
              </w:rPr>
            </w:pP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25,030</w:t>
            </w: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319,124</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Ms. Nooyi is not included in the director compensation table because she was not appointed to the Board until January 1, 2026.</w:t>
      </w:r>
    </w:p>
    <w:p>
      <w:pPr>
        <w:spacing w:after="0" w:line="105" w:lineRule="exact"/>
        <w:rPr>
          <w:sz w:val="20"/>
          <w:szCs w:val="20"/>
          <w:color w:val="auto"/>
        </w:rPr>
      </w:pPr>
    </w:p>
    <w:p>
      <w:pPr>
        <w:ind w:left="200" w:hanging="192"/>
        <w:spacing w:after="0"/>
        <w:tabs>
          <w:tab w:leader="none" w:pos="200" w:val="left"/>
        </w:tabs>
        <w:numPr>
          <w:ilvl w:val="0"/>
          <w:numId w:val="121"/>
        </w:numPr>
        <w:rPr>
          <w:rFonts w:ascii="Arial" w:cs="Arial" w:eastAsia="Arial" w:hAnsi="Arial"/>
          <w:sz w:val="16"/>
          <w:szCs w:val="16"/>
          <w:color w:val="auto"/>
          <w:vertAlign w:val="superscript"/>
        </w:rPr>
      </w:pPr>
      <w:r>
        <w:rPr>
          <w:rFonts w:ascii="Arial" w:cs="Arial" w:eastAsia="Arial" w:hAnsi="Arial"/>
          <w:sz w:val="13"/>
          <w:szCs w:val="13"/>
          <w:color w:val="auto"/>
        </w:rPr>
        <w:t>Includes all cash fees earned, whether paid in cash or deferred under the Deferred Compensation Plan for Non-Employee Directors.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2026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49</w:t>
            </w:r>
          </w:p>
        </w:tc>
      </w:tr>
      <w:tr>
        <w:trPr>
          <w:trHeight w:val="373"/>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54" w:name="page55"/>
    <w:bookmarkEnd w:id="54"/>
    <w:p>
      <w:pPr>
        <w:spacing w:after="0"/>
        <w:rPr>
          <w:sz w:val="20"/>
          <w:szCs w:val="20"/>
          <w:color w:val="auto"/>
        </w:rPr>
      </w:pPr>
      <w:r>
        <w:rPr>
          <w:rFonts w:ascii="Arial" w:cs="Arial" w:eastAsia="Arial" w:hAnsi="Arial"/>
          <w:sz w:val="13"/>
          <w:szCs w:val="13"/>
          <w:b w:val="1"/>
          <w:bCs w:val="1"/>
          <w:color w:val="6D6E71"/>
        </w:rPr>
        <w:t>DIRECTOR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0" w:hanging="192"/>
        <w:spacing w:after="0"/>
        <w:tabs>
          <w:tab w:leader="none" w:pos="200" w:val="left"/>
        </w:tabs>
        <w:numPr>
          <w:ilvl w:val="0"/>
          <w:numId w:val="122"/>
        </w:numPr>
        <w:rPr>
          <w:rFonts w:ascii="Arial" w:cs="Arial" w:eastAsia="Arial" w:hAnsi="Arial"/>
          <w:sz w:val="16"/>
          <w:szCs w:val="16"/>
          <w:color w:val="auto"/>
          <w:vertAlign w:val="superscript"/>
        </w:rPr>
      </w:pPr>
      <w:r>
        <w:rPr>
          <w:rFonts w:ascii="Arial" w:cs="Arial" w:eastAsia="Arial" w:hAnsi="Arial"/>
          <w:sz w:val="13"/>
          <w:szCs w:val="13"/>
          <w:color w:val="auto"/>
        </w:rPr>
        <w:t>The following table reflects all outstanding stock awards and option awards held at December 31, 2025, by each of the listed individuals:</w:t>
      </w:r>
    </w:p>
    <w:p>
      <w:pPr>
        <w:spacing w:after="0" w:line="117"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380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b w:val="1"/>
                <w:bCs w:val="1"/>
                <w:color w:val="auto"/>
              </w:rPr>
              <w:t>Outstanding</w:t>
            </w:r>
          </w:p>
        </w:tc>
      </w:tr>
      <w:tr>
        <w:trPr>
          <w:trHeight w:val="180"/>
        </w:trPr>
        <w:tc>
          <w:tcPr>
            <w:tcW w:w="3800" w:type="dxa"/>
            <w:vAlign w:val="bottom"/>
          </w:tcPr>
          <w:p>
            <w:pPr>
              <w:ind w:left="20"/>
              <w:spacing w:after="0"/>
              <w:rPr>
                <w:sz w:val="20"/>
                <w:szCs w:val="20"/>
                <w:color w:val="auto"/>
              </w:rPr>
            </w:pPr>
            <w:r>
              <w:rPr>
                <w:rFonts w:ascii="Arial" w:cs="Arial" w:eastAsia="Arial" w:hAnsi="Arial"/>
                <w:sz w:val="13"/>
                <w:szCs w:val="13"/>
                <w:b w:val="1"/>
                <w:bCs w:val="1"/>
                <w:color w:val="auto"/>
              </w:rPr>
              <w:t>Director Name</w:t>
            </w:r>
          </w:p>
        </w:tc>
        <w:tc>
          <w:tcPr>
            <w:tcW w:w="4080" w:type="dxa"/>
            <w:vAlign w:val="bottom"/>
          </w:tcPr>
          <w:p>
            <w:pPr>
              <w:jc w:val="right"/>
              <w:ind w:right="197"/>
              <w:spacing w:after="0"/>
              <w:rPr>
                <w:sz w:val="20"/>
                <w:szCs w:val="20"/>
                <w:color w:val="auto"/>
              </w:rPr>
            </w:pPr>
            <w:r>
              <w:rPr>
                <w:rFonts w:ascii="Arial" w:cs="Arial" w:eastAsia="Arial" w:hAnsi="Arial"/>
                <w:sz w:val="13"/>
                <w:szCs w:val="13"/>
                <w:b w:val="1"/>
                <w:bCs w:val="1"/>
                <w:color w:val="auto"/>
              </w:rPr>
              <w:t>Outstanding</w:t>
            </w:r>
          </w:p>
        </w:tc>
        <w:tc>
          <w:tcPr>
            <w:tcW w:w="1380" w:type="dxa"/>
            <w:vAlign w:val="bottom"/>
          </w:tcPr>
          <w:p>
            <w:pPr>
              <w:jc w:val="right"/>
              <w:ind w:right="237"/>
              <w:spacing w:after="0"/>
              <w:rPr>
                <w:sz w:val="20"/>
                <w:szCs w:val="20"/>
                <w:color w:val="auto"/>
              </w:rPr>
            </w:pPr>
            <w:r>
              <w:rPr>
                <w:rFonts w:ascii="Arial" w:cs="Arial" w:eastAsia="Arial" w:hAnsi="Arial"/>
                <w:sz w:val="13"/>
                <w:szCs w:val="13"/>
                <w:b w:val="1"/>
                <w:bCs w:val="1"/>
                <w:color w:val="auto"/>
              </w:rPr>
              <w:t>Outstanding</w:t>
            </w:r>
          </w:p>
        </w:tc>
        <w:tc>
          <w:tcPr>
            <w:tcW w:w="1500" w:type="dxa"/>
            <w:vAlign w:val="bottom"/>
          </w:tcPr>
          <w:p>
            <w:pPr>
              <w:jc w:val="right"/>
              <w:spacing w:after="0"/>
              <w:rPr>
                <w:sz w:val="20"/>
                <w:szCs w:val="20"/>
                <w:color w:val="auto"/>
              </w:rPr>
            </w:pPr>
            <w:r>
              <w:rPr>
                <w:rFonts w:ascii="Arial" w:cs="Arial" w:eastAsia="Arial" w:hAnsi="Arial"/>
                <w:sz w:val="13"/>
                <w:szCs w:val="13"/>
                <w:b w:val="1"/>
                <w:bCs w:val="1"/>
                <w:color w:val="auto"/>
              </w:rPr>
              <w:t>Deferred Comp Plan</w:t>
            </w:r>
          </w:p>
        </w:tc>
      </w:tr>
      <w:tr>
        <w:trPr>
          <w:trHeight w:val="174"/>
        </w:trPr>
        <w:tc>
          <w:tcPr>
            <w:tcW w:w="3800" w:type="dxa"/>
            <w:vAlign w:val="bottom"/>
            <w:tcBorders>
              <w:bottom w:val="single" w:sz="8" w:color="D7282F"/>
            </w:tcBorders>
          </w:tcPr>
          <w:p>
            <w:pPr>
              <w:spacing w:after="0"/>
              <w:rPr>
                <w:sz w:val="15"/>
                <w:szCs w:val="15"/>
                <w:color w:val="auto"/>
              </w:rPr>
            </w:pPr>
          </w:p>
        </w:tc>
        <w:tc>
          <w:tcPr>
            <w:tcW w:w="4080" w:type="dxa"/>
            <w:vAlign w:val="bottom"/>
            <w:tcBorders>
              <w:bottom w:val="single" w:sz="8" w:color="D7282F"/>
            </w:tcBorders>
          </w:tcPr>
          <w:p>
            <w:pPr>
              <w:jc w:val="right"/>
              <w:ind w:right="197"/>
              <w:spacing w:after="0"/>
              <w:rPr>
                <w:sz w:val="20"/>
                <w:szCs w:val="20"/>
                <w:color w:val="auto"/>
              </w:rPr>
            </w:pPr>
            <w:r>
              <w:rPr>
                <w:rFonts w:ascii="Arial" w:cs="Arial" w:eastAsia="Arial" w:hAnsi="Arial"/>
                <w:sz w:val="13"/>
                <w:szCs w:val="13"/>
                <w:b w:val="1"/>
                <w:bCs w:val="1"/>
                <w:color w:val="auto"/>
              </w:rPr>
              <w:t>Option Awards</w:t>
            </w:r>
          </w:p>
        </w:tc>
        <w:tc>
          <w:tcPr>
            <w:tcW w:w="1380" w:type="dxa"/>
            <w:vAlign w:val="bottom"/>
            <w:tcBorders>
              <w:bottom w:val="single" w:sz="8" w:color="D7282F"/>
            </w:tcBorders>
          </w:tcPr>
          <w:p>
            <w:pPr>
              <w:jc w:val="right"/>
              <w:ind w:right="237"/>
              <w:spacing w:after="0"/>
              <w:rPr>
                <w:sz w:val="20"/>
                <w:szCs w:val="20"/>
                <w:color w:val="auto"/>
              </w:rPr>
            </w:pPr>
            <w:r>
              <w:rPr>
                <w:rFonts w:ascii="Arial" w:cs="Arial" w:eastAsia="Arial" w:hAnsi="Arial"/>
                <w:sz w:val="13"/>
                <w:szCs w:val="13"/>
                <w:b w:val="1"/>
                <w:bCs w:val="1"/>
                <w:color w:val="auto"/>
              </w:rPr>
              <w:t>Stock Awards</w:t>
            </w:r>
          </w:p>
        </w:tc>
        <w:tc>
          <w:tcPr>
            <w:tcW w:w="1500" w:type="dxa"/>
            <w:vAlign w:val="bottom"/>
            <w:tcBorders>
              <w:bottom w:val="single" w:sz="8" w:color="D7282F"/>
            </w:tcBorders>
          </w:tcPr>
          <w:p>
            <w:pPr>
              <w:jc w:val="right"/>
              <w:spacing w:after="0"/>
              <w:rPr>
                <w:sz w:val="20"/>
                <w:szCs w:val="20"/>
                <w:color w:val="auto"/>
              </w:rPr>
            </w:pPr>
            <w:r>
              <w:rPr>
                <w:rFonts w:ascii="Arial" w:cs="Arial" w:eastAsia="Arial" w:hAnsi="Arial"/>
                <w:sz w:val="13"/>
                <w:szCs w:val="13"/>
                <w:b w:val="1"/>
                <w:bCs w:val="1"/>
                <w:color w:val="auto"/>
              </w:rPr>
              <w:t>(Non-Elective)</w:t>
            </w:r>
          </w:p>
        </w:tc>
      </w:tr>
      <w:tr>
        <w:trPr>
          <w:trHeight w:val="284"/>
        </w:trPr>
        <w:tc>
          <w:tcPr>
            <w:tcW w:w="3800" w:type="dxa"/>
            <w:vAlign w:val="bottom"/>
          </w:tcPr>
          <w:p>
            <w:pPr>
              <w:ind w:left="20"/>
              <w:spacing w:after="0"/>
              <w:rPr>
                <w:sz w:val="20"/>
                <w:szCs w:val="20"/>
                <w:color w:val="auto"/>
              </w:rPr>
            </w:pPr>
            <w:r>
              <w:rPr>
                <w:rFonts w:ascii="Arial" w:cs="Arial" w:eastAsia="Arial" w:hAnsi="Arial"/>
                <w:sz w:val="13"/>
                <w:szCs w:val="13"/>
                <w:b w:val="1"/>
                <w:bCs w:val="1"/>
                <w:color w:val="auto"/>
              </w:rPr>
              <w:t>Mr. Angove</w:t>
            </w:r>
          </w:p>
        </w:tc>
        <w:tc>
          <w:tcPr>
            <w:tcW w:w="4080" w:type="dxa"/>
            <w:vAlign w:val="bottom"/>
          </w:tcPr>
          <w:p>
            <w:pPr>
              <w:jc w:val="right"/>
              <w:ind w:right="257"/>
              <w:spacing w:after="0"/>
              <w:rPr>
                <w:sz w:val="20"/>
                <w:szCs w:val="20"/>
                <w:color w:val="auto"/>
              </w:rPr>
            </w:pPr>
            <w:r>
              <w:rPr>
                <w:rFonts w:ascii="Arial" w:cs="Arial" w:eastAsia="Arial" w:hAnsi="Arial"/>
                <w:sz w:val="13"/>
                <w:szCs w:val="13"/>
                <w:color w:val="auto"/>
              </w:rPr>
              <w:t>11,494</w:t>
            </w:r>
          </w:p>
        </w:tc>
        <w:tc>
          <w:tcPr>
            <w:tcW w:w="1380" w:type="dxa"/>
            <w:vAlign w:val="bottom"/>
          </w:tcPr>
          <w:p>
            <w:pPr>
              <w:jc w:val="right"/>
              <w:ind w:right="277"/>
              <w:spacing w:after="0"/>
              <w:rPr>
                <w:sz w:val="20"/>
                <w:szCs w:val="20"/>
                <w:color w:val="auto"/>
              </w:rPr>
            </w:pPr>
            <w:r>
              <w:rPr>
                <w:rFonts w:ascii="Arial" w:cs="Arial" w:eastAsia="Arial" w:hAnsi="Arial"/>
                <w:sz w:val="13"/>
                <w:szCs w:val="13"/>
                <w:color w:val="auto"/>
              </w:rPr>
              <w:t>4,513</w:t>
            </w:r>
          </w:p>
        </w:tc>
        <w:tc>
          <w:tcPr>
            <w:tcW w:w="1500" w:type="dxa"/>
            <w:vAlign w:val="bottom"/>
          </w:tcPr>
          <w:p>
            <w:pPr>
              <w:jc w:val="right"/>
              <w:spacing w:after="0"/>
              <w:rPr>
                <w:sz w:val="20"/>
                <w:szCs w:val="20"/>
                <w:color w:val="auto"/>
              </w:rPr>
            </w:pPr>
            <w:r>
              <w:rPr>
                <w:rFonts w:ascii="Arial" w:cs="Arial" w:eastAsia="Arial" w:hAnsi="Arial"/>
                <w:sz w:val="13"/>
                <w:szCs w:val="13"/>
                <w:color w:val="auto"/>
              </w:rPr>
              <w:t>3,010</w:t>
            </w:r>
          </w:p>
        </w:tc>
      </w:tr>
      <w:tr>
        <w:trPr>
          <w:trHeight w:val="130"/>
        </w:trPr>
        <w:tc>
          <w:tcPr>
            <w:tcW w:w="3800" w:type="dxa"/>
            <w:vAlign w:val="bottom"/>
            <w:tcBorders>
              <w:bottom w:val="single" w:sz="8" w:color="939598"/>
            </w:tcBorders>
          </w:tcPr>
          <w:p>
            <w:pPr>
              <w:spacing w:after="0"/>
              <w:rPr>
                <w:sz w:val="11"/>
                <w:szCs w:val="11"/>
                <w:color w:val="auto"/>
              </w:rPr>
            </w:pPr>
          </w:p>
        </w:tc>
        <w:tc>
          <w:tcPr>
            <w:tcW w:w="4080" w:type="dxa"/>
            <w:vAlign w:val="bottom"/>
            <w:tcBorders>
              <w:bottom w:val="single" w:sz="8" w:color="939598"/>
            </w:tcBorders>
          </w:tcPr>
          <w:p>
            <w:pPr>
              <w:spacing w:after="0"/>
              <w:rPr>
                <w:sz w:val="11"/>
                <w:szCs w:val="11"/>
                <w:color w:val="auto"/>
              </w:rPr>
            </w:pPr>
          </w:p>
        </w:tc>
        <w:tc>
          <w:tcPr>
            <w:tcW w:w="1380" w:type="dxa"/>
            <w:vAlign w:val="bottom"/>
            <w:tcBorders>
              <w:bottom w:val="single" w:sz="8" w:color="939598"/>
            </w:tcBorders>
          </w:tcPr>
          <w:p>
            <w:pPr>
              <w:spacing w:after="0"/>
              <w:rPr>
                <w:sz w:val="11"/>
                <w:szCs w:val="11"/>
                <w:color w:val="auto"/>
              </w:rPr>
            </w:pPr>
          </w:p>
        </w:tc>
        <w:tc>
          <w:tcPr>
            <w:tcW w:w="1500" w:type="dxa"/>
            <w:vAlign w:val="bottom"/>
            <w:tcBorders>
              <w:bottom w:val="single" w:sz="8" w:color="939598"/>
            </w:tcBorders>
          </w:tcPr>
          <w:p>
            <w:pPr>
              <w:spacing w:after="0"/>
              <w:rPr>
                <w:sz w:val="11"/>
                <w:szCs w:val="11"/>
                <w:color w:val="auto"/>
              </w:rPr>
            </w:pPr>
          </w:p>
        </w:tc>
      </w:tr>
      <w:tr>
        <w:trPr>
          <w:trHeight w:val="283"/>
        </w:trPr>
        <w:tc>
          <w:tcPr>
            <w:tcW w:w="3800" w:type="dxa"/>
            <w:vAlign w:val="bottom"/>
          </w:tcPr>
          <w:p>
            <w:pPr>
              <w:ind w:left="20"/>
              <w:spacing w:after="0"/>
              <w:rPr>
                <w:sz w:val="20"/>
                <w:szCs w:val="20"/>
                <w:color w:val="auto"/>
              </w:rPr>
            </w:pPr>
            <w:r>
              <w:rPr>
                <w:rFonts w:ascii="Arial" w:cs="Arial" w:eastAsia="Arial" w:hAnsi="Arial"/>
                <w:sz w:val="13"/>
                <w:szCs w:val="13"/>
                <w:b w:val="1"/>
                <w:bCs w:val="1"/>
                <w:color w:val="auto"/>
              </w:rPr>
              <w:t>Mr. Arnold</w:t>
            </w:r>
          </w:p>
        </w:tc>
        <w:tc>
          <w:tcPr>
            <w:tcW w:w="408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277"/>
              <w:spacing w:after="0"/>
              <w:rPr>
                <w:sz w:val="20"/>
                <w:szCs w:val="20"/>
                <w:color w:val="auto"/>
              </w:rPr>
            </w:pPr>
            <w:r>
              <w:rPr>
                <w:rFonts w:ascii="Arial" w:cs="Arial" w:eastAsia="Arial" w:hAnsi="Arial"/>
                <w:sz w:val="13"/>
                <w:szCs w:val="13"/>
                <w:color w:val="auto"/>
              </w:rPr>
              <w:t>357</w:t>
            </w:r>
          </w:p>
        </w:tc>
        <w:tc>
          <w:tcPr>
            <w:tcW w:w="1500" w:type="dxa"/>
            <w:vAlign w:val="bottom"/>
          </w:tcPr>
          <w:p>
            <w:pPr>
              <w:jc w:val="right"/>
              <w:spacing w:after="0"/>
              <w:rPr>
                <w:sz w:val="20"/>
                <w:szCs w:val="20"/>
                <w:color w:val="auto"/>
              </w:rPr>
            </w:pPr>
            <w:r>
              <w:rPr>
                <w:rFonts w:ascii="Arial" w:cs="Arial" w:eastAsia="Arial" w:hAnsi="Arial"/>
                <w:sz w:val="13"/>
                <w:szCs w:val="13"/>
                <w:color w:val="auto"/>
              </w:rPr>
              <w:t>50</w:t>
            </w:r>
          </w:p>
        </w:tc>
      </w:tr>
      <w:tr>
        <w:trPr>
          <w:trHeight w:val="129"/>
        </w:trPr>
        <w:tc>
          <w:tcPr>
            <w:tcW w:w="3800" w:type="dxa"/>
            <w:vAlign w:val="bottom"/>
            <w:tcBorders>
              <w:bottom w:val="single" w:sz="8" w:color="939598"/>
            </w:tcBorders>
          </w:tcPr>
          <w:p>
            <w:pPr>
              <w:spacing w:after="0"/>
              <w:rPr>
                <w:sz w:val="11"/>
                <w:szCs w:val="11"/>
                <w:color w:val="auto"/>
              </w:rPr>
            </w:pPr>
          </w:p>
        </w:tc>
        <w:tc>
          <w:tcPr>
            <w:tcW w:w="4080" w:type="dxa"/>
            <w:vAlign w:val="bottom"/>
            <w:tcBorders>
              <w:bottom w:val="single" w:sz="8" w:color="939598"/>
            </w:tcBorders>
          </w:tcPr>
          <w:p>
            <w:pPr>
              <w:spacing w:after="0"/>
              <w:rPr>
                <w:sz w:val="11"/>
                <w:szCs w:val="11"/>
                <w:color w:val="auto"/>
              </w:rPr>
            </w:pPr>
          </w:p>
        </w:tc>
        <w:tc>
          <w:tcPr>
            <w:tcW w:w="1380" w:type="dxa"/>
            <w:vAlign w:val="bottom"/>
            <w:tcBorders>
              <w:bottom w:val="single" w:sz="8" w:color="939598"/>
            </w:tcBorders>
          </w:tcPr>
          <w:p>
            <w:pPr>
              <w:spacing w:after="0"/>
              <w:rPr>
                <w:sz w:val="11"/>
                <w:szCs w:val="11"/>
                <w:color w:val="auto"/>
              </w:rPr>
            </w:pPr>
          </w:p>
        </w:tc>
        <w:tc>
          <w:tcPr>
            <w:tcW w:w="1500" w:type="dxa"/>
            <w:vAlign w:val="bottom"/>
            <w:tcBorders>
              <w:bottom w:val="single" w:sz="8" w:color="939598"/>
            </w:tcBorders>
          </w:tcPr>
          <w:p>
            <w:pPr>
              <w:spacing w:after="0"/>
              <w:rPr>
                <w:sz w:val="11"/>
                <w:szCs w:val="11"/>
                <w:color w:val="auto"/>
              </w:rPr>
            </w:pPr>
          </w:p>
        </w:tc>
      </w:tr>
      <w:tr>
        <w:trPr>
          <w:trHeight w:val="283"/>
        </w:trPr>
        <w:tc>
          <w:tcPr>
            <w:tcW w:w="3800" w:type="dxa"/>
            <w:vAlign w:val="bottom"/>
          </w:tcPr>
          <w:p>
            <w:pPr>
              <w:ind w:left="20"/>
              <w:spacing w:after="0"/>
              <w:rPr>
                <w:sz w:val="20"/>
                <w:szCs w:val="20"/>
                <w:color w:val="auto"/>
              </w:rPr>
            </w:pPr>
            <w:r>
              <w:rPr>
                <w:rFonts w:ascii="Arial" w:cs="Arial" w:eastAsia="Arial" w:hAnsi="Arial"/>
                <w:sz w:val="13"/>
                <w:szCs w:val="13"/>
                <w:b w:val="1"/>
                <w:bCs w:val="1"/>
                <w:color w:val="auto"/>
              </w:rPr>
              <w:t>Mr. Ayer</w:t>
            </w:r>
          </w:p>
        </w:tc>
        <w:tc>
          <w:tcPr>
            <w:tcW w:w="4080" w:type="dxa"/>
            <w:vAlign w:val="bottom"/>
          </w:tcPr>
          <w:p>
            <w:pPr>
              <w:jc w:val="right"/>
              <w:ind w:right="257"/>
              <w:spacing w:after="0"/>
              <w:rPr>
                <w:sz w:val="20"/>
                <w:szCs w:val="20"/>
                <w:color w:val="auto"/>
              </w:rPr>
            </w:pPr>
            <w:r>
              <w:rPr>
                <w:rFonts w:ascii="Arial" w:cs="Arial" w:eastAsia="Arial" w:hAnsi="Arial"/>
                <w:sz w:val="13"/>
                <w:szCs w:val="13"/>
                <w:color w:val="auto"/>
              </w:rPr>
              <w:t>11,494</w:t>
            </w:r>
          </w:p>
        </w:tc>
        <w:tc>
          <w:tcPr>
            <w:tcW w:w="1380" w:type="dxa"/>
            <w:vAlign w:val="bottom"/>
          </w:tcPr>
          <w:p>
            <w:pPr>
              <w:jc w:val="right"/>
              <w:ind w:right="277"/>
              <w:spacing w:after="0"/>
              <w:rPr>
                <w:sz w:val="20"/>
                <w:szCs w:val="20"/>
                <w:color w:val="auto"/>
              </w:rPr>
            </w:pPr>
            <w:r>
              <w:rPr>
                <w:rFonts w:ascii="Arial" w:cs="Arial" w:eastAsia="Arial" w:hAnsi="Arial"/>
                <w:sz w:val="13"/>
                <w:szCs w:val="13"/>
                <w:color w:val="auto"/>
              </w:rPr>
              <w:t>622</w:t>
            </w:r>
          </w:p>
        </w:tc>
        <w:tc>
          <w:tcPr>
            <w:tcW w:w="1500" w:type="dxa"/>
            <w:vAlign w:val="bottom"/>
          </w:tcPr>
          <w:p>
            <w:pPr>
              <w:jc w:val="right"/>
              <w:spacing w:after="0"/>
              <w:rPr>
                <w:sz w:val="20"/>
                <w:szCs w:val="20"/>
                <w:color w:val="auto"/>
              </w:rPr>
            </w:pPr>
            <w:r>
              <w:rPr>
                <w:rFonts w:ascii="Arial" w:cs="Arial" w:eastAsia="Arial" w:hAnsi="Arial"/>
                <w:sz w:val="13"/>
                <w:szCs w:val="13"/>
                <w:color w:val="auto"/>
              </w:rPr>
              <w:t>5,418</w:t>
            </w:r>
          </w:p>
        </w:tc>
      </w:tr>
      <w:tr>
        <w:trPr>
          <w:trHeight w:val="130"/>
        </w:trPr>
        <w:tc>
          <w:tcPr>
            <w:tcW w:w="3800" w:type="dxa"/>
            <w:vAlign w:val="bottom"/>
            <w:tcBorders>
              <w:bottom w:val="single" w:sz="8" w:color="939598"/>
            </w:tcBorders>
          </w:tcPr>
          <w:p>
            <w:pPr>
              <w:spacing w:after="0"/>
              <w:rPr>
                <w:sz w:val="11"/>
                <w:szCs w:val="11"/>
                <w:color w:val="auto"/>
              </w:rPr>
            </w:pPr>
          </w:p>
        </w:tc>
        <w:tc>
          <w:tcPr>
            <w:tcW w:w="4080" w:type="dxa"/>
            <w:vAlign w:val="bottom"/>
            <w:tcBorders>
              <w:bottom w:val="single" w:sz="8" w:color="939598"/>
            </w:tcBorders>
          </w:tcPr>
          <w:p>
            <w:pPr>
              <w:spacing w:after="0"/>
              <w:rPr>
                <w:sz w:val="11"/>
                <w:szCs w:val="11"/>
                <w:color w:val="auto"/>
              </w:rPr>
            </w:pPr>
          </w:p>
        </w:tc>
        <w:tc>
          <w:tcPr>
            <w:tcW w:w="1380" w:type="dxa"/>
            <w:vAlign w:val="bottom"/>
            <w:tcBorders>
              <w:bottom w:val="single" w:sz="8" w:color="939598"/>
            </w:tcBorders>
          </w:tcPr>
          <w:p>
            <w:pPr>
              <w:spacing w:after="0"/>
              <w:rPr>
                <w:sz w:val="11"/>
                <w:szCs w:val="11"/>
                <w:color w:val="auto"/>
              </w:rPr>
            </w:pPr>
          </w:p>
        </w:tc>
        <w:tc>
          <w:tcPr>
            <w:tcW w:w="1500" w:type="dxa"/>
            <w:vAlign w:val="bottom"/>
            <w:tcBorders>
              <w:bottom w:val="single" w:sz="8" w:color="939598"/>
            </w:tcBorders>
          </w:tcPr>
          <w:p>
            <w:pPr>
              <w:spacing w:after="0"/>
              <w:rPr>
                <w:sz w:val="11"/>
                <w:szCs w:val="11"/>
                <w:color w:val="auto"/>
              </w:rPr>
            </w:pPr>
          </w:p>
        </w:tc>
      </w:tr>
      <w:tr>
        <w:trPr>
          <w:trHeight w:val="282"/>
        </w:trPr>
        <w:tc>
          <w:tcPr>
            <w:tcW w:w="3800" w:type="dxa"/>
            <w:vAlign w:val="bottom"/>
          </w:tcPr>
          <w:p>
            <w:pPr>
              <w:ind w:left="20"/>
              <w:spacing w:after="0"/>
              <w:rPr>
                <w:sz w:val="20"/>
                <w:szCs w:val="20"/>
                <w:color w:val="auto"/>
              </w:rPr>
            </w:pPr>
            <w:r>
              <w:rPr>
                <w:rFonts w:ascii="Arial" w:cs="Arial" w:eastAsia="Arial" w:hAnsi="Arial"/>
                <w:sz w:val="13"/>
                <w:szCs w:val="13"/>
                <w:b w:val="1"/>
                <w:bCs w:val="1"/>
                <w:color w:val="auto"/>
              </w:rPr>
              <w:t>Mr. Burke</w:t>
            </w:r>
          </w:p>
        </w:tc>
        <w:tc>
          <w:tcPr>
            <w:tcW w:w="4080" w:type="dxa"/>
            <w:vAlign w:val="bottom"/>
          </w:tcPr>
          <w:p>
            <w:pPr>
              <w:jc w:val="right"/>
              <w:ind w:right="257"/>
              <w:spacing w:after="0"/>
              <w:rPr>
                <w:sz w:val="20"/>
                <w:szCs w:val="20"/>
                <w:color w:val="auto"/>
              </w:rPr>
            </w:pPr>
            <w:r>
              <w:rPr>
                <w:rFonts w:ascii="Arial" w:cs="Arial" w:eastAsia="Arial" w:hAnsi="Arial"/>
                <w:sz w:val="13"/>
                <w:szCs w:val="13"/>
                <w:color w:val="auto"/>
              </w:rPr>
              <w:t>14,665</w:t>
            </w:r>
          </w:p>
        </w:tc>
        <w:tc>
          <w:tcPr>
            <w:tcW w:w="1380" w:type="dxa"/>
            <w:vAlign w:val="bottom"/>
          </w:tcPr>
          <w:p>
            <w:pPr>
              <w:jc w:val="right"/>
              <w:ind w:right="277"/>
              <w:spacing w:after="0"/>
              <w:rPr>
                <w:sz w:val="20"/>
                <w:szCs w:val="20"/>
                <w:color w:val="auto"/>
              </w:rPr>
            </w:pPr>
            <w:r>
              <w:rPr>
                <w:rFonts w:ascii="Arial" w:cs="Arial" w:eastAsia="Arial" w:hAnsi="Arial"/>
                <w:sz w:val="13"/>
                <w:szCs w:val="13"/>
                <w:color w:val="auto"/>
              </w:rPr>
              <w:t>622</w:t>
            </w:r>
          </w:p>
        </w:tc>
        <w:tc>
          <w:tcPr>
            <w:tcW w:w="1500" w:type="dxa"/>
            <w:vAlign w:val="bottom"/>
          </w:tcPr>
          <w:p>
            <w:pPr>
              <w:jc w:val="right"/>
              <w:spacing w:after="0"/>
              <w:rPr>
                <w:sz w:val="20"/>
                <w:szCs w:val="20"/>
                <w:color w:val="auto"/>
              </w:rPr>
            </w:pPr>
            <w:r>
              <w:rPr>
                <w:rFonts w:ascii="Arial" w:cs="Arial" w:eastAsia="Arial" w:hAnsi="Arial"/>
                <w:sz w:val="13"/>
                <w:szCs w:val="13"/>
                <w:color w:val="auto"/>
              </w:rPr>
              <w:t>13,406</w:t>
            </w:r>
          </w:p>
        </w:tc>
      </w:tr>
      <w:tr>
        <w:trPr>
          <w:trHeight w:val="130"/>
        </w:trPr>
        <w:tc>
          <w:tcPr>
            <w:tcW w:w="3800" w:type="dxa"/>
            <w:vAlign w:val="bottom"/>
            <w:tcBorders>
              <w:bottom w:val="single" w:sz="8" w:color="939598"/>
            </w:tcBorders>
          </w:tcPr>
          <w:p>
            <w:pPr>
              <w:spacing w:after="0"/>
              <w:rPr>
                <w:sz w:val="11"/>
                <w:szCs w:val="11"/>
                <w:color w:val="auto"/>
              </w:rPr>
            </w:pPr>
          </w:p>
        </w:tc>
        <w:tc>
          <w:tcPr>
            <w:tcW w:w="4080" w:type="dxa"/>
            <w:vAlign w:val="bottom"/>
            <w:tcBorders>
              <w:bottom w:val="single" w:sz="8" w:color="939598"/>
            </w:tcBorders>
          </w:tcPr>
          <w:p>
            <w:pPr>
              <w:spacing w:after="0"/>
              <w:rPr>
                <w:sz w:val="11"/>
                <w:szCs w:val="11"/>
                <w:color w:val="auto"/>
              </w:rPr>
            </w:pPr>
          </w:p>
        </w:tc>
        <w:tc>
          <w:tcPr>
            <w:tcW w:w="1380" w:type="dxa"/>
            <w:vAlign w:val="bottom"/>
            <w:tcBorders>
              <w:bottom w:val="single" w:sz="8" w:color="939598"/>
            </w:tcBorders>
          </w:tcPr>
          <w:p>
            <w:pPr>
              <w:spacing w:after="0"/>
              <w:rPr>
                <w:sz w:val="11"/>
                <w:szCs w:val="11"/>
                <w:color w:val="auto"/>
              </w:rPr>
            </w:pPr>
          </w:p>
        </w:tc>
        <w:tc>
          <w:tcPr>
            <w:tcW w:w="1500" w:type="dxa"/>
            <w:vAlign w:val="bottom"/>
            <w:tcBorders>
              <w:bottom w:val="single" w:sz="8" w:color="939598"/>
            </w:tcBorders>
          </w:tcPr>
          <w:p>
            <w:pPr>
              <w:spacing w:after="0"/>
              <w:rPr>
                <w:sz w:val="11"/>
                <w:szCs w:val="11"/>
                <w:color w:val="auto"/>
              </w:rPr>
            </w:pPr>
          </w:p>
        </w:tc>
      </w:tr>
      <w:tr>
        <w:trPr>
          <w:trHeight w:val="283"/>
        </w:trPr>
        <w:tc>
          <w:tcPr>
            <w:tcW w:w="3800" w:type="dxa"/>
            <w:vAlign w:val="bottom"/>
          </w:tcPr>
          <w:p>
            <w:pPr>
              <w:ind w:left="20"/>
              <w:spacing w:after="0"/>
              <w:rPr>
                <w:sz w:val="20"/>
                <w:szCs w:val="20"/>
                <w:color w:val="auto"/>
              </w:rPr>
            </w:pPr>
            <w:r>
              <w:rPr>
                <w:rFonts w:ascii="Arial" w:cs="Arial" w:eastAsia="Arial" w:hAnsi="Arial"/>
                <w:sz w:val="13"/>
                <w:szCs w:val="13"/>
                <w:b w:val="1"/>
                <w:bCs w:val="1"/>
                <w:color w:val="auto"/>
              </w:rPr>
              <w:t>Mr. Davis</w:t>
            </w:r>
          </w:p>
        </w:tc>
        <w:tc>
          <w:tcPr>
            <w:tcW w:w="4080" w:type="dxa"/>
            <w:vAlign w:val="bottom"/>
          </w:tcPr>
          <w:p>
            <w:pPr>
              <w:jc w:val="right"/>
              <w:ind w:right="257"/>
              <w:spacing w:after="0"/>
              <w:rPr>
                <w:sz w:val="20"/>
                <w:szCs w:val="20"/>
                <w:color w:val="auto"/>
              </w:rPr>
            </w:pPr>
            <w:r>
              <w:rPr>
                <w:rFonts w:ascii="Arial" w:cs="Arial" w:eastAsia="Arial" w:hAnsi="Arial"/>
                <w:sz w:val="13"/>
                <w:szCs w:val="13"/>
                <w:color w:val="auto"/>
              </w:rPr>
              <w:t>14,665</w:t>
            </w:r>
          </w:p>
        </w:tc>
        <w:tc>
          <w:tcPr>
            <w:tcW w:w="1380" w:type="dxa"/>
            <w:vAlign w:val="bottom"/>
          </w:tcPr>
          <w:p>
            <w:pPr>
              <w:jc w:val="right"/>
              <w:ind w:right="277"/>
              <w:spacing w:after="0"/>
              <w:rPr>
                <w:sz w:val="20"/>
                <w:szCs w:val="20"/>
                <w:color w:val="auto"/>
              </w:rPr>
            </w:pPr>
            <w:r>
              <w:rPr>
                <w:rFonts w:ascii="Arial" w:cs="Arial" w:eastAsia="Arial" w:hAnsi="Arial"/>
                <w:sz w:val="13"/>
                <w:szCs w:val="13"/>
                <w:color w:val="auto"/>
              </w:rPr>
              <w:t>622</w:t>
            </w:r>
          </w:p>
        </w:tc>
        <w:tc>
          <w:tcPr>
            <w:tcW w:w="1500" w:type="dxa"/>
            <w:vAlign w:val="bottom"/>
          </w:tcPr>
          <w:p>
            <w:pPr>
              <w:jc w:val="right"/>
              <w:spacing w:after="0"/>
              <w:rPr>
                <w:sz w:val="20"/>
                <w:szCs w:val="20"/>
                <w:color w:val="auto"/>
              </w:rPr>
            </w:pPr>
            <w:r>
              <w:rPr>
                <w:rFonts w:ascii="Arial" w:cs="Arial" w:eastAsia="Arial" w:hAnsi="Arial"/>
                <w:sz w:val="13"/>
                <w:szCs w:val="13"/>
                <w:color w:val="auto"/>
              </w:rPr>
              <w:t>24,277</w:t>
            </w:r>
          </w:p>
        </w:tc>
      </w:tr>
      <w:tr>
        <w:trPr>
          <w:trHeight w:val="129"/>
        </w:trPr>
        <w:tc>
          <w:tcPr>
            <w:tcW w:w="3800" w:type="dxa"/>
            <w:vAlign w:val="bottom"/>
            <w:tcBorders>
              <w:bottom w:val="single" w:sz="8" w:color="939598"/>
            </w:tcBorders>
          </w:tcPr>
          <w:p>
            <w:pPr>
              <w:spacing w:after="0"/>
              <w:rPr>
                <w:sz w:val="11"/>
                <w:szCs w:val="11"/>
                <w:color w:val="auto"/>
              </w:rPr>
            </w:pPr>
          </w:p>
        </w:tc>
        <w:tc>
          <w:tcPr>
            <w:tcW w:w="4080" w:type="dxa"/>
            <w:vAlign w:val="bottom"/>
            <w:tcBorders>
              <w:bottom w:val="single" w:sz="8" w:color="939598"/>
            </w:tcBorders>
          </w:tcPr>
          <w:p>
            <w:pPr>
              <w:spacing w:after="0"/>
              <w:rPr>
                <w:sz w:val="11"/>
                <w:szCs w:val="11"/>
                <w:color w:val="auto"/>
              </w:rPr>
            </w:pPr>
          </w:p>
        </w:tc>
        <w:tc>
          <w:tcPr>
            <w:tcW w:w="1380" w:type="dxa"/>
            <w:vAlign w:val="bottom"/>
            <w:tcBorders>
              <w:bottom w:val="single" w:sz="8" w:color="939598"/>
            </w:tcBorders>
          </w:tcPr>
          <w:p>
            <w:pPr>
              <w:spacing w:after="0"/>
              <w:rPr>
                <w:sz w:val="11"/>
                <w:szCs w:val="11"/>
                <w:color w:val="auto"/>
              </w:rPr>
            </w:pPr>
          </w:p>
        </w:tc>
        <w:tc>
          <w:tcPr>
            <w:tcW w:w="1500" w:type="dxa"/>
            <w:vAlign w:val="bottom"/>
            <w:tcBorders>
              <w:bottom w:val="single" w:sz="8" w:color="939598"/>
            </w:tcBorders>
          </w:tcPr>
          <w:p>
            <w:pPr>
              <w:spacing w:after="0"/>
              <w:rPr>
                <w:sz w:val="11"/>
                <w:szCs w:val="11"/>
                <w:color w:val="auto"/>
              </w:rPr>
            </w:pPr>
          </w:p>
        </w:tc>
      </w:tr>
      <w:tr>
        <w:trPr>
          <w:trHeight w:val="283"/>
        </w:trPr>
        <w:tc>
          <w:tcPr>
            <w:tcW w:w="3800" w:type="dxa"/>
            <w:vAlign w:val="bottom"/>
          </w:tcPr>
          <w:p>
            <w:pPr>
              <w:ind w:left="20"/>
              <w:spacing w:after="0"/>
              <w:rPr>
                <w:sz w:val="20"/>
                <w:szCs w:val="20"/>
                <w:color w:val="auto"/>
              </w:rPr>
            </w:pPr>
            <w:r>
              <w:rPr>
                <w:rFonts w:ascii="Arial" w:cs="Arial" w:eastAsia="Arial" w:hAnsi="Arial"/>
                <w:sz w:val="13"/>
                <w:szCs w:val="13"/>
                <w:b w:val="1"/>
                <w:bCs w:val="1"/>
                <w:color w:val="auto"/>
              </w:rPr>
              <w:t>Ms. Flint</w:t>
            </w:r>
          </w:p>
        </w:tc>
        <w:tc>
          <w:tcPr>
            <w:tcW w:w="4080" w:type="dxa"/>
            <w:vAlign w:val="bottom"/>
          </w:tcPr>
          <w:p>
            <w:pPr>
              <w:jc w:val="right"/>
              <w:ind w:right="257"/>
              <w:spacing w:after="0"/>
              <w:rPr>
                <w:sz w:val="20"/>
                <w:szCs w:val="20"/>
                <w:color w:val="auto"/>
              </w:rPr>
            </w:pPr>
            <w:r>
              <w:rPr>
                <w:rFonts w:ascii="Arial" w:cs="Arial" w:eastAsia="Arial" w:hAnsi="Arial"/>
                <w:sz w:val="13"/>
                <w:szCs w:val="13"/>
                <w:color w:val="auto"/>
              </w:rPr>
              <w:t>8,370</w:t>
            </w:r>
          </w:p>
        </w:tc>
        <w:tc>
          <w:tcPr>
            <w:tcW w:w="1380" w:type="dxa"/>
            <w:vAlign w:val="bottom"/>
          </w:tcPr>
          <w:p>
            <w:pPr>
              <w:jc w:val="right"/>
              <w:ind w:right="277"/>
              <w:spacing w:after="0"/>
              <w:rPr>
                <w:sz w:val="20"/>
                <w:szCs w:val="20"/>
                <w:color w:val="auto"/>
              </w:rPr>
            </w:pPr>
            <w:r>
              <w:rPr>
                <w:rFonts w:ascii="Arial" w:cs="Arial" w:eastAsia="Arial" w:hAnsi="Arial"/>
                <w:sz w:val="13"/>
                <w:szCs w:val="13"/>
                <w:color w:val="auto"/>
              </w:rPr>
              <w:t>622</w:t>
            </w:r>
          </w:p>
        </w:tc>
        <w:tc>
          <w:tcPr>
            <w:tcW w:w="1500" w:type="dxa"/>
            <w:vAlign w:val="bottom"/>
          </w:tcPr>
          <w:p>
            <w:pPr>
              <w:jc w:val="right"/>
              <w:spacing w:after="0"/>
              <w:rPr>
                <w:sz w:val="20"/>
                <w:szCs w:val="20"/>
                <w:color w:val="auto"/>
              </w:rPr>
            </w:pPr>
            <w:r>
              <w:rPr>
                <w:rFonts w:ascii="Arial" w:cs="Arial" w:eastAsia="Arial" w:hAnsi="Arial"/>
                <w:sz w:val="13"/>
                <w:szCs w:val="13"/>
                <w:color w:val="auto"/>
              </w:rPr>
              <w:t>2,099</w:t>
            </w:r>
          </w:p>
        </w:tc>
      </w:tr>
      <w:tr>
        <w:trPr>
          <w:trHeight w:val="130"/>
        </w:trPr>
        <w:tc>
          <w:tcPr>
            <w:tcW w:w="3800" w:type="dxa"/>
            <w:vAlign w:val="bottom"/>
            <w:tcBorders>
              <w:bottom w:val="single" w:sz="8" w:color="939598"/>
            </w:tcBorders>
          </w:tcPr>
          <w:p>
            <w:pPr>
              <w:spacing w:after="0"/>
              <w:rPr>
                <w:sz w:val="11"/>
                <w:szCs w:val="11"/>
                <w:color w:val="auto"/>
              </w:rPr>
            </w:pPr>
          </w:p>
        </w:tc>
        <w:tc>
          <w:tcPr>
            <w:tcW w:w="4080" w:type="dxa"/>
            <w:vAlign w:val="bottom"/>
            <w:tcBorders>
              <w:bottom w:val="single" w:sz="8" w:color="939598"/>
            </w:tcBorders>
          </w:tcPr>
          <w:p>
            <w:pPr>
              <w:spacing w:after="0"/>
              <w:rPr>
                <w:sz w:val="11"/>
                <w:szCs w:val="11"/>
                <w:color w:val="auto"/>
              </w:rPr>
            </w:pPr>
          </w:p>
        </w:tc>
        <w:tc>
          <w:tcPr>
            <w:tcW w:w="1380" w:type="dxa"/>
            <w:vAlign w:val="bottom"/>
            <w:tcBorders>
              <w:bottom w:val="single" w:sz="8" w:color="939598"/>
            </w:tcBorders>
          </w:tcPr>
          <w:p>
            <w:pPr>
              <w:spacing w:after="0"/>
              <w:rPr>
                <w:sz w:val="11"/>
                <w:szCs w:val="11"/>
                <w:color w:val="auto"/>
              </w:rPr>
            </w:pPr>
          </w:p>
        </w:tc>
        <w:tc>
          <w:tcPr>
            <w:tcW w:w="1500" w:type="dxa"/>
            <w:vAlign w:val="bottom"/>
            <w:tcBorders>
              <w:bottom w:val="single" w:sz="8" w:color="939598"/>
            </w:tcBorders>
          </w:tcPr>
          <w:p>
            <w:pPr>
              <w:spacing w:after="0"/>
              <w:rPr>
                <w:sz w:val="11"/>
                <w:szCs w:val="11"/>
                <w:color w:val="auto"/>
              </w:rPr>
            </w:pPr>
          </w:p>
        </w:tc>
      </w:tr>
      <w:tr>
        <w:trPr>
          <w:trHeight w:val="282"/>
        </w:trPr>
        <w:tc>
          <w:tcPr>
            <w:tcW w:w="3800" w:type="dxa"/>
            <w:vAlign w:val="bottom"/>
          </w:tcPr>
          <w:p>
            <w:pPr>
              <w:ind w:left="20"/>
              <w:spacing w:after="0"/>
              <w:rPr>
                <w:sz w:val="20"/>
                <w:szCs w:val="20"/>
                <w:color w:val="auto"/>
              </w:rPr>
            </w:pPr>
            <w:r>
              <w:rPr>
                <w:rFonts w:ascii="Arial" w:cs="Arial" w:eastAsia="Arial" w:hAnsi="Arial"/>
                <w:sz w:val="13"/>
                <w:szCs w:val="13"/>
                <w:b w:val="1"/>
                <w:bCs w:val="1"/>
                <w:color w:val="auto"/>
              </w:rPr>
              <w:t>Mr. Lamach</w:t>
            </w:r>
          </w:p>
        </w:tc>
        <w:tc>
          <w:tcPr>
            <w:tcW w:w="4080" w:type="dxa"/>
            <w:vAlign w:val="bottom"/>
          </w:tcPr>
          <w:p>
            <w:pPr>
              <w:jc w:val="right"/>
              <w:ind w:right="257"/>
              <w:spacing w:after="0"/>
              <w:rPr>
                <w:sz w:val="20"/>
                <w:szCs w:val="20"/>
                <w:color w:val="auto"/>
              </w:rPr>
            </w:pPr>
            <w:r>
              <w:rPr>
                <w:rFonts w:ascii="Arial" w:cs="Arial" w:eastAsia="Arial" w:hAnsi="Arial"/>
                <w:sz w:val="13"/>
                <w:szCs w:val="13"/>
                <w:color w:val="auto"/>
              </w:rPr>
              <w:t>631</w:t>
            </w:r>
          </w:p>
        </w:tc>
        <w:tc>
          <w:tcPr>
            <w:tcW w:w="1380" w:type="dxa"/>
            <w:vAlign w:val="bottom"/>
          </w:tcPr>
          <w:p>
            <w:pPr>
              <w:jc w:val="right"/>
              <w:ind w:right="277"/>
              <w:spacing w:after="0"/>
              <w:rPr>
                <w:sz w:val="20"/>
                <w:szCs w:val="20"/>
                <w:color w:val="auto"/>
              </w:rPr>
            </w:pPr>
            <w:r>
              <w:rPr>
                <w:rFonts w:ascii="Arial" w:cs="Arial" w:eastAsia="Arial" w:hAnsi="Arial"/>
                <w:sz w:val="13"/>
                <w:szCs w:val="13"/>
                <w:color w:val="auto"/>
              </w:rPr>
              <w:t>622</w:t>
            </w:r>
          </w:p>
        </w:tc>
        <w:tc>
          <w:tcPr>
            <w:tcW w:w="1500" w:type="dxa"/>
            <w:vAlign w:val="bottom"/>
          </w:tcPr>
          <w:p>
            <w:pPr>
              <w:jc w:val="right"/>
              <w:spacing w:after="0"/>
              <w:rPr>
                <w:sz w:val="20"/>
                <w:szCs w:val="20"/>
                <w:color w:val="auto"/>
              </w:rPr>
            </w:pPr>
            <w:r>
              <w:rPr>
                <w:rFonts w:ascii="Arial" w:cs="Arial" w:eastAsia="Arial" w:hAnsi="Arial"/>
                <w:sz w:val="13"/>
                <w:szCs w:val="13"/>
                <w:color w:val="auto"/>
              </w:rPr>
              <w:t>635</w:t>
            </w:r>
          </w:p>
        </w:tc>
      </w:tr>
      <w:tr>
        <w:trPr>
          <w:trHeight w:val="130"/>
        </w:trPr>
        <w:tc>
          <w:tcPr>
            <w:tcW w:w="3800" w:type="dxa"/>
            <w:vAlign w:val="bottom"/>
            <w:tcBorders>
              <w:bottom w:val="single" w:sz="8" w:color="939598"/>
            </w:tcBorders>
          </w:tcPr>
          <w:p>
            <w:pPr>
              <w:spacing w:after="0"/>
              <w:rPr>
                <w:sz w:val="11"/>
                <w:szCs w:val="11"/>
                <w:color w:val="auto"/>
              </w:rPr>
            </w:pPr>
          </w:p>
        </w:tc>
        <w:tc>
          <w:tcPr>
            <w:tcW w:w="4080" w:type="dxa"/>
            <w:vAlign w:val="bottom"/>
            <w:tcBorders>
              <w:bottom w:val="single" w:sz="8" w:color="939598"/>
            </w:tcBorders>
          </w:tcPr>
          <w:p>
            <w:pPr>
              <w:spacing w:after="0"/>
              <w:rPr>
                <w:sz w:val="11"/>
                <w:szCs w:val="11"/>
                <w:color w:val="auto"/>
              </w:rPr>
            </w:pPr>
          </w:p>
        </w:tc>
        <w:tc>
          <w:tcPr>
            <w:tcW w:w="1380" w:type="dxa"/>
            <w:vAlign w:val="bottom"/>
            <w:tcBorders>
              <w:bottom w:val="single" w:sz="8" w:color="939598"/>
            </w:tcBorders>
          </w:tcPr>
          <w:p>
            <w:pPr>
              <w:spacing w:after="0"/>
              <w:rPr>
                <w:sz w:val="11"/>
                <w:szCs w:val="11"/>
                <w:color w:val="auto"/>
              </w:rPr>
            </w:pPr>
          </w:p>
        </w:tc>
        <w:tc>
          <w:tcPr>
            <w:tcW w:w="1500" w:type="dxa"/>
            <w:vAlign w:val="bottom"/>
            <w:tcBorders>
              <w:bottom w:val="single" w:sz="8" w:color="939598"/>
            </w:tcBorders>
          </w:tcPr>
          <w:p>
            <w:pPr>
              <w:spacing w:after="0"/>
              <w:rPr>
                <w:sz w:val="11"/>
                <w:szCs w:val="11"/>
                <w:color w:val="auto"/>
              </w:rPr>
            </w:pPr>
          </w:p>
        </w:tc>
      </w:tr>
      <w:tr>
        <w:trPr>
          <w:trHeight w:val="283"/>
        </w:trPr>
        <w:tc>
          <w:tcPr>
            <w:tcW w:w="3800" w:type="dxa"/>
            <w:vAlign w:val="bottom"/>
          </w:tcPr>
          <w:p>
            <w:pPr>
              <w:ind w:left="20"/>
              <w:spacing w:after="0"/>
              <w:rPr>
                <w:sz w:val="20"/>
                <w:szCs w:val="20"/>
                <w:color w:val="auto"/>
              </w:rPr>
            </w:pPr>
            <w:r>
              <w:rPr>
                <w:rFonts w:ascii="Arial" w:cs="Arial" w:eastAsia="Arial" w:hAnsi="Arial"/>
                <w:sz w:val="13"/>
                <w:szCs w:val="13"/>
                <w:b w:val="1"/>
                <w:bCs w:val="1"/>
                <w:color w:val="auto"/>
              </w:rPr>
              <w:t>Ms. Lieblein</w:t>
            </w:r>
          </w:p>
        </w:tc>
        <w:tc>
          <w:tcPr>
            <w:tcW w:w="4080" w:type="dxa"/>
            <w:vAlign w:val="bottom"/>
          </w:tcPr>
          <w:p>
            <w:pPr>
              <w:jc w:val="right"/>
              <w:ind w:right="257"/>
              <w:spacing w:after="0"/>
              <w:rPr>
                <w:sz w:val="20"/>
                <w:szCs w:val="20"/>
                <w:color w:val="auto"/>
              </w:rPr>
            </w:pPr>
            <w:r>
              <w:rPr>
                <w:rFonts w:ascii="Arial" w:cs="Arial" w:eastAsia="Arial" w:hAnsi="Arial"/>
                <w:sz w:val="13"/>
                <w:szCs w:val="13"/>
                <w:color w:val="auto"/>
              </w:rPr>
              <w:t>14,665</w:t>
            </w:r>
          </w:p>
        </w:tc>
        <w:tc>
          <w:tcPr>
            <w:tcW w:w="1380" w:type="dxa"/>
            <w:vAlign w:val="bottom"/>
          </w:tcPr>
          <w:p>
            <w:pPr>
              <w:jc w:val="right"/>
              <w:ind w:right="277"/>
              <w:spacing w:after="0"/>
              <w:rPr>
                <w:sz w:val="20"/>
                <w:szCs w:val="20"/>
                <w:color w:val="auto"/>
              </w:rPr>
            </w:pPr>
            <w:r>
              <w:rPr>
                <w:rFonts w:ascii="Arial" w:cs="Arial" w:eastAsia="Arial" w:hAnsi="Arial"/>
                <w:sz w:val="13"/>
                <w:szCs w:val="13"/>
                <w:color w:val="auto"/>
              </w:rPr>
              <w:t>622</w:t>
            </w:r>
          </w:p>
        </w:tc>
        <w:tc>
          <w:tcPr>
            <w:tcW w:w="1500" w:type="dxa"/>
            <w:vAlign w:val="bottom"/>
          </w:tcPr>
          <w:p>
            <w:pPr>
              <w:jc w:val="right"/>
              <w:spacing w:after="0"/>
              <w:rPr>
                <w:sz w:val="20"/>
                <w:szCs w:val="20"/>
                <w:color w:val="auto"/>
              </w:rPr>
            </w:pPr>
            <w:r>
              <w:rPr>
                <w:rFonts w:ascii="Arial" w:cs="Arial" w:eastAsia="Arial" w:hAnsi="Arial"/>
                <w:sz w:val="13"/>
                <w:szCs w:val="13"/>
                <w:color w:val="auto"/>
              </w:rPr>
              <w:t>7,761</w:t>
            </w:r>
          </w:p>
        </w:tc>
      </w:tr>
      <w:tr>
        <w:trPr>
          <w:trHeight w:val="129"/>
        </w:trPr>
        <w:tc>
          <w:tcPr>
            <w:tcW w:w="3800" w:type="dxa"/>
            <w:vAlign w:val="bottom"/>
            <w:tcBorders>
              <w:bottom w:val="single" w:sz="8" w:color="939598"/>
            </w:tcBorders>
          </w:tcPr>
          <w:p>
            <w:pPr>
              <w:spacing w:after="0"/>
              <w:rPr>
                <w:sz w:val="11"/>
                <w:szCs w:val="11"/>
                <w:color w:val="auto"/>
              </w:rPr>
            </w:pPr>
          </w:p>
        </w:tc>
        <w:tc>
          <w:tcPr>
            <w:tcW w:w="4080" w:type="dxa"/>
            <w:vAlign w:val="bottom"/>
            <w:tcBorders>
              <w:bottom w:val="single" w:sz="8" w:color="939598"/>
            </w:tcBorders>
          </w:tcPr>
          <w:p>
            <w:pPr>
              <w:spacing w:after="0"/>
              <w:rPr>
                <w:sz w:val="11"/>
                <w:szCs w:val="11"/>
                <w:color w:val="auto"/>
              </w:rPr>
            </w:pPr>
          </w:p>
        </w:tc>
        <w:tc>
          <w:tcPr>
            <w:tcW w:w="1380" w:type="dxa"/>
            <w:vAlign w:val="bottom"/>
            <w:tcBorders>
              <w:bottom w:val="single" w:sz="8" w:color="939598"/>
            </w:tcBorders>
          </w:tcPr>
          <w:p>
            <w:pPr>
              <w:spacing w:after="0"/>
              <w:rPr>
                <w:sz w:val="11"/>
                <w:szCs w:val="11"/>
                <w:color w:val="auto"/>
              </w:rPr>
            </w:pPr>
          </w:p>
        </w:tc>
        <w:tc>
          <w:tcPr>
            <w:tcW w:w="1500" w:type="dxa"/>
            <w:vAlign w:val="bottom"/>
            <w:tcBorders>
              <w:bottom w:val="single" w:sz="8" w:color="939598"/>
            </w:tcBorders>
          </w:tcPr>
          <w:p>
            <w:pPr>
              <w:spacing w:after="0"/>
              <w:rPr>
                <w:sz w:val="11"/>
                <w:szCs w:val="11"/>
                <w:color w:val="auto"/>
              </w:rPr>
            </w:pPr>
          </w:p>
        </w:tc>
      </w:tr>
      <w:tr>
        <w:trPr>
          <w:trHeight w:val="283"/>
        </w:trPr>
        <w:tc>
          <w:tcPr>
            <w:tcW w:w="3800" w:type="dxa"/>
            <w:vAlign w:val="bottom"/>
          </w:tcPr>
          <w:p>
            <w:pPr>
              <w:ind w:left="20"/>
              <w:spacing w:after="0"/>
              <w:rPr>
                <w:sz w:val="20"/>
                <w:szCs w:val="20"/>
                <w:color w:val="auto"/>
              </w:rPr>
            </w:pPr>
            <w:r>
              <w:rPr>
                <w:rFonts w:ascii="Arial" w:cs="Arial" w:eastAsia="Arial" w:hAnsi="Arial"/>
                <w:sz w:val="13"/>
                <w:szCs w:val="13"/>
                <w:b w:val="1"/>
                <w:bCs w:val="1"/>
                <w:color w:val="auto"/>
              </w:rPr>
              <w:t>Mr. Steinberg</w:t>
            </w:r>
          </w:p>
        </w:tc>
        <w:tc>
          <w:tcPr>
            <w:tcW w:w="408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277"/>
              <w:spacing w:after="0"/>
              <w:rPr>
                <w:sz w:val="20"/>
                <w:szCs w:val="20"/>
                <w:color w:val="auto"/>
              </w:rPr>
            </w:pPr>
            <w:r>
              <w:rPr>
                <w:rFonts w:ascii="Arial" w:cs="Arial" w:eastAsia="Arial" w:hAnsi="Arial"/>
                <w:sz w:val="13"/>
                <w:szCs w:val="13"/>
                <w:color w:val="auto"/>
              </w:rPr>
              <w:t>603</w:t>
            </w:r>
          </w:p>
        </w:tc>
        <w:tc>
          <w:tcPr>
            <w:tcW w:w="1500" w:type="dxa"/>
            <w:vAlign w:val="bottom"/>
          </w:tcPr>
          <w:p>
            <w:pPr>
              <w:jc w:val="right"/>
              <w:spacing w:after="0"/>
              <w:rPr>
                <w:sz w:val="20"/>
                <w:szCs w:val="20"/>
                <w:color w:val="auto"/>
              </w:rPr>
            </w:pPr>
            <w:r>
              <w:rPr>
                <w:rFonts w:ascii="Arial" w:cs="Arial" w:eastAsia="Arial" w:hAnsi="Arial"/>
                <w:sz w:val="13"/>
                <w:szCs w:val="13"/>
                <w:color w:val="auto"/>
              </w:rPr>
              <w:t>167</w:t>
            </w:r>
          </w:p>
        </w:tc>
      </w:tr>
      <w:tr>
        <w:trPr>
          <w:trHeight w:val="130"/>
        </w:trPr>
        <w:tc>
          <w:tcPr>
            <w:tcW w:w="3800" w:type="dxa"/>
            <w:vAlign w:val="bottom"/>
            <w:tcBorders>
              <w:bottom w:val="single" w:sz="8" w:color="939598"/>
            </w:tcBorders>
          </w:tcPr>
          <w:p>
            <w:pPr>
              <w:spacing w:after="0"/>
              <w:rPr>
                <w:sz w:val="11"/>
                <w:szCs w:val="11"/>
                <w:color w:val="auto"/>
              </w:rPr>
            </w:pPr>
          </w:p>
        </w:tc>
        <w:tc>
          <w:tcPr>
            <w:tcW w:w="4080" w:type="dxa"/>
            <w:vAlign w:val="bottom"/>
            <w:tcBorders>
              <w:bottom w:val="single" w:sz="8" w:color="939598"/>
            </w:tcBorders>
          </w:tcPr>
          <w:p>
            <w:pPr>
              <w:spacing w:after="0"/>
              <w:rPr>
                <w:sz w:val="11"/>
                <w:szCs w:val="11"/>
                <w:color w:val="auto"/>
              </w:rPr>
            </w:pPr>
          </w:p>
        </w:tc>
        <w:tc>
          <w:tcPr>
            <w:tcW w:w="1380" w:type="dxa"/>
            <w:vAlign w:val="bottom"/>
            <w:tcBorders>
              <w:bottom w:val="single" w:sz="8" w:color="939598"/>
            </w:tcBorders>
          </w:tcPr>
          <w:p>
            <w:pPr>
              <w:spacing w:after="0"/>
              <w:rPr>
                <w:sz w:val="11"/>
                <w:szCs w:val="11"/>
                <w:color w:val="auto"/>
              </w:rPr>
            </w:pPr>
          </w:p>
        </w:tc>
        <w:tc>
          <w:tcPr>
            <w:tcW w:w="1500" w:type="dxa"/>
            <w:vAlign w:val="bottom"/>
            <w:tcBorders>
              <w:bottom w:val="single" w:sz="8" w:color="939598"/>
            </w:tcBorders>
          </w:tcPr>
          <w:p>
            <w:pPr>
              <w:spacing w:after="0"/>
              <w:rPr>
                <w:sz w:val="11"/>
                <w:szCs w:val="11"/>
                <w:color w:val="auto"/>
              </w:rPr>
            </w:pPr>
          </w:p>
        </w:tc>
      </w:tr>
      <w:tr>
        <w:trPr>
          <w:trHeight w:val="282"/>
        </w:trPr>
        <w:tc>
          <w:tcPr>
            <w:tcW w:w="3800" w:type="dxa"/>
            <w:vAlign w:val="bottom"/>
          </w:tcPr>
          <w:p>
            <w:pPr>
              <w:ind w:left="20"/>
              <w:spacing w:after="0"/>
              <w:rPr>
                <w:sz w:val="20"/>
                <w:szCs w:val="20"/>
                <w:color w:val="auto"/>
              </w:rPr>
            </w:pPr>
            <w:r>
              <w:rPr>
                <w:rFonts w:ascii="Arial" w:cs="Arial" w:eastAsia="Arial" w:hAnsi="Arial"/>
                <w:sz w:val="13"/>
                <w:szCs w:val="13"/>
                <w:b w:val="1"/>
                <w:bCs w:val="1"/>
                <w:color w:val="auto"/>
              </w:rPr>
              <w:t>Mr. Watson</w:t>
            </w:r>
          </w:p>
        </w:tc>
        <w:tc>
          <w:tcPr>
            <w:tcW w:w="4080" w:type="dxa"/>
            <w:vAlign w:val="bottom"/>
          </w:tcPr>
          <w:p>
            <w:pPr>
              <w:jc w:val="right"/>
              <w:ind w:right="257"/>
              <w:spacing w:after="0"/>
              <w:rPr>
                <w:sz w:val="20"/>
                <w:szCs w:val="20"/>
                <w:color w:val="auto"/>
              </w:rPr>
            </w:pPr>
            <w:r>
              <w:rPr>
                <w:rFonts w:ascii="Arial" w:cs="Arial" w:eastAsia="Arial" w:hAnsi="Arial"/>
                <w:sz w:val="13"/>
                <w:szCs w:val="13"/>
                <w:color w:val="auto"/>
              </w:rPr>
              <w:t>2,403</w:t>
            </w:r>
          </w:p>
        </w:tc>
        <w:tc>
          <w:tcPr>
            <w:tcW w:w="1380" w:type="dxa"/>
            <w:vAlign w:val="bottom"/>
          </w:tcPr>
          <w:p>
            <w:pPr>
              <w:jc w:val="right"/>
              <w:ind w:right="277"/>
              <w:spacing w:after="0"/>
              <w:rPr>
                <w:sz w:val="20"/>
                <w:szCs w:val="20"/>
                <w:color w:val="auto"/>
              </w:rPr>
            </w:pPr>
            <w:r>
              <w:rPr>
                <w:rFonts w:ascii="Arial" w:cs="Arial" w:eastAsia="Arial" w:hAnsi="Arial"/>
                <w:sz w:val="13"/>
                <w:szCs w:val="13"/>
                <w:color w:val="auto"/>
              </w:rPr>
              <w:t>622</w:t>
            </w:r>
          </w:p>
        </w:tc>
        <w:tc>
          <w:tcPr>
            <w:tcW w:w="1500" w:type="dxa"/>
            <w:vAlign w:val="bottom"/>
          </w:tcPr>
          <w:p>
            <w:pPr>
              <w:jc w:val="right"/>
              <w:spacing w:after="0"/>
              <w:rPr>
                <w:sz w:val="20"/>
                <w:szCs w:val="20"/>
                <w:color w:val="auto"/>
              </w:rPr>
            </w:pPr>
            <w:r>
              <w:rPr>
                <w:rFonts w:ascii="Arial" w:cs="Arial" w:eastAsia="Arial" w:hAnsi="Arial"/>
                <w:sz w:val="13"/>
                <w:szCs w:val="13"/>
                <w:color w:val="auto"/>
              </w:rPr>
              <w:t>1,043</w:t>
            </w:r>
          </w:p>
        </w:tc>
      </w:tr>
      <w:tr>
        <w:trPr>
          <w:trHeight w:val="130"/>
        </w:trPr>
        <w:tc>
          <w:tcPr>
            <w:tcW w:w="3800" w:type="dxa"/>
            <w:vAlign w:val="bottom"/>
            <w:tcBorders>
              <w:bottom w:val="single" w:sz="8" w:color="939598"/>
            </w:tcBorders>
          </w:tcPr>
          <w:p>
            <w:pPr>
              <w:spacing w:after="0"/>
              <w:rPr>
                <w:sz w:val="11"/>
                <w:szCs w:val="11"/>
                <w:color w:val="auto"/>
              </w:rPr>
            </w:pPr>
          </w:p>
        </w:tc>
        <w:tc>
          <w:tcPr>
            <w:tcW w:w="4080" w:type="dxa"/>
            <w:vAlign w:val="bottom"/>
            <w:tcBorders>
              <w:bottom w:val="single" w:sz="8" w:color="939598"/>
            </w:tcBorders>
          </w:tcPr>
          <w:p>
            <w:pPr>
              <w:spacing w:after="0"/>
              <w:rPr>
                <w:sz w:val="11"/>
                <w:szCs w:val="11"/>
                <w:color w:val="auto"/>
              </w:rPr>
            </w:pPr>
          </w:p>
        </w:tc>
        <w:tc>
          <w:tcPr>
            <w:tcW w:w="1380" w:type="dxa"/>
            <w:vAlign w:val="bottom"/>
            <w:tcBorders>
              <w:bottom w:val="single" w:sz="8" w:color="939598"/>
            </w:tcBorders>
          </w:tcPr>
          <w:p>
            <w:pPr>
              <w:spacing w:after="0"/>
              <w:rPr>
                <w:sz w:val="11"/>
                <w:szCs w:val="11"/>
                <w:color w:val="auto"/>
              </w:rPr>
            </w:pPr>
          </w:p>
        </w:tc>
        <w:tc>
          <w:tcPr>
            <w:tcW w:w="1500" w:type="dxa"/>
            <w:vAlign w:val="bottom"/>
            <w:tcBorders>
              <w:bottom w:val="single" w:sz="8" w:color="939598"/>
            </w:tcBorders>
          </w:tcPr>
          <w:p>
            <w:pPr>
              <w:spacing w:after="0"/>
              <w:rPr>
                <w:sz w:val="11"/>
                <w:szCs w:val="11"/>
                <w:color w:val="auto"/>
              </w:rPr>
            </w:pPr>
          </w:p>
        </w:tc>
      </w:tr>
      <w:tr>
        <w:trPr>
          <w:trHeight w:val="283"/>
        </w:trPr>
        <w:tc>
          <w:tcPr>
            <w:tcW w:w="3800" w:type="dxa"/>
            <w:vAlign w:val="bottom"/>
          </w:tcPr>
          <w:p>
            <w:pPr>
              <w:ind w:left="20"/>
              <w:spacing w:after="0"/>
              <w:rPr>
                <w:sz w:val="20"/>
                <w:szCs w:val="20"/>
                <w:color w:val="auto"/>
              </w:rPr>
            </w:pPr>
            <w:r>
              <w:rPr>
                <w:rFonts w:ascii="Arial" w:cs="Arial" w:eastAsia="Arial" w:hAnsi="Arial"/>
                <w:sz w:val="13"/>
                <w:szCs w:val="13"/>
                <w:b w:val="1"/>
                <w:bCs w:val="1"/>
                <w:color w:val="auto"/>
              </w:rPr>
              <w:t>Mr. Williamson</w:t>
            </w:r>
          </w:p>
        </w:tc>
        <w:tc>
          <w:tcPr>
            <w:tcW w:w="408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277"/>
              <w:spacing w:after="0"/>
              <w:rPr>
                <w:sz w:val="20"/>
                <w:szCs w:val="20"/>
                <w:color w:val="auto"/>
              </w:rPr>
            </w:pPr>
            <w:r>
              <w:rPr>
                <w:rFonts w:ascii="Arial" w:cs="Arial" w:eastAsia="Arial" w:hAnsi="Arial"/>
                <w:sz w:val="13"/>
                <w:szCs w:val="13"/>
                <w:color w:val="auto"/>
              </w:rPr>
              <w:t>622</w:t>
            </w:r>
          </w:p>
        </w:tc>
        <w:tc>
          <w:tcPr>
            <w:tcW w:w="1500" w:type="dxa"/>
            <w:vAlign w:val="bottom"/>
          </w:tcPr>
          <w:p>
            <w:pPr>
              <w:jc w:val="right"/>
              <w:spacing w:after="0"/>
              <w:rPr>
                <w:sz w:val="20"/>
                <w:szCs w:val="20"/>
                <w:color w:val="auto"/>
              </w:rPr>
            </w:pPr>
            <w:r>
              <w:rPr>
                <w:rFonts w:ascii="Arial" w:cs="Arial" w:eastAsia="Arial" w:hAnsi="Arial"/>
                <w:sz w:val="13"/>
                <w:szCs w:val="13"/>
                <w:color w:val="auto"/>
              </w:rPr>
              <w:t>228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82550</wp:posOffset>
            </wp:positionV>
            <wp:extent cx="684085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p>
      <w:pPr>
        <w:spacing w:after="0" w:line="267" w:lineRule="exact"/>
        <w:rPr>
          <w:sz w:val="20"/>
          <w:szCs w:val="20"/>
          <w:color w:val="auto"/>
        </w:rPr>
      </w:pPr>
    </w:p>
    <w:p>
      <w:pPr>
        <w:ind w:left="200" w:hanging="192"/>
        <w:spacing w:after="0" w:line="233" w:lineRule="auto"/>
        <w:tabs>
          <w:tab w:leader="none" w:pos="200" w:val="left"/>
        </w:tabs>
        <w:numPr>
          <w:ilvl w:val="0"/>
          <w:numId w:val="123"/>
        </w:numPr>
        <w:rPr>
          <w:rFonts w:ascii="Arial" w:cs="Arial" w:eastAsia="Arial" w:hAnsi="Arial"/>
          <w:sz w:val="16"/>
          <w:szCs w:val="16"/>
          <w:color w:val="auto"/>
          <w:vertAlign w:val="superscript"/>
        </w:rPr>
      </w:pPr>
      <w:r>
        <w:rPr>
          <w:rFonts w:ascii="Arial" w:cs="Arial" w:eastAsia="Arial" w:hAnsi="Arial"/>
          <w:sz w:val="13"/>
          <w:szCs w:val="13"/>
          <w:color w:val="auto"/>
        </w:rPr>
        <w:t>The amounts set forth in this column represent the aggregate grant date fair value of Restricted Stock Unit awards. The fair value of the annual Restricted Stock Unit award was computed in accordance with FASB ASC Topic 718 using the average of the high and low of the Company’s stock price on the day of grant. Stock awards of 580 shares were made to Non-Employee Directors on May 20, 2025 with a value of $224.26 per share. Mr. Williamson received a prorated RSU grant on April 1, 2025 of 83 shares with a value of $211.66 per share that fully vested on April 15, 2025. Mr. Steinberg received a prorated RSU grant on June 2, 2025 of 562 shares with a value of $224.49 per share. Mr. Arnold received a prorated RSU grant on November 3, 2025 of 355 shares with a value of $199.28 per share.</w:t>
      </w:r>
    </w:p>
    <w:p>
      <w:pPr>
        <w:spacing w:after="0" w:line="46" w:lineRule="exact"/>
        <w:rPr>
          <w:rFonts w:ascii="Arial" w:cs="Arial" w:eastAsia="Arial" w:hAnsi="Arial"/>
          <w:sz w:val="16"/>
          <w:szCs w:val="16"/>
          <w:color w:val="auto"/>
          <w:vertAlign w:val="superscript"/>
        </w:rPr>
      </w:pPr>
    </w:p>
    <w:p>
      <w:pPr>
        <w:ind w:left="200" w:hanging="192"/>
        <w:spacing w:after="0"/>
        <w:tabs>
          <w:tab w:leader="none" w:pos="200" w:val="left"/>
        </w:tabs>
        <w:numPr>
          <w:ilvl w:val="0"/>
          <w:numId w:val="123"/>
        </w:numPr>
        <w:rPr>
          <w:rFonts w:ascii="Arial" w:cs="Arial" w:eastAsia="Arial" w:hAnsi="Arial"/>
          <w:sz w:val="16"/>
          <w:szCs w:val="16"/>
          <w:color w:val="auto"/>
          <w:vertAlign w:val="superscript"/>
        </w:rPr>
      </w:pPr>
      <w:r>
        <w:rPr>
          <w:rFonts w:ascii="Arial" w:cs="Arial" w:eastAsia="Arial" w:hAnsi="Arial"/>
          <w:sz w:val="13"/>
          <w:szCs w:val="13"/>
          <w:color w:val="auto"/>
        </w:rPr>
        <w:t>Stock Options were not granted to non-employee directors in 2025.</w:t>
      </w:r>
    </w:p>
    <w:p>
      <w:pPr>
        <w:spacing w:after="0" w:line="56" w:lineRule="exact"/>
        <w:rPr>
          <w:rFonts w:ascii="Arial" w:cs="Arial" w:eastAsia="Arial" w:hAnsi="Arial"/>
          <w:sz w:val="16"/>
          <w:szCs w:val="16"/>
          <w:color w:val="auto"/>
          <w:vertAlign w:val="superscript"/>
        </w:rPr>
      </w:pPr>
    </w:p>
    <w:p>
      <w:pPr>
        <w:ind w:left="200" w:right="60" w:hanging="192"/>
        <w:spacing w:after="0" w:line="235" w:lineRule="auto"/>
        <w:tabs>
          <w:tab w:leader="none" w:pos="200" w:val="left"/>
        </w:tabs>
        <w:numPr>
          <w:ilvl w:val="0"/>
          <w:numId w:val="123"/>
        </w:numPr>
        <w:rPr>
          <w:rFonts w:ascii="Arial" w:cs="Arial" w:eastAsia="Arial" w:hAnsi="Arial"/>
          <w:sz w:val="16"/>
          <w:szCs w:val="16"/>
          <w:color w:val="auto"/>
          <w:vertAlign w:val="superscript"/>
        </w:rPr>
      </w:pPr>
      <w:r>
        <w:rPr>
          <w:rFonts w:ascii="Arial" w:cs="Arial" w:eastAsia="Arial" w:hAnsi="Arial"/>
          <w:sz w:val="13"/>
          <w:szCs w:val="13"/>
          <w:color w:val="auto"/>
        </w:rPr>
        <w:t>Amounts included in this column reflect above-market earnings on deferred compensation from pre-2006 deferrals and/or amounts invested in cash under the Deferred Compensation Plan for Non-Employee Directors. Amounts invested in the Deferred Compensation Plan for Non-Employee Directors are credited with the same rate of interest that applies to executives under the Honeywell Salary and Incentive Award Deferral Plan for Selected Employees. Deferrals for the 2006 plan year and later earn a rate of interest, compounded daily, based on the Company’s 15-year cost of borrowing. This rate is subject to change annually and was 4.91% for 2025. Deferrals for the 2005 plan year earn a rate of interest, compounded daily, which was set at an above-market rate before the beginning of the plan year and is subject to change annually.</w:t>
      </w:r>
    </w:p>
    <w:p>
      <w:pPr>
        <w:spacing w:after="0" w:line="64" w:lineRule="exact"/>
        <w:rPr>
          <w:rFonts w:ascii="Arial" w:cs="Arial" w:eastAsia="Arial" w:hAnsi="Arial"/>
          <w:sz w:val="16"/>
          <w:szCs w:val="16"/>
          <w:color w:val="auto"/>
          <w:vertAlign w:val="superscript"/>
        </w:rPr>
      </w:pPr>
    </w:p>
    <w:p>
      <w:pPr>
        <w:ind w:left="200" w:right="180" w:hanging="192"/>
        <w:spacing w:after="0" w:line="226" w:lineRule="auto"/>
        <w:tabs>
          <w:tab w:leader="none" w:pos="200" w:val="left"/>
        </w:tabs>
        <w:numPr>
          <w:ilvl w:val="0"/>
          <w:numId w:val="123"/>
        </w:numPr>
        <w:rPr>
          <w:rFonts w:ascii="Arial" w:cs="Arial" w:eastAsia="Arial" w:hAnsi="Arial"/>
          <w:sz w:val="16"/>
          <w:szCs w:val="16"/>
          <w:color w:val="auto"/>
          <w:vertAlign w:val="superscript"/>
        </w:rPr>
      </w:pPr>
      <w:r>
        <w:rPr>
          <w:rFonts w:ascii="Arial" w:cs="Arial" w:eastAsia="Arial" w:hAnsi="Arial"/>
          <w:sz w:val="13"/>
          <w:szCs w:val="13"/>
          <w:color w:val="auto"/>
        </w:rPr>
        <w:t>Includes amounts described in “Charitable Match” and “Other Benefits” above. For 2025, matching charitable contributions were made by Honeywell in the amount of $25,000 for each of directors Ayer, Burke, Lamach, Lieblein, Williamson, and in the amount of $3,947 for Mr. Watson. Mr. Davis is the sole director eligible for the grandfathered term life insurance.</w:t>
      </w:r>
    </w:p>
    <w:p>
      <w:pPr>
        <w:spacing w:after="0" w:line="32" w:lineRule="exact"/>
        <w:rPr>
          <w:rFonts w:ascii="Arial" w:cs="Arial" w:eastAsia="Arial" w:hAnsi="Arial"/>
          <w:sz w:val="16"/>
          <w:szCs w:val="16"/>
          <w:color w:val="auto"/>
          <w:vertAlign w:val="superscript"/>
        </w:rPr>
      </w:pPr>
    </w:p>
    <w:p>
      <w:pPr>
        <w:ind w:left="200" w:hanging="192"/>
        <w:spacing w:after="0"/>
        <w:tabs>
          <w:tab w:leader="none" w:pos="200" w:val="left"/>
        </w:tabs>
        <w:numPr>
          <w:ilvl w:val="0"/>
          <w:numId w:val="123"/>
        </w:numPr>
        <w:rPr>
          <w:rFonts w:ascii="Arial" w:cs="Arial" w:eastAsia="Arial" w:hAnsi="Arial"/>
          <w:sz w:val="16"/>
          <w:szCs w:val="16"/>
          <w:color w:val="auto"/>
          <w:vertAlign w:val="superscript"/>
        </w:rPr>
      </w:pPr>
      <w:r>
        <w:rPr>
          <w:rFonts w:ascii="Arial" w:cs="Arial" w:eastAsia="Arial" w:hAnsi="Arial"/>
          <w:sz w:val="13"/>
          <w:szCs w:val="13"/>
          <w:color w:val="auto"/>
        </w:rPr>
        <w:t>Ms. Washington departed the Board on March 31, 2025, and Ms. Lee departed the Board on October 30, 2025.</w:t>
      </w:r>
    </w:p>
    <w:p>
      <w:pPr>
        <w:sectPr>
          <w:pgSz w:w="11900" w:h="16838" w:orient="portrait"/>
          <w:cols w:equalWidth="0" w:num="1">
            <w:col w:w="11200"/>
          </w:cols>
          <w:pgMar w:left="320" w:top="230" w:right="379" w:bottom="1440" w:gutter="0" w:footer="0" w:header="0"/>
        </w:sectPr>
      </w:pPr>
    </w:p>
    <w:p>
      <w:pPr>
        <w:spacing w:after="0" w:line="286"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DIRECTOR STOCK OWNERSHIP GUIDELINES</w:t>
      </w:r>
    </w:p>
    <w:p>
      <w:pPr>
        <w:spacing w:after="0" w:line="181" w:lineRule="exact"/>
        <w:rPr>
          <w:sz w:val="20"/>
          <w:szCs w:val="20"/>
          <w:color w:val="auto"/>
        </w:rPr>
      </w:pPr>
    </w:p>
    <w:p>
      <w:pPr>
        <w:ind w:left="20"/>
        <w:spacing w:after="0" w:line="259" w:lineRule="auto"/>
        <w:rPr>
          <w:sz w:val="20"/>
          <w:szCs w:val="20"/>
          <w:color w:val="auto"/>
        </w:rPr>
      </w:pPr>
      <w:r>
        <w:rPr>
          <w:rFonts w:ascii="Arial" w:cs="Arial" w:eastAsia="Arial" w:hAnsi="Arial"/>
          <w:sz w:val="16"/>
          <w:szCs w:val="16"/>
          <w:color w:val="auto"/>
        </w:rPr>
        <w:t>Director stock ownership guidelines have been adopted under which each non-employee director, while serving as a director of Honeywell, must hold common stock (including shares held personally, RSUs, and/or common stock equivalents) with a market value of at least five times the annual cash retainer (or $600,000). Directors have five years from election to the Board to attain the prescribed ownership threshold. All current directors, except for Mr. Watson (who joined the Board in September 2022), Mr. Lamach (who joined the Board in December 2023), Mr. Williamson (who joined the Board in April 2025), Mr. Steinberg (who joined the Board in May 2025), Mr. Arnold (who joined the Board in November 2025) and Ms. Nooyi (who joined the Board in January 2026) have attained the prescribed ownership threshold.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0"/>
        <w:spacing w:after="0" w:line="267" w:lineRule="auto"/>
        <w:rPr>
          <w:sz w:val="20"/>
          <w:szCs w:val="20"/>
          <w:color w:val="auto"/>
        </w:rPr>
      </w:pPr>
      <w:r>
        <w:rPr>
          <w:rFonts w:ascii="Arial" w:cs="Arial" w:eastAsia="Arial" w:hAnsi="Arial"/>
          <w:sz w:val="16"/>
          <w:szCs w:val="16"/>
          <w:b w:val="1"/>
          <w:bCs w:val="1"/>
          <w:color w:val="auto"/>
        </w:rPr>
        <w:t>On average, Honeywell non-employee directors held, as of December 31, 2025, common stock with a market value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-397510</wp:posOffset>
            </wp:positionV>
            <wp:extent cx="8255" cy="131127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255" cy="1311275"/>
                    </a:xfrm>
                    <a:prstGeom prst="rect">
                      <a:avLst/>
                    </a:prstGeom>
                    <a:noFill/>
                  </pic:spPr>
                </pic:pic>
              </a:graphicData>
            </a:graphic>
          </wp:anchor>
        </w:drawing>
      </w:r>
    </w:p>
    <w:p>
      <w:pPr>
        <w:spacing w:after="0"/>
        <w:rPr>
          <w:sz w:val="20"/>
          <w:szCs w:val="20"/>
          <w:color w:val="auto"/>
        </w:rPr>
      </w:pPr>
      <w:r>
        <w:rPr>
          <w:rFonts w:ascii="Arial" w:cs="Arial" w:eastAsia="Arial" w:hAnsi="Arial"/>
          <w:sz w:val="63"/>
          <w:szCs w:val="63"/>
          <w:b w:val="1"/>
          <w:bCs w:val="1"/>
          <w:color w:val="D7282F"/>
        </w:rPr>
        <w:t>25x</w:t>
      </w:r>
    </w:p>
    <w:p>
      <w:pPr>
        <w:jc w:val="both"/>
        <w:ind w:right="220"/>
        <w:spacing w:after="0" w:line="270" w:lineRule="auto"/>
        <w:rPr>
          <w:sz w:val="20"/>
          <w:szCs w:val="20"/>
          <w:color w:val="auto"/>
        </w:rPr>
      </w:pPr>
      <w:r>
        <w:rPr>
          <w:rFonts w:ascii="Arial" w:cs="Arial" w:eastAsia="Arial" w:hAnsi="Arial"/>
          <w:sz w:val="16"/>
          <w:szCs w:val="16"/>
          <w:b w:val="1"/>
          <w:bCs w:val="1"/>
          <w:color w:val="auto"/>
        </w:rPr>
        <w:t>the annual cash retainer, reflecting their deep commitment to shareowner value creation.</w:t>
      </w:r>
    </w:p>
    <w:p>
      <w:pPr>
        <w:spacing w:after="0" w:line="200" w:lineRule="exact"/>
        <w:rPr>
          <w:sz w:val="20"/>
          <w:szCs w:val="20"/>
          <w:color w:val="auto"/>
        </w:rPr>
      </w:pPr>
    </w:p>
    <w:p>
      <w:pPr>
        <w:sectPr>
          <w:pgSz w:w="11900" w:h="16838" w:orient="portrait"/>
          <w:cols w:equalWidth="0" w:num="2">
            <w:col w:w="7560" w:space="340"/>
            <w:col w:w="3300"/>
          </w:cols>
          <w:pgMar w:left="320" w:top="230" w:right="379" w:bottom="1440" w:gutter="0" w:footer="0" w:header="0"/>
          <w:type w:val="continuous"/>
        </w:sectPr>
      </w:pPr>
    </w:p>
    <w:p>
      <w:pPr>
        <w:spacing w:after="0" w:line="217"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50</w:t>
      </w:r>
      <w:r>
        <w:rPr>
          <w:sz w:val="20"/>
          <w:szCs w:val="20"/>
          <w:color w:val="auto"/>
        </w:rPr>
        <w:tab/>
      </w:r>
      <w:r>
        <w:rPr>
          <w:sz w:val="1"/>
          <w:szCs w:val="1"/>
          <w:color w:val="auto"/>
        </w:rPr>
        <w:drawing>
          <wp:inline distT="0" distB="0" distL="0" distR="0">
            <wp:extent cx="548640" cy="102870"/>
            <wp:effectExtent l="0" t="0" r="0" b="0"/>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2026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0" w:right="37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45"/>
          <w:szCs w:val="45"/>
          <w:b w:val="1"/>
          <w:bCs w:val="1"/>
          <w:color w:val="auto"/>
        </w:rPr>
        <w:t>PROPOSAL 2:</w:t>
      </w:r>
    </w:p>
    <w:p>
      <w:pPr>
        <w:spacing w:after="0" w:line="69" w:lineRule="exact"/>
        <w:rPr>
          <w:sz w:val="20"/>
          <w:szCs w:val="20"/>
          <w:color w:val="auto"/>
        </w:rPr>
      </w:pPr>
    </w:p>
    <w:p>
      <w:pPr>
        <w:ind w:right="1800"/>
        <w:spacing w:after="0" w:line="277" w:lineRule="auto"/>
        <w:rPr>
          <w:sz w:val="20"/>
          <w:szCs w:val="20"/>
          <w:color w:val="auto"/>
        </w:rPr>
      </w:pPr>
      <w:r>
        <w:rPr>
          <w:rFonts w:ascii="Arial" w:cs="Arial" w:eastAsia="Arial" w:hAnsi="Arial"/>
          <w:sz w:val="45"/>
          <w:szCs w:val="45"/>
          <w:b w:val="1"/>
          <w:bCs w:val="1"/>
          <w:color w:val="auto"/>
        </w:rPr>
        <w:t>ADVISORY VOTE TO APPROVE EXECUTIVE COMPENSATION</w:t>
      </w:r>
    </w:p>
    <w:p>
      <w:pPr>
        <w:spacing w:after="0" w:line="306" w:lineRule="exact"/>
        <w:rPr>
          <w:sz w:val="20"/>
          <w:szCs w:val="20"/>
          <w:color w:val="auto"/>
        </w:rPr>
      </w:pPr>
    </w:p>
    <w:p>
      <w:pPr>
        <w:ind w:right="240"/>
        <w:spacing w:after="0" w:line="265" w:lineRule="auto"/>
        <w:rPr>
          <w:sz w:val="20"/>
          <w:szCs w:val="20"/>
          <w:color w:val="auto"/>
        </w:rPr>
      </w:pPr>
      <w:r>
        <w:rPr>
          <w:rFonts w:ascii="Arial" w:cs="Arial" w:eastAsia="Arial" w:hAnsi="Arial"/>
          <w:sz w:val="16"/>
          <w:szCs w:val="16"/>
          <w:color w:val="auto"/>
        </w:rPr>
        <w:t>In accordance with the requirements of Section 14A of the Exchange Act and the related rules of the SEC, Honeywell seeks a non-binding advisory vote from its shareowners to approve the compensation of its Named Executive Officers (NEOs) as described in the Compensation Discussion and Analysis section beginning on page 52 and the Executive Compensation Tables section beginning on page 86. This vote is commonly known as “Say-on-Pay,” and the Board has adopted a policy of providing for an annual Say-on-Pay vote. We anticipate that shareowners will next have the opportunity to vote on the frequency of future Say-on-Pay votes at the 2029 Annual Meeting of Shareowners.</w:t>
      </w:r>
    </w:p>
    <w:p>
      <w:pPr>
        <w:spacing w:after="0" w:line="64"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We encourage you to read the Compensation Discussion and Analysis (CD&amp;A) and Executive Compensation Tables section to learn more about the Company’s executive compensation programs and policies. The Board believes its 2025 compensation decisions and our executive compensation programs align the interests of shareowners and executives by emphasizing variable, at-risk compensation largely tied to measurable performance goals utilizing an appropriate balance of near-term and long-term goals.</w:t>
      </w:r>
    </w:p>
    <w:p>
      <w:pPr>
        <w:spacing w:after="0" w:line="78"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color w:val="auto"/>
        </w:rPr>
        <w:t>This vote is not intended to address a specific item of compensation, but rather our overall compensation policies and procedures related to the NEOs. Because the Say-on-Pay vote is advisory, it will not be binding upon the Board or the Management Development and Compensation Committee (MDCC). However, the Board and MDCC will consider the outcome of the vote and feedback from discussions with shareowners when considering future executive compensation arrangements.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The Board recommends that shareowners vote in favor of the following resolution:</w:t>
      </w:r>
    </w:p>
    <w:p>
      <w:pPr>
        <w:spacing w:after="0" w:line="127" w:lineRule="exact"/>
        <w:rPr>
          <w:sz w:val="20"/>
          <w:szCs w:val="20"/>
          <w:color w:val="auto"/>
        </w:rPr>
      </w:pPr>
    </w:p>
    <w:p>
      <w:pPr>
        <w:ind w:right="320"/>
        <w:spacing w:after="0" w:line="265" w:lineRule="auto"/>
        <w:rPr>
          <w:sz w:val="20"/>
          <w:szCs w:val="20"/>
          <w:color w:val="auto"/>
        </w:rPr>
      </w:pPr>
      <w:r>
        <w:rPr>
          <w:rFonts w:ascii="Arial" w:cs="Arial" w:eastAsia="Arial" w:hAnsi="Arial"/>
          <w:sz w:val="16"/>
          <w:szCs w:val="16"/>
          <w:color w:val="auto"/>
        </w:rPr>
        <w:t>“RESOLVED, that the Company’s shareowners approve, on an advisory basis, the compensation of the Named Executive Officers, as disclosed in the Company’s Proxy Statement for the 2026 Annual Meeting of Shareowners pursuant to the executive compensation disclosure rules of the Securities and Exchange Commission, including the Compensation Discussion and Analysis, the Summary Compensation Table, and the other related tables and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161925</wp:posOffset>
            </wp:positionV>
            <wp:extent cx="34290" cy="42037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34290" cy="420370"/>
                    </a:xfrm>
                    <a:prstGeom prst="rect">
                      <a:avLst/>
                    </a:prstGeom>
                    <a:noFill/>
                  </pic:spPr>
                </pic:pic>
              </a:graphicData>
            </a:graphic>
          </wp:anchor>
        </w:drawing>
      </w:r>
    </w:p>
    <w:p>
      <w:pPr>
        <w:spacing w:after="0" w:line="237" w:lineRule="exact"/>
        <w:rPr>
          <w:sz w:val="20"/>
          <w:szCs w:val="20"/>
          <w:color w:val="auto"/>
        </w:rPr>
      </w:pPr>
    </w:p>
    <w:p>
      <w:pPr>
        <w:ind w:left="160" w:right="1520"/>
        <w:spacing w:after="0" w:line="298" w:lineRule="auto"/>
        <w:rPr>
          <w:sz w:val="20"/>
          <w:szCs w:val="20"/>
          <w:color w:val="auto"/>
        </w:rPr>
      </w:pPr>
      <w:r>
        <w:rPr>
          <w:rFonts w:ascii="Arial" w:cs="Arial" w:eastAsia="Arial" w:hAnsi="Arial"/>
          <w:sz w:val="25"/>
          <w:szCs w:val="25"/>
          <w:b w:val="1"/>
          <w:bCs w:val="1"/>
          <w:color w:val="auto"/>
        </w:rPr>
        <w:t xml:space="preserve">THE BOARD OF DIRECTORS UNANIMOUSLY RECOMMENDS A VOTE </w:t>
      </w:r>
      <w:r>
        <w:rPr>
          <w:rFonts w:ascii="Arial" w:cs="Arial" w:eastAsia="Arial" w:hAnsi="Arial"/>
          <w:sz w:val="25"/>
          <w:szCs w:val="25"/>
          <w:b w:val="1"/>
          <w:bCs w:val="1"/>
          <w:color w:val="D7282F"/>
        </w:rPr>
        <w:t>FOR</w:t>
      </w:r>
      <w:r>
        <w:rPr>
          <w:rFonts w:ascii="Arial" w:cs="Arial" w:eastAsia="Arial" w:hAnsi="Arial"/>
          <w:sz w:val="25"/>
          <w:szCs w:val="25"/>
          <w:b w:val="1"/>
          <w:bCs w:val="1"/>
          <w:color w:val="auto"/>
        </w:rPr>
        <w:t xml:space="preserve"> THIS PROPOSAL.</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2026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51</w:t>
            </w:r>
          </w:p>
        </w:tc>
      </w:tr>
      <w:tr>
        <w:trPr>
          <w:trHeight w:val="373"/>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1293" w:right="339" w:bottom="1440" w:gutter="0" w:footer="0" w:header="0"/>
        </w:sectPr>
      </w:pPr>
    </w:p>
    <w:bookmarkStart w:id="56" w:name="page57"/>
    <w:bookmarkEnd w:id="56"/>
    <w:p>
      <w:pPr>
        <w:spacing w:after="0"/>
        <w:rPr>
          <w:sz w:val="20"/>
          <w:szCs w:val="20"/>
          <w:color w:val="auto"/>
        </w:rPr>
      </w:pPr>
      <w:r>
        <w:rPr>
          <w:rFonts w:ascii="Arial" w:cs="Arial" w:eastAsia="Arial" w:hAnsi="Arial"/>
          <w:sz w:val="44"/>
          <w:szCs w:val="44"/>
          <w:b w:val="1"/>
          <w:bCs w:val="1"/>
          <w:color w:val="auto"/>
        </w:rPr>
        <w:t>COMPENSATION DISCUSSION AND ANALYSIS</w:t>
      </w:r>
    </w:p>
    <w:p>
      <w:pPr>
        <w:sectPr>
          <w:pgSz w:w="11900" w:h="16838" w:orient="portrait"/>
          <w:cols w:equalWidth="0" w:num="1">
            <w:col w:w="11200"/>
          </w:cols>
          <w:pgMar w:left="320" w:top="1293" w:right="379" w:bottom="1440" w:gutter="0" w:footer="0" w:header="0"/>
        </w:sect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TABLE OF CONTENTS</w:t>
      </w:r>
    </w:p>
    <w:p>
      <w:pPr>
        <w:spacing w:after="0" w:line="195" w:lineRule="exact"/>
        <w:rPr>
          <w:sz w:val="20"/>
          <w:szCs w:val="20"/>
          <w:color w:val="auto"/>
        </w:rPr>
      </w:pPr>
    </w:p>
    <w:p>
      <w:pPr>
        <w:ind w:left="20" w:right="920"/>
        <w:spacing w:after="0" w:line="410" w:lineRule="auto"/>
        <w:rPr>
          <w:sz w:val="20"/>
          <w:szCs w:val="20"/>
          <w:color w:val="auto"/>
        </w:rPr>
      </w:pPr>
      <w:r>
        <w:rPr>
          <w:rFonts w:ascii="Arial" w:cs="Arial" w:eastAsia="Arial" w:hAnsi="Arial"/>
          <w:sz w:val="16"/>
          <w:szCs w:val="16"/>
          <w:b w:val="1"/>
          <w:bCs w:val="1"/>
          <w:color w:val="D7282F"/>
        </w:rPr>
        <w:t>CURRENT NAMED EXECUTIVE OFFICERS (NEOs) FORMER NAMED EXECUTIVE OFFICERS OUR COMPENSATION PROGRAM</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Philosophy and Approach</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Engagement with Shareowners on Compensation</w:t>
      </w:r>
    </w:p>
    <w:p>
      <w:pPr>
        <w:spacing w:after="0" w:line="167" w:lineRule="exact"/>
        <w:rPr>
          <w:sz w:val="20"/>
          <w:szCs w:val="20"/>
          <w:color w:val="auto"/>
        </w:rPr>
      </w:pPr>
    </w:p>
    <w:p>
      <w:pPr>
        <w:ind w:left="20" w:right="520"/>
        <w:spacing w:after="0" w:line="387" w:lineRule="auto"/>
        <w:rPr>
          <w:sz w:val="20"/>
          <w:szCs w:val="20"/>
          <w:color w:val="auto"/>
        </w:rPr>
      </w:pPr>
      <w:r>
        <w:rPr>
          <w:rFonts w:ascii="Arial" w:cs="Arial" w:eastAsia="Arial" w:hAnsi="Arial"/>
          <w:sz w:val="16"/>
          <w:szCs w:val="16"/>
          <w:color w:val="auto"/>
        </w:rPr>
        <w:t>Forming Standalone Leaders in Aerospace and Automation Compensation Practices and Policies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Program Design and Link to Business Strategy and Performance</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Compensation Peer Group</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Performance Relative to Peers</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D7282F"/>
        </w:rPr>
        <w:t>2025 COMPENSATION SUMMARY</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2025 Total Target Annual Direct Compensation</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2025 Total Actual Annual Direct Compensation</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D7282F"/>
        </w:rPr>
        <w:t>TRANSACTION AWARDS</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D7282F"/>
        </w:rPr>
        <w:t>2025 BASE SALARY DECISIONS</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D7282F"/>
        </w:rPr>
        <w:t>2025 ANNUAL INCENTIVE COMPENSATION PLAN DECISIONS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ICP Formulaic Portion (80% of Target Award)</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ICP Individual Qualitative Portion (15% of Target Award)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D7282F"/>
                <w:w w:val="89"/>
              </w:rPr>
              <w:t>53</w:t>
            </w:r>
          </w:p>
        </w:tc>
        <w:tc>
          <w:tcPr>
            <w:tcW w:w="5060" w:type="dxa"/>
            <w:vAlign w:val="bottom"/>
          </w:tcPr>
          <w:p>
            <w:pPr>
              <w:ind w:left="180"/>
              <w:spacing w:after="0"/>
              <w:rPr>
                <w:sz w:val="20"/>
                <w:szCs w:val="20"/>
                <w:color w:val="auto"/>
              </w:rPr>
            </w:pPr>
            <w:r>
              <w:rPr>
                <w:rFonts w:ascii="Arial" w:cs="Arial" w:eastAsia="Arial" w:hAnsi="Arial"/>
                <w:sz w:val="16"/>
                <w:szCs w:val="16"/>
                <w:color w:val="auto"/>
              </w:rPr>
              <w:t>ICP Corporate Responsibility Portion (5% of Target Award)</w:t>
            </w:r>
          </w:p>
        </w:tc>
        <w:tc>
          <w:tcPr>
            <w:tcW w:w="480" w:type="dxa"/>
            <w:vAlign w:val="bottom"/>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35"/>
        </w:trPr>
        <w:tc>
          <w:tcPr>
            <w:tcW w:w="3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D7282F"/>
                <w:w w:val="89"/>
              </w:rPr>
              <w:t>53</w:t>
            </w:r>
          </w:p>
        </w:tc>
        <w:tc>
          <w:tcPr>
            <w:tcW w:w="5060" w:type="dxa"/>
            <w:vAlign w:val="bottom"/>
            <w:vMerge w:val="restart"/>
          </w:tcPr>
          <w:p>
            <w:pPr>
              <w:ind w:left="180"/>
              <w:spacing w:after="0"/>
              <w:rPr>
                <w:sz w:val="20"/>
                <w:szCs w:val="20"/>
                <w:color w:val="auto"/>
              </w:rPr>
            </w:pPr>
            <w:r>
              <w:rPr>
                <w:rFonts w:ascii="Arial" w:cs="Arial" w:eastAsia="Arial" w:hAnsi="Arial"/>
                <w:sz w:val="16"/>
                <w:szCs w:val="16"/>
                <w:color w:val="auto"/>
              </w:rPr>
              <w:t>Approved ICP Payout Amounts</w:t>
            </w:r>
          </w:p>
        </w:tc>
        <w:tc>
          <w:tcPr>
            <w:tcW w:w="480" w:type="dxa"/>
            <w:vAlign w:val="bottom"/>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116"/>
        </w:trPr>
        <w:tc>
          <w:tcPr>
            <w:tcW w:w="340" w:type="dxa"/>
            <w:vAlign w:val="bottom"/>
            <w:vMerge w:val="continue"/>
          </w:tcPr>
          <w:p>
            <w:pPr>
              <w:spacing w:after="0"/>
              <w:rPr>
                <w:sz w:val="10"/>
                <w:szCs w:val="10"/>
                <w:color w:val="auto"/>
              </w:rPr>
            </w:pPr>
          </w:p>
        </w:tc>
        <w:tc>
          <w:tcPr>
            <w:tcW w:w="506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1"/>
        </w:trPr>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D7282F"/>
                <w:w w:val="89"/>
              </w:rPr>
              <w:t>53</w:t>
            </w:r>
          </w:p>
        </w:tc>
        <w:tc>
          <w:tcPr>
            <w:tcW w:w="5060" w:type="dxa"/>
            <w:vAlign w:val="bottom"/>
            <w:vMerge w:val="restart"/>
          </w:tcPr>
          <w:p>
            <w:pPr>
              <w:ind w:left="180"/>
              <w:spacing w:after="0"/>
              <w:rPr>
                <w:sz w:val="20"/>
                <w:szCs w:val="20"/>
                <w:color w:val="auto"/>
              </w:rPr>
            </w:pPr>
            <w:r>
              <w:rPr>
                <w:rFonts w:ascii="Arial" w:cs="Arial" w:eastAsia="Arial" w:hAnsi="Arial"/>
                <w:sz w:val="16"/>
                <w:szCs w:val="16"/>
                <w:b w:val="1"/>
                <w:bCs w:val="1"/>
                <w:color w:val="D7282F"/>
              </w:rPr>
              <w:t>2025 LONG-TERM INCENTIVE COMPENSATION DECISIONS</w:t>
            </w:r>
          </w:p>
        </w:tc>
        <w:tc>
          <w:tcPr>
            <w:tcW w:w="480" w:type="dxa"/>
            <w:vAlign w:val="bottom"/>
            <w:vMerge w:val="restart"/>
          </w:tcPr>
          <w:p>
            <w:pPr>
              <w:jc w:val="right"/>
              <w:spacing w:after="0"/>
              <w:rPr>
                <w:sz w:val="20"/>
                <w:szCs w:val="20"/>
                <w:color w:val="auto"/>
              </w:rPr>
            </w:pPr>
            <w:r>
              <w:rPr>
                <w:rFonts w:ascii="Arial" w:cs="Arial" w:eastAsia="Arial" w:hAnsi="Arial"/>
                <w:sz w:val="16"/>
                <w:szCs w:val="16"/>
                <w:b w:val="1"/>
                <w:bCs w:val="1"/>
                <w:color w:val="D7282F"/>
              </w:rPr>
              <w:t>74</w:t>
            </w:r>
          </w:p>
        </w:tc>
        <w:tc>
          <w:tcPr>
            <w:tcW w:w="0" w:type="dxa"/>
            <w:vAlign w:val="bottom"/>
          </w:tcPr>
          <w:p>
            <w:pPr>
              <w:spacing w:after="0"/>
              <w:rPr>
                <w:sz w:val="1"/>
                <w:szCs w:val="1"/>
                <w:color w:val="auto"/>
              </w:rPr>
            </w:pPr>
          </w:p>
        </w:tc>
      </w:tr>
      <w:tr>
        <w:trPr>
          <w:trHeight w:val="108"/>
        </w:trPr>
        <w:tc>
          <w:tcPr>
            <w:tcW w:w="34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53</w:t>
            </w:r>
          </w:p>
        </w:tc>
        <w:tc>
          <w:tcPr>
            <w:tcW w:w="506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340" w:type="dxa"/>
            <w:vAlign w:val="bottom"/>
            <w:vMerge w:val="continue"/>
          </w:tcPr>
          <w:p>
            <w:pPr>
              <w:spacing w:after="0"/>
              <w:rPr>
                <w:sz w:val="11"/>
                <w:szCs w:val="11"/>
                <w:color w:val="auto"/>
              </w:rPr>
            </w:pPr>
          </w:p>
        </w:tc>
        <w:tc>
          <w:tcPr>
            <w:tcW w:w="5060" w:type="dxa"/>
            <w:vAlign w:val="bottom"/>
            <w:vMerge w:val="restart"/>
          </w:tcPr>
          <w:p>
            <w:pPr>
              <w:ind w:left="180"/>
              <w:spacing w:after="0"/>
              <w:rPr>
                <w:sz w:val="20"/>
                <w:szCs w:val="20"/>
                <w:color w:val="auto"/>
              </w:rPr>
            </w:pPr>
            <w:r>
              <w:rPr>
                <w:rFonts w:ascii="Arial" w:cs="Arial" w:eastAsia="Arial" w:hAnsi="Arial"/>
                <w:sz w:val="16"/>
                <w:szCs w:val="16"/>
                <w:color w:val="auto"/>
              </w:rPr>
              <w:t>Total LTI Value</w:t>
            </w: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108"/>
        </w:trPr>
        <w:tc>
          <w:tcPr>
            <w:tcW w:w="34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55</w:t>
            </w:r>
          </w:p>
        </w:tc>
        <w:tc>
          <w:tcPr>
            <w:tcW w:w="506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40" w:type="dxa"/>
            <w:vAlign w:val="bottom"/>
            <w:vMerge w:val="continue"/>
          </w:tcPr>
          <w:p>
            <w:pPr>
              <w:spacing w:after="0"/>
              <w:rPr>
                <w:sz w:val="11"/>
                <w:szCs w:val="11"/>
                <w:color w:val="auto"/>
              </w:rPr>
            </w:pPr>
          </w:p>
        </w:tc>
        <w:tc>
          <w:tcPr>
            <w:tcW w:w="5060" w:type="dxa"/>
            <w:vAlign w:val="bottom"/>
            <w:vMerge w:val="restart"/>
          </w:tcPr>
          <w:p>
            <w:pPr>
              <w:ind w:left="180"/>
              <w:spacing w:after="0"/>
              <w:rPr>
                <w:sz w:val="20"/>
                <w:szCs w:val="20"/>
                <w:color w:val="auto"/>
              </w:rPr>
            </w:pPr>
            <w:r>
              <w:rPr>
                <w:rFonts w:ascii="Arial" w:cs="Arial" w:eastAsia="Arial" w:hAnsi="Arial"/>
                <w:sz w:val="16"/>
                <w:szCs w:val="16"/>
                <w:color w:val="auto"/>
              </w:rPr>
              <w:t>Performance Stock Units</w:t>
            </w: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108"/>
        </w:trPr>
        <w:tc>
          <w:tcPr>
            <w:tcW w:w="34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56</w:t>
            </w:r>
          </w:p>
        </w:tc>
        <w:tc>
          <w:tcPr>
            <w:tcW w:w="506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40" w:type="dxa"/>
            <w:vAlign w:val="bottom"/>
            <w:vMerge w:val="continue"/>
          </w:tcPr>
          <w:p>
            <w:pPr>
              <w:spacing w:after="0"/>
              <w:rPr>
                <w:sz w:val="11"/>
                <w:szCs w:val="11"/>
                <w:color w:val="auto"/>
              </w:rPr>
            </w:pPr>
          </w:p>
        </w:tc>
        <w:tc>
          <w:tcPr>
            <w:tcW w:w="5060" w:type="dxa"/>
            <w:vAlign w:val="bottom"/>
            <w:vMerge w:val="restart"/>
          </w:tcPr>
          <w:p>
            <w:pPr>
              <w:ind w:left="180"/>
              <w:spacing w:after="0"/>
              <w:rPr>
                <w:sz w:val="20"/>
                <w:szCs w:val="20"/>
                <w:color w:val="auto"/>
              </w:rPr>
            </w:pPr>
            <w:r>
              <w:rPr>
                <w:rFonts w:ascii="Arial" w:cs="Arial" w:eastAsia="Arial" w:hAnsi="Arial"/>
                <w:sz w:val="16"/>
                <w:szCs w:val="16"/>
                <w:color w:val="auto"/>
              </w:rPr>
              <w:t>Stock Options</w:t>
            </w: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108"/>
        </w:trPr>
        <w:tc>
          <w:tcPr>
            <w:tcW w:w="340" w:type="dxa"/>
            <w:vAlign w:val="bottom"/>
          </w:tcPr>
          <w:p>
            <w:pPr>
              <w:spacing w:after="0"/>
              <w:rPr>
                <w:sz w:val="9"/>
                <w:szCs w:val="9"/>
                <w:color w:val="auto"/>
              </w:rPr>
            </w:pPr>
          </w:p>
        </w:tc>
        <w:tc>
          <w:tcPr>
            <w:tcW w:w="506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34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58</w:t>
            </w:r>
          </w:p>
        </w:tc>
        <w:tc>
          <w:tcPr>
            <w:tcW w:w="5060" w:type="dxa"/>
            <w:vAlign w:val="bottom"/>
          </w:tcPr>
          <w:p>
            <w:pPr>
              <w:ind w:left="180"/>
              <w:spacing w:after="0"/>
              <w:rPr>
                <w:sz w:val="20"/>
                <w:szCs w:val="20"/>
                <w:color w:val="auto"/>
              </w:rPr>
            </w:pPr>
            <w:r>
              <w:rPr>
                <w:rFonts w:ascii="Arial" w:cs="Arial" w:eastAsia="Arial" w:hAnsi="Arial"/>
                <w:sz w:val="16"/>
                <w:szCs w:val="16"/>
                <w:color w:val="auto"/>
              </w:rPr>
              <w:t>Restricted Stock Units</w:t>
            </w:r>
          </w:p>
        </w:tc>
        <w:tc>
          <w:tcPr>
            <w:tcW w:w="480" w:type="dxa"/>
            <w:vAlign w:val="bottom"/>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108"/>
        </w:trPr>
        <w:tc>
          <w:tcPr>
            <w:tcW w:w="340" w:type="dxa"/>
            <w:vAlign w:val="bottom"/>
            <w:vMerge w:val="continue"/>
          </w:tcPr>
          <w:p>
            <w:pPr>
              <w:spacing w:after="0"/>
              <w:rPr>
                <w:sz w:val="9"/>
                <w:szCs w:val="9"/>
                <w:color w:val="auto"/>
              </w:rPr>
            </w:pPr>
          </w:p>
        </w:tc>
        <w:tc>
          <w:tcPr>
            <w:tcW w:w="506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1"/>
        </w:trPr>
        <w:tc>
          <w:tcPr>
            <w:tcW w:w="340" w:type="dxa"/>
            <w:vAlign w:val="bottom"/>
          </w:tcPr>
          <w:p>
            <w:pPr>
              <w:jc w:val="right"/>
              <w:ind w:right="79"/>
              <w:spacing w:after="0"/>
              <w:rPr>
                <w:sz w:val="20"/>
                <w:szCs w:val="20"/>
                <w:color w:val="auto"/>
              </w:rPr>
            </w:pPr>
            <w:r>
              <w:rPr>
                <w:rFonts w:ascii="Arial" w:cs="Arial" w:eastAsia="Arial" w:hAnsi="Arial"/>
                <w:sz w:val="16"/>
                <w:szCs w:val="16"/>
                <w:color w:val="auto"/>
                <w:w w:val="89"/>
              </w:rPr>
              <w:t>59</w:t>
            </w:r>
          </w:p>
        </w:tc>
        <w:tc>
          <w:tcPr>
            <w:tcW w:w="5060" w:type="dxa"/>
            <w:vAlign w:val="bottom"/>
          </w:tcPr>
          <w:p>
            <w:pPr>
              <w:ind w:left="180"/>
              <w:spacing w:after="0"/>
              <w:rPr>
                <w:sz w:val="20"/>
                <w:szCs w:val="20"/>
                <w:color w:val="auto"/>
              </w:rPr>
            </w:pPr>
            <w:r>
              <w:rPr>
                <w:rFonts w:ascii="Arial" w:cs="Arial" w:eastAsia="Arial" w:hAnsi="Arial"/>
                <w:sz w:val="16"/>
                <w:szCs w:val="16"/>
                <w:b w:val="1"/>
                <w:bCs w:val="1"/>
                <w:color w:val="D7282F"/>
              </w:rPr>
              <w:t>OTHER COMPENSATION AND BENEFIT PROGRAMS</w:t>
            </w:r>
          </w:p>
        </w:tc>
        <w:tc>
          <w:tcPr>
            <w:tcW w:w="480" w:type="dxa"/>
            <w:vAlign w:val="bottom"/>
          </w:tcPr>
          <w:p>
            <w:pPr>
              <w:jc w:val="right"/>
              <w:spacing w:after="0"/>
              <w:rPr>
                <w:sz w:val="20"/>
                <w:szCs w:val="20"/>
                <w:color w:val="auto"/>
              </w:rPr>
            </w:pPr>
            <w:r>
              <w:rPr>
                <w:rFonts w:ascii="Arial" w:cs="Arial" w:eastAsia="Arial" w:hAnsi="Arial"/>
                <w:sz w:val="16"/>
                <w:szCs w:val="16"/>
                <w:b w:val="1"/>
                <w:bCs w:val="1"/>
                <w:color w:val="D7282F"/>
              </w:rPr>
              <w:t>81</w:t>
            </w:r>
          </w:p>
        </w:tc>
        <w:tc>
          <w:tcPr>
            <w:tcW w:w="0" w:type="dxa"/>
            <w:vAlign w:val="bottom"/>
          </w:tcPr>
          <w:p>
            <w:pPr>
              <w:spacing w:after="0"/>
              <w:rPr>
                <w:sz w:val="1"/>
                <w:szCs w:val="1"/>
                <w:color w:val="auto"/>
              </w:rPr>
            </w:pPr>
          </w:p>
        </w:tc>
      </w:tr>
      <w:tr>
        <w:trPr>
          <w:trHeight w:val="235"/>
        </w:trPr>
        <w:tc>
          <w:tcPr>
            <w:tcW w:w="340" w:type="dxa"/>
            <w:vAlign w:val="bottom"/>
          </w:tcPr>
          <w:p>
            <w:pPr>
              <w:jc w:val="right"/>
              <w:ind w:right="79"/>
              <w:spacing w:after="0"/>
              <w:rPr>
                <w:sz w:val="20"/>
                <w:szCs w:val="20"/>
                <w:color w:val="auto"/>
              </w:rPr>
            </w:pPr>
            <w:r>
              <w:rPr>
                <w:rFonts w:ascii="Arial" w:cs="Arial" w:eastAsia="Arial" w:hAnsi="Arial"/>
                <w:sz w:val="16"/>
                <w:szCs w:val="16"/>
                <w:color w:val="auto"/>
                <w:w w:val="89"/>
              </w:rPr>
              <w:t>60</w:t>
            </w:r>
          </w:p>
        </w:tc>
        <w:tc>
          <w:tcPr>
            <w:tcW w:w="5060" w:type="dxa"/>
            <w:vAlign w:val="bottom"/>
          </w:tcPr>
          <w:p>
            <w:pPr>
              <w:ind w:left="180"/>
              <w:spacing w:after="0"/>
              <w:rPr>
                <w:sz w:val="20"/>
                <w:szCs w:val="20"/>
                <w:color w:val="auto"/>
              </w:rPr>
            </w:pPr>
            <w:r>
              <w:rPr>
                <w:rFonts w:ascii="Arial" w:cs="Arial" w:eastAsia="Arial" w:hAnsi="Arial"/>
                <w:sz w:val="16"/>
                <w:szCs w:val="16"/>
                <w:color w:val="auto"/>
              </w:rPr>
              <w:t>Retirement Plans</w:t>
            </w:r>
          </w:p>
        </w:tc>
        <w:tc>
          <w:tcPr>
            <w:tcW w:w="48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43"/>
        </w:trPr>
        <w:tc>
          <w:tcPr>
            <w:tcW w:w="340" w:type="dxa"/>
            <w:vAlign w:val="bottom"/>
          </w:tcPr>
          <w:p>
            <w:pPr>
              <w:jc w:val="right"/>
              <w:ind w:right="79"/>
              <w:spacing w:after="0"/>
              <w:rPr>
                <w:sz w:val="20"/>
                <w:szCs w:val="20"/>
                <w:color w:val="auto"/>
              </w:rPr>
            </w:pPr>
            <w:r>
              <w:rPr>
                <w:rFonts w:ascii="Arial" w:cs="Arial" w:eastAsia="Arial" w:hAnsi="Arial"/>
                <w:sz w:val="16"/>
                <w:szCs w:val="16"/>
                <w:color w:val="auto"/>
                <w:w w:val="89"/>
              </w:rPr>
              <w:t>61</w:t>
            </w:r>
          </w:p>
        </w:tc>
        <w:tc>
          <w:tcPr>
            <w:tcW w:w="5060" w:type="dxa"/>
            <w:vAlign w:val="bottom"/>
          </w:tcPr>
          <w:p>
            <w:pPr>
              <w:ind w:left="180"/>
              <w:spacing w:after="0"/>
              <w:rPr>
                <w:sz w:val="20"/>
                <w:szCs w:val="20"/>
                <w:color w:val="auto"/>
              </w:rPr>
            </w:pPr>
            <w:r>
              <w:rPr>
                <w:rFonts w:ascii="Arial" w:cs="Arial" w:eastAsia="Arial" w:hAnsi="Arial"/>
                <w:sz w:val="16"/>
                <w:szCs w:val="16"/>
                <w:color w:val="auto"/>
              </w:rPr>
              <w:t>Non-qualified Deferred Compensation Plans</w:t>
            </w:r>
          </w:p>
        </w:tc>
        <w:tc>
          <w:tcPr>
            <w:tcW w:w="48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43"/>
        </w:trPr>
        <w:tc>
          <w:tcPr>
            <w:tcW w:w="3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D7282F"/>
                <w:w w:val="89"/>
              </w:rPr>
              <w:t>63</w:t>
            </w:r>
          </w:p>
        </w:tc>
        <w:tc>
          <w:tcPr>
            <w:tcW w:w="5060" w:type="dxa"/>
            <w:vAlign w:val="bottom"/>
          </w:tcPr>
          <w:p>
            <w:pPr>
              <w:ind w:left="180"/>
              <w:spacing w:after="0"/>
              <w:rPr>
                <w:sz w:val="20"/>
                <w:szCs w:val="20"/>
                <w:color w:val="auto"/>
              </w:rPr>
            </w:pPr>
            <w:r>
              <w:rPr>
                <w:rFonts w:ascii="Arial" w:cs="Arial" w:eastAsia="Arial" w:hAnsi="Arial"/>
                <w:sz w:val="16"/>
                <w:szCs w:val="16"/>
                <w:color w:val="auto"/>
              </w:rPr>
              <w:t>Benefits and Perquisites</w:t>
            </w:r>
          </w:p>
        </w:tc>
        <w:tc>
          <w:tcPr>
            <w:tcW w:w="48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89"/>
        </w:trPr>
        <w:tc>
          <w:tcPr>
            <w:tcW w:w="340" w:type="dxa"/>
            <w:vAlign w:val="bottom"/>
            <w:vMerge w:val="continue"/>
          </w:tcPr>
          <w:p>
            <w:pPr>
              <w:spacing w:after="0"/>
              <w:rPr>
                <w:sz w:val="7"/>
                <w:szCs w:val="7"/>
                <w:color w:val="auto"/>
              </w:rPr>
            </w:pPr>
          </w:p>
        </w:tc>
        <w:tc>
          <w:tcPr>
            <w:tcW w:w="506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340" w:type="dxa"/>
            <w:vAlign w:val="bottom"/>
          </w:tcPr>
          <w:p>
            <w:pPr>
              <w:jc w:val="right"/>
              <w:ind w:right="79"/>
              <w:spacing w:after="0"/>
              <w:rPr>
                <w:sz w:val="20"/>
                <w:szCs w:val="20"/>
                <w:color w:val="auto"/>
              </w:rPr>
            </w:pPr>
            <w:r>
              <w:rPr>
                <w:rFonts w:ascii="Arial" w:cs="Arial" w:eastAsia="Arial" w:hAnsi="Arial"/>
                <w:sz w:val="16"/>
                <w:szCs w:val="16"/>
                <w:color w:val="auto"/>
                <w:w w:val="89"/>
              </w:rPr>
              <w:t>64</w:t>
            </w:r>
          </w:p>
        </w:tc>
        <w:tc>
          <w:tcPr>
            <w:tcW w:w="5060" w:type="dxa"/>
            <w:vAlign w:val="bottom"/>
          </w:tcPr>
          <w:p>
            <w:pPr>
              <w:ind w:left="180"/>
              <w:spacing w:after="0"/>
              <w:rPr>
                <w:sz w:val="20"/>
                <w:szCs w:val="20"/>
                <w:color w:val="auto"/>
              </w:rPr>
            </w:pPr>
            <w:r>
              <w:rPr>
                <w:rFonts w:ascii="Arial" w:cs="Arial" w:eastAsia="Arial" w:hAnsi="Arial"/>
                <w:sz w:val="16"/>
                <w:szCs w:val="16"/>
                <w:b w:val="1"/>
                <w:bCs w:val="1"/>
                <w:color w:val="D7282F"/>
              </w:rPr>
              <w:t>RISK OVERSIGHT CONSIDERATIONS</w:t>
            </w:r>
          </w:p>
        </w:tc>
        <w:tc>
          <w:tcPr>
            <w:tcW w:w="480" w:type="dxa"/>
            <w:vAlign w:val="bottom"/>
          </w:tcPr>
          <w:p>
            <w:pPr>
              <w:jc w:val="right"/>
              <w:spacing w:after="0"/>
              <w:rPr>
                <w:sz w:val="20"/>
                <w:szCs w:val="20"/>
                <w:color w:val="auto"/>
              </w:rPr>
            </w:pPr>
            <w:r>
              <w:rPr>
                <w:rFonts w:ascii="Arial" w:cs="Arial" w:eastAsia="Arial" w:hAnsi="Arial"/>
                <w:sz w:val="16"/>
                <w:szCs w:val="16"/>
                <w:b w:val="1"/>
                <w:bCs w:val="1"/>
                <w:color w:val="D7282F"/>
              </w:rPr>
              <w:t>82</w:t>
            </w:r>
          </w:p>
        </w:tc>
        <w:tc>
          <w:tcPr>
            <w:tcW w:w="0" w:type="dxa"/>
            <w:vAlign w:val="bottom"/>
          </w:tcPr>
          <w:p>
            <w:pPr>
              <w:spacing w:after="0"/>
              <w:rPr>
                <w:sz w:val="1"/>
                <w:szCs w:val="1"/>
                <w:color w:val="auto"/>
              </w:rPr>
            </w:pPr>
          </w:p>
        </w:tc>
      </w:tr>
      <w:tr>
        <w:trPr>
          <w:trHeight w:val="242"/>
        </w:trPr>
        <w:tc>
          <w:tcPr>
            <w:tcW w:w="340" w:type="dxa"/>
            <w:vAlign w:val="bottom"/>
          </w:tcPr>
          <w:p>
            <w:pPr>
              <w:jc w:val="right"/>
              <w:ind w:right="79"/>
              <w:spacing w:after="0"/>
              <w:rPr>
                <w:sz w:val="20"/>
                <w:szCs w:val="20"/>
                <w:color w:val="auto"/>
              </w:rPr>
            </w:pPr>
            <w:r>
              <w:rPr>
                <w:rFonts w:ascii="Arial" w:cs="Arial" w:eastAsia="Arial" w:hAnsi="Arial"/>
                <w:sz w:val="16"/>
                <w:szCs w:val="16"/>
                <w:color w:val="auto"/>
                <w:w w:val="89"/>
              </w:rPr>
              <w:t>64</w:t>
            </w:r>
          </w:p>
        </w:tc>
        <w:tc>
          <w:tcPr>
            <w:tcW w:w="5060" w:type="dxa"/>
            <w:vAlign w:val="bottom"/>
          </w:tcPr>
          <w:p>
            <w:pPr>
              <w:ind w:left="180"/>
              <w:spacing w:after="0"/>
              <w:rPr>
                <w:sz w:val="20"/>
                <w:szCs w:val="20"/>
                <w:color w:val="auto"/>
              </w:rPr>
            </w:pPr>
            <w:r>
              <w:rPr>
                <w:rFonts w:ascii="Arial" w:cs="Arial" w:eastAsia="Arial" w:hAnsi="Arial"/>
                <w:sz w:val="16"/>
                <w:szCs w:val="16"/>
                <w:color w:val="auto"/>
              </w:rPr>
              <w:t>Stock Ownership Guidelines</w:t>
            </w:r>
          </w:p>
        </w:tc>
        <w:tc>
          <w:tcPr>
            <w:tcW w:w="480" w:type="dxa"/>
            <w:vAlign w:val="bottom"/>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43"/>
        </w:trPr>
        <w:tc>
          <w:tcPr>
            <w:tcW w:w="3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D7282F"/>
                <w:w w:val="89"/>
              </w:rPr>
              <w:t>65</w:t>
            </w:r>
          </w:p>
        </w:tc>
        <w:tc>
          <w:tcPr>
            <w:tcW w:w="5060" w:type="dxa"/>
            <w:vAlign w:val="bottom"/>
          </w:tcPr>
          <w:p>
            <w:pPr>
              <w:ind w:left="180"/>
              <w:spacing w:after="0"/>
              <w:rPr>
                <w:sz w:val="20"/>
                <w:szCs w:val="20"/>
                <w:color w:val="auto"/>
              </w:rPr>
            </w:pPr>
            <w:r>
              <w:rPr>
                <w:rFonts w:ascii="Arial" w:cs="Arial" w:eastAsia="Arial" w:hAnsi="Arial"/>
                <w:sz w:val="16"/>
                <w:szCs w:val="16"/>
                <w:color w:val="auto"/>
              </w:rPr>
              <w:t>Recoupment/Clawback</w:t>
            </w:r>
          </w:p>
        </w:tc>
        <w:tc>
          <w:tcPr>
            <w:tcW w:w="480" w:type="dxa"/>
            <w:vAlign w:val="bottom"/>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170"/>
        </w:trPr>
        <w:tc>
          <w:tcPr>
            <w:tcW w:w="340" w:type="dxa"/>
            <w:vAlign w:val="bottom"/>
            <w:vMerge w:val="continue"/>
          </w:tcPr>
          <w:p>
            <w:pPr>
              <w:spacing w:after="0"/>
              <w:rPr>
                <w:sz w:val="14"/>
                <w:szCs w:val="14"/>
                <w:color w:val="auto"/>
              </w:rPr>
            </w:pPr>
          </w:p>
        </w:tc>
        <w:tc>
          <w:tcPr>
            <w:tcW w:w="5060" w:type="dxa"/>
            <w:vAlign w:val="bottom"/>
            <w:vMerge w:val="restart"/>
          </w:tcPr>
          <w:p>
            <w:pPr>
              <w:ind w:left="180"/>
              <w:spacing w:after="0"/>
              <w:rPr>
                <w:sz w:val="20"/>
                <w:szCs w:val="20"/>
                <w:color w:val="auto"/>
              </w:rPr>
            </w:pPr>
            <w:r>
              <w:rPr>
                <w:rFonts w:ascii="Arial" w:cs="Arial" w:eastAsia="Arial" w:hAnsi="Arial"/>
                <w:sz w:val="16"/>
                <w:szCs w:val="16"/>
                <w:color w:val="auto"/>
              </w:rPr>
              <w:t>Tax Deductibility of Executive Compensation</w:t>
            </w: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73"/>
        </w:trPr>
        <w:tc>
          <w:tcPr>
            <w:tcW w:w="340" w:type="dxa"/>
            <w:vAlign w:val="bottom"/>
          </w:tcPr>
          <w:p>
            <w:pPr>
              <w:spacing w:after="0"/>
              <w:rPr>
                <w:sz w:val="6"/>
                <w:szCs w:val="6"/>
                <w:color w:val="auto"/>
              </w:rPr>
            </w:pPr>
          </w:p>
        </w:tc>
        <w:tc>
          <w:tcPr>
            <w:tcW w:w="506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59"/>
        </w:trPr>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D7282F"/>
                <w:w w:val="89"/>
              </w:rPr>
              <w:t>65</w:t>
            </w:r>
          </w:p>
        </w:tc>
        <w:tc>
          <w:tcPr>
            <w:tcW w:w="5060" w:type="dxa"/>
            <w:vAlign w:val="bottom"/>
          </w:tcPr>
          <w:p>
            <w:pPr>
              <w:ind w:left="180"/>
              <w:spacing w:after="0"/>
              <w:rPr>
                <w:sz w:val="20"/>
                <w:szCs w:val="20"/>
                <w:color w:val="auto"/>
              </w:rPr>
            </w:pPr>
            <w:r>
              <w:rPr>
                <w:rFonts w:ascii="Arial" w:cs="Arial" w:eastAsia="Arial" w:hAnsi="Arial"/>
                <w:sz w:val="16"/>
                <w:szCs w:val="16"/>
                <w:color w:val="auto"/>
              </w:rPr>
              <w:t>Insider Trading Policies and Procedures</w:t>
            </w:r>
          </w:p>
        </w:tc>
        <w:tc>
          <w:tcPr>
            <w:tcW w:w="480" w:type="dxa"/>
            <w:vAlign w:val="bottom"/>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343"/>
        </w:trPr>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D7282F"/>
                <w:w w:val="89"/>
              </w:rPr>
              <w:t>66</w:t>
            </w:r>
          </w:p>
        </w:tc>
        <w:tc>
          <w:tcPr>
            <w:tcW w:w="5060" w:type="dxa"/>
            <w:vAlign w:val="bottom"/>
          </w:tcPr>
          <w:p>
            <w:pPr>
              <w:ind w:left="180"/>
              <w:spacing w:after="0"/>
              <w:rPr>
                <w:sz w:val="20"/>
                <w:szCs w:val="20"/>
                <w:color w:val="auto"/>
              </w:rPr>
            </w:pPr>
            <w:r>
              <w:rPr>
                <w:rFonts w:ascii="Arial" w:cs="Arial" w:eastAsia="Arial" w:hAnsi="Arial"/>
                <w:sz w:val="16"/>
                <w:szCs w:val="16"/>
                <w:color w:val="auto"/>
              </w:rPr>
              <w:t>Pledging and Hedging Transactions in Company Securities</w:t>
            </w:r>
          </w:p>
        </w:tc>
        <w:tc>
          <w:tcPr>
            <w:tcW w:w="480" w:type="dxa"/>
            <w:vAlign w:val="bottom"/>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6"/>
        </w:trPr>
        <w:tc>
          <w:tcPr>
            <w:tcW w:w="340" w:type="dxa"/>
            <w:vAlign w:val="bottom"/>
          </w:tcPr>
          <w:p>
            <w:pPr>
              <w:jc w:val="right"/>
              <w:ind w:right="79"/>
              <w:spacing w:after="0"/>
              <w:rPr>
                <w:sz w:val="20"/>
                <w:szCs w:val="20"/>
                <w:color w:val="auto"/>
              </w:rPr>
            </w:pPr>
            <w:r>
              <w:rPr>
                <w:rFonts w:ascii="Arial" w:cs="Arial" w:eastAsia="Arial" w:hAnsi="Arial"/>
                <w:sz w:val="16"/>
                <w:szCs w:val="16"/>
                <w:color w:val="auto"/>
                <w:w w:val="89"/>
              </w:rPr>
              <w:t>66</w:t>
            </w:r>
          </w:p>
        </w:tc>
        <w:tc>
          <w:tcPr>
            <w:tcW w:w="5060" w:type="dxa"/>
            <w:vAlign w:val="bottom"/>
            <w:vMerge w:val="restart"/>
          </w:tcPr>
          <w:p>
            <w:pPr>
              <w:ind w:left="180"/>
              <w:spacing w:after="0"/>
              <w:rPr>
                <w:sz w:val="20"/>
                <w:szCs w:val="20"/>
                <w:color w:val="auto"/>
              </w:rPr>
            </w:pPr>
            <w:r>
              <w:rPr>
                <w:rFonts w:ascii="Arial" w:cs="Arial" w:eastAsia="Arial" w:hAnsi="Arial"/>
                <w:sz w:val="16"/>
                <w:szCs w:val="16"/>
                <w:b w:val="1"/>
                <w:bCs w:val="1"/>
                <w:color w:val="D7282F"/>
              </w:rPr>
              <w:t>MANAGEMENT DEVELOPMENT AND COMPENSATION</w:t>
            </w:r>
          </w:p>
        </w:tc>
        <w:tc>
          <w:tcPr>
            <w:tcW w:w="480" w:type="dxa"/>
            <w:vAlign w:val="bottom"/>
            <w:vMerge w:val="restart"/>
          </w:tcPr>
          <w:p>
            <w:pPr>
              <w:jc w:val="right"/>
              <w:spacing w:after="0"/>
              <w:rPr>
                <w:sz w:val="20"/>
                <w:szCs w:val="20"/>
                <w:color w:val="auto"/>
              </w:rPr>
            </w:pPr>
            <w:r>
              <w:rPr>
                <w:rFonts w:ascii="Arial" w:cs="Arial" w:eastAsia="Arial" w:hAnsi="Arial"/>
                <w:sz w:val="16"/>
                <w:szCs w:val="16"/>
                <w:b w:val="1"/>
                <w:bCs w:val="1"/>
                <w:color w:val="D7282F"/>
              </w:rPr>
              <w:t>85</w:t>
            </w:r>
          </w:p>
        </w:tc>
        <w:tc>
          <w:tcPr>
            <w:tcW w:w="0" w:type="dxa"/>
            <w:vAlign w:val="bottom"/>
          </w:tcPr>
          <w:p>
            <w:pPr>
              <w:spacing w:after="0"/>
              <w:rPr>
                <w:sz w:val="1"/>
                <w:szCs w:val="1"/>
                <w:color w:val="auto"/>
              </w:rPr>
            </w:pPr>
          </w:p>
        </w:tc>
      </w:tr>
      <w:tr>
        <w:trPr>
          <w:trHeight w:val="109"/>
        </w:trPr>
        <w:tc>
          <w:tcPr>
            <w:tcW w:w="34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68</w:t>
            </w:r>
          </w:p>
        </w:tc>
        <w:tc>
          <w:tcPr>
            <w:tcW w:w="506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340" w:type="dxa"/>
            <w:vAlign w:val="bottom"/>
            <w:vMerge w:val="continue"/>
          </w:tcPr>
          <w:p>
            <w:pPr>
              <w:spacing w:after="0"/>
              <w:rPr>
                <w:sz w:val="11"/>
                <w:szCs w:val="11"/>
                <w:color w:val="auto"/>
              </w:rPr>
            </w:pPr>
          </w:p>
        </w:tc>
        <w:tc>
          <w:tcPr>
            <w:tcW w:w="5060" w:type="dxa"/>
            <w:vAlign w:val="bottom"/>
            <w:vMerge w:val="restart"/>
          </w:tcPr>
          <w:p>
            <w:pPr>
              <w:ind w:left="180"/>
              <w:spacing w:after="0"/>
              <w:rPr>
                <w:sz w:val="20"/>
                <w:szCs w:val="20"/>
                <w:color w:val="auto"/>
              </w:rPr>
            </w:pPr>
            <w:r>
              <w:rPr>
                <w:rFonts w:ascii="Arial" w:cs="Arial" w:eastAsia="Arial" w:hAnsi="Arial"/>
                <w:sz w:val="16"/>
                <w:szCs w:val="16"/>
                <w:b w:val="1"/>
                <w:bCs w:val="1"/>
                <w:color w:val="D7282F"/>
              </w:rPr>
              <w:t>COMMITTEE REPORT</w:t>
            </w: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340" w:type="dxa"/>
            <w:vAlign w:val="bottom"/>
          </w:tcPr>
          <w:p>
            <w:pPr>
              <w:spacing w:after="0"/>
              <w:rPr>
                <w:sz w:val="7"/>
                <w:szCs w:val="7"/>
                <w:color w:val="auto"/>
              </w:rPr>
            </w:pPr>
          </w:p>
        </w:tc>
        <w:tc>
          <w:tcPr>
            <w:tcW w:w="506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12" w:lineRule="exact"/>
        <w:rPr>
          <w:sz w:val="20"/>
          <w:szCs w:val="20"/>
          <w:color w:val="auto"/>
        </w:rPr>
      </w:pPr>
    </w:p>
    <w:p>
      <w:pPr>
        <w:sectPr>
          <w:pgSz w:w="11900" w:h="16838" w:orient="portrait"/>
          <w:cols w:equalWidth="0" w:num="2">
            <w:col w:w="4800" w:space="420"/>
            <w:col w:w="5980"/>
          </w:cols>
          <w:pgMar w:left="320" w:top="1293" w:right="379" w:bottom="1440" w:gutter="0" w:footer="0" w:header="0"/>
          <w:type w:val="continuous"/>
        </w:sectPr>
      </w:pPr>
    </w:p>
    <w:p>
      <w:pPr>
        <w:spacing w:after="0" w:line="266" w:lineRule="auto"/>
        <w:rPr>
          <w:sz w:val="20"/>
          <w:szCs w:val="20"/>
          <w:color w:val="auto"/>
        </w:rPr>
      </w:pPr>
      <w:r>
        <w:rPr>
          <w:rFonts w:ascii="Arial" w:cs="Arial" w:eastAsia="Arial" w:hAnsi="Arial"/>
          <w:sz w:val="12"/>
          <w:szCs w:val="12"/>
          <w:i w:val="1"/>
          <w:iCs w:val="1"/>
          <w:color w:val="auto"/>
        </w:rPr>
        <w:t>This Proxy Statement, including the Compensation Discussion and Analysis, contains financial measures presented on a non-GAAP basis. Honeywell’s non-GAAP financial measures used in this document are as follows: adjusted sales; segment profit, on an overall Honeywell basis; segment profit margin, on an overall Honeywell basis; adjusted segment profit; adjusted segment profit margin; organic sales growth; free cash flow; adjusted free cash flow; free cash flow margin; adjusted earnings per share; adjusted net income attributable to Honeywell; adjusted net income before interest; and return on invested capital (ROIC), if and as noted in Appendix A. Other than references to reported earnings per share, all references to earnings per share in this document are so adjusted. Certain metrics presented on a non-GAAP basis represent the impact of adjusting items net of tax. The tax-effect for adjusting items is determined individually and on a case-by-case basis. The respective tax rates applied when adjusting earnings per share for these items are identified in the reconciliations presented in Appendix A. Management believes that, when considered together with reported amounts, these measures are useful to investors and management in understanding our ongoing operations and in the analysis of ongoing operating trends. These metrics should be considered in addition to, and not as replacements for, the most comparable GAAP measures. Other companies may define and calculate such measures differently, which may limit the usefulness of such measures for comparative purposes. Refer to Appendix A for reconciliations of non-GAAP financial measures to the most directly comparable GAAP measures.</w:t>
      </w:r>
    </w:p>
    <w:p>
      <w:pPr>
        <w:sectPr>
          <w:pgSz w:w="11900" w:h="16838" w:orient="portrait"/>
          <w:cols w:equalWidth="0" w:num="1">
            <w:col w:w="11200"/>
          </w:cols>
          <w:pgMar w:left="320" w:top="1293" w:right="379" w:bottom="1440" w:gutter="0" w:footer="0" w:header="0"/>
          <w:type w:val="continuous"/>
        </w:sectPr>
      </w:pP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DEFINITIONS</w:t>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color w:val="auto"/>
        </w:rPr>
        <w:t>Peer Median Reflects Compensation Peer Group Median</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Peer Median Net Income, EPS Reflect Adjusted (Non-GAAP) Results</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ROIC = Adjusted Net Income Before Interest ÷ Net Investment (2-Point Average)</w:t>
      </w:r>
    </w:p>
    <w:p>
      <w:pPr>
        <w:spacing w:after="0" w:line="7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ROE = Adjusted Net Income ÷ Total Shareowner</w:t>
      </w:r>
      <w:r>
        <w:rPr>
          <w:rFonts w:ascii="Arial" w:cs="Arial" w:eastAsia="Arial" w:hAnsi="Arial"/>
          <w:sz w:val="13"/>
          <w:szCs w:val="13"/>
          <w:color w:val="auto"/>
        </w:rPr>
        <w:t>s'</w:t>
      </w:r>
      <w:r>
        <w:rPr>
          <w:rFonts w:ascii="Arial" w:cs="Arial" w:eastAsia="Arial" w:hAnsi="Arial"/>
          <w:sz w:val="13"/>
          <w:szCs w:val="13"/>
          <w:i w:val="1"/>
          <w:iCs w:val="1"/>
          <w:color w:val="auto"/>
        </w:rPr>
        <w:t xml:space="preserve"> Equity (2-Point Average)</w:t>
      </w:r>
    </w:p>
    <w:p>
      <w:pPr>
        <w:spacing w:after="0" w:line="67" w:lineRule="exact"/>
        <w:rPr>
          <w:sz w:val="20"/>
          <w:szCs w:val="20"/>
          <w:color w:val="auto"/>
        </w:rPr>
      </w:pPr>
    </w:p>
    <w:p>
      <w:pPr>
        <w:ind w:left="340" w:right="13" w:hanging="323"/>
        <w:spacing w:after="0" w:line="244" w:lineRule="auto"/>
        <w:rPr>
          <w:sz w:val="20"/>
          <w:szCs w:val="20"/>
          <w:color w:val="auto"/>
        </w:rPr>
      </w:pPr>
      <w:r>
        <w:rPr>
          <w:rFonts w:ascii="Arial" w:cs="Arial" w:eastAsia="Arial" w:hAnsi="Arial"/>
          <w:sz w:val="13"/>
          <w:szCs w:val="13"/>
          <w:i w:val="1"/>
          <w:iCs w:val="1"/>
          <w:color w:val="auto"/>
        </w:rPr>
        <w:t>ROI = Adjusted Net Income Before Interest</w:t>
      </w:r>
      <w:r>
        <w:rPr>
          <w:rFonts w:ascii="Arial" w:cs="Arial" w:eastAsia="Arial" w:hAnsi="Arial"/>
          <w:sz w:val="16"/>
          <w:szCs w:val="16"/>
          <w:color w:val="auto"/>
          <w:vertAlign w:val="superscript"/>
        </w:rPr>
        <w:t>(2)</w:t>
      </w:r>
      <w:r>
        <w:rPr>
          <w:rFonts w:ascii="Arial" w:cs="Arial" w:eastAsia="Arial" w:hAnsi="Arial"/>
          <w:sz w:val="13"/>
          <w:szCs w:val="13"/>
          <w:i w:val="1"/>
          <w:iCs w:val="1"/>
          <w:color w:val="auto"/>
        </w:rPr>
        <w:t xml:space="preserve"> ÷ (Total Shareowner</w:t>
      </w:r>
      <w:r>
        <w:rPr>
          <w:rFonts w:ascii="Arial" w:cs="Arial" w:eastAsia="Arial" w:hAnsi="Arial"/>
          <w:sz w:val="13"/>
          <w:szCs w:val="13"/>
          <w:color w:val="auto"/>
        </w:rPr>
        <w:t>s'</w:t>
      </w:r>
      <w:r>
        <w:rPr>
          <w:rFonts w:ascii="Arial" w:cs="Arial" w:eastAsia="Arial" w:hAnsi="Arial"/>
          <w:sz w:val="13"/>
          <w:szCs w:val="13"/>
          <w:i w:val="1"/>
          <w:iCs w:val="1"/>
          <w:color w:val="auto"/>
        </w:rPr>
        <w:t xml:space="preserve"> Equity + Net Debt</w:t>
      </w:r>
      <w:r>
        <w:rPr>
          <w:rFonts w:ascii="Arial" w:cs="Arial" w:eastAsia="Arial" w:hAnsi="Arial"/>
          <w:sz w:val="16"/>
          <w:szCs w:val="16"/>
          <w:color w:val="auto"/>
          <w:vertAlign w:val="superscript"/>
        </w:rPr>
        <w:t>(3)</w:t>
      </w:r>
      <w:r>
        <w:rPr>
          <w:rFonts w:ascii="Arial" w:cs="Arial" w:eastAsia="Arial" w:hAnsi="Arial"/>
          <w:sz w:val="13"/>
          <w:szCs w:val="13"/>
          <w:i w:val="1"/>
          <w:iCs w:val="1"/>
          <w:color w:val="auto"/>
        </w:rPr>
        <w:t xml:space="preserve"> </w:t>
      </w:r>
      <w:r>
        <w:rPr>
          <w:rFonts w:ascii="Arial" w:cs="Arial" w:eastAsia="Arial" w:hAnsi="Arial"/>
          <w:sz w:val="13"/>
          <w:szCs w:val="13"/>
          <w:color w:val="auto"/>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Deferred Income Tax Assets - Deferred Income Tax Liabilities</w:t>
      </w:r>
      <w:r>
        <w:rPr>
          <w:rFonts w:ascii="Arial" w:cs="Arial" w:eastAsia="Arial" w:hAnsi="Arial"/>
          <w:sz w:val="13"/>
          <w:szCs w:val="13"/>
          <w:i w:val="1"/>
          <w:iCs w:val="1"/>
          <w:color w:val="auto"/>
        </w:rPr>
        <w:t>)</w:t>
      </w:r>
      <w:r>
        <w:rPr>
          <w:rFonts w:ascii="Arial" w:cs="Arial" w:eastAsia="Arial" w:hAnsi="Arial"/>
          <w:sz w:val="16"/>
          <w:szCs w:val="16"/>
          <w:color w:val="auto"/>
          <w:vertAlign w:val="superscript"/>
        </w:rPr>
        <w:t>(2)</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ROA = Adjusted Net Income ÷ Total Assets (2-Point Average)</w:t>
      </w:r>
    </w:p>
    <w:p>
      <w:pPr>
        <w:spacing w:after="0" w:line="200" w:lineRule="exact"/>
        <w:rPr>
          <w:sz w:val="20"/>
          <w:szCs w:val="20"/>
          <w:color w:val="auto"/>
        </w:rPr>
      </w:pPr>
    </w:p>
    <w:p>
      <w:pPr>
        <w:spacing w:after="0" w:line="207"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sz w:val="1"/>
          <w:szCs w:val="1"/>
          <w:color w:val="auto"/>
        </w:rPr>
        <w:drawing>
          <wp:inline distT="0" distB="0" distL="0" distR="0">
            <wp:extent cx="548640" cy="102870"/>
            <wp:effectExtent l="0" t="0" r="0" b="0"/>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2026 NOTICE AND PROXY STATEMENT</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7" w:right="2040"/>
        <w:spacing w:after="0" w:line="272" w:lineRule="auto"/>
        <w:rPr>
          <w:sz w:val="20"/>
          <w:szCs w:val="20"/>
          <w:color w:val="auto"/>
        </w:rPr>
      </w:pPr>
      <w:r>
        <w:rPr>
          <w:rFonts w:ascii="Arial" w:cs="Arial" w:eastAsia="Arial" w:hAnsi="Arial"/>
          <w:sz w:val="13"/>
          <w:szCs w:val="13"/>
          <w:i w:val="1"/>
          <w:iCs w:val="1"/>
          <w:color w:val="auto"/>
        </w:rPr>
        <w:t>Adjusted Net Income Before Interest = Adjusted Net Income + After-Tax Interest</w:t>
      </w:r>
      <w:r>
        <w:rPr>
          <w:rFonts w:ascii="Arial" w:cs="Arial" w:eastAsia="Arial" w:hAnsi="Arial"/>
          <w:sz w:val="16"/>
          <w:szCs w:val="16"/>
          <w:i w:val="1"/>
          <w:iCs w:val="1"/>
          <w:color w:val="auto"/>
          <w:vertAlign w:val="superscript"/>
        </w:rPr>
        <w:t>(1)</w:t>
      </w:r>
    </w:p>
    <w:p>
      <w:pPr>
        <w:ind w:left="7"/>
        <w:spacing w:after="0"/>
        <w:rPr>
          <w:sz w:val="20"/>
          <w:szCs w:val="20"/>
          <w:color w:val="auto"/>
        </w:rPr>
      </w:pPr>
      <w:r>
        <w:rPr>
          <w:rFonts w:ascii="Arial" w:cs="Arial" w:eastAsia="Arial" w:hAnsi="Arial"/>
          <w:sz w:val="13"/>
          <w:szCs w:val="13"/>
          <w:i w:val="1"/>
          <w:iCs w:val="1"/>
          <w:color w:val="auto"/>
        </w:rPr>
        <w:t>Net Investment = Book Value of Equity + Total Debt</w:t>
      </w:r>
    </w:p>
    <w:p>
      <w:pPr>
        <w:spacing w:after="0" w:line="67" w:lineRule="exact"/>
        <w:rPr>
          <w:sz w:val="20"/>
          <w:szCs w:val="20"/>
          <w:color w:val="auto"/>
        </w:rPr>
      </w:pPr>
    </w:p>
    <w:p>
      <w:pPr>
        <w:ind w:left="7" w:right="240"/>
        <w:spacing w:after="0" w:line="303" w:lineRule="auto"/>
        <w:rPr>
          <w:sz w:val="20"/>
          <w:szCs w:val="20"/>
          <w:color w:val="auto"/>
        </w:rPr>
      </w:pPr>
      <w:r>
        <w:rPr>
          <w:rFonts w:ascii="Arial" w:cs="Arial" w:eastAsia="Arial" w:hAnsi="Arial"/>
          <w:sz w:val="12"/>
          <w:szCs w:val="12"/>
          <w:i w:val="1"/>
          <w:iCs w:val="1"/>
          <w:color w:val="auto"/>
        </w:rPr>
        <w:t>Net Debt = Commercial Paper and Other Short-Term Borrowings + Current Maturities of Long-Term Debt + Long-Term Debt - Cash and Cash Equivalents - Short-Term Investments</w:t>
      </w:r>
    </w:p>
    <w:p>
      <w:pPr>
        <w:spacing w:after="0" w:line="212" w:lineRule="exact"/>
        <w:rPr>
          <w:sz w:val="20"/>
          <w:szCs w:val="20"/>
          <w:color w:val="auto"/>
        </w:rPr>
      </w:pPr>
    </w:p>
    <w:p>
      <w:pPr>
        <w:ind w:left="187" w:hanging="187"/>
        <w:spacing w:after="0"/>
        <w:tabs>
          <w:tab w:leader="none" w:pos="187" w:val="left"/>
        </w:tabs>
        <w:numPr>
          <w:ilvl w:val="0"/>
          <w:numId w:val="124"/>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Interest expense tax effected for effective tax rates.</w:t>
      </w:r>
    </w:p>
    <w:p>
      <w:pPr>
        <w:spacing w:after="0" w:line="21" w:lineRule="exact"/>
        <w:rPr>
          <w:rFonts w:ascii="Arial" w:cs="Arial" w:eastAsia="Arial" w:hAnsi="Arial"/>
          <w:sz w:val="16"/>
          <w:szCs w:val="16"/>
          <w:i w:val="1"/>
          <w:iCs w:val="1"/>
          <w:color w:val="auto"/>
          <w:vertAlign w:val="superscript"/>
        </w:rPr>
      </w:pPr>
    </w:p>
    <w:p>
      <w:pPr>
        <w:ind w:left="187" w:hanging="187"/>
        <w:spacing w:after="0" w:line="214" w:lineRule="auto"/>
        <w:tabs>
          <w:tab w:leader="none" w:pos="187" w:val="left"/>
        </w:tabs>
        <w:numPr>
          <w:ilvl w:val="0"/>
          <w:numId w:val="124"/>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Excludes the impact of corporate transactions during the period and the impact of pensions.</w:t>
      </w:r>
    </w:p>
    <w:p>
      <w:pPr>
        <w:spacing w:after="0" w:line="35" w:lineRule="exact"/>
        <w:rPr>
          <w:rFonts w:ascii="Arial" w:cs="Arial" w:eastAsia="Arial" w:hAnsi="Arial"/>
          <w:sz w:val="15"/>
          <w:szCs w:val="15"/>
          <w:i w:val="1"/>
          <w:iCs w:val="1"/>
          <w:color w:val="auto"/>
          <w:vertAlign w:val="superscript"/>
        </w:rPr>
      </w:pPr>
    </w:p>
    <w:p>
      <w:pPr>
        <w:ind w:left="187" w:hanging="187"/>
        <w:spacing w:after="0" w:line="200" w:lineRule="auto"/>
        <w:tabs>
          <w:tab w:leader="none" w:pos="187" w:val="left"/>
        </w:tabs>
        <w:numPr>
          <w:ilvl w:val="0"/>
          <w:numId w:val="124"/>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Calculated on a 13-month rolling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-3634740</wp:posOffset>
            </wp:positionH>
            <wp:positionV relativeFrom="paragraph">
              <wp:posOffset>467995</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993" w:space="720"/>
            <w:col w:w="5487"/>
          </w:cols>
          <w:pgMar w:left="320" w:top="1293" w:right="379" w:bottom="1440" w:gutter="0" w:footer="0" w:header="0"/>
          <w:type w:val="continuous"/>
        </w:sectPr>
      </w:pPr>
    </w:p>
    <w:bookmarkStart w:id="57" w:name="page58"/>
    <w:bookmarkEnd w:id="57"/>
    <w:p>
      <w:pPr>
        <w:jc w:val="right"/>
        <w:spacing w:after="0"/>
        <w:rPr>
          <w:sz w:val="20"/>
          <w:szCs w:val="20"/>
          <w:color w:val="auto"/>
        </w:rPr>
      </w:pPr>
      <w:r>
        <w:rPr>
          <w:rFonts w:ascii="Arial" w:cs="Arial" w:eastAsia="Arial" w:hAnsi="Arial"/>
          <w:sz w:val="13"/>
          <w:szCs w:val="13"/>
          <w:b w:val="1"/>
          <w:bCs w:val="1"/>
          <w:color w:val="6D6E71"/>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CURRENT NAMED EXECUTIVE OFFICERS (NEOs)</w:t>
      </w:r>
      <w:r>
        <w:rPr>
          <w:rFonts w:ascii="Arial" w:cs="Arial" w:eastAsia="Arial" w:hAnsi="Arial"/>
          <w:sz w:val="39"/>
          <w:szCs w:val="39"/>
          <w:b w:val="1"/>
          <w:bCs w:val="1"/>
          <w:color w:val="D7282F"/>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48260</wp:posOffset>
            </wp:positionV>
            <wp:extent cx="6806565" cy="83121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06565" cy="831215"/>
                    </a:xfrm>
                    <a:prstGeom prst="rect">
                      <a:avLst/>
                    </a:prstGeom>
                    <a:noFill/>
                  </pic:spPr>
                </pic:pic>
              </a:graphicData>
            </a:graphic>
          </wp:anchor>
        </w:drawing>
      </w:r>
    </w:p>
    <w:p>
      <w:pPr>
        <w:spacing w:after="0" w:line="76" w:lineRule="exact"/>
        <w:rPr>
          <w:sz w:val="20"/>
          <w:szCs w:val="20"/>
          <w:color w:val="auto"/>
        </w:rPr>
      </w:pPr>
    </w:p>
    <w:tbl>
      <w:tblPr>
        <w:tblLayout w:type="fixed"/>
        <w:tblInd w:w="20" w:type="dxa"/>
        <w:tblCellMar>
          <w:top w:w="0" w:type="dxa"/>
          <w:left w:w="0" w:type="dxa"/>
          <w:bottom w:w="0" w:type="dxa"/>
          <w:right w:w="0" w:type="dxa"/>
        </w:tblCellMar>
      </w:tblPr>
      <w:tr>
        <w:trPr>
          <w:trHeight w:val="1635"/>
        </w:trPr>
        <w:tc>
          <w:tcPr>
            <w:tcW w:w="2080" w:type="dxa"/>
            <w:vAlign w:val="bottom"/>
            <w:tcBorders>
              <w:right w:val="single" w:sz="8" w:color="D7282F"/>
            </w:tcBorders>
          </w:tcPr>
          <w:p>
            <w:pPr>
              <w:spacing w:after="0"/>
              <w:rPr>
                <w:sz w:val="20"/>
                <w:szCs w:val="20"/>
                <w:color w:val="auto"/>
              </w:rPr>
            </w:pPr>
            <w:r>
              <w:rPr>
                <w:rFonts w:ascii="Arial" w:cs="Arial" w:eastAsia="Arial" w:hAnsi="Arial"/>
                <w:sz w:val="15"/>
                <w:szCs w:val="15"/>
                <w:b w:val="1"/>
                <w:bCs w:val="1"/>
                <w:color w:val="D7282F"/>
              </w:rPr>
              <w:t>VIMAL</w:t>
            </w:r>
          </w:p>
        </w:tc>
        <w:tc>
          <w:tcPr>
            <w:tcW w:w="2320" w:type="dxa"/>
            <w:vAlign w:val="bottom"/>
            <w:tcBorders>
              <w:right w:val="single" w:sz="8" w:color="D7282F"/>
            </w:tcBorders>
          </w:tcPr>
          <w:p>
            <w:pPr>
              <w:ind w:left="220"/>
              <w:spacing w:after="0"/>
              <w:rPr>
                <w:sz w:val="20"/>
                <w:szCs w:val="20"/>
                <w:color w:val="auto"/>
              </w:rPr>
            </w:pPr>
            <w:r>
              <w:rPr>
                <w:rFonts w:ascii="Arial" w:cs="Arial" w:eastAsia="Arial" w:hAnsi="Arial"/>
                <w:sz w:val="15"/>
                <w:szCs w:val="15"/>
                <w:b w:val="1"/>
                <w:bCs w:val="1"/>
                <w:color w:val="D7282F"/>
              </w:rPr>
              <w:t>MICHAL</w:t>
            </w:r>
          </w:p>
        </w:tc>
        <w:tc>
          <w:tcPr>
            <w:tcW w:w="2320" w:type="dxa"/>
            <w:vAlign w:val="bottom"/>
            <w:tcBorders>
              <w:right w:val="single" w:sz="8" w:color="D7282F"/>
            </w:tcBorders>
          </w:tcPr>
          <w:p>
            <w:pPr>
              <w:ind w:left="220"/>
              <w:spacing w:after="0"/>
              <w:rPr>
                <w:sz w:val="20"/>
                <w:szCs w:val="20"/>
                <w:color w:val="auto"/>
              </w:rPr>
            </w:pPr>
            <w:r>
              <w:rPr>
                <w:rFonts w:ascii="Arial" w:cs="Arial" w:eastAsia="Arial" w:hAnsi="Arial"/>
                <w:sz w:val="15"/>
                <w:szCs w:val="15"/>
                <w:b w:val="1"/>
                <w:bCs w:val="1"/>
                <w:color w:val="D7282F"/>
              </w:rPr>
              <w:t>JAMES</w:t>
            </w:r>
          </w:p>
        </w:tc>
        <w:tc>
          <w:tcPr>
            <w:tcW w:w="2340" w:type="dxa"/>
            <w:vAlign w:val="bottom"/>
            <w:tcBorders>
              <w:right w:val="single" w:sz="8" w:color="D7282F"/>
            </w:tcBorders>
          </w:tcPr>
          <w:p>
            <w:pPr>
              <w:ind w:left="240"/>
              <w:spacing w:after="0"/>
              <w:rPr>
                <w:sz w:val="20"/>
                <w:szCs w:val="20"/>
                <w:color w:val="auto"/>
              </w:rPr>
            </w:pPr>
            <w:r>
              <w:rPr>
                <w:rFonts w:ascii="Arial" w:cs="Arial" w:eastAsia="Arial" w:hAnsi="Arial"/>
                <w:sz w:val="15"/>
                <w:szCs w:val="15"/>
                <w:b w:val="1"/>
                <w:bCs w:val="1"/>
                <w:color w:val="D7282F"/>
              </w:rPr>
              <w:t>JAMES</w:t>
            </w:r>
          </w:p>
        </w:tc>
        <w:tc>
          <w:tcPr>
            <w:tcW w:w="1960" w:type="dxa"/>
            <w:vAlign w:val="bottom"/>
          </w:tcPr>
          <w:p>
            <w:pPr>
              <w:ind w:left="240"/>
              <w:spacing w:after="0"/>
              <w:rPr>
                <w:sz w:val="20"/>
                <w:szCs w:val="20"/>
                <w:color w:val="auto"/>
              </w:rPr>
            </w:pPr>
            <w:r>
              <w:rPr>
                <w:rFonts w:ascii="Arial" w:cs="Arial" w:eastAsia="Arial" w:hAnsi="Arial"/>
                <w:sz w:val="15"/>
                <w:szCs w:val="15"/>
                <w:b w:val="1"/>
                <w:bCs w:val="1"/>
                <w:color w:val="D7282F"/>
              </w:rPr>
              <w:t>BILLAL</w:t>
            </w:r>
          </w:p>
        </w:tc>
      </w:tr>
      <w:tr>
        <w:trPr>
          <w:trHeight w:val="210"/>
        </w:trPr>
        <w:tc>
          <w:tcPr>
            <w:tcW w:w="2080" w:type="dxa"/>
            <w:vAlign w:val="bottom"/>
            <w:tcBorders>
              <w:right w:val="single" w:sz="8" w:color="D7282F"/>
            </w:tcBorders>
          </w:tcPr>
          <w:p>
            <w:pPr>
              <w:spacing w:after="0"/>
              <w:rPr>
                <w:sz w:val="20"/>
                <w:szCs w:val="20"/>
                <w:color w:val="auto"/>
              </w:rPr>
            </w:pPr>
            <w:r>
              <w:rPr>
                <w:rFonts w:ascii="Arial" w:cs="Arial" w:eastAsia="Arial" w:hAnsi="Arial"/>
                <w:sz w:val="15"/>
                <w:szCs w:val="15"/>
                <w:b w:val="1"/>
                <w:bCs w:val="1"/>
                <w:color w:val="D7282F"/>
              </w:rPr>
              <w:t>KAPUR</w:t>
            </w:r>
          </w:p>
        </w:tc>
        <w:tc>
          <w:tcPr>
            <w:tcW w:w="2320" w:type="dxa"/>
            <w:vAlign w:val="bottom"/>
            <w:tcBorders>
              <w:right w:val="single" w:sz="8" w:color="D7282F"/>
            </w:tcBorders>
          </w:tcPr>
          <w:p>
            <w:pPr>
              <w:ind w:left="220"/>
              <w:spacing w:after="0"/>
              <w:rPr>
                <w:sz w:val="20"/>
                <w:szCs w:val="20"/>
                <w:color w:val="auto"/>
              </w:rPr>
            </w:pPr>
            <w:r>
              <w:rPr>
                <w:rFonts w:ascii="Arial" w:cs="Arial" w:eastAsia="Arial" w:hAnsi="Arial"/>
                <w:sz w:val="15"/>
                <w:szCs w:val="15"/>
                <w:b w:val="1"/>
                <w:bCs w:val="1"/>
                <w:color w:val="D7282F"/>
              </w:rPr>
              <w:t>STEPNIAK</w:t>
            </w:r>
          </w:p>
        </w:tc>
        <w:tc>
          <w:tcPr>
            <w:tcW w:w="2320" w:type="dxa"/>
            <w:vAlign w:val="bottom"/>
            <w:tcBorders>
              <w:right w:val="single" w:sz="8" w:color="D7282F"/>
            </w:tcBorders>
          </w:tcPr>
          <w:p>
            <w:pPr>
              <w:ind w:left="220"/>
              <w:spacing w:after="0"/>
              <w:rPr>
                <w:sz w:val="20"/>
                <w:szCs w:val="20"/>
                <w:color w:val="auto"/>
              </w:rPr>
            </w:pPr>
            <w:r>
              <w:rPr>
                <w:rFonts w:ascii="Arial" w:cs="Arial" w:eastAsia="Arial" w:hAnsi="Arial"/>
                <w:sz w:val="15"/>
                <w:szCs w:val="15"/>
                <w:b w:val="1"/>
                <w:bCs w:val="1"/>
                <w:color w:val="D7282F"/>
              </w:rPr>
              <w:t>CURRIER</w:t>
            </w:r>
          </w:p>
        </w:tc>
        <w:tc>
          <w:tcPr>
            <w:tcW w:w="2340" w:type="dxa"/>
            <w:vAlign w:val="bottom"/>
            <w:tcBorders>
              <w:right w:val="single" w:sz="8" w:color="D7282F"/>
            </w:tcBorders>
          </w:tcPr>
          <w:p>
            <w:pPr>
              <w:ind w:left="240"/>
              <w:spacing w:after="0"/>
              <w:rPr>
                <w:sz w:val="20"/>
                <w:szCs w:val="20"/>
                <w:color w:val="auto"/>
              </w:rPr>
            </w:pPr>
            <w:r>
              <w:rPr>
                <w:rFonts w:ascii="Arial" w:cs="Arial" w:eastAsia="Arial" w:hAnsi="Arial"/>
                <w:sz w:val="15"/>
                <w:szCs w:val="15"/>
                <w:b w:val="1"/>
                <w:bCs w:val="1"/>
                <w:color w:val="D7282F"/>
              </w:rPr>
              <w:t>MASSO</w:t>
            </w:r>
          </w:p>
        </w:tc>
        <w:tc>
          <w:tcPr>
            <w:tcW w:w="1960" w:type="dxa"/>
            <w:vAlign w:val="bottom"/>
          </w:tcPr>
          <w:p>
            <w:pPr>
              <w:ind w:left="240"/>
              <w:spacing w:after="0"/>
              <w:rPr>
                <w:sz w:val="20"/>
                <w:szCs w:val="20"/>
                <w:color w:val="auto"/>
              </w:rPr>
            </w:pPr>
            <w:r>
              <w:rPr>
                <w:rFonts w:ascii="Arial" w:cs="Arial" w:eastAsia="Arial" w:hAnsi="Arial"/>
                <w:sz w:val="15"/>
                <w:szCs w:val="15"/>
                <w:b w:val="1"/>
                <w:bCs w:val="1"/>
                <w:color w:val="D7282F"/>
              </w:rPr>
              <w:t>HAMMOUD</w:t>
            </w:r>
          </w:p>
        </w:tc>
      </w:tr>
      <w:tr>
        <w:trPr>
          <w:trHeight w:val="318"/>
        </w:trPr>
        <w:tc>
          <w:tcPr>
            <w:tcW w:w="2080" w:type="dxa"/>
            <w:vAlign w:val="bottom"/>
            <w:tcBorders>
              <w:right w:val="single" w:sz="8" w:color="D7282F"/>
            </w:tcBorders>
          </w:tcPr>
          <w:p>
            <w:pPr>
              <w:spacing w:after="0"/>
              <w:rPr>
                <w:sz w:val="20"/>
                <w:szCs w:val="20"/>
                <w:color w:val="auto"/>
              </w:rPr>
            </w:pPr>
            <w:r>
              <w:rPr>
                <w:rFonts w:ascii="Arial" w:cs="Arial" w:eastAsia="Arial" w:hAnsi="Arial"/>
                <w:sz w:val="15"/>
                <w:szCs w:val="15"/>
                <w:color w:val="auto"/>
              </w:rPr>
              <w:t>Chairman and</w:t>
            </w:r>
          </w:p>
        </w:tc>
        <w:tc>
          <w:tcPr>
            <w:tcW w:w="2320" w:type="dxa"/>
            <w:vAlign w:val="bottom"/>
            <w:tcBorders>
              <w:right w:val="single" w:sz="8" w:color="D7282F"/>
            </w:tcBorders>
          </w:tcPr>
          <w:p>
            <w:pPr>
              <w:ind w:left="220"/>
              <w:spacing w:after="0"/>
              <w:rPr>
                <w:sz w:val="20"/>
                <w:szCs w:val="20"/>
                <w:color w:val="auto"/>
              </w:rPr>
            </w:pPr>
            <w:r>
              <w:rPr>
                <w:rFonts w:ascii="Arial" w:cs="Arial" w:eastAsia="Arial" w:hAnsi="Arial"/>
                <w:sz w:val="15"/>
                <w:szCs w:val="15"/>
                <w:color w:val="auto"/>
              </w:rPr>
              <w:t>Senior Vice President and</w:t>
            </w:r>
          </w:p>
        </w:tc>
        <w:tc>
          <w:tcPr>
            <w:tcW w:w="2320" w:type="dxa"/>
            <w:vAlign w:val="bottom"/>
            <w:tcBorders>
              <w:right w:val="single" w:sz="8" w:color="D7282F"/>
            </w:tcBorders>
          </w:tcPr>
          <w:p>
            <w:pPr>
              <w:ind w:left="220"/>
              <w:spacing w:after="0"/>
              <w:rPr>
                <w:sz w:val="20"/>
                <w:szCs w:val="20"/>
                <w:color w:val="auto"/>
              </w:rPr>
            </w:pPr>
            <w:r>
              <w:rPr>
                <w:rFonts w:ascii="Arial" w:cs="Arial" w:eastAsia="Arial" w:hAnsi="Arial"/>
                <w:sz w:val="15"/>
                <w:szCs w:val="15"/>
                <w:color w:val="auto"/>
              </w:rPr>
              <w:t>President and CEO,</w:t>
            </w:r>
          </w:p>
        </w:tc>
        <w:tc>
          <w:tcPr>
            <w:tcW w:w="2340" w:type="dxa"/>
            <w:vAlign w:val="bottom"/>
            <w:tcBorders>
              <w:right w:val="single" w:sz="8" w:color="D7282F"/>
            </w:tcBorders>
          </w:tcPr>
          <w:p>
            <w:pPr>
              <w:ind w:left="240"/>
              <w:spacing w:after="0"/>
              <w:rPr>
                <w:sz w:val="20"/>
                <w:szCs w:val="20"/>
                <w:color w:val="auto"/>
              </w:rPr>
            </w:pPr>
            <w:r>
              <w:rPr>
                <w:rFonts w:ascii="Arial" w:cs="Arial" w:eastAsia="Arial" w:hAnsi="Arial"/>
                <w:sz w:val="15"/>
                <w:szCs w:val="15"/>
                <w:color w:val="auto"/>
              </w:rPr>
              <w:t>President and CEO,</w:t>
            </w:r>
          </w:p>
        </w:tc>
        <w:tc>
          <w:tcPr>
            <w:tcW w:w="1960" w:type="dxa"/>
            <w:vAlign w:val="bottom"/>
          </w:tcPr>
          <w:p>
            <w:pPr>
              <w:ind w:left="240"/>
              <w:spacing w:after="0"/>
              <w:rPr>
                <w:sz w:val="20"/>
                <w:szCs w:val="20"/>
                <w:color w:val="auto"/>
              </w:rPr>
            </w:pPr>
            <w:r>
              <w:rPr>
                <w:rFonts w:ascii="Arial" w:cs="Arial" w:eastAsia="Arial" w:hAnsi="Arial"/>
                <w:sz w:val="15"/>
                <w:szCs w:val="15"/>
                <w:color w:val="auto"/>
              </w:rPr>
              <w:t>President and CEO,</w:t>
            </w:r>
          </w:p>
        </w:tc>
      </w:tr>
      <w:tr>
        <w:trPr>
          <w:trHeight w:val="175"/>
        </w:trPr>
        <w:tc>
          <w:tcPr>
            <w:tcW w:w="2080" w:type="dxa"/>
            <w:vAlign w:val="bottom"/>
            <w:tcBorders>
              <w:right w:val="single" w:sz="8" w:color="D7282F"/>
            </w:tcBorders>
          </w:tcPr>
          <w:p>
            <w:pPr>
              <w:spacing w:after="0"/>
              <w:rPr>
                <w:sz w:val="20"/>
                <w:szCs w:val="20"/>
                <w:color w:val="auto"/>
              </w:rPr>
            </w:pPr>
            <w:r>
              <w:rPr>
                <w:rFonts w:ascii="Arial" w:cs="Arial" w:eastAsia="Arial" w:hAnsi="Arial"/>
                <w:sz w:val="15"/>
                <w:szCs w:val="15"/>
                <w:color w:val="auto"/>
              </w:rPr>
              <w:t>Chief Executive Officer</w:t>
            </w:r>
          </w:p>
        </w:tc>
        <w:tc>
          <w:tcPr>
            <w:tcW w:w="2320" w:type="dxa"/>
            <w:vAlign w:val="bottom"/>
            <w:tcBorders>
              <w:right w:val="single" w:sz="8" w:color="D7282F"/>
            </w:tcBorders>
          </w:tcPr>
          <w:p>
            <w:pPr>
              <w:ind w:left="220"/>
              <w:spacing w:after="0"/>
              <w:rPr>
                <w:sz w:val="20"/>
                <w:szCs w:val="20"/>
                <w:color w:val="auto"/>
              </w:rPr>
            </w:pPr>
            <w:r>
              <w:rPr>
                <w:rFonts w:ascii="Arial" w:cs="Arial" w:eastAsia="Arial" w:hAnsi="Arial"/>
                <w:sz w:val="15"/>
                <w:szCs w:val="15"/>
                <w:color w:val="auto"/>
              </w:rPr>
              <w:t>Chief Financial Officer</w:t>
            </w:r>
          </w:p>
        </w:tc>
        <w:tc>
          <w:tcPr>
            <w:tcW w:w="2320" w:type="dxa"/>
            <w:vAlign w:val="bottom"/>
            <w:tcBorders>
              <w:right w:val="single" w:sz="8" w:color="D7282F"/>
            </w:tcBorders>
          </w:tcPr>
          <w:p>
            <w:pPr>
              <w:ind w:left="220"/>
              <w:spacing w:after="0"/>
              <w:rPr>
                <w:sz w:val="20"/>
                <w:szCs w:val="20"/>
                <w:color w:val="auto"/>
              </w:rPr>
            </w:pPr>
            <w:r>
              <w:rPr>
                <w:rFonts w:ascii="Arial" w:cs="Arial" w:eastAsia="Arial" w:hAnsi="Arial"/>
                <w:sz w:val="15"/>
                <w:szCs w:val="15"/>
                <w:color w:val="auto"/>
              </w:rPr>
              <w:t>Aerospace Technologies</w:t>
            </w:r>
          </w:p>
        </w:tc>
        <w:tc>
          <w:tcPr>
            <w:tcW w:w="2340" w:type="dxa"/>
            <w:vAlign w:val="bottom"/>
            <w:tcBorders>
              <w:right w:val="single" w:sz="8" w:color="D7282F"/>
            </w:tcBorders>
          </w:tcPr>
          <w:p>
            <w:pPr>
              <w:ind w:left="240"/>
              <w:spacing w:after="0"/>
              <w:rPr>
                <w:sz w:val="20"/>
                <w:szCs w:val="20"/>
                <w:color w:val="auto"/>
              </w:rPr>
            </w:pPr>
            <w:r>
              <w:rPr>
                <w:rFonts w:ascii="Arial" w:cs="Arial" w:eastAsia="Arial" w:hAnsi="Arial"/>
                <w:sz w:val="15"/>
                <w:szCs w:val="15"/>
                <w:color w:val="auto"/>
              </w:rPr>
              <w:t>Process Automation (PA)</w:t>
            </w:r>
          </w:p>
        </w:tc>
        <w:tc>
          <w:tcPr>
            <w:tcW w:w="1960" w:type="dxa"/>
            <w:vAlign w:val="bottom"/>
          </w:tcPr>
          <w:p>
            <w:pPr>
              <w:ind w:left="240"/>
              <w:spacing w:after="0"/>
              <w:rPr>
                <w:sz w:val="20"/>
                <w:szCs w:val="20"/>
                <w:color w:val="auto"/>
              </w:rPr>
            </w:pPr>
            <w:r>
              <w:rPr>
                <w:rFonts w:ascii="Arial" w:cs="Arial" w:eastAsia="Arial" w:hAnsi="Arial"/>
                <w:sz w:val="15"/>
                <w:szCs w:val="15"/>
                <w:color w:val="auto"/>
              </w:rPr>
              <w:t>Building Automation (BA)</w:t>
            </w:r>
          </w:p>
        </w:tc>
      </w:tr>
      <w:tr>
        <w:trPr>
          <w:trHeight w:val="200"/>
        </w:trPr>
        <w:tc>
          <w:tcPr>
            <w:tcW w:w="2080" w:type="dxa"/>
            <w:vAlign w:val="bottom"/>
            <w:tcBorders>
              <w:right w:val="single" w:sz="8" w:color="D7282F"/>
            </w:tcBorders>
          </w:tcPr>
          <w:p>
            <w:pPr>
              <w:spacing w:after="0"/>
              <w:rPr>
                <w:sz w:val="17"/>
                <w:szCs w:val="17"/>
                <w:color w:val="auto"/>
              </w:rPr>
            </w:pPr>
          </w:p>
        </w:tc>
        <w:tc>
          <w:tcPr>
            <w:tcW w:w="2320" w:type="dxa"/>
            <w:vAlign w:val="bottom"/>
            <w:tcBorders>
              <w:right w:val="single" w:sz="8" w:color="D7282F"/>
            </w:tcBorders>
          </w:tcPr>
          <w:p>
            <w:pPr>
              <w:spacing w:after="0"/>
              <w:rPr>
                <w:sz w:val="17"/>
                <w:szCs w:val="17"/>
                <w:color w:val="auto"/>
              </w:rPr>
            </w:pPr>
          </w:p>
        </w:tc>
        <w:tc>
          <w:tcPr>
            <w:tcW w:w="2320" w:type="dxa"/>
            <w:vAlign w:val="bottom"/>
            <w:tcBorders>
              <w:right w:val="single" w:sz="8" w:color="D7282F"/>
            </w:tcBorders>
          </w:tcPr>
          <w:p>
            <w:pPr>
              <w:ind w:left="220"/>
              <w:spacing w:after="0"/>
              <w:rPr>
                <w:sz w:val="20"/>
                <w:szCs w:val="20"/>
                <w:color w:val="auto"/>
              </w:rPr>
            </w:pPr>
            <w:r>
              <w:rPr>
                <w:rFonts w:ascii="Arial" w:cs="Arial" w:eastAsia="Arial" w:hAnsi="Arial"/>
                <w:sz w:val="15"/>
                <w:szCs w:val="15"/>
                <w:color w:val="auto"/>
              </w:rPr>
              <w:t>(AT)</w:t>
            </w:r>
          </w:p>
        </w:tc>
        <w:tc>
          <w:tcPr>
            <w:tcW w:w="2340" w:type="dxa"/>
            <w:vAlign w:val="bottom"/>
            <w:tcBorders>
              <w:right w:val="single" w:sz="8" w:color="D7282F"/>
            </w:tcBorders>
          </w:tcPr>
          <w:p>
            <w:pPr>
              <w:spacing w:after="0"/>
              <w:rPr>
                <w:sz w:val="17"/>
                <w:szCs w:val="17"/>
                <w:color w:val="auto"/>
              </w:rPr>
            </w:pPr>
          </w:p>
        </w:tc>
        <w:tc>
          <w:tcPr>
            <w:tcW w:w="1960" w:type="dxa"/>
            <w:vAlign w:val="bottom"/>
          </w:tcPr>
          <w:p>
            <w:pPr>
              <w:spacing w:after="0"/>
              <w:rPr>
                <w:sz w:val="17"/>
                <w:szCs w:val="17"/>
                <w:color w:val="auto"/>
              </w:rPr>
            </w:pPr>
          </w:p>
        </w:tc>
      </w:tr>
      <w:tr>
        <w:trPr>
          <w:trHeight w:val="33"/>
        </w:trPr>
        <w:tc>
          <w:tcPr>
            <w:tcW w:w="2080" w:type="dxa"/>
            <w:vAlign w:val="bottom"/>
            <w:tcBorders>
              <w:right w:val="single" w:sz="8" w:color="D7282F"/>
            </w:tcBorders>
          </w:tcPr>
          <w:p>
            <w:pPr>
              <w:spacing w:after="0"/>
              <w:rPr>
                <w:sz w:val="2"/>
                <w:szCs w:val="2"/>
                <w:color w:val="auto"/>
              </w:rPr>
            </w:pPr>
          </w:p>
        </w:tc>
        <w:tc>
          <w:tcPr>
            <w:tcW w:w="2320" w:type="dxa"/>
            <w:vAlign w:val="bottom"/>
            <w:tcBorders>
              <w:right w:val="single" w:sz="8" w:color="D7282F"/>
            </w:tcBorders>
          </w:tcPr>
          <w:p>
            <w:pPr>
              <w:spacing w:after="0"/>
              <w:rPr>
                <w:sz w:val="2"/>
                <w:szCs w:val="2"/>
                <w:color w:val="auto"/>
              </w:rPr>
            </w:pPr>
          </w:p>
        </w:tc>
        <w:tc>
          <w:tcPr>
            <w:tcW w:w="2320" w:type="dxa"/>
            <w:vAlign w:val="bottom"/>
            <w:tcBorders>
              <w:right w:val="single" w:sz="8" w:color="D7282F"/>
            </w:tcBorders>
          </w:tcPr>
          <w:p>
            <w:pPr>
              <w:spacing w:after="0"/>
              <w:rPr>
                <w:sz w:val="2"/>
                <w:szCs w:val="2"/>
                <w:color w:val="auto"/>
              </w:rPr>
            </w:pPr>
          </w:p>
        </w:tc>
        <w:tc>
          <w:tcPr>
            <w:tcW w:w="2340" w:type="dxa"/>
            <w:vAlign w:val="bottom"/>
            <w:tcBorders>
              <w:right w:val="single" w:sz="8" w:color="D7282F"/>
            </w:tcBorders>
          </w:tcPr>
          <w:p>
            <w:pPr>
              <w:spacing w:after="0"/>
              <w:rPr>
                <w:sz w:val="2"/>
                <w:szCs w:val="2"/>
                <w:color w:val="auto"/>
              </w:rPr>
            </w:pPr>
          </w:p>
        </w:tc>
        <w:tc>
          <w:tcPr>
            <w:tcW w:w="1960" w:type="dxa"/>
            <w:vAlign w:val="bottom"/>
          </w:tcPr>
          <w:p>
            <w:pPr>
              <w:spacing w:after="0"/>
              <w:rPr>
                <w:sz w:val="2"/>
                <w:szCs w:val="2"/>
                <w:color w:val="auto"/>
              </w:rPr>
            </w:pPr>
          </w:p>
        </w:tc>
      </w:tr>
    </w:tbl>
    <w:p>
      <w:pPr>
        <w:spacing w:after="0" w:line="126" w:lineRule="exact"/>
        <w:rPr>
          <w:sz w:val="20"/>
          <w:szCs w:val="20"/>
          <w:color w:val="auto"/>
        </w:rPr>
      </w:pPr>
    </w:p>
    <w:p>
      <w:pPr>
        <w:ind w:left="200" w:hanging="192"/>
        <w:spacing w:after="0"/>
        <w:tabs>
          <w:tab w:leader="none" w:pos="200" w:val="left"/>
        </w:tabs>
        <w:numPr>
          <w:ilvl w:val="0"/>
          <w:numId w:val="125"/>
        </w:numPr>
        <w:rPr>
          <w:rFonts w:ascii="Arial" w:cs="Arial" w:eastAsia="Arial" w:hAnsi="Arial"/>
          <w:sz w:val="16"/>
          <w:szCs w:val="16"/>
          <w:color w:val="auto"/>
          <w:vertAlign w:val="superscript"/>
        </w:rPr>
      </w:pPr>
      <w:r>
        <w:rPr>
          <w:rFonts w:ascii="Arial" w:cs="Arial" w:eastAsia="Arial" w:hAnsi="Arial"/>
          <w:sz w:val="13"/>
          <w:szCs w:val="13"/>
          <w:color w:val="auto"/>
        </w:rPr>
        <w:t>Throughout this CD&amp;A, references to “NEOs” include all NEOs, and references to “Other NEOs” include all NEOs except Mr. Kapur and former officers Mr. Boldea and Mr. Lewis.</w:t>
      </w:r>
    </w:p>
    <w:p>
      <w:pPr>
        <w:spacing w:after="0" w:line="286"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FORMER NAMED EXECUTIVE OFFICERS</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GREGORY P. LEWIS</w:t>
      </w:r>
      <w:r>
        <w:rPr>
          <w:rFonts w:ascii="Arial" w:cs="Arial" w:eastAsia="Arial" w:hAnsi="Arial"/>
          <w:sz w:val="19"/>
          <w:szCs w:val="19"/>
          <w:b w:val="1"/>
          <w:bCs w:val="1"/>
          <w:color w:val="auto"/>
          <w:vertAlign w:val="superscript"/>
        </w:rPr>
        <w:t>(2</w:t>
      </w:r>
      <w:r>
        <w:rPr>
          <w:rFonts w:ascii="Arial" w:cs="Arial" w:eastAsia="Arial" w:hAnsi="Arial"/>
          <w:sz w:val="19"/>
          <w:szCs w:val="19"/>
          <w:color w:val="auto"/>
          <w:vertAlign w:val="superscript"/>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 Former Senior Vice President and Chief Financial Officer</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LUCIAN BOLDEA</w:t>
      </w:r>
      <w:r>
        <w:rPr>
          <w:rFonts w:ascii="Arial" w:cs="Arial" w:eastAsia="Arial" w:hAnsi="Arial"/>
          <w:sz w:val="19"/>
          <w:szCs w:val="19"/>
          <w:b w:val="1"/>
          <w:bCs w:val="1"/>
          <w:color w:val="auto"/>
          <w:vertAlign w:val="superscript"/>
        </w:rPr>
        <w:t>(3)</w:t>
      </w:r>
      <w:r>
        <w:rPr>
          <w:rFonts w:ascii="Arial" w:cs="Arial" w:eastAsia="Arial" w:hAnsi="Arial"/>
          <w:sz w:val="15"/>
          <w:szCs w:val="15"/>
          <w:b w:val="1"/>
          <w:bCs w:val="1"/>
          <w:color w:val="auto"/>
        </w:rPr>
        <w:t xml:space="preserve"> </w:t>
      </w:r>
      <w:r>
        <w:rPr>
          <w:rFonts w:ascii="Arial" w:cs="Arial" w:eastAsia="Arial" w:hAnsi="Arial"/>
          <w:sz w:val="15"/>
          <w:szCs w:val="15"/>
          <w:color w:val="auto"/>
        </w:rPr>
        <w:t>- Former President and CEO, Industrial Automation</w:t>
      </w:r>
    </w:p>
    <w:p>
      <w:pPr>
        <w:spacing w:after="0" w:line="48" w:lineRule="exact"/>
        <w:rPr>
          <w:sz w:val="20"/>
          <w:szCs w:val="20"/>
          <w:color w:val="auto"/>
        </w:rPr>
      </w:pPr>
    </w:p>
    <w:p>
      <w:pPr>
        <w:ind w:left="200" w:hanging="192"/>
        <w:spacing w:after="0"/>
        <w:tabs>
          <w:tab w:leader="none" w:pos="200" w:val="left"/>
        </w:tabs>
        <w:numPr>
          <w:ilvl w:val="0"/>
          <w:numId w:val="126"/>
        </w:numPr>
        <w:rPr>
          <w:rFonts w:ascii="Arial" w:cs="Arial" w:eastAsia="Arial" w:hAnsi="Arial"/>
          <w:sz w:val="16"/>
          <w:szCs w:val="16"/>
          <w:color w:val="auto"/>
          <w:vertAlign w:val="superscript"/>
        </w:rPr>
      </w:pPr>
      <w:r>
        <w:rPr>
          <w:rFonts w:ascii="Arial" w:cs="Arial" w:eastAsia="Arial" w:hAnsi="Arial"/>
          <w:sz w:val="13"/>
          <w:szCs w:val="13"/>
          <w:color w:val="auto"/>
        </w:rPr>
        <w:t>Mr. Lewis stepped down from his role as SVP and CFO in February 2025 to serve in the roles of SVP Transformation and Senior Advisor.</w:t>
      </w:r>
    </w:p>
    <w:p>
      <w:pPr>
        <w:spacing w:after="0" w:line="56" w:lineRule="exact"/>
        <w:rPr>
          <w:rFonts w:ascii="Arial" w:cs="Arial" w:eastAsia="Arial" w:hAnsi="Arial"/>
          <w:sz w:val="16"/>
          <w:szCs w:val="16"/>
          <w:color w:val="auto"/>
          <w:vertAlign w:val="superscript"/>
        </w:rPr>
      </w:pPr>
    </w:p>
    <w:p>
      <w:pPr>
        <w:ind w:left="200" w:hanging="192"/>
        <w:spacing w:after="0" w:line="225" w:lineRule="auto"/>
        <w:tabs>
          <w:tab w:leader="none" w:pos="200" w:val="left"/>
        </w:tabs>
        <w:numPr>
          <w:ilvl w:val="0"/>
          <w:numId w:val="126"/>
        </w:numPr>
        <w:rPr>
          <w:rFonts w:ascii="Arial" w:cs="Arial" w:eastAsia="Arial" w:hAnsi="Arial"/>
          <w:sz w:val="16"/>
          <w:szCs w:val="16"/>
          <w:color w:val="auto"/>
          <w:vertAlign w:val="superscript"/>
        </w:rPr>
      </w:pPr>
      <w:r>
        <w:rPr>
          <w:rFonts w:ascii="Arial" w:cs="Arial" w:eastAsia="Arial" w:hAnsi="Arial"/>
          <w:sz w:val="13"/>
          <w:szCs w:val="13"/>
          <w:color w:val="auto"/>
        </w:rPr>
        <w:t>Mr. Boldea was separated from the Company on September 1, 2025.</w:t>
      </w:r>
    </w:p>
    <w:p>
      <w:pPr>
        <w:spacing w:after="0" w:line="286"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OUR COMPENSATION PROGRAM</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PHILOSOPHY AND APPROACH</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Honeywell’s executive compensation program creates long-term shareowner value through four key objectives:</w:t>
      </w:r>
    </w:p>
    <w:p>
      <w:pPr>
        <w:spacing w:after="0" w:line="113" w:lineRule="exact"/>
        <w:rPr>
          <w:sz w:val="20"/>
          <w:szCs w:val="20"/>
          <w:color w:val="auto"/>
        </w:rPr>
      </w:pPr>
    </w:p>
    <w:p>
      <w:pPr>
        <w:jc w:val="both"/>
        <w:ind w:left="200" w:right="80" w:hanging="192"/>
        <w:spacing w:after="0" w:line="275" w:lineRule="auto"/>
        <w:tabs>
          <w:tab w:leader="none" w:pos="197" w:val="left"/>
        </w:tabs>
        <w:numPr>
          <w:ilvl w:val="0"/>
          <w:numId w:val="127"/>
        </w:numPr>
        <w:rPr>
          <w:rFonts w:ascii="Arial" w:cs="Arial" w:eastAsia="Arial" w:hAnsi="Arial"/>
          <w:sz w:val="16"/>
          <w:szCs w:val="16"/>
          <w:b w:val="1"/>
          <w:bCs w:val="1"/>
          <w:color w:val="D7282F"/>
        </w:rPr>
      </w:pPr>
      <w:r>
        <w:rPr>
          <w:rFonts w:ascii="Arial" w:cs="Arial" w:eastAsia="Arial" w:hAnsi="Arial"/>
          <w:sz w:val="16"/>
          <w:szCs w:val="16"/>
          <w:b w:val="1"/>
          <w:bCs w:val="1"/>
          <w:color w:val="auto"/>
        </w:rPr>
        <w:t xml:space="preserve">Attract and Retain World-Class Leadership Talent </w:t>
      </w:r>
      <w:r>
        <w:rPr>
          <w:rFonts w:ascii="Arial" w:cs="Arial" w:eastAsia="Arial" w:hAnsi="Arial"/>
          <w:sz w:val="16"/>
          <w:szCs w:val="16"/>
          <w:color w:val="auto"/>
        </w:rPr>
        <w:t>with the skills and experience necessary to develop and execute business strategies, drive superior</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results, and nimbly adapt and react to constantly evolving end-market conditions in an enterprise with the Company’s scale, breadth, complexity, and global footprint.</w:t>
      </w:r>
    </w:p>
    <w:p>
      <w:pPr>
        <w:spacing w:after="0" w:line="29" w:lineRule="exact"/>
        <w:rPr>
          <w:rFonts w:ascii="Arial" w:cs="Arial" w:eastAsia="Arial" w:hAnsi="Arial"/>
          <w:sz w:val="16"/>
          <w:szCs w:val="16"/>
          <w:b w:val="1"/>
          <w:bCs w:val="1"/>
          <w:color w:val="D7282F"/>
        </w:rPr>
      </w:pPr>
    </w:p>
    <w:p>
      <w:pPr>
        <w:ind w:left="200" w:right="300" w:hanging="192"/>
        <w:spacing w:after="0" w:line="286" w:lineRule="auto"/>
        <w:tabs>
          <w:tab w:leader="none" w:pos="197" w:val="left"/>
        </w:tabs>
        <w:numPr>
          <w:ilvl w:val="0"/>
          <w:numId w:val="127"/>
        </w:numPr>
        <w:rPr>
          <w:rFonts w:ascii="Arial" w:cs="Arial" w:eastAsia="Arial" w:hAnsi="Arial"/>
          <w:sz w:val="16"/>
          <w:szCs w:val="16"/>
          <w:b w:val="1"/>
          <w:bCs w:val="1"/>
          <w:color w:val="D7282F"/>
        </w:rPr>
      </w:pPr>
      <w:r>
        <w:rPr>
          <w:rFonts w:ascii="Arial" w:cs="Arial" w:eastAsia="Arial" w:hAnsi="Arial"/>
          <w:sz w:val="16"/>
          <w:szCs w:val="16"/>
          <w:b w:val="1"/>
          <w:bCs w:val="1"/>
          <w:color w:val="auto"/>
        </w:rPr>
        <w:t xml:space="preserve">Emphasize Variable, At-Risk Compensation </w:t>
      </w:r>
      <w:r>
        <w:rPr>
          <w:rFonts w:ascii="Arial" w:cs="Arial" w:eastAsia="Arial" w:hAnsi="Arial"/>
          <w:sz w:val="16"/>
          <w:szCs w:val="16"/>
          <w:color w:val="auto"/>
        </w:rPr>
        <w:t>with an appropriate balance of near-term and long-term objectives that align executive and shareowner</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interests.</w:t>
      </w:r>
    </w:p>
    <w:p>
      <w:pPr>
        <w:spacing w:after="0" w:line="20" w:lineRule="exact"/>
        <w:rPr>
          <w:rFonts w:ascii="Arial" w:cs="Arial" w:eastAsia="Arial" w:hAnsi="Arial"/>
          <w:sz w:val="16"/>
          <w:szCs w:val="16"/>
          <w:b w:val="1"/>
          <w:bCs w:val="1"/>
          <w:color w:val="D7282F"/>
        </w:rPr>
      </w:pPr>
    </w:p>
    <w:p>
      <w:pPr>
        <w:ind w:left="200" w:right="460" w:hanging="192"/>
        <w:spacing w:after="0" w:line="286" w:lineRule="auto"/>
        <w:tabs>
          <w:tab w:leader="none" w:pos="197" w:val="left"/>
        </w:tabs>
        <w:numPr>
          <w:ilvl w:val="0"/>
          <w:numId w:val="127"/>
        </w:numPr>
        <w:rPr>
          <w:rFonts w:ascii="Arial" w:cs="Arial" w:eastAsia="Arial" w:hAnsi="Arial"/>
          <w:sz w:val="16"/>
          <w:szCs w:val="16"/>
          <w:b w:val="1"/>
          <w:bCs w:val="1"/>
          <w:color w:val="D7282F"/>
        </w:rPr>
      </w:pPr>
      <w:r>
        <w:rPr>
          <w:rFonts w:ascii="Arial" w:cs="Arial" w:eastAsia="Arial" w:hAnsi="Arial"/>
          <w:sz w:val="16"/>
          <w:szCs w:val="16"/>
          <w:b w:val="1"/>
          <w:bCs w:val="1"/>
          <w:color w:val="auto"/>
        </w:rPr>
        <w:t xml:space="preserve">Pay for Superior Results and Sustainable Growth </w:t>
      </w:r>
      <w:r>
        <w:rPr>
          <w:rFonts w:ascii="Arial" w:cs="Arial" w:eastAsia="Arial" w:hAnsi="Arial"/>
          <w:sz w:val="16"/>
          <w:szCs w:val="16"/>
          <w:color w:val="auto"/>
        </w:rPr>
        <w:t>by rewarding executives based on the achievement of enterprise, business unit, and individual</w:t>
      </w:r>
      <w:r>
        <w:rPr>
          <w:rFonts w:ascii="Arial" w:cs="Arial" w:eastAsia="Arial" w:hAnsi="Arial"/>
          <w:sz w:val="16"/>
          <w:szCs w:val="16"/>
          <w:b w:val="1"/>
          <w:bCs w:val="1"/>
          <w:color w:val="auto"/>
        </w:rPr>
        <w:t xml:space="preserve"> </w:t>
      </w:r>
      <w:r>
        <w:rPr>
          <w:rFonts w:ascii="Arial" w:cs="Arial" w:eastAsia="Arial" w:hAnsi="Arial"/>
          <w:sz w:val="16"/>
          <w:szCs w:val="16"/>
          <w:color w:val="auto"/>
        </w:rPr>
        <w:t>objectives as well as efforts to advance Honeywell’s long-term growth initiatives.</w:t>
      </w:r>
    </w:p>
    <w:p>
      <w:pPr>
        <w:spacing w:after="0" w:line="20" w:lineRule="exact"/>
        <w:rPr>
          <w:rFonts w:ascii="Arial" w:cs="Arial" w:eastAsia="Arial" w:hAnsi="Arial"/>
          <w:sz w:val="16"/>
          <w:szCs w:val="16"/>
          <w:b w:val="1"/>
          <w:bCs w:val="1"/>
          <w:color w:val="D7282F"/>
        </w:rPr>
      </w:pPr>
    </w:p>
    <w:p>
      <w:pPr>
        <w:ind w:left="200" w:right="80" w:hanging="192"/>
        <w:spacing w:after="0" w:line="286" w:lineRule="auto"/>
        <w:tabs>
          <w:tab w:leader="none" w:pos="197" w:val="left"/>
        </w:tabs>
        <w:numPr>
          <w:ilvl w:val="0"/>
          <w:numId w:val="127"/>
        </w:numPr>
        <w:rPr>
          <w:rFonts w:ascii="Arial" w:cs="Arial" w:eastAsia="Arial" w:hAnsi="Arial"/>
          <w:sz w:val="16"/>
          <w:szCs w:val="16"/>
          <w:b w:val="1"/>
          <w:bCs w:val="1"/>
          <w:color w:val="D7282F"/>
        </w:rPr>
      </w:pPr>
      <w:r>
        <w:rPr>
          <w:rFonts w:ascii="Arial" w:cs="Arial" w:eastAsia="Arial" w:hAnsi="Arial"/>
          <w:sz w:val="16"/>
          <w:szCs w:val="16"/>
          <w:b w:val="1"/>
          <w:bCs w:val="1"/>
          <w:color w:val="auto"/>
        </w:rPr>
        <w:t xml:space="preserve">Manage Risk Through Oversight and Compensation Program Design Features and Practices </w:t>
      </w:r>
      <w:r>
        <w:rPr>
          <w:rFonts w:ascii="Arial" w:cs="Arial" w:eastAsia="Arial" w:hAnsi="Arial"/>
          <w:sz w:val="16"/>
          <w:szCs w:val="16"/>
          <w:color w:val="auto"/>
        </w:rPr>
        <w:t>that balance short-term and long-term incentives, are</w:t>
      </w:r>
      <w:r>
        <w:rPr>
          <w:rFonts w:ascii="Arial" w:cs="Arial" w:eastAsia="Arial" w:hAnsi="Arial"/>
          <w:sz w:val="16"/>
          <w:szCs w:val="16"/>
          <w:b w:val="1"/>
          <w:bCs w:val="1"/>
          <w:color w:val="auto"/>
        </w:rPr>
        <w:t xml:space="preserve"> </w:t>
      </w:r>
      <w:r>
        <w:rPr>
          <w:rFonts w:ascii="Arial" w:cs="Arial" w:eastAsia="Arial" w:hAnsi="Arial"/>
          <w:sz w:val="16"/>
          <w:szCs w:val="16"/>
          <w:color w:val="auto"/>
        </w:rPr>
        <w:t>not overly leveraged, and cap maximum payments.</w:t>
      </w:r>
    </w:p>
    <w:p>
      <w:pPr>
        <w:spacing w:after="0" w:line="61"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Decision-making over executive compensation rests with the MDCC, which holds five regularly scheduled meetings each year (six meetings held in 2025). Specific topics may be covered in a separate meeting from time to time. Each meeting includes an executive session composed solely of independent directors, and those meetings are attended by the MDCC’s independent compensation consultant. Meeting agendas contain items proposed by either management or the MDCC members.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In carrying out its responsibilities, the MDCC balances a number of important considerations, including:</w:t>
      </w:r>
    </w:p>
    <w:p>
      <w:pPr>
        <w:spacing w:after="0" w:line="127" w:lineRule="exact"/>
        <w:rPr>
          <w:sz w:val="20"/>
          <w:szCs w:val="20"/>
          <w:color w:val="auto"/>
        </w:rPr>
      </w:pPr>
    </w:p>
    <w:p>
      <w:pPr>
        <w:ind w:left="200" w:hanging="192"/>
        <w:spacing w:after="0"/>
        <w:tabs>
          <w:tab w:leader="none" w:pos="200" w:val="left"/>
        </w:tabs>
        <w:numPr>
          <w:ilvl w:val="0"/>
          <w:numId w:val="128"/>
        </w:numPr>
        <w:rPr>
          <w:rFonts w:ascii="Arial" w:cs="Arial" w:eastAsia="Arial" w:hAnsi="Arial"/>
          <w:sz w:val="16"/>
          <w:szCs w:val="16"/>
          <w:b w:val="1"/>
          <w:bCs w:val="1"/>
          <w:color w:val="D7282F"/>
        </w:rPr>
      </w:pPr>
      <w:r>
        <w:rPr>
          <w:rFonts w:ascii="Arial" w:cs="Arial" w:eastAsia="Arial" w:hAnsi="Arial"/>
          <w:sz w:val="16"/>
          <w:szCs w:val="16"/>
          <w:color w:val="auto"/>
        </w:rPr>
        <w:t>The importance of aligning pay with Company and individual performance.</w:t>
      </w:r>
    </w:p>
    <w:p>
      <w:pPr>
        <w:spacing w:after="0" w:line="86" w:lineRule="exact"/>
        <w:rPr>
          <w:rFonts w:ascii="Arial" w:cs="Arial" w:eastAsia="Arial" w:hAnsi="Arial"/>
          <w:sz w:val="16"/>
          <w:szCs w:val="16"/>
          <w:b w:val="1"/>
          <w:bCs w:val="1"/>
          <w:color w:val="D7282F"/>
        </w:rPr>
      </w:pPr>
    </w:p>
    <w:p>
      <w:pPr>
        <w:ind w:left="200" w:right="340" w:hanging="192"/>
        <w:spacing w:after="0" w:line="286" w:lineRule="auto"/>
        <w:tabs>
          <w:tab w:leader="none" w:pos="197" w:val="left"/>
        </w:tabs>
        <w:numPr>
          <w:ilvl w:val="0"/>
          <w:numId w:val="128"/>
        </w:numPr>
        <w:rPr>
          <w:rFonts w:ascii="Arial" w:cs="Arial" w:eastAsia="Arial" w:hAnsi="Arial"/>
          <w:sz w:val="16"/>
          <w:szCs w:val="16"/>
          <w:b w:val="1"/>
          <w:bCs w:val="1"/>
          <w:color w:val="D7282F"/>
        </w:rPr>
      </w:pPr>
      <w:r>
        <w:rPr>
          <w:rFonts w:ascii="Arial" w:cs="Arial" w:eastAsia="Arial" w:hAnsi="Arial"/>
          <w:sz w:val="16"/>
          <w:szCs w:val="16"/>
          <w:color w:val="auto"/>
        </w:rPr>
        <w:t>The need to attract, retain, and reward executives with a proven track record of delivering consistent financial and operating results and driving “seed-planting” initiatives that will create sustainable long-term shareowner value.</w:t>
      </w:r>
    </w:p>
    <w:p>
      <w:pPr>
        <w:spacing w:after="0" w:line="20" w:lineRule="exact"/>
        <w:rPr>
          <w:rFonts w:ascii="Arial" w:cs="Arial" w:eastAsia="Arial" w:hAnsi="Arial"/>
          <w:sz w:val="16"/>
          <w:szCs w:val="16"/>
          <w:b w:val="1"/>
          <w:bCs w:val="1"/>
          <w:color w:val="D7282F"/>
        </w:rPr>
      </w:pPr>
    </w:p>
    <w:p>
      <w:pPr>
        <w:ind w:left="200" w:hanging="192"/>
        <w:spacing w:after="0"/>
        <w:tabs>
          <w:tab w:leader="none" w:pos="200" w:val="left"/>
        </w:tabs>
        <w:numPr>
          <w:ilvl w:val="0"/>
          <w:numId w:val="128"/>
        </w:numPr>
        <w:rPr>
          <w:rFonts w:ascii="Arial" w:cs="Arial" w:eastAsia="Arial" w:hAnsi="Arial"/>
          <w:sz w:val="16"/>
          <w:szCs w:val="16"/>
          <w:b w:val="1"/>
          <w:bCs w:val="1"/>
          <w:color w:val="D7282F"/>
        </w:rPr>
      </w:pPr>
      <w:r>
        <w:rPr>
          <w:rFonts w:ascii="Arial" w:cs="Arial" w:eastAsia="Arial" w:hAnsi="Arial"/>
          <w:sz w:val="16"/>
          <w:szCs w:val="16"/>
          <w:color w:val="auto"/>
        </w:rPr>
        <w:t>The complex multi-industry and global nature of Honeywell’s businesses and the importance of growth outside of the United States for future success.</w:t>
      </w:r>
    </w:p>
    <w:p>
      <w:pPr>
        <w:spacing w:after="0" w:line="72" w:lineRule="exact"/>
        <w:rPr>
          <w:rFonts w:ascii="Arial" w:cs="Arial" w:eastAsia="Arial" w:hAnsi="Arial"/>
          <w:sz w:val="16"/>
          <w:szCs w:val="16"/>
          <w:b w:val="1"/>
          <w:bCs w:val="1"/>
          <w:color w:val="D7282F"/>
        </w:rPr>
      </w:pPr>
    </w:p>
    <w:p>
      <w:pPr>
        <w:ind w:left="200" w:hanging="192"/>
        <w:spacing w:after="0"/>
        <w:tabs>
          <w:tab w:leader="none" w:pos="200" w:val="left"/>
        </w:tabs>
        <w:numPr>
          <w:ilvl w:val="0"/>
          <w:numId w:val="128"/>
        </w:numPr>
        <w:rPr>
          <w:rFonts w:ascii="Arial" w:cs="Arial" w:eastAsia="Arial" w:hAnsi="Arial"/>
          <w:sz w:val="16"/>
          <w:szCs w:val="16"/>
          <w:b w:val="1"/>
          <w:bCs w:val="1"/>
          <w:color w:val="D7282F"/>
        </w:rPr>
      </w:pPr>
      <w:r>
        <w:rPr>
          <w:rFonts w:ascii="Arial" w:cs="Arial" w:eastAsia="Arial" w:hAnsi="Arial"/>
          <w:sz w:val="16"/>
          <w:szCs w:val="16"/>
          <w:color w:val="auto"/>
        </w:rPr>
        <w:t>The importance of maintaining and executing on a thorough and rigorous succession planning process.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2026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53</w:t>
            </w:r>
          </w:p>
        </w:tc>
      </w:tr>
      <w:tr>
        <w:trPr>
          <w:trHeight w:val="373"/>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58" w:name="page59"/>
    <w:bookmarkEnd w:id="58"/>
    <w:p>
      <w:pPr>
        <w:spacing w:after="0"/>
        <w:rPr>
          <w:sz w:val="20"/>
          <w:szCs w:val="20"/>
          <w:color w:val="auto"/>
        </w:rPr>
      </w:pPr>
      <w:r>
        <w:rPr>
          <w:rFonts w:ascii="Arial" w:cs="Arial" w:eastAsia="Arial" w:hAnsi="Arial"/>
          <w:sz w:val="13"/>
          <w:szCs w:val="13"/>
          <w:b w:val="1"/>
          <w:bCs w:val="1"/>
          <w:color w:val="6D6E71"/>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color w:val="auto"/>
        </w:rPr>
        <w:t>Key factors that shape the MDCC’s overall assessment of performance and appropriate levels of compensation include:</w:t>
      </w:r>
    </w:p>
    <w:p>
      <w:pPr>
        <w:spacing w:after="0" w:line="86" w:lineRule="exact"/>
        <w:rPr>
          <w:sz w:val="20"/>
          <w:szCs w:val="20"/>
          <w:color w:val="auto"/>
        </w:rPr>
      </w:pPr>
    </w:p>
    <w:p>
      <w:pPr>
        <w:ind w:left="200" w:hanging="192"/>
        <w:spacing w:after="0"/>
        <w:tabs>
          <w:tab w:leader="none" w:pos="200" w:val="left"/>
        </w:tabs>
        <w:numPr>
          <w:ilvl w:val="0"/>
          <w:numId w:val="129"/>
        </w:numPr>
        <w:rPr>
          <w:rFonts w:ascii="Arial" w:cs="Arial" w:eastAsia="Arial" w:hAnsi="Arial"/>
          <w:sz w:val="16"/>
          <w:szCs w:val="16"/>
          <w:b w:val="1"/>
          <w:bCs w:val="1"/>
          <w:color w:val="D7282F"/>
        </w:rPr>
      </w:pPr>
      <w:r>
        <w:rPr>
          <w:rFonts w:ascii="Arial" w:cs="Arial" w:eastAsia="Arial" w:hAnsi="Arial"/>
          <w:sz w:val="16"/>
          <w:szCs w:val="16"/>
          <w:color w:val="auto"/>
        </w:rPr>
        <w:t>Operational and financial performance for the entire Company and the relevant business units.</w:t>
      </w:r>
    </w:p>
    <w:p>
      <w:pPr>
        <w:spacing w:after="0" w:line="72" w:lineRule="exact"/>
        <w:rPr>
          <w:rFonts w:ascii="Arial" w:cs="Arial" w:eastAsia="Arial" w:hAnsi="Arial"/>
          <w:sz w:val="16"/>
          <w:szCs w:val="16"/>
          <w:b w:val="1"/>
          <w:bCs w:val="1"/>
          <w:color w:val="D7282F"/>
        </w:rPr>
      </w:pPr>
    </w:p>
    <w:p>
      <w:pPr>
        <w:ind w:left="200" w:hanging="192"/>
        <w:spacing w:after="0"/>
        <w:tabs>
          <w:tab w:leader="none" w:pos="200" w:val="left"/>
        </w:tabs>
        <w:numPr>
          <w:ilvl w:val="0"/>
          <w:numId w:val="129"/>
        </w:numPr>
        <w:rPr>
          <w:rFonts w:ascii="Arial" w:cs="Arial" w:eastAsia="Arial" w:hAnsi="Arial"/>
          <w:sz w:val="16"/>
          <w:szCs w:val="16"/>
          <w:b w:val="1"/>
          <w:bCs w:val="1"/>
          <w:color w:val="D7282F"/>
        </w:rPr>
      </w:pPr>
      <w:r>
        <w:rPr>
          <w:rFonts w:ascii="Arial" w:cs="Arial" w:eastAsia="Arial" w:hAnsi="Arial"/>
          <w:sz w:val="16"/>
          <w:szCs w:val="16"/>
          <w:color w:val="auto"/>
        </w:rPr>
        <w:t>Robust financial and operating goals and targets for each executive.</w:t>
      </w:r>
    </w:p>
    <w:p>
      <w:pPr>
        <w:spacing w:after="0" w:line="86" w:lineRule="exact"/>
        <w:rPr>
          <w:rFonts w:ascii="Arial" w:cs="Arial" w:eastAsia="Arial" w:hAnsi="Arial"/>
          <w:sz w:val="16"/>
          <w:szCs w:val="16"/>
          <w:b w:val="1"/>
          <w:bCs w:val="1"/>
          <w:color w:val="D7282F"/>
        </w:rPr>
      </w:pPr>
    </w:p>
    <w:p>
      <w:pPr>
        <w:ind w:left="200" w:hanging="192"/>
        <w:spacing w:after="0"/>
        <w:tabs>
          <w:tab w:leader="none" w:pos="200" w:val="left"/>
        </w:tabs>
        <w:numPr>
          <w:ilvl w:val="0"/>
          <w:numId w:val="129"/>
        </w:numPr>
        <w:rPr>
          <w:rFonts w:ascii="Arial" w:cs="Arial" w:eastAsia="Arial" w:hAnsi="Arial"/>
          <w:sz w:val="16"/>
          <w:szCs w:val="16"/>
          <w:b w:val="1"/>
          <w:bCs w:val="1"/>
          <w:color w:val="EE2724"/>
        </w:rPr>
      </w:pPr>
      <w:r>
        <w:rPr>
          <w:rFonts w:ascii="Arial" w:cs="Arial" w:eastAsia="Arial" w:hAnsi="Arial"/>
          <w:sz w:val="16"/>
          <w:szCs w:val="16"/>
          <w:color w:val="auto"/>
        </w:rPr>
        <w:t>Business/macroeconomic conditions impacting the industries in which Honeywell’s businesses operate.</w:t>
      </w:r>
    </w:p>
    <w:p>
      <w:pPr>
        <w:spacing w:after="0" w:line="86" w:lineRule="exact"/>
        <w:rPr>
          <w:rFonts w:ascii="Arial" w:cs="Arial" w:eastAsia="Arial" w:hAnsi="Arial"/>
          <w:sz w:val="16"/>
          <w:szCs w:val="16"/>
          <w:b w:val="1"/>
          <w:bCs w:val="1"/>
          <w:color w:val="EE2724"/>
        </w:rPr>
      </w:pPr>
    </w:p>
    <w:p>
      <w:pPr>
        <w:ind w:left="200" w:hanging="192"/>
        <w:spacing w:after="0"/>
        <w:tabs>
          <w:tab w:leader="none" w:pos="200" w:val="left"/>
        </w:tabs>
        <w:numPr>
          <w:ilvl w:val="0"/>
          <w:numId w:val="129"/>
        </w:numPr>
        <w:rPr>
          <w:rFonts w:ascii="Arial" w:cs="Arial" w:eastAsia="Arial" w:hAnsi="Arial"/>
          <w:sz w:val="16"/>
          <w:szCs w:val="16"/>
          <w:b w:val="1"/>
          <w:bCs w:val="1"/>
          <w:color w:val="D7282F"/>
        </w:rPr>
      </w:pPr>
      <w:r>
        <w:rPr>
          <w:rFonts w:ascii="Arial" w:cs="Arial" w:eastAsia="Arial" w:hAnsi="Arial"/>
          <w:sz w:val="16"/>
          <w:szCs w:val="16"/>
          <w:color w:val="auto"/>
        </w:rPr>
        <w:t>Execution against strategic initiatives and the impact of investments that will benefit financial performance in future years.</w:t>
      </w:r>
    </w:p>
    <w:p>
      <w:pPr>
        <w:spacing w:after="0" w:line="86" w:lineRule="exact"/>
        <w:rPr>
          <w:rFonts w:ascii="Arial" w:cs="Arial" w:eastAsia="Arial" w:hAnsi="Arial"/>
          <w:sz w:val="16"/>
          <w:szCs w:val="16"/>
          <w:b w:val="1"/>
          <w:bCs w:val="1"/>
          <w:color w:val="D7282F"/>
        </w:rPr>
      </w:pPr>
    </w:p>
    <w:p>
      <w:pPr>
        <w:ind w:left="200" w:hanging="192"/>
        <w:spacing w:after="0"/>
        <w:tabs>
          <w:tab w:leader="none" w:pos="200" w:val="left"/>
        </w:tabs>
        <w:numPr>
          <w:ilvl w:val="0"/>
          <w:numId w:val="129"/>
        </w:numPr>
        <w:rPr>
          <w:rFonts w:ascii="Arial" w:cs="Arial" w:eastAsia="Arial" w:hAnsi="Arial"/>
          <w:sz w:val="16"/>
          <w:szCs w:val="16"/>
          <w:b w:val="1"/>
          <w:bCs w:val="1"/>
          <w:color w:val="D7282F"/>
        </w:rPr>
      </w:pPr>
      <w:r>
        <w:rPr>
          <w:rFonts w:ascii="Arial" w:cs="Arial" w:eastAsia="Arial" w:hAnsi="Arial"/>
          <w:sz w:val="16"/>
          <w:szCs w:val="16"/>
          <w:color w:val="auto"/>
        </w:rPr>
        <w:t>Each executive’s long-term leadership potential and associated retention risk.</w:t>
      </w:r>
    </w:p>
    <w:p>
      <w:pPr>
        <w:spacing w:after="0" w:line="72" w:lineRule="exact"/>
        <w:rPr>
          <w:rFonts w:ascii="Arial" w:cs="Arial" w:eastAsia="Arial" w:hAnsi="Arial"/>
          <w:sz w:val="16"/>
          <w:szCs w:val="16"/>
          <w:b w:val="1"/>
          <w:bCs w:val="1"/>
          <w:color w:val="D7282F"/>
        </w:rPr>
      </w:pPr>
    </w:p>
    <w:p>
      <w:pPr>
        <w:ind w:left="200" w:hanging="192"/>
        <w:spacing w:after="0"/>
        <w:tabs>
          <w:tab w:leader="none" w:pos="200" w:val="left"/>
        </w:tabs>
        <w:numPr>
          <w:ilvl w:val="0"/>
          <w:numId w:val="129"/>
        </w:numPr>
        <w:rPr>
          <w:rFonts w:ascii="Arial" w:cs="Arial" w:eastAsia="Arial" w:hAnsi="Arial"/>
          <w:sz w:val="16"/>
          <w:szCs w:val="16"/>
          <w:b w:val="1"/>
          <w:bCs w:val="1"/>
          <w:color w:val="D7282F"/>
        </w:rPr>
      </w:pPr>
      <w:r>
        <w:rPr>
          <w:rFonts w:ascii="Arial" w:cs="Arial" w:eastAsia="Arial" w:hAnsi="Arial"/>
          <w:sz w:val="16"/>
          <w:szCs w:val="16"/>
          <w:color w:val="auto"/>
        </w:rPr>
        <w:t>The senior executive development and succession plan.</w:t>
      </w:r>
    </w:p>
    <w:p>
      <w:pPr>
        <w:spacing w:after="0" w:line="86" w:lineRule="exact"/>
        <w:rPr>
          <w:rFonts w:ascii="Arial" w:cs="Arial" w:eastAsia="Arial" w:hAnsi="Arial"/>
          <w:sz w:val="16"/>
          <w:szCs w:val="16"/>
          <w:b w:val="1"/>
          <w:bCs w:val="1"/>
          <w:color w:val="D7282F"/>
        </w:rPr>
      </w:pPr>
    </w:p>
    <w:p>
      <w:pPr>
        <w:ind w:left="200" w:hanging="192"/>
        <w:spacing w:after="0"/>
        <w:tabs>
          <w:tab w:leader="none" w:pos="200" w:val="left"/>
        </w:tabs>
        <w:numPr>
          <w:ilvl w:val="0"/>
          <w:numId w:val="129"/>
        </w:numPr>
        <w:rPr>
          <w:rFonts w:ascii="Arial" w:cs="Arial" w:eastAsia="Arial" w:hAnsi="Arial"/>
          <w:sz w:val="16"/>
          <w:szCs w:val="16"/>
          <w:b w:val="1"/>
          <w:bCs w:val="1"/>
          <w:color w:val="D7282F"/>
        </w:rPr>
      </w:pPr>
      <w:r>
        <w:rPr>
          <w:rFonts w:ascii="Arial" w:cs="Arial" w:eastAsia="Arial" w:hAnsi="Arial"/>
          <w:sz w:val="16"/>
          <w:szCs w:val="16"/>
          <w:color w:val="auto"/>
        </w:rPr>
        <w:t>Total shareowner return (TSR).</w:t>
      </w:r>
    </w:p>
    <w:p>
      <w:pPr>
        <w:spacing w:after="0" w:line="86" w:lineRule="exact"/>
        <w:rPr>
          <w:rFonts w:ascii="Arial" w:cs="Arial" w:eastAsia="Arial" w:hAnsi="Arial"/>
          <w:sz w:val="16"/>
          <w:szCs w:val="16"/>
          <w:b w:val="1"/>
          <w:bCs w:val="1"/>
          <w:color w:val="D7282F"/>
        </w:rPr>
      </w:pPr>
    </w:p>
    <w:p>
      <w:pPr>
        <w:ind w:left="200" w:hanging="192"/>
        <w:spacing w:after="0"/>
        <w:tabs>
          <w:tab w:leader="none" w:pos="200" w:val="left"/>
        </w:tabs>
        <w:numPr>
          <w:ilvl w:val="0"/>
          <w:numId w:val="129"/>
        </w:numPr>
        <w:rPr>
          <w:rFonts w:ascii="Arial" w:cs="Arial" w:eastAsia="Arial" w:hAnsi="Arial"/>
          <w:sz w:val="16"/>
          <w:szCs w:val="16"/>
          <w:b w:val="1"/>
          <w:bCs w:val="1"/>
          <w:color w:val="D7282F"/>
        </w:rPr>
      </w:pPr>
      <w:r>
        <w:rPr>
          <w:rFonts w:ascii="Arial" w:cs="Arial" w:eastAsia="Arial" w:hAnsi="Arial"/>
          <w:sz w:val="16"/>
          <w:szCs w:val="16"/>
          <w:color w:val="auto"/>
        </w:rPr>
        <w:t>Trends and best practices in executive compensation.</w:t>
      </w:r>
    </w:p>
    <w:p>
      <w:pPr>
        <w:spacing w:after="0" w:line="72" w:lineRule="exact"/>
        <w:rPr>
          <w:rFonts w:ascii="Arial" w:cs="Arial" w:eastAsia="Arial" w:hAnsi="Arial"/>
          <w:sz w:val="16"/>
          <w:szCs w:val="16"/>
          <w:b w:val="1"/>
          <w:bCs w:val="1"/>
          <w:color w:val="D7282F"/>
        </w:rPr>
      </w:pPr>
    </w:p>
    <w:p>
      <w:pPr>
        <w:ind w:left="200" w:hanging="192"/>
        <w:spacing w:after="0"/>
        <w:tabs>
          <w:tab w:leader="none" w:pos="200" w:val="left"/>
        </w:tabs>
        <w:numPr>
          <w:ilvl w:val="0"/>
          <w:numId w:val="129"/>
        </w:numPr>
        <w:rPr>
          <w:rFonts w:ascii="Arial" w:cs="Arial" w:eastAsia="Arial" w:hAnsi="Arial"/>
          <w:sz w:val="16"/>
          <w:szCs w:val="16"/>
          <w:b w:val="1"/>
          <w:bCs w:val="1"/>
          <w:color w:val="D7282F"/>
        </w:rPr>
      </w:pPr>
      <w:r>
        <w:rPr>
          <w:rFonts w:ascii="Arial" w:cs="Arial" w:eastAsia="Arial" w:hAnsi="Arial"/>
          <w:sz w:val="16"/>
          <w:szCs w:val="16"/>
          <w:color w:val="auto"/>
        </w:rPr>
        <w:t>Peer group comparisons, including performance, pay levels, and related practices.</w:t>
      </w:r>
    </w:p>
    <w:p>
      <w:pPr>
        <w:spacing w:after="0" w:line="127" w:lineRule="exact"/>
        <w:rPr>
          <w:sz w:val="20"/>
          <w:szCs w:val="20"/>
          <w:color w:val="auto"/>
        </w:rPr>
      </w:pPr>
    </w:p>
    <w:p>
      <w:pPr>
        <w:ind w:right="280"/>
        <w:spacing w:after="0" w:line="265" w:lineRule="auto"/>
        <w:rPr>
          <w:sz w:val="20"/>
          <w:szCs w:val="20"/>
          <w:color w:val="auto"/>
        </w:rPr>
      </w:pPr>
      <w:r>
        <w:rPr>
          <w:rFonts w:ascii="Arial" w:cs="Arial" w:eastAsia="Arial" w:hAnsi="Arial"/>
          <w:sz w:val="16"/>
          <w:szCs w:val="16"/>
          <w:color w:val="auto"/>
        </w:rPr>
        <w:t>The MDCC reviews these factors over various time periods to ensure a strong linkage between pay and performance. At each of its meetings, the MDCC reviews four-year NEO compensation history for each element of total annual direct compensation, as well as projected payments under Honeywell’s retirement and deferred compensation plans, to provide historical context and an understanding of how current compensation decisions may affect future wealth accumulation and executive retention.</w:t>
      </w:r>
    </w:p>
    <w:p>
      <w:pPr>
        <w:spacing w:after="0" w:line="65"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On an annual basis, the MDCC reviews information provided by its independent compensation consultant regarding compensation paid to similarly situated executive officers at Compensation Peer Group companies as a point of reference. Similarly, third-party survey data or published reports may be utilized as a general indicator of relevant market conditions. The MDCC does not target a specific competitive position relative to the market in making its compensation determinations.</w:t>
      </w:r>
    </w:p>
    <w:p>
      <w:pPr>
        <w:spacing w:after="0" w:line="60" w:lineRule="exact"/>
        <w:rPr>
          <w:sz w:val="20"/>
          <w:szCs w:val="20"/>
          <w:color w:val="auto"/>
        </w:rPr>
      </w:pPr>
    </w:p>
    <w:p>
      <w:pPr>
        <w:jc w:val="both"/>
        <w:ind w:right="260"/>
        <w:spacing w:after="0" w:line="275" w:lineRule="auto"/>
        <w:rPr>
          <w:sz w:val="20"/>
          <w:szCs w:val="20"/>
          <w:color w:val="auto"/>
        </w:rPr>
      </w:pPr>
      <w:r>
        <w:rPr>
          <w:rFonts w:ascii="Arial" w:cs="Arial" w:eastAsia="Arial" w:hAnsi="Arial"/>
          <w:sz w:val="16"/>
          <w:szCs w:val="16"/>
          <w:color w:val="auto"/>
        </w:rPr>
        <w:t>Honeywell is proud to be broadly recognized for training and developing leaders whose skills are recognized, respected, and valued across the sectors in which we compete. Our senior executives are industry leaders with backgrounds, depth of experience, and management skills that are highly attractive to competitors. The MDCC prefers to address critical retention and succession risks through the existing compensation program whenever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245173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32320" cy="2451735"/>
                    </a:xfrm>
                    <a:prstGeom prst="rect">
                      <a:avLst/>
                    </a:prstGeom>
                    <a:noFill/>
                  </pic:spPr>
                </pic:pic>
              </a:graphicData>
            </a:graphic>
          </wp:anchor>
        </w:drawing>
      </w:r>
    </w:p>
    <w:p>
      <w:pPr>
        <w:spacing w:after="0" w:line="15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FFFFFF"/>
        </w:rPr>
        <w:t>IMPACT OF SPIN-OFFS AND OTHER PORTFOLIO TRANSFORMATION</w:t>
      </w:r>
    </w:p>
    <w:p>
      <w:pPr>
        <w:spacing w:after="0" w:line="216" w:lineRule="exact"/>
        <w:rPr>
          <w:sz w:val="20"/>
          <w:szCs w:val="20"/>
          <w:color w:val="auto"/>
        </w:rPr>
      </w:pPr>
    </w:p>
    <w:p>
      <w:pPr>
        <w:ind w:left="160" w:right="240"/>
        <w:spacing w:after="0" w:line="265" w:lineRule="auto"/>
        <w:rPr>
          <w:sz w:val="20"/>
          <w:szCs w:val="20"/>
          <w:color w:val="auto"/>
        </w:rPr>
      </w:pPr>
      <w:r>
        <w:rPr>
          <w:rFonts w:ascii="Arial" w:cs="Arial" w:eastAsia="Arial" w:hAnsi="Arial"/>
          <w:sz w:val="16"/>
          <w:szCs w:val="16"/>
          <w:color w:val="auto"/>
        </w:rPr>
        <w:t>Throughout 2025, the MDCC considered in detail the impact of the spin-offs and other portfolio transformation on the Company's executive compensation plans including the impact of the spin-offs on unvested equity (see below) and the optimal structure for awards granted in the midst of transformation (see page 59). As part of these considerations, the MDCC's decision-making remained grounded in the four key objectives of Honeywell's executive compensation program, with special attention to the need to balance pay for performance alignment with appropriate retention to enable the successful execution of the spin-offs and other portfolio transformation.</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Equity Treatment as a Result of the Solstice Advanced Materials "Solstice" Spin-off</w:t>
      </w:r>
    </w:p>
    <w:p>
      <w:pPr>
        <w:spacing w:after="0" w:line="127" w:lineRule="exact"/>
        <w:rPr>
          <w:sz w:val="20"/>
          <w:szCs w:val="20"/>
          <w:color w:val="auto"/>
        </w:rPr>
      </w:pPr>
    </w:p>
    <w:p>
      <w:pPr>
        <w:ind w:left="160" w:right="280"/>
        <w:spacing w:after="0" w:line="265" w:lineRule="auto"/>
        <w:rPr>
          <w:sz w:val="20"/>
          <w:szCs w:val="20"/>
          <w:color w:val="auto"/>
        </w:rPr>
      </w:pPr>
      <w:r>
        <w:rPr>
          <w:rFonts w:ascii="Arial" w:cs="Arial" w:eastAsia="Arial" w:hAnsi="Arial"/>
          <w:sz w:val="16"/>
          <w:szCs w:val="16"/>
          <w:color w:val="auto"/>
        </w:rPr>
        <w:t>At the time of Solstice spin-off on October 30, 2025, Honeywell shareowners received a distribution of one share of Solstice common stock for every four shares of Honeywell common stock held. Because unvested equity awards held by Honeywell employees, including the NEOs, were not eligible to receive a distribution of Solstice shares, the Company made equitable adjustments designed to preserve the pre-spin-off value of those awards following the reduction in parent company stock price that occurs when a significant business is distributed to shareowners in a spin-off.</w:t>
      </w:r>
    </w:p>
    <w:p>
      <w:pPr>
        <w:spacing w:after="0" w:line="65" w:lineRule="exact"/>
        <w:rPr>
          <w:sz w:val="20"/>
          <w:szCs w:val="20"/>
          <w:color w:val="auto"/>
        </w:rPr>
      </w:pPr>
    </w:p>
    <w:p>
      <w:pPr>
        <w:ind w:left="160" w:right="700"/>
        <w:spacing w:after="0" w:line="286" w:lineRule="auto"/>
        <w:rPr>
          <w:sz w:val="20"/>
          <w:szCs w:val="20"/>
          <w:color w:val="auto"/>
        </w:rPr>
      </w:pPr>
      <w:r>
        <w:rPr>
          <w:rFonts w:ascii="Arial" w:cs="Arial" w:eastAsia="Arial" w:hAnsi="Arial"/>
          <w:sz w:val="16"/>
          <w:szCs w:val="16"/>
          <w:color w:val="auto"/>
        </w:rPr>
        <w:t>As part of this process, the MDCC established conversion ratios that were based on a comparison of the pre-spin Honeywell stock prices used to establish the number of Solstice shares distributed to Honeywell shareowners in the spin-off.</w:t>
      </w:r>
    </w:p>
    <w:p>
      <w:pPr>
        <w:spacing w:after="0" w:line="61" w:lineRule="exact"/>
        <w:rPr>
          <w:sz w:val="20"/>
          <w:szCs w:val="20"/>
          <w:color w:val="auto"/>
        </w:rPr>
      </w:pPr>
    </w:p>
    <w:p>
      <w:pPr>
        <w:ind w:left="160" w:right="200"/>
        <w:spacing w:after="0" w:line="286" w:lineRule="auto"/>
        <w:rPr>
          <w:sz w:val="20"/>
          <w:szCs w:val="20"/>
          <w:color w:val="auto"/>
        </w:rPr>
      </w:pPr>
      <w:r>
        <w:rPr>
          <w:rFonts w:ascii="Arial" w:cs="Arial" w:eastAsia="Arial" w:hAnsi="Arial"/>
          <w:sz w:val="16"/>
          <w:szCs w:val="16"/>
          <w:color w:val="auto"/>
        </w:rPr>
        <w:t>Additional post spin-off awards reflect additional shares issuable because of these equitable adjustments and are subject to the same vesting conditions and other terms prior to the Solstice spin-off.</w:t>
      </w:r>
    </w:p>
    <w:p>
      <w:pPr>
        <w:spacing w:after="0" w:line="200" w:lineRule="exact"/>
        <w:rPr>
          <w:sz w:val="20"/>
          <w:szCs w:val="20"/>
          <w:color w:val="auto"/>
        </w:rPr>
      </w:pPr>
    </w:p>
    <w:p>
      <w:pPr>
        <w:spacing w:after="0" w:line="335"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sz w:val="1"/>
          <w:szCs w:val="1"/>
          <w:color w:val="auto"/>
        </w:rPr>
        <w:drawing>
          <wp:inline distT="0" distB="0" distL="0" distR="0">
            <wp:extent cx="548640" cy="102870"/>
            <wp:effectExtent l="0" t="0" r="0" b="0"/>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2026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3"/>
          <w:szCs w:val="13"/>
          <w:b w:val="1"/>
          <w:bCs w:val="1"/>
          <w:color w:val="6D6E71"/>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ENGAGEMENT WITH SHAREOWNERS ON COMPENSATION</w:t>
      </w:r>
    </w:p>
    <w:p>
      <w:pPr>
        <w:spacing w:after="0" w:line="128"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color w:val="auto"/>
        </w:rPr>
        <w:t>As part of Honeywell's Spring and Fall shareowner engagement program, the Company engaged with its shareowners to better understand their views on Honeywell's governance and compensation practices. The Company's independent Lead Director and MDCC and CGRC Chairs regularly participate in these engagements. The feedback from shareowner engagement was presented to the MDCC.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23430" cy="90868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23430" cy="90868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p>
      <w:pPr>
        <w:spacing w:after="0" w:line="23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TOTAL CONTACTED</w:t>
      </w:r>
    </w:p>
    <w:p>
      <w:pPr>
        <w:ind w:left="20"/>
        <w:spacing w:after="0" w:line="228" w:lineRule="auto"/>
        <w:rPr>
          <w:sz w:val="20"/>
          <w:szCs w:val="20"/>
          <w:color w:val="auto"/>
        </w:rPr>
      </w:pPr>
      <w:r>
        <w:rPr>
          <w:rFonts w:ascii="Arial" w:cs="Arial" w:eastAsia="Arial" w:hAnsi="Arial"/>
          <w:sz w:val="16"/>
          <w:szCs w:val="16"/>
          <w:color w:val="auto"/>
        </w:rPr>
        <w:t xml:space="preserve">Top </w:t>
      </w:r>
      <w:r>
        <w:rPr>
          <w:rFonts w:ascii="Arial" w:cs="Arial" w:eastAsia="Arial" w:hAnsi="Arial"/>
          <w:sz w:val="43"/>
          <w:szCs w:val="43"/>
          <w:b w:val="1"/>
          <w:bCs w:val="1"/>
          <w:color w:val="auto"/>
        </w:rPr>
        <w:t>100</w:t>
      </w:r>
      <w:r>
        <w:rPr>
          <w:rFonts w:ascii="Arial" w:cs="Arial" w:eastAsia="Arial" w:hAnsi="Arial"/>
          <w:sz w:val="16"/>
          <w:szCs w:val="16"/>
          <w:color w:val="auto"/>
        </w:rPr>
        <w:t xml:space="preserve"> shareowners</w:t>
      </w:r>
    </w:p>
    <w:p>
      <w:pPr>
        <w:ind w:left="20"/>
        <w:spacing w:after="0" w:line="230" w:lineRule="auto"/>
        <w:rPr>
          <w:sz w:val="20"/>
          <w:szCs w:val="20"/>
          <w:color w:val="auto"/>
        </w:rPr>
      </w:pPr>
      <w:r>
        <w:rPr>
          <w:rFonts w:ascii="Arial" w:cs="Arial" w:eastAsia="Arial" w:hAnsi="Arial"/>
          <w:sz w:val="16"/>
          <w:szCs w:val="16"/>
          <w:color w:val="auto"/>
        </w:rPr>
        <w:t>in the spring and again in the fall,</w:t>
      </w:r>
    </w:p>
    <w:p>
      <w:pPr>
        <w:spacing w:after="0" w:line="1" w:lineRule="exact"/>
        <w:rPr>
          <w:sz w:val="20"/>
          <w:szCs w:val="20"/>
          <w:color w:val="auto"/>
        </w:rPr>
      </w:pPr>
    </w:p>
    <w:p>
      <w:pPr>
        <w:ind w:left="20" w:right="820"/>
        <w:spacing w:after="0" w:line="235" w:lineRule="auto"/>
        <w:rPr>
          <w:sz w:val="20"/>
          <w:szCs w:val="20"/>
          <w:color w:val="auto"/>
        </w:rPr>
      </w:pPr>
      <w:r>
        <w:rPr>
          <w:rFonts w:ascii="Arial" w:cs="Arial" w:eastAsia="Arial" w:hAnsi="Arial"/>
          <w:sz w:val="16"/>
          <w:szCs w:val="16"/>
          <w:color w:val="auto"/>
        </w:rPr>
        <w:t>representing &gt;60% of shares outstanding</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21"/>
        </w:trPr>
        <w:tc>
          <w:tcPr>
            <w:tcW w:w="2640" w:type="dxa"/>
            <w:vAlign w:val="bottom"/>
            <w:tcBorders>
              <w:right w:val="single" w:sz="8" w:color="D7282F"/>
            </w:tcBorders>
          </w:tcPr>
          <w:p>
            <w:pPr>
              <w:spacing w:after="0"/>
              <w:rPr>
                <w:sz w:val="20"/>
                <w:szCs w:val="20"/>
                <w:color w:val="auto"/>
              </w:rPr>
            </w:pPr>
            <w:r>
              <w:rPr>
                <w:rFonts w:ascii="Arial" w:cs="Arial" w:eastAsia="Arial" w:hAnsi="Arial"/>
                <w:sz w:val="14"/>
                <w:szCs w:val="14"/>
                <w:b w:val="1"/>
                <w:bCs w:val="1"/>
                <w:color w:val="auto"/>
              </w:rPr>
              <w:t>TOTAL ENGAGED</w:t>
            </w:r>
          </w:p>
        </w:tc>
        <w:tc>
          <w:tcPr>
            <w:tcW w:w="2800" w:type="dxa"/>
            <w:vAlign w:val="bottom"/>
            <w:tcBorders>
              <w:right w:val="single" w:sz="8" w:color="D7282F"/>
            </w:tcBorders>
          </w:tcPr>
          <w:p>
            <w:pPr>
              <w:ind w:left="140"/>
              <w:spacing w:after="0"/>
              <w:rPr>
                <w:sz w:val="20"/>
                <w:szCs w:val="20"/>
                <w:color w:val="auto"/>
              </w:rPr>
            </w:pPr>
            <w:r>
              <w:rPr>
                <w:rFonts w:ascii="Arial" w:cs="Arial" w:eastAsia="Arial" w:hAnsi="Arial"/>
                <w:sz w:val="14"/>
                <w:szCs w:val="14"/>
                <w:b w:val="1"/>
                <w:bCs w:val="1"/>
                <w:color w:val="auto"/>
              </w:rPr>
              <w:t>DIRECTOR ENGAGED</w:t>
            </w:r>
          </w:p>
        </w:tc>
        <w:tc>
          <w:tcPr>
            <w:tcW w:w="2680" w:type="dxa"/>
            <w:vAlign w:val="bottom"/>
          </w:tcPr>
          <w:p>
            <w:pPr>
              <w:ind w:left="140"/>
              <w:spacing w:after="0"/>
              <w:rPr>
                <w:sz w:val="20"/>
                <w:szCs w:val="20"/>
                <w:color w:val="auto"/>
              </w:rPr>
            </w:pPr>
            <w:r>
              <w:rPr>
                <w:rFonts w:ascii="Arial" w:cs="Arial" w:eastAsia="Arial" w:hAnsi="Arial"/>
                <w:sz w:val="14"/>
                <w:szCs w:val="14"/>
                <w:b w:val="1"/>
                <w:bCs w:val="1"/>
                <w:color w:val="auto"/>
              </w:rPr>
              <w:t>SAY-ON-PAY</w:t>
            </w:r>
          </w:p>
        </w:tc>
      </w:tr>
      <w:tr>
        <w:trPr>
          <w:trHeight w:val="488"/>
        </w:trPr>
        <w:tc>
          <w:tcPr>
            <w:tcW w:w="2640" w:type="dxa"/>
            <w:vAlign w:val="bottom"/>
            <w:tcBorders>
              <w:right w:val="single" w:sz="8" w:color="D7282F"/>
            </w:tcBorders>
          </w:tcPr>
          <w:p>
            <w:pPr>
              <w:spacing w:after="0" w:line="489" w:lineRule="exact"/>
              <w:rPr>
                <w:sz w:val="20"/>
                <w:szCs w:val="20"/>
                <w:color w:val="auto"/>
              </w:rPr>
            </w:pPr>
            <w:r>
              <w:rPr>
                <w:rFonts w:ascii="Arial" w:cs="Arial" w:eastAsia="Arial" w:hAnsi="Arial"/>
                <w:sz w:val="43"/>
                <w:szCs w:val="43"/>
                <w:b w:val="1"/>
                <w:bCs w:val="1"/>
                <w:color w:val="auto"/>
              </w:rPr>
              <w:t>34%</w:t>
            </w:r>
          </w:p>
        </w:tc>
        <w:tc>
          <w:tcPr>
            <w:tcW w:w="2800" w:type="dxa"/>
            <w:vAlign w:val="bottom"/>
            <w:tcBorders>
              <w:right w:val="single" w:sz="8" w:color="D7282F"/>
            </w:tcBorders>
          </w:tcPr>
          <w:p>
            <w:pPr>
              <w:ind w:left="140"/>
              <w:spacing w:after="0" w:line="489" w:lineRule="exact"/>
              <w:rPr>
                <w:sz w:val="20"/>
                <w:szCs w:val="20"/>
                <w:color w:val="auto"/>
              </w:rPr>
            </w:pPr>
            <w:r>
              <w:rPr>
                <w:rFonts w:ascii="Arial" w:cs="Arial" w:eastAsia="Arial" w:hAnsi="Arial"/>
                <w:sz w:val="43"/>
                <w:szCs w:val="43"/>
                <w:b w:val="1"/>
                <w:bCs w:val="1"/>
                <w:color w:val="auto"/>
              </w:rPr>
              <w:t>31%</w:t>
            </w:r>
          </w:p>
        </w:tc>
        <w:tc>
          <w:tcPr>
            <w:tcW w:w="2680" w:type="dxa"/>
            <w:vAlign w:val="bottom"/>
          </w:tcPr>
          <w:p>
            <w:pPr>
              <w:ind w:left="140"/>
              <w:spacing w:after="0" w:line="489" w:lineRule="exact"/>
              <w:rPr>
                <w:sz w:val="20"/>
                <w:szCs w:val="20"/>
                <w:color w:val="auto"/>
              </w:rPr>
            </w:pPr>
            <w:r>
              <w:rPr>
                <w:rFonts w:ascii="Arial" w:cs="Arial" w:eastAsia="Arial" w:hAnsi="Arial"/>
                <w:sz w:val="43"/>
                <w:szCs w:val="43"/>
                <w:b w:val="1"/>
                <w:bCs w:val="1"/>
                <w:color w:val="auto"/>
              </w:rPr>
              <w:t>93%</w:t>
            </w:r>
          </w:p>
        </w:tc>
      </w:tr>
      <w:tr>
        <w:trPr>
          <w:trHeight w:val="203"/>
        </w:trPr>
        <w:tc>
          <w:tcPr>
            <w:tcW w:w="2640" w:type="dxa"/>
            <w:vAlign w:val="bottom"/>
            <w:tcBorders>
              <w:right w:val="single" w:sz="8" w:color="D7282F"/>
            </w:tcBorders>
          </w:tcPr>
          <w:p>
            <w:pPr>
              <w:spacing w:after="0"/>
              <w:rPr>
                <w:sz w:val="20"/>
                <w:szCs w:val="20"/>
                <w:color w:val="auto"/>
              </w:rPr>
            </w:pPr>
            <w:r>
              <w:rPr>
                <w:rFonts w:ascii="Arial" w:cs="Arial" w:eastAsia="Arial" w:hAnsi="Arial"/>
                <w:sz w:val="16"/>
                <w:szCs w:val="16"/>
                <w:color w:val="auto"/>
              </w:rPr>
              <w:t>of shares outstanding, held by 23</w:t>
            </w:r>
          </w:p>
        </w:tc>
        <w:tc>
          <w:tcPr>
            <w:tcW w:w="2800" w:type="dxa"/>
            <w:vAlign w:val="bottom"/>
            <w:tcBorders>
              <w:right w:val="single" w:sz="8" w:color="D7282F"/>
            </w:tcBorders>
          </w:tcPr>
          <w:p>
            <w:pPr>
              <w:ind w:left="140"/>
              <w:spacing w:after="0"/>
              <w:rPr>
                <w:sz w:val="20"/>
                <w:szCs w:val="20"/>
                <w:color w:val="auto"/>
              </w:rPr>
            </w:pPr>
            <w:r>
              <w:rPr>
                <w:rFonts w:ascii="Arial" w:cs="Arial" w:eastAsia="Arial" w:hAnsi="Arial"/>
                <w:sz w:val="16"/>
                <w:szCs w:val="16"/>
                <w:color w:val="auto"/>
              </w:rPr>
              <w:t>of shares outstanding engaged by</w:t>
            </w:r>
          </w:p>
        </w:tc>
        <w:tc>
          <w:tcPr>
            <w:tcW w:w="2680" w:type="dxa"/>
            <w:vAlign w:val="bottom"/>
          </w:tcPr>
          <w:p>
            <w:pPr>
              <w:ind w:left="140"/>
              <w:spacing w:after="0"/>
              <w:rPr>
                <w:sz w:val="20"/>
                <w:szCs w:val="20"/>
                <w:color w:val="auto"/>
              </w:rPr>
            </w:pPr>
            <w:r>
              <w:rPr>
                <w:rFonts w:ascii="Arial" w:cs="Arial" w:eastAsia="Arial" w:hAnsi="Arial"/>
                <w:sz w:val="16"/>
                <w:szCs w:val="16"/>
                <w:color w:val="auto"/>
              </w:rPr>
              <w:t>shareowner support for the Say-on-</w:t>
            </w:r>
          </w:p>
        </w:tc>
      </w:tr>
      <w:tr>
        <w:trPr>
          <w:trHeight w:val="189"/>
        </w:trPr>
        <w:tc>
          <w:tcPr>
            <w:tcW w:w="2640" w:type="dxa"/>
            <w:vAlign w:val="bottom"/>
            <w:tcBorders>
              <w:right w:val="single" w:sz="8" w:color="D7282F"/>
            </w:tcBorders>
          </w:tcPr>
          <w:p>
            <w:pPr>
              <w:spacing w:after="0"/>
              <w:rPr>
                <w:sz w:val="20"/>
                <w:szCs w:val="20"/>
                <w:color w:val="auto"/>
              </w:rPr>
            </w:pPr>
            <w:r>
              <w:rPr>
                <w:rFonts w:ascii="Arial" w:cs="Arial" w:eastAsia="Arial" w:hAnsi="Arial"/>
                <w:sz w:val="16"/>
                <w:szCs w:val="16"/>
                <w:color w:val="auto"/>
              </w:rPr>
              <w:t>of our largest shareowners</w:t>
            </w:r>
          </w:p>
        </w:tc>
        <w:tc>
          <w:tcPr>
            <w:tcW w:w="2800" w:type="dxa"/>
            <w:vAlign w:val="bottom"/>
            <w:tcBorders>
              <w:right w:val="single" w:sz="8" w:color="D7282F"/>
            </w:tcBorders>
          </w:tcPr>
          <w:p>
            <w:pPr>
              <w:ind w:left="140"/>
              <w:spacing w:after="0"/>
              <w:rPr>
                <w:sz w:val="20"/>
                <w:szCs w:val="20"/>
                <w:color w:val="auto"/>
              </w:rPr>
            </w:pPr>
            <w:r>
              <w:rPr>
                <w:rFonts w:ascii="Arial" w:cs="Arial" w:eastAsia="Arial" w:hAnsi="Arial"/>
                <w:sz w:val="16"/>
                <w:szCs w:val="16"/>
                <w:color w:val="auto"/>
              </w:rPr>
              <w:t>Lead Director, CGRC Chair,</w:t>
            </w:r>
          </w:p>
        </w:tc>
        <w:tc>
          <w:tcPr>
            <w:tcW w:w="2680" w:type="dxa"/>
            <w:vAlign w:val="bottom"/>
          </w:tcPr>
          <w:p>
            <w:pPr>
              <w:ind w:left="140"/>
              <w:spacing w:after="0"/>
              <w:rPr>
                <w:sz w:val="20"/>
                <w:szCs w:val="20"/>
                <w:color w:val="auto"/>
              </w:rPr>
            </w:pPr>
            <w:r>
              <w:rPr>
                <w:rFonts w:ascii="Arial" w:cs="Arial" w:eastAsia="Arial" w:hAnsi="Arial"/>
                <w:sz w:val="16"/>
                <w:szCs w:val="16"/>
                <w:color w:val="auto"/>
              </w:rPr>
              <w:t>Pay proposal at our 2025 Annual</w:t>
            </w:r>
          </w:p>
        </w:tc>
      </w:tr>
      <w:tr>
        <w:trPr>
          <w:trHeight w:val="230"/>
        </w:trPr>
        <w:tc>
          <w:tcPr>
            <w:tcW w:w="2640" w:type="dxa"/>
            <w:vAlign w:val="bottom"/>
            <w:tcBorders>
              <w:right w:val="single" w:sz="8" w:color="D7282F"/>
            </w:tcBorders>
          </w:tcPr>
          <w:p>
            <w:pPr>
              <w:spacing w:after="0"/>
              <w:rPr>
                <w:sz w:val="20"/>
                <w:szCs w:val="20"/>
                <w:color w:val="auto"/>
              </w:rPr>
            </w:pPr>
          </w:p>
        </w:tc>
        <w:tc>
          <w:tcPr>
            <w:tcW w:w="2800" w:type="dxa"/>
            <w:vAlign w:val="bottom"/>
            <w:tcBorders>
              <w:right w:val="single" w:sz="8" w:color="D7282F"/>
            </w:tcBorders>
          </w:tcPr>
          <w:p>
            <w:pPr>
              <w:ind w:left="140"/>
              <w:spacing w:after="0"/>
              <w:rPr>
                <w:sz w:val="20"/>
                <w:szCs w:val="20"/>
                <w:color w:val="auto"/>
              </w:rPr>
            </w:pPr>
            <w:r>
              <w:rPr>
                <w:rFonts w:ascii="Arial" w:cs="Arial" w:eastAsia="Arial" w:hAnsi="Arial"/>
                <w:sz w:val="16"/>
                <w:szCs w:val="16"/>
                <w:color w:val="auto"/>
              </w:rPr>
              <w:t>and/or MDCC Chair</w:t>
            </w:r>
          </w:p>
        </w:tc>
        <w:tc>
          <w:tcPr>
            <w:tcW w:w="2680" w:type="dxa"/>
            <w:vAlign w:val="bottom"/>
          </w:tcPr>
          <w:p>
            <w:pPr>
              <w:ind w:left="140"/>
              <w:spacing w:after="0"/>
              <w:rPr>
                <w:sz w:val="20"/>
                <w:szCs w:val="20"/>
                <w:color w:val="auto"/>
              </w:rPr>
            </w:pPr>
            <w:r>
              <w:rPr>
                <w:rFonts w:ascii="Arial" w:cs="Arial" w:eastAsia="Arial" w:hAnsi="Arial"/>
                <w:sz w:val="16"/>
                <w:szCs w:val="16"/>
                <w:color w:val="auto"/>
              </w:rPr>
              <w:t>Meeting</w:t>
            </w:r>
          </w:p>
        </w:tc>
      </w:tr>
    </w:tbl>
    <w:p>
      <w:pPr>
        <w:spacing w:after="0" w:line="188" w:lineRule="exact"/>
        <w:rPr>
          <w:sz w:val="20"/>
          <w:szCs w:val="20"/>
          <w:color w:val="auto"/>
        </w:rPr>
      </w:pPr>
    </w:p>
    <w:p>
      <w:pPr>
        <w:sectPr>
          <w:pgSz w:w="11900" w:h="16838" w:orient="portrait"/>
          <w:cols w:equalWidth="0" w:num="2">
            <w:col w:w="2400" w:space="560"/>
            <w:col w:w="8280"/>
          </w:cols>
          <w:pgMar w:left="320" w:top="230" w:right="339" w:bottom="1440" w:gutter="0" w:footer="0" w:header="0"/>
          <w:type w:val="continuous"/>
        </w:sectPr>
      </w:pPr>
    </w:p>
    <w:p>
      <w:pPr>
        <w:ind w:right="220"/>
        <w:spacing w:after="0" w:line="258" w:lineRule="auto"/>
        <w:rPr>
          <w:sz w:val="20"/>
          <w:szCs w:val="20"/>
          <w:color w:val="auto"/>
        </w:rPr>
      </w:pPr>
      <w:r>
        <w:rPr>
          <w:rFonts w:ascii="Arial" w:cs="Arial" w:eastAsia="Arial" w:hAnsi="Arial"/>
          <w:sz w:val="16"/>
          <w:szCs w:val="16"/>
          <w:color w:val="auto"/>
        </w:rPr>
        <w:t>We value the ongoing feedback that we receive from our shareowners on executive compensation matters, including the feedback reflected in our annual say-on-pay votes. The MDCC regularly considers feedback received on our compensation programs and market practices. At our 2025 Annual Meeting, more than 93% of the votes cast by our shareowners approved our say-on-pay proposal. We meet with our shareowners twice a year to understand the executive compensation topics that matter most to them and to seek their views on our existing policies and practices (please see “Shareowner Outreach and Engagement” on page 28 for more details). Investors we engaged with during 2025 reacted positively to our pay governance and executive compensation programs and overall indicated that they view our compensation programs as appropriately structured, including our pay mix and transparency as disclosed in our Proxy Statement. We consider the input of our shareowners, along with emerging best practices, to ensure our executive pay programs remain aligned with shareowner objectives. We welcome feedback regarding our executive compensation programs and will continue to engage with our shareowners in 2026.</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We strive to continuously improve our compensation program to drive strong alignment with Company performance and with our shareowners’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012305" cy="13544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012305" cy="1354455"/>
                    </a:xfrm>
                    <a:prstGeom prst="rect">
                      <a:avLst/>
                    </a:prstGeom>
                    <a:noFill/>
                  </pic:spPr>
                </pic:pic>
              </a:graphicData>
            </a:graphic>
          </wp:anchor>
        </w:drawing>
      </w:r>
    </w:p>
    <w:p>
      <w:pPr>
        <w:spacing w:after="0" w:line="3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FFFFFF"/>
        </w:rPr>
        <w:t>PAY FOR PERFORMANCE ALIGNMENT</w:t>
      </w:r>
    </w:p>
    <w:p>
      <w:pPr>
        <w:spacing w:after="0" w:line="324" w:lineRule="exact"/>
        <w:rPr>
          <w:sz w:val="20"/>
          <w:szCs w:val="20"/>
          <w:color w:val="auto"/>
        </w:rPr>
      </w:pPr>
    </w:p>
    <w:p>
      <w:pPr>
        <w:ind w:left="160" w:right="520"/>
        <w:spacing w:after="0" w:line="275" w:lineRule="auto"/>
        <w:rPr>
          <w:sz w:val="20"/>
          <w:szCs w:val="20"/>
          <w:color w:val="auto"/>
        </w:rPr>
      </w:pPr>
      <w:r>
        <w:rPr>
          <w:rFonts w:ascii="Arial" w:cs="Arial" w:eastAsia="Arial" w:hAnsi="Arial"/>
          <w:sz w:val="16"/>
          <w:szCs w:val="16"/>
          <w:color w:val="auto"/>
        </w:rPr>
        <w:t>The Board and MDCC remain committed to aligning pay with performance, and our pay decisions and outcomes for 2025 reflect that commitment. 2025 was a year of transformation with the successful Solstice Advanced Materials spin-off, the announcement of the Aerospace spin-off, and other portfolio-shaping activities as described below.</w:t>
      </w:r>
    </w:p>
    <w:p>
      <w:pPr>
        <w:spacing w:after="0" w:line="56" w:lineRule="exact"/>
        <w:rPr>
          <w:sz w:val="20"/>
          <w:szCs w:val="20"/>
          <w:color w:val="auto"/>
        </w:rPr>
      </w:pPr>
    </w:p>
    <w:p>
      <w:pPr>
        <w:jc w:val="both"/>
        <w:ind w:left="160" w:right="420"/>
        <w:spacing w:after="0" w:line="275" w:lineRule="auto"/>
        <w:rPr>
          <w:sz w:val="20"/>
          <w:szCs w:val="20"/>
          <w:color w:val="auto"/>
        </w:rPr>
      </w:pPr>
      <w:r>
        <w:rPr>
          <w:rFonts w:ascii="Arial" w:cs="Arial" w:eastAsia="Arial" w:hAnsi="Arial"/>
          <w:sz w:val="16"/>
          <w:szCs w:val="16"/>
          <w:color w:val="auto"/>
        </w:rPr>
        <w:t>While current year operating performance was strong, current and three-year total shareowner return (TSR) was substantially lower than the median of our compensation peer group and XLI. As a result, the payout for the corporate officers' 2023-25 performance stock units under Honeywell's Long-Term Incentive program was substantially below target at 59% of target value in accordance with the awards' formulaic approach.</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2026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55</w:t>
            </w:r>
          </w:p>
        </w:tc>
      </w:tr>
      <w:tr>
        <w:trPr>
          <w:trHeight w:val="373"/>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3"/>
          <w:szCs w:val="13"/>
          <w:b w:val="1"/>
          <w:bCs w:val="1"/>
          <w:color w:val="6D6E71"/>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FORMING STANDALONE LEADERS IN AEROSPACE AND AUTOMATION</w:t>
      </w:r>
    </w:p>
    <w:p>
      <w:pPr>
        <w:spacing w:after="0" w:line="114"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auto"/>
        </w:rPr>
        <w:t>In February 2025, we announced plans to separate into three industry-leading public companies — Honeywell, Honeywell Aerospace, and Solstice Advanced Materials. These companies will have dedicated strategies, operational independence, and tailored capital deployment, enabling each respective management team to fully focus on the opportunities and investment needs of each business. We expect to complete the final step of these tax-free separations for Honeywell shareowners in the third quarter of 2026 when we spin off Honeywell Aerospace. Below we provide more on the strategic rationale for the separations.</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D7282F"/>
        </w:rPr>
        <w:t>THE TIME IS RIGHT</w:t>
      </w:r>
    </w:p>
    <w:p>
      <w:pPr>
        <w:spacing w:after="0" w:line="112" w:lineRule="exact"/>
        <w:rPr>
          <w:sz w:val="20"/>
          <w:szCs w:val="20"/>
          <w:color w:val="auto"/>
        </w:rPr>
      </w:pPr>
    </w:p>
    <w:p>
      <w:pPr>
        <w:ind w:left="200" w:hanging="192"/>
        <w:spacing w:after="0"/>
        <w:tabs>
          <w:tab w:leader="none" w:pos="200" w:val="left"/>
        </w:tabs>
        <w:numPr>
          <w:ilvl w:val="0"/>
          <w:numId w:val="130"/>
        </w:numPr>
        <w:rPr>
          <w:rFonts w:ascii="Arial" w:cs="Arial" w:eastAsia="Arial" w:hAnsi="Arial"/>
          <w:sz w:val="16"/>
          <w:szCs w:val="16"/>
          <w:b w:val="1"/>
          <w:bCs w:val="1"/>
          <w:color w:val="D7282F"/>
        </w:rPr>
      </w:pPr>
      <w:r>
        <w:rPr>
          <w:rFonts w:ascii="Arial" w:cs="Arial" w:eastAsia="Arial" w:hAnsi="Arial"/>
          <w:sz w:val="16"/>
          <w:szCs w:val="16"/>
          <w:b w:val="1"/>
          <w:bCs w:val="1"/>
          <w:color w:val="auto"/>
        </w:rPr>
        <w:t xml:space="preserve">Operational transformations: </w:t>
      </w:r>
      <w:r>
        <w:rPr>
          <w:rFonts w:ascii="Arial" w:cs="Arial" w:eastAsia="Arial" w:hAnsi="Arial"/>
          <w:sz w:val="16"/>
          <w:szCs w:val="16"/>
          <w:color w:val="auto"/>
        </w:rPr>
        <w:t>Streamlined, digitalized backbone and integrated supply chains.</w:t>
      </w:r>
    </w:p>
    <w:p>
      <w:pPr>
        <w:spacing w:after="0" w:line="86" w:lineRule="exact"/>
        <w:rPr>
          <w:rFonts w:ascii="Arial" w:cs="Arial" w:eastAsia="Arial" w:hAnsi="Arial"/>
          <w:sz w:val="16"/>
          <w:szCs w:val="16"/>
          <w:b w:val="1"/>
          <w:bCs w:val="1"/>
          <w:color w:val="D7282F"/>
        </w:rPr>
      </w:pPr>
    </w:p>
    <w:p>
      <w:pPr>
        <w:ind w:left="200" w:hanging="192"/>
        <w:spacing w:after="0"/>
        <w:tabs>
          <w:tab w:leader="none" w:pos="200" w:val="left"/>
        </w:tabs>
        <w:numPr>
          <w:ilvl w:val="0"/>
          <w:numId w:val="130"/>
        </w:numPr>
        <w:rPr>
          <w:rFonts w:ascii="Arial" w:cs="Arial" w:eastAsia="Arial" w:hAnsi="Arial"/>
          <w:sz w:val="16"/>
          <w:szCs w:val="16"/>
          <w:b w:val="1"/>
          <w:bCs w:val="1"/>
          <w:color w:val="D7282F"/>
        </w:rPr>
      </w:pPr>
      <w:r>
        <w:rPr>
          <w:rFonts w:ascii="Arial" w:cs="Arial" w:eastAsia="Arial" w:hAnsi="Arial"/>
          <w:sz w:val="16"/>
          <w:szCs w:val="16"/>
          <w:b w:val="1"/>
          <w:bCs w:val="1"/>
          <w:color w:val="auto"/>
        </w:rPr>
        <w:t xml:space="preserve">Portfolio optimization progress: </w:t>
      </w:r>
      <w:r>
        <w:rPr>
          <w:rFonts w:ascii="Arial" w:cs="Arial" w:eastAsia="Arial" w:hAnsi="Arial"/>
          <w:sz w:val="16"/>
          <w:szCs w:val="16"/>
          <w:color w:val="auto"/>
        </w:rPr>
        <w:t>Business re-segmentation; strategic bolt-ons and non-core pruning.</w:t>
      </w:r>
    </w:p>
    <w:p>
      <w:pPr>
        <w:spacing w:after="0" w:line="86" w:lineRule="exact"/>
        <w:rPr>
          <w:rFonts w:ascii="Arial" w:cs="Arial" w:eastAsia="Arial" w:hAnsi="Arial"/>
          <w:sz w:val="16"/>
          <w:szCs w:val="16"/>
          <w:b w:val="1"/>
          <w:bCs w:val="1"/>
          <w:color w:val="D7282F"/>
        </w:rPr>
      </w:pPr>
    </w:p>
    <w:p>
      <w:pPr>
        <w:ind w:left="200" w:hanging="192"/>
        <w:spacing w:after="0"/>
        <w:tabs>
          <w:tab w:leader="none" w:pos="200" w:val="left"/>
        </w:tabs>
        <w:numPr>
          <w:ilvl w:val="0"/>
          <w:numId w:val="130"/>
        </w:numPr>
        <w:rPr>
          <w:rFonts w:ascii="Arial" w:cs="Arial" w:eastAsia="Arial" w:hAnsi="Arial"/>
          <w:sz w:val="16"/>
          <w:szCs w:val="16"/>
          <w:b w:val="1"/>
          <w:bCs w:val="1"/>
          <w:color w:val="D7282F"/>
        </w:rPr>
      </w:pPr>
      <w:r>
        <w:rPr>
          <w:rFonts w:ascii="Arial" w:cs="Arial" w:eastAsia="Arial" w:hAnsi="Arial"/>
          <w:sz w:val="16"/>
          <w:szCs w:val="16"/>
          <w:b w:val="1"/>
          <w:bCs w:val="1"/>
          <w:color w:val="auto"/>
        </w:rPr>
        <w:t xml:space="preserve">Best-in-class operating playbook: </w:t>
      </w:r>
      <w:r>
        <w:rPr>
          <w:rFonts w:ascii="Arial" w:cs="Arial" w:eastAsia="Arial" w:hAnsi="Arial"/>
          <w:sz w:val="16"/>
          <w:szCs w:val="16"/>
          <w:color w:val="auto"/>
        </w:rPr>
        <w:t>Mature Accelerator operating system fostering a culture of execution and rigor.</w:t>
      </w:r>
    </w:p>
    <w:p>
      <w:pPr>
        <w:spacing w:after="0" w:line="72" w:lineRule="exact"/>
        <w:rPr>
          <w:rFonts w:ascii="Arial" w:cs="Arial" w:eastAsia="Arial" w:hAnsi="Arial"/>
          <w:sz w:val="16"/>
          <w:szCs w:val="16"/>
          <w:b w:val="1"/>
          <w:bCs w:val="1"/>
          <w:color w:val="D7282F"/>
        </w:rPr>
      </w:pPr>
    </w:p>
    <w:p>
      <w:pPr>
        <w:ind w:left="200" w:hanging="192"/>
        <w:spacing w:after="0"/>
        <w:tabs>
          <w:tab w:leader="none" w:pos="200" w:val="left"/>
        </w:tabs>
        <w:numPr>
          <w:ilvl w:val="0"/>
          <w:numId w:val="130"/>
        </w:numPr>
        <w:rPr>
          <w:rFonts w:ascii="Arial" w:cs="Arial" w:eastAsia="Arial" w:hAnsi="Arial"/>
          <w:sz w:val="16"/>
          <w:szCs w:val="16"/>
          <w:b w:val="1"/>
          <w:bCs w:val="1"/>
          <w:color w:val="D7282F"/>
        </w:rPr>
      </w:pPr>
      <w:r>
        <w:rPr>
          <w:rFonts w:ascii="Arial" w:cs="Arial" w:eastAsia="Arial" w:hAnsi="Arial"/>
          <w:sz w:val="16"/>
          <w:szCs w:val="16"/>
          <w:b w:val="1"/>
          <w:bCs w:val="1"/>
          <w:color w:val="auto"/>
        </w:rPr>
        <w:t xml:space="preserve">Divergence of business strategies: </w:t>
      </w:r>
      <w:r>
        <w:rPr>
          <w:rFonts w:ascii="Arial" w:cs="Arial" w:eastAsia="Arial" w:hAnsi="Arial"/>
          <w:sz w:val="16"/>
          <w:szCs w:val="16"/>
          <w:color w:val="auto"/>
        </w:rPr>
        <w:t>Differing end market dynamics / strategic choices requiring independent go-forward paths.</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D7282F"/>
        </w:rPr>
        <w:t>RATIONALE FOR SEPARATION</w:t>
      </w:r>
    </w:p>
    <w:p>
      <w:pPr>
        <w:spacing w:after="0" w:line="99" w:lineRule="exact"/>
        <w:rPr>
          <w:sz w:val="20"/>
          <w:szCs w:val="20"/>
          <w:color w:val="auto"/>
        </w:rPr>
      </w:pPr>
    </w:p>
    <w:p>
      <w:pPr>
        <w:ind w:left="200" w:right="40" w:hanging="192"/>
        <w:spacing w:after="0" w:line="286" w:lineRule="auto"/>
        <w:tabs>
          <w:tab w:leader="none" w:pos="197" w:val="left"/>
        </w:tabs>
        <w:numPr>
          <w:ilvl w:val="0"/>
          <w:numId w:val="131"/>
        </w:numPr>
        <w:rPr>
          <w:rFonts w:ascii="Arial" w:cs="Arial" w:eastAsia="Arial" w:hAnsi="Arial"/>
          <w:sz w:val="16"/>
          <w:szCs w:val="16"/>
          <w:b w:val="1"/>
          <w:bCs w:val="1"/>
          <w:color w:val="D7282F"/>
        </w:rPr>
      </w:pPr>
      <w:r>
        <w:rPr>
          <w:rFonts w:ascii="Arial" w:cs="Arial" w:eastAsia="Arial" w:hAnsi="Arial"/>
          <w:sz w:val="16"/>
          <w:szCs w:val="16"/>
          <w:b w:val="1"/>
          <w:bCs w:val="1"/>
          <w:color w:val="auto"/>
        </w:rPr>
        <w:t xml:space="preserve">Strategic: </w:t>
      </w:r>
      <w:r>
        <w:rPr>
          <w:rFonts w:ascii="Arial" w:cs="Arial" w:eastAsia="Arial" w:hAnsi="Arial"/>
          <w:sz w:val="16"/>
          <w:szCs w:val="16"/>
          <w:color w:val="auto"/>
        </w:rPr>
        <w:t>Singular focus providing clear alignment in Company purpose and incentives; greater end market intimacy and faster reaction time to changing</w:t>
      </w:r>
      <w:r>
        <w:rPr>
          <w:rFonts w:ascii="Arial" w:cs="Arial" w:eastAsia="Arial" w:hAnsi="Arial"/>
          <w:sz w:val="16"/>
          <w:szCs w:val="16"/>
          <w:b w:val="1"/>
          <w:bCs w:val="1"/>
          <w:color w:val="auto"/>
        </w:rPr>
        <w:t xml:space="preserve"> </w:t>
      </w:r>
      <w:r>
        <w:rPr>
          <w:rFonts w:ascii="Arial" w:cs="Arial" w:eastAsia="Arial" w:hAnsi="Arial"/>
          <w:sz w:val="16"/>
          <w:szCs w:val="16"/>
          <w:color w:val="auto"/>
        </w:rPr>
        <w:t>market dynamics.</w:t>
      </w:r>
    </w:p>
    <w:p>
      <w:pPr>
        <w:spacing w:after="0" w:line="7" w:lineRule="exact"/>
        <w:rPr>
          <w:rFonts w:ascii="Arial" w:cs="Arial" w:eastAsia="Arial" w:hAnsi="Arial"/>
          <w:sz w:val="16"/>
          <w:szCs w:val="16"/>
          <w:b w:val="1"/>
          <w:bCs w:val="1"/>
          <w:color w:val="D7282F"/>
        </w:rPr>
      </w:pPr>
    </w:p>
    <w:p>
      <w:pPr>
        <w:ind w:left="200" w:right="560" w:hanging="192"/>
        <w:spacing w:after="0" w:line="286" w:lineRule="auto"/>
        <w:tabs>
          <w:tab w:leader="none" w:pos="197" w:val="left"/>
        </w:tabs>
        <w:numPr>
          <w:ilvl w:val="0"/>
          <w:numId w:val="131"/>
        </w:numPr>
        <w:rPr>
          <w:rFonts w:ascii="Arial" w:cs="Arial" w:eastAsia="Arial" w:hAnsi="Arial"/>
          <w:sz w:val="16"/>
          <w:szCs w:val="16"/>
          <w:b w:val="1"/>
          <w:bCs w:val="1"/>
          <w:color w:val="D7282F"/>
        </w:rPr>
      </w:pPr>
      <w:r>
        <w:rPr>
          <w:rFonts w:ascii="Arial" w:cs="Arial" w:eastAsia="Arial" w:hAnsi="Arial"/>
          <w:sz w:val="16"/>
          <w:szCs w:val="16"/>
          <w:b w:val="1"/>
          <w:bCs w:val="1"/>
          <w:color w:val="auto"/>
        </w:rPr>
        <w:t xml:space="preserve">Operational: </w:t>
      </w:r>
      <w:r>
        <w:rPr>
          <w:rFonts w:ascii="Arial" w:cs="Arial" w:eastAsia="Arial" w:hAnsi="Arial"/>
          <w:sz w:val="16"/>
          <w:szCs w:val="16"/>
          <w:color w:val="auto"/>
        </w:rPr>
        <w:t>Enhanced organizational agility, greater accountability, and simplified decision-making; dedicated boards with highly relevant domain</w:t>
      </w:r>
      <w:r>
        <w:rPr>
          <w:rFonts w:ascii="Arial" w:cs="Arial" w:eastAsia="Arial" w:hAnsi="Arial"/>
          <w:sz w:val="16"/>
          <w:szCs w:val="16"/>
          <w:b w:val="1"/>
          <w:bCs w:val="1"/>
          <w:color w:val="auto"/>
        </w:rPr>
        <w:t xml:space="preserve"> </w:t>
      </w:r>
      <w:r>
        <w:rPr>
          <w:rFonts w:ascii="Arial" w:cs="Arial" w:eastAsia="Arial" w:hAnsi="Arial"/>
          <w:sz w:val="16"/>
          <w:szCs w:val="16"/>
          <w:color w:val="auto"/>
        </w:rPr>
        <w:t>expertise.</w:t>
      </w:r>
    </w:p>
    <w:p>
      <w:pPr>
        <w:spacing w:after="0" w:line="7" w:lineRule="exact"/>
        <w:rPr>
          <w:rFonts w:ascii="Arial" w:cs="Arial" w:eastAsia="Arial" w:hAnsi="Arial"/>
          <w:sz w:val="16"/>
          <w:szCs w:val="16"/>
          <w:b w:val="1"/>
          <w:bCs w:val="1"/>
          <w:color w:val="D7282F"/>
        </w:rPr>
      </w:pPr>
    </w:p>
    <w:p>
      <w:pPr>
        <w:ind w:left="200" w:hanging="192"/>
        <w:spacing w:after="0" w:line="286" w:lineRule="auto"/>
        <w:tabs>
          <w:tab w:leader="none" w:pos="197" w:val="left"/>
        </w:tabs>
        <w:numPr>
          <w:ilvl w:val="0"/>
          <w:numId w:val="131"/>
        </w:numPr>
        <w:rPr>
          <w:rFonts w:ascii="Arial" w:cs="Arial" w:eastAsia="Arial" w:hAnsi="Arial"/>
          <w:sz w:val="16"/>
          <w:szCs w:val="16"/>
          <w:b w:val="1"/>
          <w:bCs w:val="1"/>
          <w:color w:val="D7282F"/>
        </w:rPr>
      </w:pPr>
      <w:r>
        <w:rPr>
          <w:rFonts w:ascii="Arial" w:cs="Arial" w:eastAsia="Arial" w:hAnsi="Arial"/>
          <w:sz w:val="16"/>
          <w:szCs w:val="16"/>
          <w:b w:val="1"/>
          <w:bCs w:val="1"/>
          <w:color w:val="auto"/>
        </w:rPr>
        <w:t xml:space="preserve">Financial: </w:t>
      </w:r>
      <w:r>
        <w:rPr>
          <w:rFonts w:ascii="Arial" w:cs="Arial" w:eastAsia="Arial" w:hAnsi="Arial"/>
          <w:sz w:val="16"/>
          <w:szCs w:val="16"/>
          <w:color w:val="auto"/>
        </w:rPr>
        <w:t>Investor base aligned with each company’s distinct and compelling investment profiles; improved ability to customize capital allocation priorities</w:t>
      </w:r>
      <w:r>
        <w:rPr>
          <w:rFonts w:ascii="Arial" w:cs="Arial" w:eastAsia="Arial" w:hAnsi="Arial"/>
          <w:sz w:val="16"/>
          <w:szCs w:val="16"/>
          <w:b w:val="1"/>
          <w:bCs w:val="1"/>
          <w:color w:val="auto"/>
        </w:rPr>
        <w:t xml:space="preserve"> </w:t>
      </w:r>
      <w:r>
        <w:rPr>
          <w:rFonts w:ascii="Arial" w:cs="Arial" w:eastAsia="Arial" w:hAnsi="Arial"/>
          <w:sz w:val="16"/>
          <w:szCs w:val="16"/>
          <w:color w:val="auto"/>
        </w:rPr>
        <w:t>aligned with strategic focus.</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D7282F"/>
        </w:rPr>
        <w:t>PORTFOLIO OPTIMIZATION AND STRATEGIC CAPITAL DEPLOYMENT</w:t>
      </w:r>
    </w:p>
    <w:p>
      <w:pPr>
        <w:spacing w:after="0" w:line="126"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Portfolio optimization and capital deployment remain a central focus for Honeywell, as evidenced by the separation and segment realignment announcements that we made during 2025 as well as the numerous acquisitions that we announced and/or completed. We continued to deploy significant capital in 2025, totaling $10.0 billion to M&amp;A, dividends, share repurchases, and capital expenditures, resulting in $32 billion since 2023, well above our commitment to deploy at least $25 billion in capital from 2023 to 2025. In fact, we have deployed $12 billion towards M&amp;A since 2023 via a disciplined framework, targeting opportunities that align with our core strategies, adding value to our existing business, and further fortifying our growth-oriented portfolio. We have also applied this approach to strategic portfolio pruning where business model fit is limited, particularly with assets that have less opportunity to drive recurring, connected, and aftermarket offerings.</w:t>
      </w:r>
    </w:p>
    <w:p>
      <w:pPr>
        <w:spacing w:after="0" w:line="68"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Our R&amp;D investments have been pivotal in driving strong growth in new product introductions that not only sustain our core business but also generate incremental decoupled revenue streams, and we invested 4.8% of sales on research and development in 2025, an increase from 4.2% in 2024. By focusing on innovation, we are developing advanced technologies and solutions that meet evolving customer needs, enhance operational efficiencies, and deliver additional value. We are excited about the recent execution on our portfolio optimization goals that will ultimately lead to enhanced financial performance and improved shareowner value. More detail on the important portfolio transformation and capital deployment milestones is included on page 7.</w:t>
      </w:r>
    </w:p>
    <w:p>
      <w:pPr>
        <w:spacing w:after="0" w:line="218"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sz w:val="1"/>
          <w:szCs w:val="1"/>
          <w:color w:val="auto"/>
        </w:rPr>
        <w:drawing>
          <wp:inline distT="0" distB="0" distL="0" distR="0">
            <wp:extent cx="548640" cy="102870"/>
            <wp:effectExtent l="0" t="0" r="0" b="0"/>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2026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247015</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3"/>
          <w:szCs w:val="13"/>
          <w:b w:val="1"/>
          <w:bCs w:val="1"/>
          <w:color w:val="6D6E71"/>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619125</wp:posOffset>
            </wp:positionV>
            <wp:extent cx="7132320" cy="537464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32320" cy="5374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FFFFFF"/>
        </w:rPr>
        <w:t>IMPACT OF SPIN-OFFS AND OTHER PORTFOLIO TRANSFORMATION ON EXECUTIVE COMPENSATION</w:t>
      </w:r>
    </w:p>
    <w:p>
      <w:pPr>
        <w:spacing w:after="0" w:line="324" w:lineRule="exact"/>
        <w:rPr>
          <w:sz w:val="20"/>
          <w:szCs w:val="20"/>
          <w:color w:val="auto"/>
        </w:rPr>
      </w:pPr>
    </w:p>
    <w:p>
      <w:pPr>
        <w:ind w:left="160" w:right="520"/>
        <w:spacing w:after="0" w:line="286" w:lineRule="auto"/>
        <w:rPr>
          <w:sz w:val="20"/>
          <w:szCs w:val="20"/>
          <w:color w:val="auto"/>
        </w:rPr>
      </w:pPr>
      <w:r>
        <w:rPr>
          <w:rFonts w:ascii="Arial" w:cs="Arial" w:eastAsia="Arial" w:hAnsi="Arial"/>
          <w:sz w:val="16"/>
          <w:szCs w:val="16"/>
          <w:color w:val="auto"/>
        </w:rPr>
        <w:t>Although 2026 compensation design would normally be disclosed in our 2027 Proxy Statement, in the spirit of shareowner transparency, the MDCC determined it would be helpful to shareowners to describe the design in this year's proxy statement.</w:t>
      </w:r>
    </w:p>
    <w:p>
      <w:pPr>
        <w:spacing w:after="0" w:line="61" w:lineRule="exact"/>
        <w:rPr>
          <w:sz w:val="20"/>
          <w:szCs w:val="20"/>
          <w:color w:val="auto"/>
        </w:rPr>
      </w:pPr>
    </w:p>
    <w:p>
      <w:pPr>
        <w:ind w:left="160" w:right="260"/>
        <w:spacing w:after="0" w:line="261" w:lineRule="auto"/>
        <w:rPr>
          <w:sz w:val="20"/>
          <w:szCs w:val="20"/>
          <w:color w:val="auto"/>
        </w:rPr>
      </w:pPr>
      <w:r>
        <w:rPr>
          <w:rFonts w:ascii="Arial" w:cs="Arial" w:eastAsia="Arial" w:hAnsi="Arial"/>
          <w:sz w:val="16"/>
          <w:szCs w:val="16"/>
          <w:color w:val="auto"/>
        </w:rPr>
        <w:t>The Honeywell Board and MDCC remain committed to aligning pay with performance, including a firm belief that, in the ordinary course, a significant portion of our regular annual LTI opportunities generally should consist of performance stock unit (PSU) awards with multi-year financial targets. However, with the expected spin-off of Honeywell Aerospace in the third quarter of 2026 and other ongoing portfolio optimization projects (as described above), taking into consideration that these transactions will significantly transform our business portfolio, the MDCC approved a simplified and streamlined ICP and LTI structure for 2026. Assuming the anticipated spin-off of Honeywell Aerospace, the Board and MDCC will undertake a fresh review of the appropriate design for 2027 and other future Incentive Compensation and Long Term Incentive awards.</w:t>
      </w:r>
    </w:p>
    <w:p>
      <w:pPr>
        <w:spacing w:after="0" w:line="68" w:lineRule="exact"/>
        <w:rPr>
          <w:sz w:val="20"/>
          <w:szCs w:val="20"/>
          <w:color w:val="auto"/>
        </w:rPr>
      </w:pPr>
    </w:p>
    <w:p>
      <w:pPr>
        <w:ind w:left="160" w:right="360"/>
        <w:spacing w:after="0" w:line="304" w:lineRule="auto"/>
        <w:rPr>
          <w:sz w:val="20"/>
          <w:szCs w:val="20"/>
          <w:color w:val="auto"/>
        </w:rPr>
      </w:pPr>
      <w:r>
        <w:rPr>
          <w:rFonts w:ascii="Arial" w:cs="Arial" w:eastAsia="Arial" w:hAnsi="Arial"/>
          <w:sz w:val="16"/>
          <w:szCs w:val="16"/>
          <w:color w:val="auto"/>
        </w:rPr>
        <w:t>A description of the streamlined 2026 award structure is described below. The changes simplify the compensation program for 2026 while maintaining alignment with shareowner interests in the year of the spin-off of Honeywell Aerospace.</w:t>
      </w:r>
    </w:p>
    <w:p>
      <w:pPr>
        <w:spacing w:after="0" w:line="74"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Long Term Incentives (LTI)</w:t>
      </w:r>
    </w:p>
    <w:p>
      <w:pPr>
        <w:spacing w:after="0" w:line="113" w:lineRule="exact"/>
        <w:rPr>
          <w:sz w:val="20"/>
          <w:szCs w:val="20"/>
          <w:color w:val="auto"/>
        </w:rPr>
      </w:pPr>
    </w:p>
    <w:p>
      <w:pPr>
        <w:ind w:left="160" w:right="320"/>
        <w:spacing w:after="0" w:line="286" w:lineRule="auto"/>
        <w:rPr>
          <w:sz w:val="20"/>
          <w:szCs w:val="20"/>
          <w:color w:val="auto"/>
        </w:rPr>
      </w:pPr>
      <w:r>
        <w:rPr>
          <w:rFonts w:ascii="Arial" w:cs="Arial" w:eastAsia="Arial" w:hAnsi="Arial"/>
          <w:sz w:val="16"/>
          <w:szCs w:val="16"/>
          <w:color w:val="auto"/>
        </w:rPr>
        <w:t>After thorough analysis of various options, the MDCC determined that for 2026, rather than PSUs, an equal mix of Stock Options and Restricted Stock Units provides the best balance between executive retention and alignment with shareowner interests, in light of the expected Aerospace spin-off.</w:t>
      </w:r>
    </w:p>
    <w:p>
      <w:pPr>
        <w:spacing w:after="0" w:line="61" w:lineRule="exact"/>
        <w:rPr>
          <w:sz w:val="20"/>
          <w:szCs w:val="20"/>
          <w:color w:val="auto"/>
        </w:rPr>
      </w:pPr>
    </w:p>
    <w:p>
      <w:pPr>
        <w:ind w:left="160" w:right="240"/>
        <w:spacing w:after="0" w:line="260" w:lineRule="auto"/>
        <w:rPr>
          <w:sz w:val="20"/>
          <w:szCs w:val="20"/>
          <w:color w:val="auto"/>
        </w:rPr>
      </w:pPr>
      <w:r>
        <w:rPr>
          <w:rFonts w:ascii="Arial" w:cs="Arial" w:eastAsia="Arial" w:hAnsi="Arial"/>
          <w:sz w:val="16"/>
          <w:szCs w:val="16"/>
          <w:color w:val="auto"/>
        </w:rPr>
        <w:t>Taking into consideration that portfolio optimization transactions will significantly transform our business portfolio, the MDCC chose not to grant PSUs in early 2026, as it was not practical to establish three-year performance goals due to the major structural changes associated with the Honeywell Aerospace spin-off and other portfolio optimization activities. At this point of the transformation, the MDCC viewed three-year target-setting as too inexact given the remaining uncertainties associated with the ongoing portfolio changes; such target-setting would lack the rigor and clarity that the MDCC believes is appropriate for PSUs.</w:t>
      </w:r>
    </w:p>
    <w:p>
      <w:pPr>
        <w:spacing w:after="0" w:line="83" w:lineRule="exact"/>
        <w:rPr>
          <w:sz w:val="20"/>
          <w:szCs w:val="20"/>
          <w:color w:val="auto"/>
        </w:rPr>
      </w:pPr>
    </w:p>
    <w:p>
      <w:pPr>
        <w:ind w:left="160" w:right="260"/>
        <w:spacing w:after="0" w:line="266" w:lineRule="auto"/>
        <w:rPr>
          <w:sz w:val="20"/>
          <w:szCs w:val="20"/>
          <w:color w:val="auto"/>
        </w:rPr>
      </w:pPr>
      <w:r>
        <w:rPr>
          <w:rFonts w:ascii="Arial" w:cs="Arial" w:eastAsia="Arial" w:hAnsi="Arial"/>
          <w:sz w:val="16"/>
          <w:szCs w:val="16"/>
          <w:color w:val="auto"/>
        </w:rPr>
        <w:t>2026 LTI awards (granted in February 2026) consisted of Stock Options (50%) and RSUs (50%), which will vest over four years, with RSUs having an additional one-year holding requirement after the vesting period. The MDCC considers stock options to be performance-based awards and aligned with shareowner interest in unlocking shareowner value through the Honeywell Aerospace spin-off and other portfolio optimization activities.</w:t>
      </w:r>
    </w:p>
    <w:p>
      <w:pPr>
        <w:spacing w:after="0" w:line="77" w:lineRule="exact"/>
        <w:rPr>
          <w:sz w:val="20"/>
          <w:szCs w:val="20"/>
          <w:color w:val="auto"/>
        </w:rPr>
      </w:pPr>
    </w:p>
    <w:p>
      <w:pPr>
        <w:ind w:left="160" w:right="380"/>
        <w:spacing w:after="0" w:line="286" w:lineRule="auto"/>
        <w:rPr>
          <w:sz w:val="20"/>
          <w:szCs w:val="20"/>
          <w:color w:val="auto"/>
        </w:rPr>
      </w:pPr>
      <w:r>
        <w:rPr>
          <w:rFonts w:ascii="Arial" w:cs="Arial" w:eastAsia="Arial" w:hAnsi="Arial"/>
          <w:sz w:val="16"/>
          <w:szCs w:val="16"/>
          <w:color w:val="auto"/>
        </w:rPr>
        <w:t>The MDCC does not intend the removal of PSUs from the 2026 LTI program to be permanent and intends to reintroduce PSUs as a component of LTI awards in 2027.</w:t>
      </w:r>
    </w:p>
    <w:p>
      <w:pPr>
        <w:spacing w:after="0" w:line="61" w:lineRule="exact"/>
        <w:rPr>
          <w:sz w:val="20"/>
          <w:szCs w:val="20"/>
          <w:color w:val="auto"/>
        </w:rPr>
      </w:pPr>
    </w:p>
    <w:p>
      <w:pPr>
        <w:ind w:left="160" w:right="200"/>
        <w:spacing w:after="0" w:line="286" w:lineRule="auto"/>
        <w:rPr>
          <w:sz w:val="20"/>
          <w:szCs w:val="20"/>
          <w:color w:val="auto"/>
        </w:rPr>
      </w:pPr>
      <w:r>
        <w:rPr>
          <w:rFonts w:ascii="Arial" w:cs="Arial" w:eastAsia="Arial" w:hAnsi="Arial"/>
          <w:sz w:val="16"/>
          <w:szCs w:val="16"/>
          <w:color w:val="auto"/>
        </w:rPr>
        <w:t>As the 2024-2026 and 2025-2027 PSUs include Honeywell-wide performance goals that would no longer be measurable after the Honeywell Aerospace spin-off, performance for these awards will be determined utilizing performance for the period up to the Honeywell Aerospace spin-off.</w:t>
      </w:r>
    </w:p>
    <w:p>
      <w:pPr>
        <w:spacing w:after="0" w:line="48" w:lineRule="exact"/>
        <w:rPr>
          <w:sz w:val="20"/>
          <w:szCs w:val="20"/>
          <w:color w:val="auto"/>
        </w:rPr>
      </w:pPr>
    </w:p>
    <w:p>
      <w:pPr>
        <w:ind w:left="160" w:right="200"/>
        <w:spacing w:after="0" w:line="304" w:lineRule="auto"/>
        <w:rPr>
          <w:sz w:val="20"/>
          <w:szCs w:val="20"/>
          <w:color w:val="auto"/>
        </w:rPr>
      </w:pPr>
      <w:r>
        <w:rPr>
          <w:rFonts w:ascii="Arial" w:cs="Arial" w:eastAsia="Arial" w:hAnsi="Arial"/>
          <w:sz w:val="16"/>
          <w:szCs w:val="16"/>
          <w:color w:val="auto"/>
        </w:rPr>
        <w:t>Following the Honeywell Aerospace spin-off, these awards will remain eligible to vest on their original vesting dates, subject to the executive’s continued employment.</w:t>
      </w:r>
    </w:p>
    <w:p>
      <w:pPr>
        <w:spacing w:after="0" w:line="87"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Incentive Compensation Plan (ICP)</w:t>
      </w:r>
    </w:p>
    <w:p>
      <w:pPr>
        <w:spacing w:after="0" w:line="127" w:lineRule="exact"/>
        <w:rPr>
          <w:sz w:val="20"/>
          <w:szCs w:val="20"/>
          <w:color w:val="auto"/>
        </w:rPr>
      </w:pPr>
    </w:p>
    <w:p>
      <w:pPr>
        <w:ind w:left="160" w:right="180"/>
        <w:spacing w:after="0" w:line="265" w:lineRule="auto"/>
        <w:rPr>
          <w:sz w:val="20"/>
          <w:szCs w:val="20"/>
          <w:color w:val="auto"/>
        </w:rPr>
      </w:pPr>
      <w:r>
        <w:rPr>
          <w:rFonts w:ascii="Arial" w:cs="Arial" w:eastAsia="Arial" w:hAnsi="Arial"/>
          <w:sz w:val="16"/>
          <w:szCs w:val="16"/>
          <w:color w:val="auto"/>
        </w:rPr>
        <w:t>For 2026, the formulaic portion of Honeywell’s ICP funding for all of our NEOs will be calculated at a total Honeywell level. There will be no business unit performance goals as a part of the formulaic calculation for any of the NEOs. This change is being made to further incentivize our NEOs to achieve our organic growth goals, where greater end market intimacy and delivering a one Honeywell approach to our customers will be critical. The MDCC intends for this to be a permanent change.</w:t>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2026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57</w:t>
            </w:r>
          </w:p>
        </w:tc>
      </w:tr>
      <w:tr>
        <w:trPr>
          <w:trHeight w:val="373"/>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62" w:name="page63"/>
    <w:bookmarkEnd w:id="62"/>
    <w:p>
      <w:pPr>
        <w:spacing w:after="0"/>
        <w:rPr>
          <w:sz w:val="20"/>
          <w:szCs w:val="20"/>
          <w:color w:val="auto"/>
        </w:rPr>
      </w:pPr>
      <w:r>
        <w:rPr>
          <w:rFonts w:ascii="Arial" w:cs="Arial" w:eastAsia="Arial" w:hAnsi="Arial"/>
          <w:sz w:val="13"/>
          <w:szCs w:val="13"/>
          <w:b w:val="1"/>
          <w:bCs w:val="1"/>
          <w:color w:val="6D6E71"/>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COMPENSATION PRACTICES AND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107315</wp:posOffset>
            </wp:positionV>
            <wp:extent cx="8255" cy="23114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255" cy="231140"/>
                    </a:xfrm>
                    <a:prstGeom prst="rect">
                      <a:avLst/>
                    </a:prstGeom>
                    <a:noFill/>
                  </pic:spPr>
                </pic:pic>
              </a:graphicData>
            </a:graphic>
          </wp:anchor>
        </w:drawing>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5620" w:type="dxa"/>
            <w:vAlign w:val="bottom"/>
            <w:shd w:val="clear" w:color="auto" w:fill="D7282F"/>
          </w:tcPr>
          <w:p>
            <w:pPr>
              <w:ind w:left="160"/>
              <w:spacing w:after="0"/>
              <w:rPr>
                <w:sz w:val="20"/>
                <w:szCs w:val="20"/>
                <w:color w:val="auto"/>
              </w:rPr>
            </w:pPr>
            <w:r>
              <w:rPr>
                <w:rFonts w:ascii="Arial" w:cs="Arial" w:eastAsia="Arial" w:hAnsi="Arial"/>
                <w:sz w:val="17"/>
                <w:szCs w:val="17"/>
                <w:b w:val="1"/>
                <w:bCs w:val="1"/>
                <w:color w:val="FFFFFF"/>
              </w:rPr>
              <w:t>WHAT WE DO</w:t>
            </w:r>
          </w:p>
        </w:tc>
        <w:tc>
          <w:tcPr>
            <w:tcW w:w="5600" w:type="dxa"/>
            <w:vAlign w:val="bottom"/>
            <w:shd w:val="clear" w:color="auto" w:fill="000000"/>
          </w:tcPr>
          <w:p>
            <w:pPr>
              <w:ind w:left="160"/>
              <w:spacing w:after="0"/>
              <w:rPr>
                <w:sz w:val="20"/>
                <w:szCs w:val="20"/>
                <w:color w:val="auto"/>
              </w:rPr>
            </w:pPr>
            <w:r>
              <w:rPr>
                <w:rFonts w:ascii="Arial" w:cs="Arial" w:eastAsia="Arial" w:hAnsi="Arial"/>
                <w:sz w:val="17"/>
                <w:szCs w:val="17"/>
                <w:b w:val="1"/>
                <w:bCs w:val="1"/>
                <w:color w:val="FFFFFF"/>
              </w:rPr>
              <w:t>WHAT WE DON’T DO</w:t>
            </w:r>
          </w:p>
        </w:tc>
      </w:tr>
      <w:tr>
        <w:trPr>
          <w:trHeight w:val="71"/>
        </w:trPr>
        <w:tc>
          <w:tcPr>
            <w:tcW w:w="5620" w:type="dxa"/>
            <w:vAlign w:val="bottom"/>
            <w:shd w:val="clear" w:color="auto" w:fill="D7282F"/>
          </w:tcPr>
          <w:p>
            <w:pPr>
              <w:spacing w:after="0"/>
              <w:rPr>
                <w:sz w:val="6"/>
                <w:szCs w:val="6"/>
                <w:color w:val="auto"/>
              </w:rPr>
            </w:pPr>
          </w:p>
        </w:tc>
        <w:tc>
          <w:tcPr>
            <w:tcW w:w="5600" w:type="dxa"/>
            <w:vAlign w:val="bottom"/>
            <w:shd w:val="clear" w:color="auto" w:fill="000000"/>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0</wp:posOffset>
            </wp:positionV>
            <wp:extent cx="8255" cy="491172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8255" cy="4911725"/>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sectPr>
      </w:pPr>
    </w:p>
    <w:p>
      <w:pPr>
        <w:spacing w:after="0" w:line="121" w:lineRule="exact"/>
        <w:rPr>
          <w:sz w:val="20"/>
          <w:szCs w:val="20"/>
          <w:color w:val="auto"/>
        </w:rPr>
      </w:pPr>
    </w:p>
    <w:p>
      <w:pPr>
        <w:ind w:left="360" w:hanging="193"/>
        <w:spacing w:after="0"/>
        <w:rPr>
          <w:sz w:val="20"/>
          <w:szCs w:val="20"/>
          <w:color w:val="auto"/>
        </w:rPr>
      </w:pPr>
      <w:r>
        <w:rPr>
          <w:sz w:val="1"/>
          <w:szCs w:val="1"/>
          <w:color w:val="auto"/>
        </w:rPr>
        <w:drawing>
          <wp:inline distT="0" distB="0" distL="0" distR="0">
            <wp:extent cx="68580" cy="59690"/>
            <wp:effectExtent l="0" t="0" r="0" b="0"/>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b w:val="1"/>
          <w:bCs w:val="1"/>
          <w:color w:val="auto"/>
        </w:rPr>
        <w:t xml:space="preserve"> Pay for Performance. </w:t>
      </w:r>
      <w:r>
        <w:rPr>
          <w:rFonts w:ascii="Arial" w:cs="Arial" w:eastAsia="Arial" w:hAnsi="Arial"/>
          <w:sz w:val="16"/>
          <w:szCs w:val="16"/>
          <w:color w:val="auto"/>
        </w:rPr>
        <w:t>We closely align pay and performance, with a</w:t>
      </w:r>
      <w:r>
        <w:rPr>
          <w:rFonts w:ascii="Arial" w:cs="Arial" w:eastAsia="Arial" w:hAnsi="Arial"/>
          <w:sz w:val="16"/>
          <w:szCs w:val="16"/>
          <w:b w:val="1"/>
          <w:bCs w:val="1"/>
          <w:color w:val="auto"/>
        </w:rPr>
        <w:t xml:space="preserve"> </w:t>
      </w:r>
      <w:r>
        <w:rPr>
          <w:rFonts w:ascii="Arial" w:cs="Arial" w:eastAsia="Arial" w:hAnsi="Arial"/>
          <w:sz w:val="16"/>
          <w:szCs w:val="16"/>
          <w:color w:val="auto"/>
        </w:rPr>
        <w:t>significant portion of target total direct compensation at-risk. The MDCC validates this alignment annually and ensures that performance-based compensation represents a significant portion of executive compensation.</w:t>
      </w:r>
    </w:p>
    <w:p>
      <w:pPr>
        <w:spacing w:after="0" w:line="42" w:lineRule="exact"/>
        <w:rPr>
          <w:sz w:val="20"/>
          <w:szCs w:val="20"/>
          <w:color w:val="auto"/>
        </w:rPr>
      </w:pPr>
    </w:p>
    <w:p>
      <w:pPr>
        <w:ind w:left="360" w:right="80" w:hanging="193"/>
        <w:spacing w:after="0"/>
        <w:rPr>
          <w:sz w:val="20"/>
          <w:szCs w:val="20"/>
          <w:color w:val="auto"/>
        </w:rPr>
      </w:pPr>
      <w:r>
        <w:rPr>
          <w:sz w:val="1"/>
          <w:szCs w:val="1"/>
          <w:color w:val="auto"/>
        </w:rPr>
        <w:drawing>
          <wp:inline distT="0" distB="0" distL="0" distR="0">
            <wp:extent cx="68580" cy="59690"/>
            <wp:effectExtent l="0" t="0" r="0" b="0"/>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b w:val="1"/>
          <w:bCs w:val="1"/>
          <w:color w:val="auto"/>
        </w:rPr>
        <w:t xml:space="preserve"> Ambitious Performance Goals. </w:t>
      </w:r>
      <w:r>
        <w:rPr>
          <w:rFonts w:ascii="Arial" w:cs="Arial" w:eastAsia="Arial" w:hAnsi="Arial"/>
          <w:sz w:val="16"/>
          <w:szCs w:val="16"/>
          <w:color w:val="auto"/>
        </w:rPr>
        <w:t>We establish clear and measurable</w:t>
      </w:r>
      <w:r>
        <w:rPr>
          <w:rFonts w:ascii="Arial" w:cs="Arial" w:eastAsia="Arial" w:hAnsi="Arial"/>
          <w:sz w:val="16"/>
          <w:szCs w:val="16"/>
          <w:b w:val="1"/>
          <w:bCs w:val="1"/>
          <w:color w:val="auto"/>
        </w:rPr>
        <w:t xml:space="preserve"> </w:t>
      </w:r>
      <w:r>
        <w:rPr>
          <w:rFonts w:ascii="Arial" w:cs="Arial" w:eastAsia="Arial" w:hAnsi="Arial"/>
          <w:sz w:val="16"/>
          <w:szCs w:val="16"/>
          <w:color w:val="auto"/>
        </w:rPr>
        <w:t>goals and targets and hold our executives accountable for achieving specified levels to earn a payout under our incentive plans. We use a varied set of operational metrics for the annual incentive compensation plan (ICP) and performance-based long-term incentives (LTI) to drive top- and bottom-line growth over multiple time frames, aligned with sustained long-term performance.</w:t>
      </w:r>
    </w:p>
    <w:p>
      <w:pPr>
        <w:spacing w:after="0" w:line="42" w:lineRule="exact"/>
        <w:rPr>
          <w:sz w:val="20"/>
          <w:szCs w:val="20"/>
          <w:color w:val="auto"/>
        </w:rPr>
      </w:pPr>
    </w:p>
    <w:p>
      <w:pPr>
        <w:ind w:left="360" w:right="60" w:hanging="193"/>
        <w:spacing w:after="0"/>
        <w:rPr>
          <w:sz w:val="20"/>
          <w:szCs w:val="20"/>
          <w:color w:val="auto"/>
        </w:rPr>
      </w:pPr>
      <w:r>
        <w:rPr>
          <w:sz w:val="1"/>
          <w:szCs w:val="1"/>
          <w:color w:val="auto"/>
        </w:rPr>
        <w:drawing>
          <wp:inline distT="0" distB="0" distL="0" distR="0">
            <wp:extent cx="68580" cy="59690"/>
            <wp:effectExtent l="0" t="0" r="0" b="0"/>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b w:val="1"/>
          <w:bCs w:val="1"/>
          <w:color w:val="auto"/>
        </w:rPr>
        <w:t xml:space="preserve"> Clawback Policy. </w:t>
      </w:r>
      <w:r>
        <w:rPr>
          <w:rFonts w:ascii="Arial" w:cs="Arial" w:eastAsia="Arial" w:hAnsi="Arial"/>
          <w:sz w:val="16"/>
          <w:szCs w:val="16"/>
          <w:color w:val="auto"/>
        </w:rPr>
        <w:t>We maintain clawback policies that meet, and in</w:t>
      </w:r>
      <w:r>
        <w:rPr>
          <w:rFonts w:ascii="Arial" w:cs="Arial" w:eastAsia="Arial" w:hAnsi="Arial"/>
          <w:sz w:val="16"/>
          <w:szCs w:val="16"/>
          <w:b w:val="1"/>
          <w:bCs w:val="1"/>
          <w:color w:val="auto"/>
        </w:rPr>
        <w:t xml:space="preserve"> </w:t>
      </w:r>
      <w:r>
        <w:rPr>
          <w:rFonts w:ascii="Arial" w:cs="Arial" w:eastAsia="Arial" w:hAnsi="Arial"/>
          <w:sz w:val="16"/>
          <w:szCs w:val="16"/>
          <w:color w:val="auto"/>
        </w:rPr>
        <w:t>certain areas are broader than, SEC and Nasdaq standards. The policies allow for the recoupment of incentive compensation in the event of a restatement of financial results. We have a standalone Clawback Policy that is consistent with Rule 10D-1 of the Exchange Act and the Nasdaq listing rules, and we also maintain the policy that our Board previously adopted as a secondary recoupment mechanism.</w:t>
      </w:r>
    </w:p>
    <w:p>
      <w:pPr>
        <w:spacing w:after="0" w:line="42" w:lineRule="exact"/>
        <w:rPr>
          <w:sz w:val="20"/>
          <w:szCs w:val="20"/>
          <w:color w:val="auto"/>
        </w:rPr>
      </w:pPr>
    </w:p>
    <w:p>
      <w:pPr>
        <w:ind w:left="160"/>
        <w:spacing w:after="0"/>
        <w:rPr>
          <w:sz w:val="20"/>
          <w:szCs w:val="20"/>
          <w:color w:val="auto"/>
        </w:rPr>
      </w:pPr>
      <w:r>
        <w:rPr>
          <w:sz w:val="1"/>
          <w:szCs w:val="1"/>
          <w:color w:val="auto"/>
        </w:rPr>
        <w:drawing>
          <wp:inline distT="0" distB="0" distL="0" distR="0">
            <wp:extent cx="68580" cy="59690"/>
            <wp:effectExtent l="0" t="0" r="0" b="0"/>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b w:val="1"/>
          <w:bCs w:val="1"/>
          <w:color w:val="auto"/>
        </w:rPr>
        <w:t xml:space="preserve"> Double Trigger in the Event of a Change in Control (CIC). </w:t>
      </w:r>
      <w:r>
        <w:rPr>
          <w:rFonts w:ascii="Arial" w:cs="Arial" w:eastAsia="Arial" w:hAnsi="Arial"/>
          <w:sz w:val="16"/>
          <w:szCs w:val="16"/>
          <w:color w:val="auto"/>
        </w:rPr>
        <w:t>We have</w:t>
      </w:r>
    </w:p>
    <w:p>
      <w:pPr>
        <w:spacing w:after="0" w:line="35" w:lineRule="exact"/>
        <w:rPr>
          <w:sz w:val="20"/>
          <w:szCs w:val="20"/>
          <w:color w:val="auto"/>
        </w:rPr>
      </w:pPr>
    </w:p>
    <w:p>
      <w:pPr>
        <w:ind w:left="360" w:right="80"/>
        <w:spacing w:after="0" w:line="264" w:lineRule="auto"/>
        <w:rPr>
          <w:sz w:val="20"/>
          <w:szCs w:val="20"/>
          <w:color w:val="auto"/>
        </w:rPr>
      </w:pPr>
      <w:r>
        <w:rPr>
          <w:rFonts w:ascii="Arial" w:cs="Arial" w:eastAsia="Arial" w:hAnsi="Arial"/>
          <w:sz w:val="16"/>
          <w:szCs w:val="16"/>
          <w:color w:val="auto"/>
        </w:rPr>
        <w:t>double-trigger vesting on equity and severance for CIC; executives will not receive cash severance nor will equity vest in the event of a CIC unless accompanied by qualifying termination of employment.</w:t>
      </w:r>
    </w:p>
    <w:p>
      <w:pPr>
        <w:spacing w:after="0" w:line="25" w:lineRule="exact"/>
        <w:rPr>
          <w:sz w:val="20"/>
          <w:szCs w:val="20"/>
          <w:color w:val="auto"/>
        </w:rPr>
      </w:pPr>
    </w:p>
    <w:p>
      <w:pPr>
        <w:ind w:left="160"/>
        <w:spacing w:after="0"/>
        <w:rPr>
          <w:sz w:val="20"/>
          <w:szCs w:val="20"/>
          <w:color w:val="auto"/>
        </w:rPr>
      </w:pPr>
      <w:r>
        <w:rPr>
          <w:sz w:val="1"/>
          <w:szCs w:val="1"/>
          <w:color w:val="auto"/>
        </w:rPr>
        <w:drawing>
          <wp:inline distT="0" distB="0" distL="0" distR="0">
            <wp:extent cx="68580" cy="60325"/>
            <wp:effectExtent l="0" t="0" r="0" b="0"/>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b w:val="1"/>
          <w:bCs w:val="1"/>
          <w:color w:val="auto"/>
        </w:rPr>
        <w:t xml:space="preserve"> Maximum Payout Caps for Incentive Plans. </w:t>
      </w:r>
      <w:r>
        <w:rPr>
          <w:rFonts w:ascii="Arial" w:cs="Arial" w:eastAsia="Arial" w:hAnsi="Arial"/>
          <w:sz w:val="16"/>
          <w:szCs w:val="16"/>
          <w:color w:val="auto"/>
        </w:rPr>
        <w:t>ICP and Performance</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Plan payouts are capped.</w:t>
      </w:r>
    </w:p>
    <w:p>
      <w:pPr>
        <w:spacing w:after="0" w:line="57" w:lineRule="exact"/>
        <w:rPr>
          <w:sz w:val="20"/>
          <w:szCs w:val="20"/>
          <w:color w:val="auto"/>
        </w:rPr>
      </w:pPr>
    </w:p>
    <w:p>
      <w:pPr>
        <w:ind w:left="160"/>
        <w:spacing w:after="0"/>
        <w:rPr>
          <w:sz w:val="20"/>
          <w:szCs w:val="20"/>
          <w:color w:val="auto"/>
        </w:rPr>
      </w:pPr>
      <w:r>
        <w:rPr>
          <w:sz w:val="1"/>
          <w:szCs w:val="1"/>
          <w:color w:val="auto"/>
        </w:rPr>
        <w:drawing>
          <wp:inline distT="0" distB="0" distL="0" distR="0">
            <wp:extent cx="68580" cy="59690"/>
            <wp:effectExtent l="0" t="0" r="0" b="0"/>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b w:val="1"/>
          <w:bCs w:val="1"/>
          <w:color w:val="auto"/>
        </w:rPr>
        <w:t xml:space="preserve"> Robust Stock Ownership Requirements. </w:t>
      </w:r>
      <w:r>
        <w:rPr>
          <w:rFonts w:ascii="Arial" w:cs="Arial" w:eastAsia="Arial" w:hAnsi="Arial"/>
          <w:sz w:val="16"/>
          <w:szCs w:val="16"/>
          <w:color w:val="auto"/>
        </w:rPr>
        <w:t>We require executive</w:t>
      </w:r>
    </w:p>
    <w:p>
      <w:pPr>
        <w:spacing w:after="0" w:line="35" w:lineRule="exact"/>
        <w:rPr>
          <w:sz w:val="20"/>
          <w:szCs w:val="20"/>
          <w:color w:val="auto"/>
        </w:rPr>
      </w:pPr>
    </w:p>
    <w:p>
      <w:pPr>
        <w:jc w:val="both"/>
        <w:ind w:left="360" w:right="100"/>
        <w:spacing w:after="0" w:line="264" w:lineRule="auto"/>
        <w:rPr>
          <w:sz w:val="20"/>
          <w:szCs w:val="20"/>
          <w:color w:val="auto"/>
        </w:rPr>
      </w:pPr>
      <w:r>
        <w:rPr>
          <w:rFonts w:ascii="Arial" w:cs="Arial" w:eastAsia="Arial" w:hAnsi="Arial"/>
          <w:sz w:val="16"/>
          <w:szCs w:val="16"/>
          <w:color w:val="auto"/>
        </w:rPr>
        <w:t>officers to hold meaningful amounts of stock and to hold net shares for one year from vesting. Unvested performance stock units do not count toward the ownership requirement.</w:t>
      </w:r>
    </w:p>
    <w:p>
      <w:pPr>
        <w:spacing w:after="0" w:line="25" w:lineRule="exact"/>
        <w:rPr>
          <w:sz w:val="20"/>
          <w:szCs w:val="20"/>
          <w:color w:val="auto"/>
        </w:rPr>
      </w:pPr>
    </w:p>
    <w:p>
      <w:pPr>
        <w:ind w:left="160"/>
        <w:spacing w:after="0"/>
        <w:rPr>
          <w:sz w:val="20"/>
          <w:szCs w:val="20"/>
          <w:color w:val="auto"/>
        </w:rPr>
      </w:pPr>
      <w:r>
        <w:rPr>
          <w:sz w:val="1"/>
          <w:szCs w:val="1"/>
          <w:color w:val="auto"/>
        </w:rPr>
        <w:drawing>
          <wp:inline distT="0" distB="0" distL="0" distR="0">
            <wp:extent cx="68580" cy="60325"/>
            <wp:effectExtent l="0" t="0" r="0" b="0"/>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b w:val="1"/>
          <w:bCs w:val="1"/>
          <w:color w:val="auto"/>
        </w:rPr>
        <w:t xml:space="preserve"> Options Granted at Fair Market Value (FMV). </w:t>
      </w:r>
      <w:r>
        <w:rPr>
          <w:rFonts w:ascii="Arial" w:cs="Arial" w:eastAsia="Arial" w:hAnsi="Arial"/>
          <w:sz w:val="16"/>
          <w:szCs w:val="16"/>
          <w:color w:val="auto"/>
        </w:rPr>
        <w:t>Annual stock options</w:t>
      </w:r>
    </w:p>
    <w:p>
      <w:pPr>
        <w:spacing w:after="0" w:line="35" w:lineRule="exact"/>
        <w:rPr>
          <w:sz w:val="20"/>
          <w:szCs w:val="20"/>
          <w:color w:val="auto"/>
        </w:rPr>
      </w:pPr>
    </w:p>
    <w:p>
      <w:pPr>
        <w:ind w:left="360" w:right="60"/>
        <w:spacing w:after="0" w:line="265" w:lineRule="auto"/>
        <w:rPr>
          <w:sz w:val="20"/>
          <w:szCs w:val="20"/>
          <w:color w:val="auto"/>
        </w:rPr>
      </w:pPr>
      <w:r>
        <w:rPr>
          <w:rFonts w:ascii="Arial" w:cs="Arial" w:eastAsia="Arial" w:hAnsi="Arial"/>
          <w:sz w:val="16"/>
          <w:szCs w:val="16"/>
          <w:color w:val="auto"/>
        </w:rPr>
        <w:t>are approved by the MDCC, with an exercise price no less than the fair market value of Honeywell's common stock on the date of grant.</w:t>
      </w:r>
    </w:p>
    <w:p>
      <w:pPr>
        <w:spacing w:after="0" w:line="37" w:lineRule="exact"/>
        <w:rPr>
          <w:sz w:val="20"/>
          <w:szCs w:val="20"/>
          <w:color w:val="auto"/>
        </w:rPr>
      </w:pPr>
    </w:p>
    <w:p>
      <w:pPr>
        <w:ind w:left="360" w:right="440" w:hanging="193"/>
        <w:spacing w:after="0"/>
        <w:rPr>
          <w:sz w:val="20"/>
          <w:szCs w:val="20"/>
          <w:color w:val="auto"/>
        </w:rPr>
      </w:pPr>
      <w:r>
        <w:rPr>
          <w:sz w:val="1"/>
          <w:szCs w:val="1"/>
          <w:color w:val="auto"/>
        </w:rPr>
        <w:drawing>
          <wp:inline distT="0" distB="0" distL="0" distR="0">
            <wp:extent cx="68580" cy="60325"/>
            <wp:effectExtent l="0" t="0" r="0" b="0"/>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b w:val="1"/>
          <w:bCs w:val="1"/>
          <w:color w:val="auto"/>
        </w:rPr>
        <w:t xml:space="preserve"> Independent Compensation Consultant. </w:t>
      </w:r>
      <w:r>
        <w:rPr>
          <w:rFonts w:ascii="Arial" w:cs="Arial" w:eastAsia="Arial" w:hAnsi="Arial"/>
          <w:sz w:val="16"/>
          <w:szCs w:val="16"/>
          <w:color w:val="auto"/>
        </w:rPr>
        <w:t>The MDCC retains an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independent compensation consultant </w:t>
      </w:r>
      <w:r>
        <w:rPr>
          <w:rFonts w:ascii="Arial" w:cs="Arial" w:eastAsia="Arial" w:hAnsi="Arial"/>
          <w:sz w:val="16"/>
          <w:szCs w:val="16"/>
          <w:color w:val="242424"/>
        </w:rPr>
        <w:t>to ensure that the overall</w:t>
      </w:r>
      <w:r>
        <w:rPr>
          <w:rFonts w:ascii="Arial" w:cs="Arial" w:eastAsia="Arial" w:hAnsi="Arial"/>
          <w:sz w:val="16"/>
          <w:szCs w:val="16"/>
          <w:color w:val="auto"/>
        </w:rPr>
        <w:t xml:space="preserve"> </w:t>
      </w:r>
      <w:r>
        <w:rPr>
          <w:rFonts w:ascii="Arial" w:cs="Arial" w:eastAsia="Arial" w:hAnsi="Arial"/>
          <w:sz w:val="16"/>
          <w:szCs w:val="16"/>
          <w:color w:val="242424"/>
        </w:rPr>
        <w:t xml:space="preserve">compensation program remains externally competitive. </w:t>
      </w:r>
      <w:r>
        <w:rPr>
          <w:rFonts w:ascii="Arial" w:cs="Arial" w:eastAsia="Arial" w:hAnsi="Arial"/>
          <w:sz w:val="16"/>
          <w:szCs w:val="16"/>
          <w:color w:val="000000"/>
        </w:rPr>
        <w:t>The</w:t>
      </w:r>
      <w:r>
        <w:rPr>
          <w:rFonts w:ascii="Arial" w:cs="Arial" w:eastAsia="Arial" w:hAnsi="Arial"/>
          <w:sz w:val="16"/>
          <w:szCs w:val="16"/>
          <w:color w:val="242424"/>
        </w:rPr>
        <w:t xml:space="preserve"> </w:t>
      </w:r>
      <w:r>
        <w:rPr>
          <w:rFonts w:ascii="Arial" w:cs="Arial" w:eastAsia="Arial" w:hAnsi="Arial"/>
          <w:sz w:val="16"/>
          <w:szCs w:val="16"/>
          <w:color w:val="000000"/>
        </w:rPr>
        <w:t>independent consultant attends all MDCC meetings.</w:t>
      </w:r>
    </w:p>
    <w:p>
      <w:pPr>
        <w:spacing w:after="0" w:line="200" w:lineRule="exact"/>
        <w:rPr>
          <w:sz w:val="20"/>
          <w:szCs w:val="20"/>
          <w:color w:val="auto"/>
        </w:rPr>
      </w:pPr>
    </w:p>
    <w:p>
      <w:pPr>
        <w:spacing w:after="0" w:line="221"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58</w:t>
      </w:r>
      <w:r>
        <w:rPr>
          <w:sz w:val="20"/>
          <w:szCs w:val="20"/>
          <w:color w:val="auto"/>
        </w:rPr>
        <w:tab/>
      </w:r>
      <w:r>
        <w:rPr>
          <w:sz w:val="1"/>
          <w:szCs w:val="1"/>
          <w:color w:val="auto"/>
        </w:rPr>
        <w:drawing>
          <wp:inline distT="0" distB="0" distL="0" distR="0">
            <wp:extent cx="548640" cy="102870"/>
            <wp:effectExtent l="0" t="0" r="0" b="0"/>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2026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right="320" w:hanging="6"/>
        <w:spacing w:after="0" w:line="265" w:lineRule="auto"/>
        <w:rPr>
          <w:sz w:val="20"/>
          <w:szCs w:val="20"/>
          <w:color w:val="auto"/>
        </w:rPr>
      </w:pPr>
      <w:r>
        <w:rPr>
          <w:rFonts w:ascii="Arial" w:cs="Arial" w:eastAsia="Arial" w:hAnsi="Arial"/>
          <w:sz w:val="16"/>
          <w:szCs w:val="16"/>
          <w:b w:val="1"/>
          <w:bCs w:val="1"/>
          <w:color w:val="auto"/>
        </w:rPr>
        <w:t xml:space="preserve">No Excessive Perks. </w:t>
      </w:r>
      <w:r>
        <w:rPr>
          <w:rFonts w:ascii="Arial" w:cs="Arial" w:eastAsia="Arial" w:hAnsi="Arial"/>
          <w:sz w:val="16"/>
          <w:szCs w:val="16"/>
          <w:color w:val="auto"/>
        </w:rPr>
        <w:t>We do not provide perquisites except in cases</w:t>
      </w:r>
      <w:r>
        <w:rPr>
          <w:rFonts w:ascii="Arial" w:cs="Arial" w:eastAsia="Arial" w:hAnsi="Arial"/>
          <w:sz w:val="16"/>
          <w:szCs w:val="16"/>
          <w:b w:val="1"/>
          <w:bCs w:val="1"/>
          <w:color w:val="auto"/>
        </w:rPr>
        <w:t xml:space="preserve"> </w:t>
      </w:r>
      <w:r>
        <w:rPr>
          <w:rFonts w:ascii="Arial" w:cs="Arial" w:eastAsia="Arial" w:hAnsi="Arial"/>
          <w:sz w:val="16"/>
          <w:szCs w:val="16"/>
          <w:color w:val="auto"/>
        </w:rPr>
        <w:t>where there is a compelling business or security reason, nor do we provide tax gross-ups for officers, other than in connection with a Company-required relocation.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-497840</wp:posOffset>
            </wp:positionV>
            <wp:extent cx="51435" cy="5143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18" w:lineRule="exact"/>
        <w:rPr>
          <w:sz w:val="20"/>
          <w:szCs w:val="20"/>
          <w:color w:val="auto"/>
        </w:rPr>
      </w:pPr>
    </w:p>
    <w:p>
      <w:pPr>
        <w:ind w:right="140" w:firstLine="9"/>
        <w:spacing w:after="0" w:line="265" w:lineRule="auto"/>
        <w:rPr>
          <w:sz w:val="20"/>
          <w:szCs w:val="20"/>
          <w:color w:val="auto"/>
        </w:rPr>
      </w:pPr>
      <w:r>
        <w:rPr>
          <w:rFonts w:ascii="Arial" w:cs="Arial" w:eastAsia="Arial" w:hAnsi="Arial"/>
          <w:sz w:val="16"/>
          <w:szCs w:val="16"/>
          <w:b w:val="1"/>
          <w:bCs w:val="1"/>
          <w:color w:val="auto"/>
        </w:rPr>
        <w:t xml:space="preserve">No Guaranteed Annual Salary Increases or Bonuses. </w:t>
      </w:r>
      <w:r>
        <w:rPr>
          <w:rFonts w:ascii="Arial" w:cs="Arial" w:eastAsia="Arial" w:hAnsi="Arial"/>
          <w:sz w:val="16"/>
          <w:szCs w:val="16"/>
          <w:color w:val="auto"/>
        </w:rPr>
        <w:t>Annual salary</w:t>
      </w:r>
      <w:r>
        <w:rPr>
          <w:rFonts w:ascii="Arial" w:cs="Arial" w:eastAsia="Arial" w:hAnsi="Arial"/>
          <w:sz w:val="16"/>
          <w:szCs w:val="16"/>
          <w:b w:val="1"/>
          <w:bCs w:val="1"/>
          <w:color w:val="auto"/>
        </w:rPr>
        <w:t xml:space="preserve"> </w:t>
      </w:r>
      <w:r>
        <w:rPr>
          <w:rFonts w:ascii="Arial" w:cs="Arial" w:eastAsia="Arial" w:hAnsi="Arial"/>
          <w:sz w:val="16"/>
          <w:szCs w:val="16"/>
          <w:color w:val="auto"/>
        </w:rPr>
        <w:t>increases are based on evaluations of individual performance and the competitive market. In addition, we do not provide guarantees on bonus payouts.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-497840</wp:posOffset>
            </wp:positionV>
            <wp:extent cx="51435" cy="5143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18" w:lineRule="exact"/>
        <w:rPr>
          <w:sz w:val="20"/>
          <w:szCs w:val="20"/>
          <w:color w:val="auto"/>
        </w:rPr>
      </w:pPr>
    </w:p>
    <w:p>
      <w:pPr>
        <w:ind w:right="220" w:firstLine="9"/>
        <w:spacing w:after="0" w:line="286" w:lineRule="auto"/>
        <w:rPr>
          <w:sz w:val="20"/>
          <w:szCs w:val="20"/>
          <w:color w:val="auto"/>
        </w:rPr>
      </w:pPr>
      <w:r>
        <w:rPr>
          <w:rFonts w:ascii="Arial" w:cs="Arial" w:eastAsia="Arial" w:hAnsi="Arial"/>
          <w:sz w:val="16"/>
          <w:szCs w:val="16"/>
          <w:b w:val="1"/>
          <w:bCs w:val="1"/>
          <w:color w:val="auto"/>
        </w:rPr>
        <w:t xml:space="preserve">No Hedging or Pledging. </w:t>
      </w:r>
      <w:r>
        <w:rPr>
          <w:rFonts w:ascii="Arial" w:cs="Arial" w:eastAsia="Arial" w:hAnsi="Arial"/>
          <w:sz w:val="16"/>
          <w:szCs w:val="16"/>
          <w:color w:val="auto"/>
        </w:rPr>
        <w:t>We do not allow hedging or pledging of our</w:t>
      </w:r>
      <w:r>
        <w:rPr>
          <w:rFonts w:ascii="Arial" w:cs="Arial" w:eastAsia="Arial" w:hAnsi="Arial"/>
          <w:sz w:val="16"/>
          <w:szCs w:val="16"/>
          <w:b w:val="1"/>
          <w:bCs w:val="1"/>
          <w:color w:val="auto"/>
        </w:rPr>
        <w:t xml:space="preserve"> </w:t>
      </w:r>
      <w:r>
        <w:rPr>
          <w:rFonts w:ascii="Arial" w:cs="Arial" w:eastAsia="Arial" w:hAnsi="Arial"/>
          <w:sz w:val="16"/>
          <w:szCs w:val="16"/>
          <w:color w:val="auto"/>
        </w:rPr>
        <w:t>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-260350</wp:posOffset>
            </wp:positionV>
            <wp:extent cx="51435" cy="5143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1" w:lineRule="exact"/>
        <w:rPr>
          <w:sz w:val="20"/>
          <w:szCs w:val="20"/>
          <w:color w:val="auto"/>
        </w:rPr>
      </w:pPr>
    </w:p>
    <w:p>
      <w:pPr>
        <w:ind w:right="360" w:firstLine="9"/>
        <w:spacing w:after="0" w:line="265" w:lineRule="auto"/>
        <w:rPr>
          <w:sz w:val="20"/>
          <w:szCs w:val="20"/>
          <w:color w:val="auto"/>
        </w:rPr>
      </w:pPr>
      <w:r>
        <w:rPr>
          <w:rFonts w:ascii="Arial" w:cs="Arial" w:eastAsia="Arial" w:hAnsi="Arial"/>
          <w:sz w:val="16"/>
          <w:szCs w:val="16"/>
          <w:b w:val="1"/>
          <w:bCs w:val="1"/>
          <w:color w:val="auto"/>
        </w:rPr>
        <w:t xml:space="preserve">No Excise Tax Gross-Ups and No Accelerated Bonus Payments Upon a CIC. </w:t>
      </w:r>
      <w:r>
        <w:rPr>
          <w:rFonts w:ascii="Arial" w:cs="Arial" w:eastAsia="Arial" w:hAnsi="Arial"/>
          <w:sz w:val="16"/>
          <w:szCs w:val="16"/>
          <w:color w:val="auto"/>
        </w:rPr>
        <w:t>Excise tax gross-ups have been eliminated for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-240030</wp:posOffset>
            </wp:positionV>
            <wp:extent cx="51435" cy="5143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jc w:val="both"/>
        <w:ind w:right="200"/>
        <w:spacing w:after="0" w:line="264" w:lineRule="auto"/>
        <w:rPr>
          <w:sz w:val="20"/>
          <w:szCs w:val="20"/>
          <w:color w:val="auto"/>
        </w:rPr>
      </w:pPr>
      <w:r>
        <w:rPr>
          <w:rFonts w:ascii="Arial" w:cs="Arial" w:eastAsia="Arial" w:hAnsi="Arial"/>
          <w:sz w:val="16"/>
          <w:szCs w:val="16"/>
          <w:color w:val="auto"/>
        </w:rPr>
        <w:t>executive officers. Plans provide that ICP awards earned in the year of a CIC would be paid at the time they would typically be paid based on business performance rather than at target.</w:t>
      </w:r>
    </w:p>
    <w:p>
      <w:pPr>
        <w:spacing w:after="0" w:line="25" w:lineRule="exact"/>
        <w:rPr>
          <w:sz w:val="20"/>
          <w:szCs w:val="20"/>
          <w:color w:val="auto"/>
        </w:rPr>
      </w:pPr>
    </w:p>
    <w:p>
      <w:pPr>
        <w:ind w:right="280" w:firstLine="9"/>
        <w:spacing w:after="0" w:line="275" w:lineRule="auto"/>
        <w:rPr>
          <w:sz w:val="20"/>
          <w:szCs w:val="20"/>
          <w:color w:val="auto"/>
        </w:rPr>
      </w:pPr>
      <w:r>
        <w:rPr>
          <w:rFonts w:ascii="Arial" w:cs="Arial" w:eastAsia="Arial" w:hAnsi="Arial"/>
          <w:sz w:val="16"/>
          <w:szCs w:val="16"/>
          <w:b w:val="1"/>
          <w:bCs w:val="1"/>
          <w:color w:val="auto"/>
        </w:rPr>
        <w:t xml:space="preserve">No Incentivizing of Short-Term Results to the Detriment of Long-Term Goals and Results. </w:t>
      </w:r>
      <w:r>
        <w:rPr>
          <w:rFonts w:ascii="Arial" w:cs="Arial" w:eastAsia="Arial" w:hAnsi="Arial"/>
          <w:sz w:val="16"/>
          <w:szCs w:val="16"/>
          <w:color w:val="auto"/>
        </w:rPr>
        <w:t>Pay mix is heavily weighted toward long-term incentives aligned with the interests of shareowners.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-374650</wp:posOffset>
            </wp:positionV>
            <wp:extent cx="51435" cy="5143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9" w:lineRule="exact"/>
        <w:rPr>
          <w:sz w:val="20"/>
          <w:szCs w:val="20"/>
          <w:color w:val="auto"/>
        </w:rPr>
      </w:pPr>
    </w:p>
    <w:p>
      <w:pPr>
        <w:ind w:right="320" w:firstLine="9"/>
        <w:spacing w:after="0" w:line="275" w:lineRule="auto"/>
        <w:rPr>
          <w:sz w:val="20"/>
          <w:szCs w:val="20"/>
          <w:color w:val="auto"/>
        </w:rPr>
      </w:pPr>
      <w:r>
        <w:rPr>
          <w:rFonts w:ascii="Arial" w:cs="Arial" w:eastAsia="Arial" w:hAnsi="Arial"/>
          <w:sz w:val="16"/>
          <w:szCs w:val="16"/>
          <w:b w:val="1"/>
          <w:bCs w:val="1"/>
          <w:color w:val="auto"/>
        </w:rPr>
        <w:t xml:space="preserve">No Excessive Risks. </w:t>
      </w:r>
      <w:r>
        <w:rPr>
          <w:rFonts w:ascii="Arial" w:cs="Arial" w:eastAsia="Arial" w:hAnsi="Arial"/>
          <w:sz w:val="16"/>
          <w:szCs w:val="16"/>
          <w:color w:val="auto"/>
        </w:rPr>
        <w:t>Compensation practices are appropriately</w:t>
      </w:r>
      <w:r>
        <w:rPr>
          <w:rFonts w:ascii="Arial" w:cs="Arial" w:eastAsia="Arial" w:hAnsi="Arial"/>
          <w:sz w:val="16"/>
          <w:szCs w:val="16"/>
          <w:b w:val="1"/>
          <w:bCs w:val="1"/>
          <w:color w:val="auto"/>
        </w:rPr>
        <w:t xml:space="preserve"> </w:t>
      </w:r>
      <w:r>
        <w:rPr>
          <w:rFonts w:ascii="Arial" w:cs="Arial" w:eastAsia="Arial" w:hAnsi="Arial"/>
          <w:sz w:val="16"/>
          <w:szCs w:val="16"/>
          <w:color w:val="auto"/>
        </w:rPr>
        <w:t>structured and avoid incentivizing employees to engage in excessive risk-taking.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-383540</wp:posOffset>
            </wp:positionV>
            <wp:extent cx="51435" cy="5143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ind w:right="160" w:firstLine="9"/>
        <w:spacing w:after="0" w:line="275" w:lineRule="auto"/>
        <w:rPr>
          <w:sz w:val="20"/>
          <w:szCs w:val="20"/>
          <w:color w:val="auto"/>
        </w:rPr>
      </w:pPr>
      <w:r>
        <w:rPr>
          <w:rFonts w:ascii="Arial" w:cs="Arial" w:eastAsia="Arial" w:hAnsi="Arial"/>
          <w:sz w:val="16"/>
          <w:szCs w:val="16"/>
          <w:b w:val="1"/>
          <w:bCs w:val="1"/>
          <w:color w:val="auto"/>
        </w:rPr>
        <w:t xml:space="preserve">No Options Repricing. </w:t>
      </w:r>
      <w:r>
        <w:rPr>
          <w:rFonts w:ascii="Arial" w:cs="Arial" w:eastAsia="Arial" w:hAnsi="Arial"/>
          <w:sz w:val="16"/>
          <w:szCs w:val="16"/>
          <w:color w:val="auto"/>
        </w:rPr>
        <w:t>We prohibit repricing (reduction in exercise</w:t>
      </w:r>
      <w:r>
        <w:rPr>
          <w:rFonts w:ascii="Arial" w:cs="Arial" w:eastAsia="Arial" w:hAnsi="Arial"/>
          <w:sz w:val="16"/>
          <w:szCs w:val="16"/>
          <w:b w:val="1"/>
          <w:bCs w:val="1"/>
          <w:color w:val="auto"/>
        </w:rPr>
        <w:t xml:space="preserve"> </w:t>
      </w:r>
      <w:r>
        <w:rPr>
          <w:rFonts w:ascii="Arial" w:cs="Arial" w:eastAsia="Arial" w:hAnsi="Arial"/>
          <w:sz w:val="16"/>
          <w:szCs w:val="16"/>
          <w:color w:val="auto"/>
        </w:rPr>
        <w:t>price or exchange for cash or other consideration) or reloading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-374650</wp:posOffset>
            </wp:positionV>
            <wp:extent cx="51435" cy="5143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9" w:lineRule="exact"/>
        <w:rPr>
          <w:sz w:val="20"/>
          <w:szCs w:val="20"/>
          <w:color w:val="auto"/>
        </w:rPr>
      </w:pPr>
    </w:p>
    <w:p>
      <w:pPr>
        <w:ind w:right="320" w:firstLine="9"/>
        <w:spacing w:after="0" w:line="265" w:lineRule="auto"/>
        <w:rPr>
          <w:sz w:val="20"/>
          <w:szCs w:val="20"/>
          <w:color w:val="auto"/>
        </w:rPr>
      </w:pPr>
      <w:r>
        <w:rPr>
          <w:rFonts w:ascii="Arial" w:cs="Arial" w:eastAsia="Arial" w:hAnsi="Arial"/>
          <w:sz w:val="16"/>
          <w:szCs w:val="16"/>
          <w:b w:val="1"/>
          <w:bCs w:val="1"/>
          <w:color w:val="auto"/>
        </w:rPr>
        <w:t xml:space="preserve">No Consultant Conflicts. </w:t>
      </w:r>
      <w:r>
        <w:rPr>
          <w:rFonts w:ascii="Arial" w:cs="Arial" w:eastAsia="Arial" w:hAnsi="Arial"/>
          <w:sz w:val="16"/>
          <w:szCs w:val="16"/>
          <w:color w:val="auto"/>
        </w:rPr>
        <w:t>Under the MDCC’s established policy,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consultant cannot provide any other services to Honeywell without the MDCC’s approval. Regular independence reviews are conducted.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-497840</wp:posOffset>
            </wp:positionV>
            <wp:extent cx="51435" cy="5143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ectPr>
          <w:pgSz w:w="11900" w:h="16838" w:orient="portrait"/>
          <w:cols w:equalWidth="0" w:num="2">
            <w:col w:w="5480" w:space="500"/>
            <w:col w:w="5240"/>
          </w:cols>
          <w:pgMar w:left="320" w:top="230" w:right="359" w:bottom="1440" w:gutter="0" w:footer="0" w:header="0"/>
          <w:type w:val="continuous"/>
        </w:sectPr>
      </w:pPr>
    </w:p>
    <w:bookmarkStart w:id="63" w:name="page64"/>
    <w:bookmarkEnd w:id="63"/>
    <w:p>
      <w:pPr>
        <w:jc w:val="right"/>
        <w:spacing w:after="0"/>
        <w:rPr>
          <w:sz w:val="20"/>
          <w:szCs w:val="20"/>
          <w:color w:val="auto"/>
        </w:rPr>
      </w:pPr>
      <w:r>
        <w:rPr>
          <w:rFonts w:ascii="Arial" w:cs="Arial" w:eastAsia="Arial" w:hAnsi="Arial"/>
          <w:sz w:val="13"/>
          <w:szCs w:val="13"/>
          <w:b w:val="1"/>
          <w:bCs w:val="1"/>
          <w:color w:val="6D6E71"/>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PROGRAM DESIGN AND LINK TO BUSINESS STRATEGY AND PERFORMANCE</w:t>
      </w:r>
    </w:p>
    <w:p>
      <w:pPr>
        <w:spacing w:after="0" w:line="128"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The following table provides an overview of Honeywell’s executive compensation program and describes the link between each of our regular direct compensation elements and our business strategy and performance. The table below does not include the one-time equity awards granted to certain of our named executive officers in connection with the spin-offs, which are described in "Transaction Awards" below.</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700" w:type="dxa"/>
            <w:vAlign w:val="bottom"/>
            <w:tcBorders>
              <w:bottom w:val="single" w:sz="8" w:color="D7282F"/>
            </w:tcBorders>
            <w:gridSpan w:val="2"/>
          </w:tcPr>
          <w:p>
            <w:pPr>
              <w:ind w:left="480"/>
              <w:spacing w:after="0"/>
              <w:rPr>
                <w:sz w:val="20"/>
                <w:szCs w:val="20"/>
                <w:color w:val="auto"/>
              </w:rPr>
            </w:pPr>
            <w:r>
              <w:rPr>
                <w:rFonts w:ascii="Arial" w:cs="Arial" w:eastAsia="Arial" w:hAnsi="Arial"/>
                <w:sz w:val="14"/>
                <w:szCs w:val="14"/>
                <w:b w:val="1"/>
                <w:bCs w:val="1"/>
                <w:color w:val="auto"/>
              </w:rPr>
              <w:t>Target Compensation Mix</w:t>
            </w:r>
          </w:p>
        </w:tc>
      </w:tr>
      <w:tr>
        <w:trPr>
          <w:trHeight w:val="228"/>
        </w:trPr>
        <w:tc>
          <w:tcPr>
            <w:tcW w:w="460" w:type="dxa"/>
            <w:vAlign w:val="bottom"/>
            <w:tcBorders>
              <w:bottom w:val="single" w:sz="8" w:color="A7A9AC"/>
            </w:tcBorders>
          </w:tcPr>
          <w:p>
            <w:pPr>
              <w:spacing w:after="0"/>
              <w:rPr>
                <w:sz w:val="19"/>
                <w:szCs w:val="19"/>
                <w:color w:val="auto"/>
              </w:rPr>
            </w:pPr>
          </w:p>
        </w:tc>
        <w:tc>
          <w:tcPr>
            <w:tcW w:w="480" w:type="dxa"/>
            <w:vAlign w:val="bottom"/>
            <w:tcBorders>
              <w:bottom w:val="single" w:sz="8" w:color="D7282F"/>
            </w:tcBorders>
          </w:tcPr>
          <w:p>
            <w:pPr>
              <w:spacing w:after="0"/>
              <w:rPr>
                <w:sz w:val="19"/>
                <w:szCs w:val="19"/>
                <w:color w:val="auto"/>
              </w:rPr>
            </w:pPr>
          </w:p>
        </w:tc>
        <w:tc>
          <w:tcPr>
            <w:tcW w:w="1460" w:type="dxa"/>
            <w:vAlign w:val="bottom"/>
            <w:tcBorders>
              <w:bottom w:val="single" w:sz="8" w:color="D7282F"/>
            </w:tcBorders>
          </w:tcPr>
          <w:p>
            <w:pPr>
              <w:ind w:left="40"/>
              <w:spacing w:after="0"/>
              <w:rPr>
                <w:sz w:val="20"/>
                <w:szCs w:val="20"/>
                <w:color w:val="auto"/>
              </w:rPr>
            </w:pPr>
            <w:r>
              <w:rPr>
                <w:rFonts w:ascii="Arial" w:cs="Arial" w:eastAsia="Arial" w:hAnsi="Arial"/>
                <w:sz w:val="14"/>
                <w:szCs w:val="14"/>
                <w:b w:val="1"/>
                <w:bCs w:val="1"/>
                <w:color w:val="auto"/>
              </w:rPr>
              <w:t>Element</w:t>
            </w:r>
          </w:p>
        </w:tc>
        <w:tc>
          <w:tcPr>
            <w:tcW w:w="2920" w:type="dxa"/>
            <w:vAlign w:val="bottom"/>
            <w:tcBorders>
              <w:bottom w:val="single" w:sz="8" w:color="D7282F"/>
            </w:tcBorders>
          </w:tcPr>
          <w:p>
            <w:pPr>
              <w:ind w:left="280"/>
              <w:spacing w:after="0"/>
              <w:rPr>
                <w:sz w:val="20"/>
                <w:szCs w:val="20"/>
                <w:color w:val="auto"/>
              </w:rPr>
            </w:pPr>
            <w:r>
              <w:rPr>
                <w:rFonts w:ascii="Arial" w:cs="Arial" w:eastAsia="Arial" w:hAnsi="Arial"/>
                <w:sz w:val="14"/>
                <w:szCs w:val="14"/>
                <w:b w:val="1"/>
                <w:bCs w:val="1"/>
                <w:color w:val="auto"/>
              </w:rPr>
              <w:t>Description</w:t>
            </w:r>
          </w:p>
        </w:tc>
        <w:tc>
          <w:tcPr>
            <w:tcW w:w="3200" w:type="dxa"/>
            <w:vAlign w:val="bottom"/>
            <w:tcBorders>
              <w:bottom w:val="single" w:sz="8" w:color="D7282F"/>
            </w:tcBorders>
          </w:tcPr>
          <w:p>
            <w:pPr>
              <w:ind w:left="160"/>
              <w:spacing w:after="0"/>
              <w:rPr>
                <w:sz w:val="20"/>
                <w:szCs w:val="20"/>
                <w:color w:val="auto"/>
              </w:rPr>
            </w:pPr>
            <w:r>
              <w:rPr>
                <w:rFonts w:ascii="Arial" w:cs="Arial" w:eastAsia="Arial" w:hAnsi="Arial"/>
                <w:sz w:val="14"/>
                <w:szCs w:val="14"/>
                <w:b w:val="1"/>
                <w:bCs w:val="1"/>
                <w:color w:val="auto"/>
              </w:rPr>
              <w:t>Link to Strategy and Performance</w:t>
            </w:r>
          </w:p>
        </w:tc>
        <w:tc>
          <w:tcPr>
            <w:tcW w:w="1240" w:type="dxa"/>
            <w:vAlign w:val="bottom"/>
            <w:tcBorders>
              <w:bottom w:val="single" w:sz="8" w:color="D7282F"/>
            </w:tcBorders>
          </w:tcPr>
          <w:p>
            <w:pPr>
              <w:ind w:left="520"/>
              <w:spacing w:after="0"/>
              <w:rPr>
                <w:sz w:val="20"/>
                <w:szCs w:val="20"/>
                <w:color w:val="auto"/>
              </w:rPr>
            </w:pPr>
            <w:r>
              <w:rPr>
                <w:rFonts w:ascii="Arial" w:cs="Arial" w:eastAsia="Arial" w:hAnsi="Arial"/>
                <w:sz w:val="14"/>
                <w:szCs w:val="14"/>
                <w:b w:val="1"/>
                <w:bCs w:val="1"/>
                <w:color w:val="auto"/>
              </w:rPr>
              <w:t>CEO</w:t>
            </w:r>
          </w:p>
        </w:tc>
        <w:tc>
          <w:tcPr>
            <w:tcW w:w="1460" w:type="dxa"/>
            <w:vAlign w:val="bottom"/>
            <w:tcBorders>
              <w:bottom w:val="single" w:sz="8" w:color="D7282F"/>
            </w:tcBorders>
          </w:tcPr>
          <w:p>
            <w:pPr>
              <w:ind w:left="380"/>
              <w:spacing w:after="0"/>
              <w:rPr>
                <w:sz w:val="20"/>
                <w:szCs w:val="20"/>
                <w:color w:val="auto"/>
              </w:rPr>
            </w:pPr>
            <w:r>
              <w:rPr>
                <w:rFonts w:ascii="Arial" w:cs="Arial" w:eastAsia="Arial" w:hAnsi="Arial"/>
                <w:sz w:val="14"/>
                <w:szCs w:val="14"/>
                <w:b w:val="1"/>
                <w:bCs w:val="1"/>
                <w:color w:val="auto"/>
              </w:rPr>
              <w:t>Other NEOs</w:t>
            </w:r>
          </w:p>
        </w:tc>
      </w:tr>
      <w:tr>
        <w:trPr>
          <w:trHeight w:val="215"/>
        </w:trPr>
        <w:tc>
          <w:tcPr>
            <w:tcW w:w="460" w:type="dxa"/>
            <w:vAlign w:val="bottom"/>
            <w:shd w:val="clear" w:color="auto" w:fill="A7A9AC"/>
          </w:tcPr>
          <w:p>
            <w:pPr>
              <w:spacing w:after="0"/>
              <w:rPr>
                <w:sz w:val="18"/>
                <w:szCs w:val="18"/>
                <w:color w:val="auto"/>
              </w:rPr>
            </w:pPr>
          </w:p>
        </w:tc>
        <w:tc>
          <w:tcPr>
            <w:tcW w:w="480" w:type="dxa"/>
            <w:vAlign w:val="bottom"/>
          </w:tcPr>
          <w:p>
            <w:pPr>
              <w:spacing w:after="0"/>
              <w:rPr>
                <w:sz w:val="18"/>
                <w:szCs w:val="18"/>
                <w:color w:val="auto"/>
              </w:rPr>
            </w:pPr>
          </w:p>
        </w:tc>
        <w:tc>
          <w:tcPr>
            <w:tcW w:w="1460" w:type="dxa"/>
            <w:vAlign w:val="bottom"/>
          </w:tcPr>
          <w:p>
            <w:pPr>
              <w:ind w:left="40"/>
              <w:spacing w:after="0"/>
              <w:rPr>
                <w:sz w:val="20"/>
                <w:szCs w:val="20"/>
                <w:color w:val="auto"/>
              </w:rPr>
            </w:pPr>
            <w:r>
              <w:rPr>
                <w:rFonts w:ascii="Arial" w:cs="Arial" w:eastAsia="Arial" w:hAnsi="Arial"/>
                <w:sz w:val="14"/>
                <w:szCs w:val="14"/>
                <w:b w:val="1"/>
                <w:bCs w:val="1"/>
                <w:color w:val="D7282F"/>
              </w:rPr>
              <w:t>BASE SALARY</w:t>
            </w:r>
          </w:p>
        </w:tc>
        <w:tc>
          <w:tcPr>
            <w:tcW w:w="2920" w:type="dxa"/>
            <w:vAlign w:val="bottom"/>
          </w:tcPr>
          <w:p>
            <w:pPr>
              <w:ind w:left="280"/>
              <w:spacing w:after="0"/>
              <w:rPr>
                <w:sz w:val="20"/>
                <w:szCs w:val="20"/>
                <w:color w:val="auto"/>
              </w:rPr>
            </w:pPr>
            <w:r>
              <w:rPr>
                <w:rFonts w:ascii="Arial" w:cs="Arial" w:eastAsia="Arial" w:hAnsi="Arial"/>
                <w:sz w:val="14"/>
                <w:szCs w:val="14"/>
                <w:b w:val="1"/>
                <w:bCs w:val="1"/>
                <w:color w:val="D7282F"/>
              </w:rPr>
              <w:t xml:space="preserve">•  </w:t>
            </w:r>
            <w:r>
              <w:rPr>
                <w:rFonts w:ascii="Arial" w:cs="Arial" w:eastAsia="Arial" w:hAnsi="Arial"/>
                <w:sz w:val="14"/>
                <w:szCs w:val="14"/>
                <w:color w:val="000000"/>
              </w:rPr>
              <w:t>Base salaries are determined based</w:t>
            </w:r>
          </w:p>
        </w:tc>
        <w:tc>
          <w:tcPr>
            <w:tcW w:w="3200" w:type="dxa"/>
            <w:vAlign w:val="bottom"/>
          </w:tcPr>
          <w:p>
            <w:pPr>
              <w:ind w:left="160"/>
              <w:spacing w:after="0"/>
              <w:rPr>
                <w:sz w:val="20"/>
                <w:szCs w:val="20"/>
                <w:color w:val="auto"/>
              </w:rPr>
            </w:pPr>
            <w:r>
              <w:rPr>
                <w:rFonts w:ascii="Arial" w:cs="Arial" w:eastAsia="Arial" w:hAnsi="Arial"/>
                <w:sz w:val="14"/>
                <w:szCs w:val="14"/>
                <w:b w:val="1"/>
                <w:bCs w:val="1"/>
                <w:color w:val="D7282F"/>
              </w:rPr>
              <w:t xml:space="preserve">•  </w:t>
            </w:r>
            <w:r>
              <w:rPr>
                <w:rFonts w:ascii="Arial" w:cs="Arial" w:eastAsia="Arial" w:hAnsi="Arial"/>
                <w:sz w:val="14"/>
                <w:szCs w:val="14"/>
                <w:color w:val="000000"/>
              </w:rPr>
              <w:t>To attract and compensate high-performing</w:t>
            </w:r>
          </w:p>
        </w:tc>
        <w:tc>
          <w:tcPr>
            <w:tcW w:w="12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176"/>
        </w:trPr>
        <w:tc>
          <w:tcPr>
            <w:tcW w:w="460" w:type="dxa"/>
            <w:vAlign w:val="bottom"/>
            <w:shd w:val="clear" w:color="auto" w:fill="A7A9AC"/>
          </w:tcPr>
          <w:p>
            <w:pPr>
              <w:spacing w:after="0"/>
              <w:rPr>
                <w:sz w:val="15"/>
                <w:szCs w:val="15"/>
                <w:color w:val="auto"/>
              </w:rPr>
            </w:pPr>
          </w:p>
        </w:tc>
        <w:tc>
          <w:tcPr>
            <w:tcW w:w="4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920" w:type="dxa"/>
            <w:vAlign w:val="bottom"/>
          </w:tcPr>
          <w:p>
            <w:pPr>
              <w:ind w:left="460"/>
              <w:spacing w:after="0"/>
              <w:rPr>
                <w:sz w:val="20"/>
                <w:szCs w:val="20"/>
                <w:color w:val="auto"/>
              </w:rPr>
            </w:pPr>
            <w:r>
              <w:rPr>
                <w:rFonts w:ascii="Arial" w:cs="Arial" w:eastAsia="Arial" w:hAnsi="Arial"/>
                <w:sz w:val="14"/>
                <w:szCs w:val="14"/>
                <w:color w:val="auto"/>
              </w:rPr>
              <w:t>on scope of responsibility, years of</w:t>
            </w:r>
          </w:p>
        </w:tc>
        <w:tc>
          <w:tcPr>
            <w:tcW w:w="3200" w:type="dxa"/>
            <w:vAlign w:val="bottom"/>
          </w:tcPr>
          <w:p>
            <w:pPr>
              <w:ind w:left="360"/>
              <w:spacing w:after="0"/>
              <w:rPr>
                <w:sz w:val="20"/>
                <w:szCs w:val="20"/>
                <w:color w:val="auto"/>
              </w:rPr>
            </w:pPr>
            <w:r>
              <w:rPr>
                <w:rFonts w:ascii="Arial" w:cs="Arial" w:eastAsia="Arial" w:hAnsi="Arial"/>
                <w:sz w:val="14"/>
                <w:szCs w:val="14"/>
                <w:color w:val="auto"/>
              </w:rPr>
              <w:t>and experienced leaders at a competitive</w:t>
            </w:r>
          </w:p>
        </w:tc>
        <w:tc>
          <w:tcPr>
            <w:tcW w:w="12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5"/>
        </w:trPr>
        <w:tc>
          <w:tcPr>
            <w:tcW w:w="460" w:type="dxa"/>
            <w:vAlign w:val="bottom"/>
            <w:shd w:val="clear" w:color="auto" w:fill="A7A9AC"/>
          </w:tcPr>
          <w:p>
            <w:pPr>
              <w:spacing w:after="0"/>
              <w:rPr>
                <w:sz w:val="15"/>
                <w:szCs w:val="15"/>
                <w:color w:val="auto"/>
              </w:rPr>
            </w:pPr>
          </w:p>
        </w:tc>
        <w:tc>
          <w:tcPr>
            <w:tcW w:w="4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920" w:type="dxa"/>
            <w:vAlign w:val="bottom"/>
          </w:tcPr>
          <w:p>
            <w:pPr>
              <w:ind w:left="460"/>
              <w:spacing w:after="0"/>
              <w:rPr>
                <w:sz w:val="20"/>
                <w:szCs w:val="20"/>
                <w:color w:val="auto"/>
              </w:rPr>
            </w:pPr>
            <w:r>
              <w:rPr>
                <w:rFonts w:ascii="Arial" w:cs="Arial" w:eastAsia="Arial" w:hAnsi="Arial"/>
                <w:sz w:val="14"/>
                <w:szCs w:val="14"/>
                <w:color w:val="auto"/>
              </w:rPr>
              <w:t>experience, and</w:t>
            </w:r>
          </w:p>
        </w:tc>
        <w:tc>
          <w:tcPr>
            <w:tcW w:w="3200" w:type="dxa"/>
            <w:vAlign w:val="bottom"/>
          </w:tcPr>
          <w:p>
            <w:pPr>
              <w:ind w:left="360"/>
              <w:spacing w:after="0"/>
              <w:rPr>
                <w:sz w:val="20"/>
                <w:szCs w:val="20"/>
                <w:color w:val="auto"/>
              </w:rPr>
            </w:pPr>
            <w:r>
              <w:rPr>
                <w:rFonts w:ascii="Arial" w:cs="Arial" w:eastAsia="Arial" w:hAnsi="Arial"/>
                <w:sz w:val="14"/>
                <w:szCs w:val="14"/>
                <w:color w:val="auto"/>
              </w:rPr>
              <w:t>level of cash compensation.</w:t>
            </w:r>
          </w:p>
        </w:tc>
        <w:tc>
          <w:tcPr>
            <w:tcW w:w="12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90"/>
        </w:trPr>
        <w:tc>
          <w:tcPr>
            <w:tcW w:w="460" w:type="dxa"/>
            <w:vAlign w:val="bottom"/>
            <w:shd w:val="clear" w:color="auto" w:fill="A7A9AC"/>
          </w:tcPr>
          <w:p>
            <w:pPr>
              <w:spacing w:after="0"/>
              <w:rPr>
                <w:sz w:val="16"/>
                <w:szCs w:val="16"/>
                <w:color w:val="auto"/>
              </w:rPr>
            </w:pPr>
          </w:p>
        </w:tc>
        <w:tc>
          <w:tcPr>
            <w:tcW w:w="4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920" w:type="dxa"/>
            <w:vAlign w:val="bottom"/>
          </w:tcPr>
          <w:p>
            <w:pPr>
              <w:ind w:left="460"/>
              <w:spacing w:after="0"/>
              <w:rPr>
                <w:sz w:val="20"/>
                <w:szCs w:val="20"/>
                <w:color w:val="auto"/>
              </w:rPr>
            </w:pPr>
            <w:r>
              <w:rPr>
                <w:rFonts w:ascii="Arial" w:cs="Arial" w:eastAsia="Arial" w:hAnsi="Arial"/>
                <w:sz w:val="14"/>
                <w:szCs w:val="14"/>
                <w:color w:val="auto"/>
              </w:rPr>
              <w:t>individual performance.</w:t>
            </w:r>
          </w:p>
        </w:tc>
        <w:tc>
          <w:tcPr>
            <w:tcW w:w="3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494"/>
        </w:trPr>
        <w:tc>
          <w:tcPr>
            <w:tcW w:w="460" w:type="dxa"/>
            <w:vAlign w:val="bottom"/>
            <w:shd w:val="clear" w:color="auto" w:fill="A7A9AC"/>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tcBorders>
              <w:bottom w:val="single" w:sz="8" w:color="939598"/>
            </w:tcBorders>
          </w:tcPr>
          <w:p>
            <w:pPr>
              <w:spacing w:after="0"/>
              <w:rPr>
                <w:sz w:val="24"/>
                <w:szCs w:val="24"/>
                <w:color w:val="auto"/>
              </w:rPr>
            </w:pPr>
          </w:p>
        </w:tc>
        <w:tc>
          <w:tcPr>
            <w:tcW w:w="2920" w:type="dxa"/>
            <w:vAlign w:val="bottom"/>
            <w:tcBorders>
              <w:bottom w:val="single" w:sz="8" w:color="939598"/>
            </w:tcBorders>
          </w:tcPr>
          <w:p>
            <w:pPr>
              <w:spacing w:after="0"/>
              <w:rPr>
                <w:sz w:val="24"/>
                <w:szCs w:val="24"/>
                <w:color w:val="auto"/>
              </w:rPr>
            </w:pPr>
          </w:p>
        </w:tc>
        <w:tc>
          <w:tcPr>
            <w:tcW w:w="3200" w:type="dxa"/>
            <w:vAlign w:val="bottom"/>
            <w:tcBorders>
              <w:bottom w:val="single" w:sz="8" w:color="939598"/>
            </w:tcBorders>
          </w:tcPr>
          <w:p>
            <w:pPr>
              <w:spacing w:after="0"/>
              <w:rPr>
                <w:sz w:val="24"/>
                <w:szCs w:val="24"/>
                <w:color w:val="auto"/>
              </w:rPr>
            </w:pPr>
          </w:p>
        </w:tc>
        <w:tc>
          <w:tcPr>
            <w:tcW w:w="1240" w:type="dxa"/>
            <w:vAlign w:val="bottom"/>
            <w:tcBorders>
              <w:bottom w:val="single" w:sz="8" w:color="939598"/>
            </w:tcBorders>
          </w:tcPr>
          <w:p>
            <w:pPr>
              <w:spacing w:after="0"/>
              <w:rPr>
                <w:sz w:val="24"/>
                <w:szCs w:val="24"/>
                <w:color w:val="auto"/>
              </w:rPr>
            </w:pPr>
          </w:p>
        </w:tc>
        <w:tc>
          <w:tcPr>
            <w:tcW w:w="1460" w:type="dxa"/>
            <w:vAlign w:val="bottom"/>
            <w:tcBorders>
              <w:bottom w:val="single" w:sz="8" w:color="939598"/>
            </w:tcBorders>
          </w:tcPr>
          <w:p>
            <w:pPr>
              <w:spacing w:after="0"/>
              <w:rPr>
                <w:sz w:val="24"/>
                <w:szCs w:val="24"/>
                <w:color w:val="auto"/>
              </w:rPr>
            </w:pPr>
          </w:p>
        </w:tc>
      </w:tr>
      <w:tr>
        <w:trPr>
          <w:trHeight w:val="281"/>
        </w:trPr>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tcPr>
          <w:p>
            <w:pPr>
              <w:ind w:left="40"/>
              <w:spacing w:after="0"/>
              <w:rPr>
                <w:sz w:val="20"/>
                <w:szCs w:val="20"/>
                <w:color w:val="auto"/>
              </w:rPr>
            </w:pPr>
            <w:r>
              <w:rPr>
                <w:rFonts w:ascii="Arial" w:cs="Arial" w:eastAsia="Arial" w:hAnsi="Arial"/>
                <w:sz w:val="14"/>
                <w:szCs w:val="14"/>
                <w:b w:val="1"/>
                <w:bCs w:val="1"/>
                <w:color w:val="D7282F"/>
              </w:rPr>
              <w:t>ANNUAL</w:t>
            </w:r>
          </w:p>
        </w:tc>
        <w:tc>
          <w:tcPr>
            <w:tcW w:w="2920" w:type="dxa"/>
            <w:vAlign w:val="bottom"/>
          </w:tcPr>
          <w:p>
            <w:pPr>
              <w:spacing w:after="0"/>
              <w:rPr>
                <w:sz w:val="24"/>
                <w:szCs w:val="24"/>
                <w:color w:val="auto"/>
              </w:rPr>
            </w:pPr>
          </w:p>
        </w:tc>
        <w:tc>
          <w:tcPr>
            <w:tcW w:w="3200" w:type="dxa"/>
            <w:vAlign w:val="bottom"/>
          </w:tcPr>
          <w:p>
            <w:pPr>
              <w:ind w:left="160"/>
              <w:spacing w:after="0"/>
              <w:rPr>
                <w:sz w:val="20"/>
                <w:szCs w:val="20"/>
                <w:color w:val="auto"/>
              </w:rPr>
            </w:pPr>
            <w:r>
              <w:rPr>
                <w:rFonts w:ascii="Arial" w:cs="Arial" w:eastAsia="Arial" w:hAnsi="Arial"/>
                <w:sz w:val="14"/>
                <w:szCs w:val="14"/>
                <w:b w:val="1"/>
                <w:bCs w:val="1"/>
                <w:color w:val="D7282F"/>
              </w:rPr>
              <w:t xml:space="preserve">•  </w:t>
            </w:r>
            <w:r>
              <w:rPr>
                <w:rFonts w:ascii="Arial" w:cs="Arial" w:eastAsia="Arial" w:hAnsi="Arial"/>
                <w:sz w:val="14"/>
                <w:szCs w:val="14"/>
                <w:color w:val="000000"/>
              </w:rPr>
              <w:t>To motivate and reward executives for</w:t>
            </w: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76"/>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60" w:type="dxa"/>
            <w:vAlign w:val="bottom"/>
          </w:tcPr>
          <w:p>
            <w:pPr>
              <w:ind w:left="40"/>
              <w:spacing w:after="0"/>
              <w:rPr>
                <w:sz w:val="20"/>
                <w:szCs w:val="20"/>
                <w:color w:val="auto"/>
              </w:rPr>
            </w:pPr>
            <w:r>
              <w:rPr>
                <w:rFonts w:ascii="Arial" w:cs="Arial" w:eastAsia="Arial" w:hAnsi="Arial"/>
                <w:sz w:val="14"/>
                <w:szCs w:val="14"/>
                <w:b w:val="1"/>
                <w:bCs w:val="1"/>
                <w:color w:val="D7282F"/>
              </w:rPr>
              <w:t>INCENTIVE</w:t>
            </w:r>
          </w:p>
        </w:tc>
        <w:tc>
          <w:tcPr>
            <w:tcW w:w="2920" w:type="dxa"/>
            <w:vAlign w:val="bottom"/>
          </w:tcPr>
          <w:p>
            <w:pPr>
              <w:spacing w:after="0"/>
              <w:rPr>
                <w:sz w:val="15"/>
                <w:szCs w:val="15"/>
                <w:color w:val="auto"/>
              </w:rPr>
            </w:pPr>
          </w:p>
        </w:tc>
        <w:tc>
          <w:tcPr>
            <w:tcW w:w="3200" w:type="dxa"/>
            <w:vAlign w:val="bottom"/>
          </w:tcPr>
          <w:p>
            <w:pPr>
              <w:ind w:left="360"/>
              <w:spacing w:after="0"/>
              <w:rPr>
                <w:sz w:val="20"/>
                <w:szCs w:val="20"/>
                <w:color w:val="auto"/>
              </w:rPr>
            </w:pPr>
            <w:r>
              <w:rPr>
                <w:rFonts w:ascii="Arial" w:cs="Arial" w:eastAsia="Arial" w:hAnsi="Arial"/>
                <w:sz w:val="14"/>
                <w:szCs w:val="14"/>
                <w:color w:val="auto"/>
              </w:rPr>
              <w:t>achieving annual corporate, business</w:t>
            </w:r>
          </w:p>
        </w:tc>
        <w:tc>
          <w:tcPr>
            <w:tcW w:w="12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5"/>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60" w:type="dxa"/>
            <w:vAlign w:val="bottom"/>
          </w:tcPr>
          <w:p>
            <w:pPr>
              <w:ind w:left="40"/>
              <w:spacing w:after="0"/>
              <w:rPr>
                <w:sz w:val="20"/>
                <w:szCs w:val="20"/>
                <w:color w:val="auto"/>
              </w:rPr>
            </w:pPr>
            <w:r>
              <w:rPr>
                <w:rFonts w:ascii="Arial" w:cs="Arial" w:eastAsia="Arial" w:hAnsi="Arial"/>
                <w:sz w:val="14"/>
                <w:szCs w:val="14"/>
                <w:b w:val="1"/>
                <w:bCs w:val="1"/>
                <w:color w:val="D7282F"/>
              </w:rPr>
              <w:t>COMPENSATION</w:t>
            </w:r>
          </w:p>
        </w:tc>
        <w:tc>
          <w:tcPr>
            <w:tcW w:w="2920" w:type="dxa"/>
            <w:vAlign w:val="bottom"/>
          </w:tcPr>
          <w:p>
            <w:pPr>
              <w:spacing w:after="0"/>
              <w:rPr>
                <w:sz w:val="15"/>
                <w:szCs w:val="15"/>
                <w:color w:val="auto"/>
              </w:rPr>
            </w:pPr>
          </w:p>
        </w:tc>
        <w:tc>
          <w:tcPr>
            <w:tcW w:w="3200" w:type="dxa"/>
            <w:vAlign w:val="bottom"/>
          </w:tcPr>
          <w:p>
            <w:pPr>
              <w:ind w:left="360"/>
              <w:spacing w:after="0"/>
              <w:rPr>
                <w:sz w:val="20"/>
                <w:szCs w:val="20"/>
                <w:color w:val="auto"/>
              </w:rPr>
            </w:pPr>
            <w:r>
              <w:rPr>
                <w:rFonts w:ascii="Arial" w:cs="Arial" w:eastAsia="Arial" w:hAnsi="Arial"/>
                <w:sz w:val="14"/>
                <w:szCs w:val="14"/>
                <w:color w:val="auto"/>
              </w:rPr>
              <w:t>unit, corporate responsibility, and functional</w:t>
            </w:r>
          </w:p>
        </w:tc>
        <w:tc>
          <w:tcPr>
            <w:tcW w:w="12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6"/>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60" w:type="dxa"/>
            <w:vAlign w:val="bottom"/>
          </w:tcPr>
          <w:p>
            <w:pPr>
              <w:ind w:left="40"/>
              <w:spacing w:after="0"/>
              <w:rPr>
                <w:sz w:val="20"/>
                <w:szCs w:val="20"/>
                <w:color w:val="auto"/>
              </w:rPr>
            </w:pPr>
            <w:r>
              <w:rPr>
                <w:rFonts w:ascii="Arial" w:cs="Arial" w:eastAsia="Arial" w:hAnsi="Arial"/>
                <w:sz w:val="14"/>
                <w:szCs w:val="14"/>
                <w:b w:val="1"/>
                <w:bCs w:val="1"/>
                <w:color w:val="D7282F"/>
              </w:rPr>
              <w:t>PLAN (ICP)</w:t>
            </w:r>
          </w:p>
        </w:tc>
        <w:tc>
          <w:tcPr>
            <w:tcW w:w="2920" w:type="dxa"/>
            <w:vAlign w:val="bottom"/>
          </w:tcPr>
          <w:p>
            <w:pPr>
              <w:spacing w:after="0"/>
              <w:rPr>
                <w:sz w:val="15"/>
                <w:szCs w:val="15"/>
                <w:color w:val="auto"/>
              </w:rPr>
            </w:pPr>
          </w:p>
        </w:tc>
        <w:tc>
          <w:tcPr>
            <w:tcW w:w="3200" w:type="dxa"/>
            <w:vAlign w:val="bottom"/>
          </w:tcPr>
          <w:p>
            <w:pPr>
              <w:ind w:left="360"/>
              <w:spacing w:after="0"/>
              <w:rPr>
                <w:sz w:val="20"/>
                <w:szCs w:val="20"/>
                <w:color w:val="auto"/>
              </w:rPr>
            </w:pPr>
            <w:r>
              <w:rPr>
                <w:rFonts w:ascii="Arial" w:cs="Arial" w:eastAsia="Arial" w:hAnsi="Arial"/>
                <w:sz w:val="14"/>
                <w:szCs w:val="14"/>
                <w:color w:val="auto"/>
              </w:rPr>
              <w:t>goals in key areas of financial and</w:t>
            </w:r>
          </w:p>
        </w:tc>
        <w:tc>
          <w:tcPr>
            <w:tcW w:w="12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90"/>
        </w:trPr>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3200" w:type="dxa"/>
            <w:vAlign w:val="bottom"/>
          </w:tcPr>
          <w:p>
            <w:pPr>
              <w:ind w:left="360"/>
              <w:spacing w:after="0"/>
              <w:rPr>
                <w:sz w:val="20"/>
                <w:szCs w:val="20"/>
                <w:color w:val="auto"/>
              </w:rPr>
            </w:pPr>
            <w:r>
              <w:rPr>
                <w:rFonts w:ascii="Arial" w:cs="Arial" w:eastAsia="Arial" w:hAnsi="Arial"/>
                <w:sz w:val="14"/>
                <w:szCs w:val="14"/>
                <w:color w:val="auto"/>
              </w:rPr>
              <w:t>operational performance.</w:t>
            </w:r>
          </w:p>
        </w:tc>
        <w:tc>
          <w:tcPr>
            <w:tcW w:w="1240" w:type="dxa"/>
            <w:vAlign w:val="bottom"/>
          </w:tcPr>
          <w:p>
            <w:pPr>
              <w:spacing w:after="0"/>
              <w:rPr>
                <w:sz w:val="16"/>
                <w:szCs w:val="16"/>
                <w:color w:val="auto"/>
              </w:rPr>
            </w:pPr>
          </w:p>
        </w:tc>
        <w:tc>
          <w:tcPr>
            <w:tcW w:w="14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-1451610</wp:posOffset>
            </wp:positionV>
            <wp:extent cx="6986270" cy="664337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986270" cy="6643370"/>
                    </a:xfrm>
                    <a:prstGeom prst="rect">
                      <a:avLst/>
                    </a:prstGeom>
                    <a:noFill/>
                  </pic:spPr>
                </pic:pic>
              </a:graphicData>
            </a:graphic>
          </wp:anchor>
        </w:drawing>
      </w:r>
    </w:p>
    <w:p>
      <w:pPr>
        <w:spacing w:after="0" w:line="100" w:lineRule="exact"/>
        <w:rPr>
          <w:sz w:val="20"/>
          <w:szCs w:val="20"/>
          <w:color w:val="auto"/>
        </w:rPr>
      </w:pPr>
    </w:p>
    <w:p>
      <w:pPr>
        <w:ind w:left="2860" w:right="5920" w:hanging="188"/>
        <w:spacing w:after="0" w:line="272" w:lineRule="auto"/>
        <w:tabs>
          <w:tab w:leader="none" w:pos="2851" w:val="left"/>
        </w:tabs>
        <w:numPr>
          <w:ilvl w:val="0"/>
          <w:numId w:val="132"/>
        </w:numPr>
        <w:rPr>
          <w:rFonts w:ascii="Arial" w:cs="Arial" w:eastAsia="Arial" w:hAnsi="Arial"/>
          <w:sz w:val="14"/>
          <w:szCs w:val="14"/>
          <w:b w:val="1"/>
          <w:bCs w:val="1"/>
          <w:color w:val="D7282F"/>
        </w:rPr>
      </w:pPr>
      <w:r>
        <w:rPr>
          <w:rFonts w:ascii="Arial" w:cs="Arial" w:eastAsia="Arial" w:hAnsi="Arial"/>
          <w:sz w:val="14"/>
          <w:szCs w:val="14"/>
          <w:color w:val="auto"/>
        </w:rPr>
        <w:t>80% based on formulaic determination against pre-established</w:t>
      </w:r>
    </w:p>
    <w:p>
      <w:pPr>
        <w:ind w:left="2860"/>
        <w:spacing w:after="0"/>
        <w:rPr>
          <w:rFonts w:ascii="Arial" w:cs="Arial" w:eastAsia="Arial" w:hAnsi="Arial"/>
          <w:sz w:val="14"/>
          <w:szCs w:val="14"/>
          <w:b w:val="1"/>
          <w:bCs w:val="1"/>
          <w:color w:val="D7282F"/>
        </w:rPr>
      </w:pPr>
      <w:r>
        <w:rPr>
          <w:rFonts w:ascii="Arial" w:cs="Arial" w:eastAsia="Arial" w:hAnsi="Arial"/>
          <w:sz w:val="14"/>
          <w:szCs w:val="14"/>
          <w:color w:val="auto"/>
        </w:rPr>
        <w:t>financial metrics.</w:t>
      </w:r>
    </w:p>
    <w:p>
      <w:pPr>
        <w:spacing w:after="0" w:line="200" w:lineRule="exact"/>
        <w:rPr>
          <w:rFonts w:ascii="Arial" w:cs="Arial" w:eastAsia="Arial" w:hAnsi="Arial"/>
          <w:sz w:val="14"/>
          <w:szCs w:val="14"/>
          <w:b w:val="1"/>
          <w:bCs w:val="1"/>
          <w:color w:val="D7282F"/>
        </w:rPr>
      </w:pPr>
    </w:p>
    <w:p>
      <w:pPr>
        <w:spacing w:after="0" w:line="200" w:lineRule="exact"/>
        <w:rPr>
          <w:rFonts w:ascii="Arial" w:cs="Arial" w:eastAsia="Arial" w:hAnsi="Arial"/>
          <w:sz w:val="14"/>
          <w:szCs w:val="14"/>
          <w:b w:val="1"/>
          <w:bCs w:val="1"/>
          <w:color w:val="D7282F"/>
        </w:rPr>
      </w:pPr>
    </w:p>
    <w:p>
      <w:pPr>
        <w:spacing w:after="0" w:line="200" w:lineRule="exact"/>
        <w:rPr>
          <w:rFonts w:ascii="Arial" w:cs="Arial" w:eastAsia="Arial" w:hAnsi="Arial"/>
          <w:sz w:val="14"/>
          <w:szCs w:val="14"/>
          <w:b w:val="1"/>
          <w:bCs w:val="1"/>
          <w:color w:val="D7282F"/>
        </w:rPr>
      </w:pPr>
    </w:p>
    <w:p>
      <w:pPr>
        <w:spacing w:after="0" w:line="399" w:lineRule="exact"/>
        <w:rPr>
          <w:rFonts w:ascii="Arial" w:cs="Arial" w:eastAsia="Arial" w:hAnsi="Arial"/>
          <w:sz w:val="14"/>
          <w:szCs w:val="14"/>
          <w:b w:val="1"/>
          <w:bCs w:val="1"/>
          <w:color w:val="D7282F"/>
        </w:rPr>
      </w:pPr>
    </w:p>
    <w:p>
      <w:pPr>
        <w:ind w:left="2860" w:right="6500" w:hanging="188"/>
        <w:spacing w:after="0" w:line="305" w:lineRule="auto"/>
        <w:tabs>
          <w:tab w:leader="none" w:pos="2851" w:val="left"/>
        </w:tabs>
        <w:numPr>
          <w:ilvl w:val="0"/>
          <w:numId w:val="132"/>
        </w:numPr>
        <w:rPr>
          <w:rFonts w:ascii="Arial" w:cs="Arial" w:eastAsia="Arial" w:hAnsi="Arial"/>
          <w:sz w:val="14"/>
          <w:szCs w:val="14"/>
          <w:b w:val="1"/>
          <w:bCs w:val="1"/>
          <w:color w:val="D7282F"/>
        </w:rPr>
      </w:pPr>
      <w:r>
        <w:rPr>
          <w:rFonts w:ascii="Arial" w:cs="Arial" w:eastAsia="Arial" w:hAnsi="Arial"/>
          <w:sz w:val="14"/>
          <w:szCs w:val="14"/>
          <w:color w:val="auto"/>
        </w:rPr>
        <w:t>15% based on assessment of individual performance.</w:t>
      </w:r>
    </w:p>
    <w:p>
      <w:pPr>
        <w:spacing w:after="0" w:line="200" w:lineRule="exact"/>
        <w:rPr>
          <w:rFonts w:ascii="Arial" w:cs="Arial" w:eastAsia="Arial" w:hAnsi="Arial"/>
          <w:sz w:val="14"/>
          <w:szCs w:val="14"/>
          <w:b w:val="1"/>
          <w:bCs w:val="1"/>
          <w:color w:val="D7282F"/>
        </w:rPr>
      </w:pPr>
    </w:p>
    <w:p>
      <w:pPr>
        <w:spacing w:after="0" w:line="200" w:lineRule="exact"/>
        <w:rPr>
          <w:rFonts w:ascii="Arial" w:cs="Arial" w:eastAsia="Arial" w:hAnsi="Arial"/>
          <w:sz w:val="14"/>
          <w:szCs w:val="14"/>
          <w:b w:val="1"/>
          <w:bCs w:val="1"/>
          <w:color w:val="D7282F"/>
        </w:rPr>
      </w:pPr>
    </w:p>
    <w:p>
      <w:pPr>
        <w:spacing w:after="0" w:line="200" w:lineRule="exact"/>
        <w:rPr>
          <w:rFonts w:ascii="Arial" w:cs="Arial" w:eastAsia="Arial" w:hAnsi="Arial"/>
          <w:sz w:val="14"/>
          <w:szCs w:val="14"/>
          <w:b w:val="1"/>
          <w:bCs w:val="1"/>
          <w:color w:val="D7282F"/>
        </w:rPr>
      </w:pPr>
    </w:p>
    <w:p>
      <w:pPr>
        <w:spacing w:after="0" w:line="354" w:lineRule="exact"/>
        <w:rPr>
          <w:rFonts w:ascii="Arial" w:cs="Arial" w:eastAsia="Arial" w:hAnsi="Arial"/>
          <w:sz w:val="14"/>
          <w:szCs w:val="14"/>
          <w:b w:val="1"/>
          <w:bCs w:val="1"/>
          <w:color w:val="D7282F"/>
        </w:rPr>
      </w:pPr>
    </w:p>
    <w:p>
      <w:pPr>
        <w:ind w:left="2860" w:right="5940" w:hanging="188"/>
        <w:spacing w:after="0" w:line="285" w:lineRule="auto"/>
        <w:tabs>
          <w:tab w:leader="none" w:pos="2851" w:val="left"/>
        </w:tabs>
        <w:numPr>
          <w:ilvl w:val="0"/>
          <w:numId w:val="132"/>
        </w:numPr>
        <w:rPr>
          <w:rFonts w:ascii="Arial" w:cs="Arial" w:eastAsia="Arial" w:hAnsi="Arial"/>
          <w:sz w:val="14"/>
          <w:szCs w:val="14"/>
          <w:b w:val="1"/>
          <w:bCs w:val="1"/>
          <w:color w:val="D7282F"/>
        </w:rPr>
      </w:pPr>
      <w:r>
        <w:rPr>
          <w:rFonts w:ascii="Arial" w:cs="Arial" w:eastAsia="Arial" w:hAnsi="Arial"/>
          <w:sz w:val="14"/>
          <w:szCs w:val="14"/>
          <w:color w:val="auto"/>
        </w:rPr>
        <w:t>5% based on Corporate Responsibility KPIs.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-1736725</wp:posOffset>
            </wp:positionV>
            <wp:extent cx="6831965" cy="47834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831965" cy="47834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-1736725</wp:posOffset>
            </wp:positionV>
            <wp:extent cx="6831965" cy="47834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831965" cy="478345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ind w:left="980"/>
        <w:spacing w:after="0"/>
        <w:rPr>
          <w:sz w:val="20"/>
          <w:szCs w:val="20"/>
          <w:color w:val="auto"/>
        </w:rPr>
      </w:pPr>
      <w:r>
        <w:rPr>
          <w:rFonts w:ascii="Arial" w:cs="Arial" w:eastAsia="Arial" w:hAnsi="Arial"/>
          <w:sz w:val="14"/>
          <w:szCs w:val="14"/>
          <w:b w:val="1"/>
          <w:bCs w:val="1"/>
          <w:color w:val="D7282F"/>
        </w:rPr>
        <w:t>PERFORMANCE</w:t>
      </w:r>
    </w:p>
    <w:p>
      <w:pPr>
        <w:spacing w:after="0" w:line="15" w:lineRule="exact"/>
        <w:rPr>
          <w:sz w:val="20"/>
          <w:szCs w:val="20"/>
          <w:color w:val="auto"/>
        </w:rPr>
      </w:pPr>
    </w:p>
    <w:p>
      <w:pPr>
        <w:ind w:left="980"/>
        <w:spacing w:after="0"/>
        <w:rPr>
          <w:sz w:val="20"/>
          <w:szCs w:val="20"/>
          <w:color w:val="auto"/>
        </w:rPr>
      </w:pPr>
      <w:r>
        <w:rPr>
          <w:rFonts w:ascii="Arial" w:cs="Arial" w:eastAsia="Arial" w:hAnsi="Arial"/>
          <w:sz w:val="14"/>
          <w:szCs w:val="14"/>
          <w:b w:val="1"/>
          <w:bCs w:val="1"/>
          <w:color w:val="D7282F"/>
        </w:rPr>
        <w:t>STOCK UNITS</w:t>
      </w:r>
    </w:p>
    <w:p>
      <w:pPr>
        <w:spacing w:after="0" w:line="15" w:lineRule="exact"/>
        <w:rPr>
          <w:sz w:val="20"/>
          <w:szCs w:val="20"/>
          <w:color w:val="auto"/>
        </w:rPr>
      </w:pPr>
    </w:p>
    <w:p>
      <w:pPr>
        <w:ind w:left="980"/>
        <w:spacing w:after="0"/>
        <w:rPr>
          <w:sz w:val="20"/>
          <w:szCs w:val="20"/>
          <w:color w:val="auto"/>
        </w:rPr>
      </w:pPr>
      <w:r>
        <w:rPr>
          <w:rFonts w:ascii="Arial" w:cs="Arial" w:eastAsia="Arial" w:hAnsi="Arial"/>
          <w:sz w:val="14"/>
          <w:szCs w:val="14"/>
          <w:b w:val="1"/>
          <w:bCs w:val="1"/>
          <w:color w:val="D7282F"/>
        </w:rPr>
        <w:t>(PSUs)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ind w:left="188" w:hanging="188"/>
        <w:spacing w:after="0"/>
        <w:tabs>
          <w:tab w:leader="none" w:pos="188" w:val="left"/>
        </w:tabs>
        <w:numPr>
          <w:ilvl w:val="0"/>
          <w:numId w:val="133"/>
        </w:numPr>
        <w:rPr>
          <w:rFonts w:ascii="Arial" w:cs="Arial" w:eastAsia="Arial" w:hAnsi="Arial"/>
          <w:sz w:val="14"/>
          <w:szCs w:val="14"/>
          <w:b w:val="1"/>
          <w:bCs w:val="1"/>
          <w:color w:val="D7282F"/>
        </w:rPr>
      </w:pPr>
      <w:r>
        <w:rPr>
          <w:rFonts w:ascii="Arial" w:cs="Arial" w:eastAsia="Arial" w:hAnsi="Arial"/>
          <w:sz w:val="14"/>
          <w:szCs w:val="14"/>
          <w:color w:val="auto"/>
        </w:rPr>
        <w:t>Executive Officers: 50% of annual LTI.</w:t>
      </w:r>
    </w:p>
    <w:p>
      <w:pPr>
        <w:spacing w:after="0" w:line="82" w:lineRule="exact"/>
        <w:rPr>
          <w:rFonts w:ascii="Arial" w:cs="Arial" w:eastAsia="Arial" w:hAnsi="Arial"/>
          <w:sz w:val="14"/>
          <w:szCs w:val="14"/>
          <w:b w:val="1"/>
          <w:bCs w:val="1"/>
          <w:color w:val="D7282F"/>
        </w:rPr>
      </w:pPr>
    </w:p>
    <w:p>
      <w:pPr>
        <w:ind w:left="188" w:hanging="188"/>
        <w:spacing w:after="0"/>
        <w:tabs>
          <w:tab w:leader="none" w:pos="188" w:val="left"/>
        </w:tabs>
        <w:numPr>
          <w:ilvl w:val="0"/>
          <w:numId w:val="133"/>
        </w:numPr>
        <w:rPr>
          <w:rFonts w:ascii="Arial" w:cs="Arial" w:eastAsia="Arial" w:hAnsi="Arial"/>
          <w:sz w:val="14"/>
          <w:szCs w:val="14"/>
          <w:b w:val="1"/>
          <w:bCs w:val="1"/>
          <w:color w:val="D7282F"/>
        </w:rPr>
      </w:pPr>
      <w:r>
        <w:rPr>
          <w:rFonts w:ascii="Arial" w:cs="Arial" w:eastAsia="Arial" w:hAnsi="Arial"/>
          <w:sz w:val="14"/>
          <w:szCs w:val="14"/>
          <w:color w:val="auto"/>
        </w:rPr>
        <w:t>Covers three-year period.</w:t>
      </w:r>
    </w:p>
    <w:p>
      <w:pPr>
        <w:spacing w:after="0" w:line="82" w:lineRule="exact"/>
        <w:rPr>
          <w:rFonts w:ascii="Arial" w:cs="Arial" w:eastAsia="Arial" w:hAnsi="Arial"/>
          <w:sz w:val="14"/>
          <w:szCs w:val="14"/>
          <w:b w:val="1"/>
          <w:bCs w:val="1"/>
          <w:color w:val="D7282F"/>
        </w:rPr>
      </w:pPr>
    </w:p>
    <w:p>
      <w:pPr>
        <w:ind w:left="188" w:right="20" w:hanging="188"/>
        <w:spacing w:after="0" w:line="305" w:lineRule="auto"/>
        <w:tabs>
          <w:tab w:leader="none" w:pos="179" w:val="left"/>
        </w:tabs>
        <w:numPr>
          <w:ilvl w:val="0"/>
          <w:numId w:val="133"/>
        </w:numPr>
        <w:rPr>
          <w:rFonts w:ascii="Arial" w:cs="Arial" w:eastAsia="Arial" w:hAnsi="Arial"/>
          <w:sz w:val="14"/>
          <w:szCs w:val="14"/>
          <w:b w:val="1"/>
          <w:bCs w:val="1"/>
          <w:color w:val="D7282F"/>
        </w:rPr>
      </w:pPr>
      <w:r>
        <w:rPr>
          <w:rFonts w:ascii="Arial" w:cs="Arial" w:eastAsia="Arial" w:hAnsi="Arial"/>
          <w:sz w:val="14"/>
          <w:szCs w:val="14"/>
          <w:color w:val="auto"/>
        </w:rPr>
        <w:t>Relative TSR (25% weight) along with key financial metrics (75% weight).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ind w:left="200" w:right="2760" w:hanging="200"/>
        <w:spacing w:after="0" w:line="262" w:lineRule="auto"/>
        <w:tabs>
          <w:tab w:leader="none" w:pos="191" w:val="left"/>
        </w:tabs>
        <w:numPr>
          <w:ilvl w:val="0"/>
          <w:numId w:val="134"/>
        </w:numPr>
        <w:rPr>
          <w:rFonts w:ascii="Arial" w:cs="Arial" w:eastAsia="Arial" w:hAnsi="Arial"/>
          <w:sz w:val="14"/>
          <w:szCs w:val="14"/>
          <w:b w:val="1"/>
          <w:bCs w:val="1"/>
          <w:color w:val="D7282F"/>
        </w:rPr>
      </w:pPr>
      <w:r>
        <w:rPr>
          <w:rFonts w:ascii="Arial" w:cs="Arial" w:eastAsia="Arial" w:hAnsi="Arial"/>
          <w:sz w:val="14"/>
          <w:szCs w:val="14"/>
          <w:color w:val="auto"/>
        </w:rPr>
        <w:t>Focuses executives on the achievement of specific long-term financial performance goals directly aligned with our operating and strategic plans. TSR portion pays based on three-year return from stock price appreciation and dividends vs. the Compensation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-2882900</wp:posOffset>
            </wp:positionH>
            <wp:positionV relativeFrom="paragraph">
              <wp:posOffset>295910</wp:posOffset>
            </wp:positionV>
            <wp:extent cx="653224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532245" cy="8255"/>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-774700</wp:posOffset>
            </wp:positionV>
            <wp:extent cx="1423035" cy="57404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423035" cy="574040"/>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-774700</wp:posOffset>
            </wp:positionV>
            <wp:extent cx="1423035" cy="57404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423035" cy="574040"/>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373380</wp:posOffset>
            </wp:positionV>
            <wp:extent cx="574040" cy="56578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clrChange>
                        <a:clrFrom>
                          <a:srgbClr val="000000"/>
                        </a:clrFrom>
                        <a:clrTo>
                          <a:srgbClr val="000000">
                            <a:alpha val="0"/>
                          </a:srgbClr>
                        </a:clrTo>
                      </a:clrChange>
                      <a:extLst>
                        <a:ext uri="{28A0092B-C50C-407E-A947-70E740481C1C}"/>
                      </a:extLst>
                    </a:blip>
                    <a:srcRect/>
                    <a:stretch>
                      <a:fillRect/>
                    </a:stretch>
                  </pic:blipFill>
                  <pic:spPr bwMode="auto">
                    <a:xfrm>
                      <a:off x="0" y="0"/>
                      <a:ext cx="574040" cy="565785"/>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373380</wp:posOffset>
            </wp:positionV>
            <wp:extent cx="574040" cy="56578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clrChange>
                        <a:clrFrom>
                          <a:srgbClr val="FFFFFF"/>
                        </a:clrFrom>
                        <a:clrTo>
                          <a:srgbClr val="FFFFFF">
                            <a:alpha val="0"/>
                          </a:srgbClr>
                        </a:clrTo>
                      </a:clrChange>
                      <a:extLst>
                        <a:ext uri="{28A0092B-C50C-407E-A947-70E740481C1C}"/>
                      </a:extLst>
                    </a:blip>
                    <a:srcRect/>
                    <a:stretch>
                      <a:fillRect/>
                    </a:stretch>
                  </pic:blipFill>
                  <pic:spPr bwMode="auto">
                    <a:xfrm>
                      <a:off x="0" y="0"/>
                      <a:ext cx="574040" cy="5657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2120" w:space="552"/>
            <w:col w:w="2628" w:space="180"/>
            <w:col w:w="5760"/>
          </w:cols>
          <w:pgMar w:left="320" w:top="230" w:right="339" w:bottom="144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80" w:type="dxa"/>
            <w:vAlign w:val="bottom"/>
          </w:tcPr>
          <w:p>
            <w:pPr>
              <w:ind w:left="40"/>
              <w:spacing w:after="0"/>
              <w:rPr>
                <w:sz w:val="20"/>
                <w:szCs w:val="20"/>
                <w:color w:val="auto"/>
              </w:rPr>
            </w:pPr>
            <w:r>
              <w:rPr>
                <w:rFonts w:ascii="Arial" w:cs="Arial" w:eastAsia="Arial" w:hAnsi="Arial"/>
                <w:sz w:val="14"/>
                <w:szCs w:val="14"/>
                <w:b w:val="1"/>
                <w:bCs w:val="1"/>
                <w:color w:val="D7282F"/>
              </w:rPr>
              <w:t>STOCK OPTIONS</w:t>
            </w:r>
          </w:p>
        </w:tc>
        <w:tc>
          <w:tcPr>
            <w:tcW w:w="2960" w:type="dxa"/>
            <w:vAlign w:val="bottom"/>
          </w:tcPr>
          <w:p>
            <w:pPr>
              <w:ind w:left="260"/>
              <w:spacing w:after="0"/>
              <w:rPr>
                <w:sz w:val="20"/>
                <w:szCs w:val="20"/>
                <w:color w:val="auto"/>
              </w:rPr>
            </w:pPr>
            <w:r>
              <w:rPr>
                <w:rFonts w:ascii="Arial" w:cs="Arial" w:eastAsia="Arial" w:hAnsi="Arial"/>
                <w:sz w:val="14"/>
                <w:szCs w:val="14"/>
                <w:b w:val="1"/>
                <w:bCs w:val="1"/>
                <w:color w:val="D7282F"/>
              </w:rPr>
              <w:t xml:space="preserve">•  </w:t>
            </w:r>
            <w:r>
              <w:rPr>
                <w:rFonts w:ascii="Arial" w:cs="Arial" w:eastAsia="Arial" w:hAnsi="Arial"/>
                <w:sz w:val="14"/>
                <w:szCs w:val="14"/>
                <w:color w:val="000000"/>
              </w:rPr>
              <w:t>Executive Officers: 25% of annual LTI.</w:t>
            </w:r>
          </w:p>
        </w:tc>
        <w:tc>
          <w:tcPr>
            <w:tcW w:w="4920" w:type="dxa"/>
            <w:vAlign w:val="bottom"/>
          </w:tcPr>
          <w:p>
            <w:pPr>
              <w:ind w:left="100"/>
              <w:spacing w:after="0"/>
              <w:rPr>
                <w:sz w:val="20"/>
                <w:szCs w:val="20"/>
                <w:color w:val="auto"/>
              </w:rPr>
            </w:pPr>
            <w:r>
              <w:rPr>
                <w:rFonts w:ascii="Arial" w:cs="Arial" w:eastAsia="Arial" w:hAnsi="Arial"/>
                <w:sz w:val="14"/>
                <w:szCs w:val="14"/>
                <w:b w:val="1"/>
                <w:bCs w:val="1"/>
                <w:color w:val="D7282F"/>
              </w:rPr>
              <w:t xml:space="preserve">•  </w:t>
            </w:r>
            <w:r>
              <w:rPr>
                <w:rFonts w:ascii="Arial" w:cs="Arial" w:eastAsia="Arial" w:hAnsi="Arial"/>
                <w:sz w:val="14"/>
                <w:szCs w:val="14"/>
                <w:color w:val="000000"/>
              </w:rPr>
              <w:t>Directly aligns the interests of our</w:t>
            </w: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4920" w:type="dxa"/>
            <w:vAlign w:val="bottom"/>
          </w:tcPr>
          <w:p>
            <w:pPr>
              <w:ind w:left="300"/>
              <w:spacing w:after="0"/>
              <w:rPr>
                <w:sz w:val="20"/>
                <w:szCs w:val="20"/>
                <w:color w:val="auto"/>
              </w:rPr>
            </w:pPr>
            <w:r>
              <w:rPr>
                <w:rFonts w:ascii="Arial" w:cs="Arial" w:eastAsia="Arial" w:hAnsi="Arial"/>
                <w:sz w:val="14"/>
                <w:szCs w:val="14"/>
                <w:color w:val="auto"/>
              </w:rPr>
              <w:t>executives with shareowners. Stock</w:t>
            </w: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4920" w:type="dxa"/>
            <w:vAlign w:val="bottom"/>
          </w:tcPr>
          <w:p>
            <w:pPr>
              <w:ind w:left="300"/>
              <w:spacing w:after="0"/>
              <w:rPr>
                <w:sz w:val="20"/>
                <w:szCs w:val="20"/>
                <w:color w:val="auto"/>
              </w:rPr>
            </w:pPr>
            <w:r>
              <w:rPr>
                <w:rFonts w:ascii="Arial" w:cs="Arial" w:eastAsia="Arial" w:hAnsi="Arial"/>
                <w:sz w:val="14"/>
                <w:szCs w:val="14"/>
                <w:color w:val="auto"/>
              </w:rPr>
              <w:t>options only have value for executives if</w:t>
            </w: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4920" w:type="dxa"/>
            <w:vAlign w:val="bottom"/>
          </w:tcPr>
          <w:p>
            <w:pPr>
              <w:ind w:left="300"/>
              <w:spacing w:after="0"/>
              <w:rPr>
                <w:sz w:val="20"/>
                <w:szCs w:val="20"/>
                <w:color w:val="auto"/>
              </w:rPr>
            </w:pPr>
            <w:r>
              <w:rPr>
                <w:rFonts w:ascii="Arial" w:cs="Arial" w:eastAsia="Arial" w:hAnsi="Arial"/>
                <w:sz w:val="14"/>
                <w:szCs w:val="14"/>
                <w:color w:val="auto"/>
              </w:rPr>
              <w:t>operating performance results in stock</w:t>
            </w: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0"/>
        </w:trPr>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4920" w:type="dxa"/>
            <w:vAlign w:val="bottom"/>
          </w:tcPr>
          <w:p>
            <w:pPr>
              <w:ind w:left="300"/>
              <w:spacing w:after="0"/>
              <w:rPr>
                <w:sz w:val="20"/>
                <w:szCs w:val="20"/>
                <w:color w:val="auto"/>
              </w:rPr>
            </w:pPr>
            <w:r>
              <w:rPr>
                <w:rFonts w:ascii="Arial" w:cs="Arial" w:eastAsia="Arial" w:hAnsi="Arial"/>
                <w:sz w:val="14"/>
                <w:szCs w:val="14"/>
                <w:color w:val="auto"/>
              </w:rPr>
              <w:t>price appreciation.</w:t>
            </w: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59"/>
        </w:trPr>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80" w:type="dxa"/>
            <w:vAlign w:val="bottom"/>
            <w:tcBorders>
              <w:bottom w:val="single" w:sz="8" w:color="939598"/>
            </w:tcBorders>
          </w:tcPr>
          <w:p>
            <w:pPr>
              <w:spacing w:after="0"/>
              <w:rPr>
                <w:sz w:val="24"/>
                <w:szCs w:val="24"/>
                <w:color w:val="auto"/>
              </w:rPr>
            </w:pPr>
          </w:p>
        </w:tc>
        <w:tc>
          <w:tcPr>
            <w:tcW w:w="2960" w:type="dxa"/>
            <w:vAlign w:val="bottom"/>
            <w:tcBorders>
              <w:bottom w:val="single" w:sz="8" w:color="939598"/>
            </w:tcBorders>
          </w:tcPr>
          <w:p>
            <w:pPr>
              <w:spacing w:after="0"/>
              <w:rPr>
                <w:sz w:val="24"/>
                <w:szCs w:val="24"/>
                <w:color w:val="auto"/>
              </w:rPr>
            </w:pPr>
          </w:p>
        </w:tc>
        <w:tc>
          <w:tcPr>
            <w:tcW w:w="4920" w:type="dxa"/>
            <w:vAlign w:val="bottom"/>
            <w:tcBorders>
              <w:bottom w:val="single" w:sz="8" w:color="939598"/>
            </w:tcBorders>
          </w:tcPr>
          <w:p>
            <w:pPr>
              <w:spacing w:after="0"/>
              <w:rPr>
                <w:sz w:val="24"/>
                <w:szCs w:val="24"/>
                <w:color w:val="auto"/>
              </w:rPr>
            </w:pPr>
          </w:p>
        </w:tc>
        <w:tc>
          <w:tcPr>
            <w:tcW w:w="920" w:type="dxa"/>
            <w:vAlign w:val="bottom"/>
            <w:tcBorders>
              <w:bottom w:val="single" w:sz="8" w:color="939598"/>
            </w:tcBorders>
          </w:tcPr>
          <w:p>
            <w:pPr>
              <w:spacing w:after="0"/>
              <w:rPr>
                <w:sz w:val="24"/>
                <w:szCs w:val="24"/>
                <w:color w:val="auto"/>
              </w:rPr>
            </w:pPr>
          </w:p>
        </w:tc>
        <w:tc>
          <w:tcPr>
            <w:tcW w:w="20" w:type="dxa"/>
            <w:vAlign w:val="bottom"/>
          </w:tcPr>
          <w:p>
            <w:pPr>
              <w:spacing w:after="0"/>
              <w:rPr>
                <w:sz w:val="24"/>
                <w:szCs w:val="24"/>
                <w:color w:val="auto"/>
              </w:rPr>
            </w:pPr>
          </w:p>
        </w:tc>
      </w:tr>
      <w:tr>
        <w:trPr>
          <w:trHeight w:val="281"/>
        </w:trPr>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14"/>
                <w:szCs w:val="14"/>
                <w:b w:val="1"/>
                <w:bCs w:val="1"/>
                <w:color w:val="D7282F"/>
              </w:rPr>
              <w:t>RESTRICTED</w:t>
            </w:r>
          </w:p>
        </w:tc>
        <w:tc>
          <w:tcPr>
            <w:tcW w:w="2960" w:type="dxa"/>
            <w:vAlign w:val="bottom"/>
          </w:tcPr>
          <w:p>
            <w:pPr>
              <w:ind w:left="260"/>
              <w:spacing w:after="0"/>
              <w:rPr>
                <w:sz w:val="20"/>
                <w:szCs w:val="20"/>
                <w:color w:val="auto"/>
              </w:rPr>
            </w:pPr>
            <w:r>
              <w:rPr>
                <w:rFonts w:ascii="Arial" w:cs="Arial" w:eastAsia="Arial" w:hAnsi="Arial"/>
                <w:sz w:val="14"/>
                <w:szCs w:val="14"/>
                <w:b w:val="1"/>
                <w:bCs w:val="1"/>
                <w:color w:val="D7282F"/>
              </w:rPr>
              <w:t xml:space="preserve">•  </w:t>
            </w:r>
            <w:r>
              <w:rPr>
                <w:rFonts w:ascii="Arial" w:cs="Arial" w:eastAsia="Arial" w:hAnsi="Arial"/>
                <w:sz w:val="14"/>
                <w:szCs w:val="14"/>
                <w:color w:val="000000"/>
              </w:rPr>
              <w:t>Executive Officers: 25% of annual LTI.</w:t>
            </w:r>
          </w:p>
        </w:tc>
        <w:tc>
          <w:tcPr>
            <w:tcW w:w="4920" w:type="dxa"/>
            <w:vAlign w:val="bottom"/>
          </w:tcPr>
          <w:p>
            <w:pPr>
              <w:ind w:left="100"/>
              <w:spacing w:after="0"/>
              <w:rPr>
                <w:sz w:val="20"/>
                <w:szCs w:val="20"/>
                <w:color w:val="auto"/>
              </w:rPr>
            </w:pPr>
            <w:r>
              <w:rPr>
                <w:rFonts w:ascii="Arial" w:cs="Arial" w:eastAsia="Arial" w:hAnsi="Arial"/>
                <w:sz w:val="14"/>
                <w:szCs w:val="14"/>
                <w:b w:val="1"/>
                <w:bCs w:val="1"/>
                <w:color w:val="D7282F"/>
              </w:rPr>
              <w:t xml:space="preserve">•  </w:t>
            </w:r>
            <w:r>
              <w:rPr>
                <w:rFonts w:ascii="Arial" w:cs="Arial" w:eastAsia="Arial" w:hAnsi="Arial"/>
                <w:sz w:val="14"/>
                <w:szCs w:val="14"/>
                <w:color w:val="000000"/>
              </w:rPr>
              <w:t>Strengthens key executive retention over</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5"/>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80" w:type="dxa"/>
            <w:vAlign w:val="bottom"/>
          </w:tcPr>
          <w:p>
            <w:pPr>
              <w:ind w:left="40"/>
              <w:spacing w:after="0"/>
              <w:rPr>
                <w:sz w:val="20"/>
                <w:szCs w:val="20"/>
                <w:color w:val="auto"/>
              </w:rPr>
            </w:pPr>
            <w:r>
              <w:rPr>
                <w:rFonts w:ascii="Arial" w:cs="Arial" w:eastAsia="Arial" w:hAnsi="Arial"/>
                <w:sz w:val="14"/>
                <w:szCs w:val="14"/>
                <w:b w:val="1"/>
                <w:bCs w:val="1"/>
                <w:color w:val="D7282F"/>
              </w:rPr>
              <w:t>STOCK</w:t>
            </w:r>
          </w:p>
        </w:tc>
        <w:tc>
          <w:tcPr>
            <w:tcW w:w="2960" w:type="dxa"/>
            <w:vAlign w:val="bottom"/>
          </w:tcPr>
          <w:p>
            <w:pPr>
              <w:spacing w:after="0"/>
              <w:rPr>
                <w:sz w:val="15"/>
                <w:szCs w:val="15"/>
                <w:color w:val="auto"/>
              </w:rPr>
            </w:pPr>
          </w:p>
        </w:tc>
        <w:tc>
          <w:tcPr>
            <w:tcW w:w="4920" w:type="dxa"/>
            <w:vAlign w:val="bottom"/>
          </w:tcPr>
          <w:p>
            <w:pPr>
              <w:ind w:left="300"/>
              <w:spacing w:after="0"/>
              <w:rPr>
                <w:sz w:val="20"/>
                <w:szCs w:val="20"/>
                <w:color w:val="auto"/>
              </w:rPr>
            </w:pPr>
            <w:r>
              <w:rPr>
                <w:rFonts w:ascii="Arial" w:cs="Arial" w:eastAsia="Arial" w:hAnsi="Arial"/>
                <w:sz w:val="14"/>
                <w:szCs w:val="14"/>
                <w:color w:val="auto"/>
              </w:rPr>
              <w:t>relevant time periods to ensure</w:t>
            </w: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80" w:type="dxa"/>
            <w:vAlign w:val="bottom"/>
          </w:tcPr>
          <w:p>
            <w:pPr>
              <w:ind w:left="40"/>
              <w:spacing w:after="0"/>
              <w:rPr>
                <w:sz w:val="20"/>
                <w:szCs w:val="20"/>
                <w:color w:val="auto"/>
              </w:rPr>
            </w:pPr>
            <w:r>
              <w:rPr>
                <w:rFonts w:ascii="Arial" w:cs="Arial" w:eastAsia="Arial" w:hAnsi="Arial"/>
                <w:sz w:val="14"/>
                <w:szCs w:val="14"/>
                <w:b w:val="1"/>
                <w:bCs w:val="1"/>
                <w:color w:val="D7282F"/>
              </w:rPr>
              <w:t>UNITS (RSUs)</w:t>
            </w:r>
          </w:p>
        </w:tc>
        <w:tc>
          <w:tcPr>
            <w:tcW w:w="2960" w:type="dxa"/>
            <w:vAlign w:val="bottom"/>
          </w:tcPr>
          <w:p>
            <w:pPr>
              <w:spacing w:after="0"/>
              <w:rPr>
                <w:sz w:val="15"/>
                <w:szCs w:val="15"/>
                <w:color w:val="auto"/>
              </w:rPr>
            </w:pPr>
          </w:p>
        </w:tc>
        <w:tc>
          <w:tcPr>
            <w:tcW w:w="4920" w:type="dxa"/>
            <w:vAlign w:val="bottom"/>
          </w:tcPr>
          <w:p>
            <w:pPr>
              <w:ind w:left="300"/>
              <w:spacing w:after="0"/>
              <w:rPr>
                <w:sz w:val="20"/>
                <w:szCs w:val="20"/>
                <w:color w:val="auto"/>
              </w:rPr>
            </w:pPr>
            <w:r>
              <w:rPr>
                <w:rFonts w:ascii="Arial" w:cs="Arial" w:eastAsia="Arial" w:hAnsi="Arial"/>
                <w:sz w:val="14"/>
                <w:szCs w:val="14"/>
                <w:color w:val="auto"/>
              </w:rPr>
              <w:t>consistency and execution of long-term</w:t>
            </w: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0"/>
        </w:trPr>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4920" w:type="dxa"/>
            <w:vAlign w:val="bottom"/>
          </w:tcPr>
          <w:p>
            <w:pPr>
              <w:ind w:left="300"/>
              <w:spacing w:after="0"/>
              <w:rPr>
                <w:sz w:val="20"/>
                <w:szCs w:val="20"/>
                <w:color w:val="auto"/>
              </w:rPr>
            </w:pPr>
            <w:r>
              <w:rPr>
                <w:rFonts w:ascii="Arial" w:cs="Arial" w:eastAsia="Arial" w:hAnsi="Arial"/>
                <w:sz w:val="14"/>
                <w:szCs w:val="14"/>
                <w:color w:val="auto"/>
              </w:rPr>
              <w:t>strategies.</w:t>
            </w: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440"/>
        </w:trPr>
        <w:tc>
          <w:tcPr>
            <w:tcW w:w="460" w:type="dxa"/>
            <w:vAlign w:val="bottom"/>
            <w:tcBorders>
              <w:bottom w:val="single" w:sz="8" w:color="D7282F"/>
            </w:tcBorders>
          </w:tcPr>
          <w:p>
            <w:pPr>
              <w:spacing w:after="0"/>
              <w:rPr>
                <w:sz w:val="24"/>
                <w:szCs w:val="24"/>
                <w:color w:val="auto"/>
              </w:rPr>
            </w:pPr>
          </w:p>
        </w:tc>
        <w:tc>
          <w:tcPr>
            <w:tcW w:w="480" w:type="dxa"/>
            <w:vAlign w:val="bottom"/>
          </w:tcPr>
          <w:p>
            <w:pPr>
              <w:spacing w:after="0"/>
              <w:rPr>
                <w:sz w:val="24"/>
                <w:szCs w:val="24"/>
                <w:color w:val="auto"/>
              </w:rPr>
            </w:pPr>
          </w:p>
        </w:tc>
        <w:tc>
          <w:tcPr>
            <w:tcW w:w="1480" w:type="dxa"/>
            <w:vAlign w:val="bottom"/>
            <w:tcBorders>
              <w:bottom w:val="single" w:sz="8" w:color="D7282F"/>
            </w:tcBorders>
          </w:tcPr>
          <w:p>
            <w:pPr>
              <w:spacing w:after="0"/>
              <w:rPr>
                <w:sz w:val="24"/>
                <w:szCs w:val="24"/>
                <w:color w:val="auto"/>
              </w:rPr>
            </w:pPr>
          </w:p>
        </w:tc>
        <w:tc>
          <w:tcPr>
            <w:tcW w:w="2960" w:type="dxa"/>
            <w:vAlign w:val="bottom"/>
            <w:tcBorders>
              <w:bottom w:val="single" w:sz="8" w:color="D7282F"/>
            </w:tcBorders>
          </w:tcPr>
          <w:p>
            <w:pPr>
              <w:spacing w:after="0"/>
              <w:rPr>
                <w:sz w:val="24"/>
                <w:szCs w:val="24"/>
                <w:color w:val="auto"/>
              </w:rPr>
            </w:pPr>
          </w:p>
        </w:tc>
        <w:tc>
          <w:tcPr>
            <w:tcW w:w="4920" w:type="dxa"/>
            <w:vAlign w:val="bottom"/>
            <w:tcBorders>
              <w:bottom w:val="single" w:sz="8" w:color="D7282F"/>
            </w:tcBorders>
          </w:tcPr>
          <w:p>
            <w:pPr>
              <w:spacing w:after="0"/>
              <w:rPr>
                <w:sz w:val="24"/>
                <w:szCs w:val="24"/>
                <w:color w:val="auto"/>
              </w:rPr>
            </w:pPr>
          </w:p>
        </w:tc>
        <w:tc>
          <w:tcPr>
            <w:tcW w:w="920" w:type="dxa"/>
            <w:vAlign w:val="bottom"/>
            <w:tcBorders>
              <w:bottom w:val="single" w:sz="8" w:color="D7282F"/>
            </w:tcBorders>
          </w:tcPr>
          <w:p>
            <w:pPr>
              <w:spacing w:after="0"/>
              <w:rPr>
                <w:sz w:val="24"/>
                <w:szCs w:val="24"/>
                <w:color w:val="auto"/>
              </w:rPr>
            </w:pPr>
          </w:p>
        </w:tc>
        <w:tc>
          <w:tcPr>
            <w:tcW w:w="20" w:type="dxa"/>
            <w:vAlign w:val="bottom"/>
          </w:tcPr>
          <w:p>
            <w:pPr>
              <w:spacing w:after="0"/>
              <w:rPr>
                <w:sz w:val="24"/>
                <w:szCs w:val="24"/>
                <w:color w:val="auto"/>
              </w:rPr>
            </w:pPr>
          </w:p>
        </w:tc>
      </w:tr>
      <w:tr>
        <w:trPr>
          <w:trHeight w:val="478"/>
        </w:trPr>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920" w:type="dxa"/>
            <w:vAlign w:val="bottom"/>
          </w:tcPr>
          <w:p>
            <w:pPr>
              <w:ind w:left="1460"/>
              <w:spacing w:after="0"/>
              <w:rPr>
                <w:sz w:val="20"/>
                <w:szCs w:val="20"/>
                <w:color w:val="auto"/>
              </w:rPr>
            </w:pPr>
            <w:r>
              <w:rPr>
                <w:rFonts w:ascii="Arial" w:cs="Arial" w:eastAsia="Arial" w:hAnsi="Arial"/>
                <w:sz w:val="13"/>
                <w:szCs w:val="13"/>
                <w:b w:val="1"/>
                <w:bCs w:val="1"/>
                <w:color w:val="6D6E71"/>
              </w:rPr>
              <w:t>2026 NOTICE AND PROXY STATEMENT   |</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59</w:t>
            </w:r>
          </w:p>
        </w:tc>
        <w:tc>
          <w:tcPr>
            <w:tcW w:w="20" w:type="dxa"/>
            <w:vAlign w:val="bottom"/>
          </w:tcPr>
          <w:p>
            <w:pPr>
              <w:spacing w:after="0"/>
              <w:rPr>
                <w:sz w:val="24"/>
                <w:szCs w:val="24"/>
                <w:color w:val="auto"/>
              </w:rPr>
            </w:pPr>
          </w:p>
        </w:tc>
      </w:tr>
      <w:tr>
        <w:trPr>
          <w:trHeight w:val="359"/>
        </w:trPr>
        <w:tc>
          <w:tcPr>
            <w:tcW w:w="4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-2151380</wp:posOffset>
            </wp:positionV>
            <wp:extent cx="574040" cy="56578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clrChange>
                        <a:clrFrom>
                          <a:srgbClr val="000000"/>
                        </a:clrFrom>
                        <a:clrTo>
                          <a:srgbClr val="000000">
                            <a:alpha val="0"/>
                          </a:srgbClr>
                        </a:clrTo>
                      </a:clrChange>
                      <a:extLst>
                        <a:ext uri="{28A0092B-C50C-407E-A947-70E740481C1C}"/>
                      </a:extLst>
                    </a:blip>
                    <a:srcRect/>
                    <a:stretch>
                      <a:fillRect/>
                    </a:stretch>
                  </pic:blipFill>
                  <pic:spPr bwMode="auto">
                    <a:xfrm>
                      <a:off x="0" y="0"/>
                      <a:ext cx="574040" cy="56578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-2151380</wp:posOffset>
            </wp:positionV>
            <wp:extent cx="574040" cy="56578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clrChange>
                        <a:clrFrom>
                          <a:srgbClr val="FFFFFF"/>
                        </a:clrFrom>
                        <a:clrTo>
                          <a:srgbClr val="FFFFFF">
                            <a:alpha val="0"/>
                          </a:srgbClr>
                        </a:clrTo>
                      </a:clrChange>
                      <a:extLst>
                        <a:ext uri="{28A0092B-C50C-407E-A947-70E740481C1C}"/>
                      </a:extLst>
                    </a:blip>
                    <a:srcRect/>
                    <a:stretch>
                      <a:fillRect/>
                    </a:stretch>
                  </pic:blipFill>
                  <pic:spPr bwMode="auto">
                    <a:xfrm>
                      <a:off x="0" y="0"/>
                      <a:ext cx="574040" cy="56578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-1294130</wp:posOffset>
            </wp:positionV>
            <wp:extent cx="1431290" cy="57404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431290" cy="57404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-1294130</wp:posOffset>
            </wp:positionV>
            <wp:extent cx="1431290" cy="57404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431290" cy="57404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-368300</wp:posOffset>
            </wp:positionV>
            <wp:extent cx="548640" cy="10287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3"/>
          <w:szCs w:val="13"/>
          <w:b w:val="1"/>
          <w:bCs w:val="1"/>
          <w:color w:val="6D6E71"/>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COMPENSATION PEER GROUP</w:t>
      </w:r>
    </w:p>
    <w:p>
      <w:pPr>
        <w:spacing w:after="0" w:line="128"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To ensure appropriate levels of executive officer compensation and the alignment of pay and performance, the MDCC believes it is important to understand how Honeywell compares to other relevant companies.</w:t>
      </w:r>
    </w:p>
    <w:p>
      <w:pPr>
        <w:spacing w:after="0" w:line="33"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On an annual basis, the MDCC reviews information provided by its independent compensation consultant regarding compensation paid to similarly situated executive officers at a group of companies that are considered Honeywell’s “Compensation Peer Group” and assesses Honeywell’s financial performance against these companies. Although the MDCC does not target a specific competitive position relative to its comparator group, this information provides the MDCC (and the independent directors of the full Board in the case of the CEO) a point of reference when making its compensation determinations with respect to the NEOs. In addition, the MDCC periodically reviews relative financial performance against a subset of companies with complex multi-industry characteristics, like Honeywell, or relevant indices.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The companies selected by the MDCC for inclusion in the 2025 Compensation Peer Group have one or more of the following attributes:</w:t>
      </w:r>
    </w:p>
    <w:p>
      <w:pPr>
        <w:spacing w:after="0" w:line="113" w:lineRule="exact"/>
        <w:rPr>
          <w:sz w:val="20"/>
          <w:szCs w:val="20"/>
          <w:color w:val="auto"/>
        </w:rPr>
      </w:pPr>
    </w:p>
    <w:p>
      <w:pPr>
        <w:ind w:left="200" w:hanging="192"/>
        <w:spacing w:after="0"/>
        <w:tabs>
          <w:tab w:leader="none" w:pos="200" w:val="left"/>
        </w:tabs>
        <w:numPr>
          <w:ilvl w:val="0"/>
          <w:numId w:val="135"/>
        </w:numPr>
        <w:rPr>
          <w:rFonts w:ascii="Arial" w:cs="Arial" w:eastAsia="Arial" w:hAnsi="Arial"/>
          <w:sz w:val="16"/>
          <w:szCs w:val="16"/>
          <w:b w:val="1"/>
          <w:bCs w:val="1"/>
          <w:color w:val="D7282F"/>
        </w:rPr>
      </w:pPr>
      <w:r>
        <w:rPr>
          <w:rFonts w:ascii="Arial" w:cs="Arial" w:eastAsia="Arial" w:hAnsi="Arial"/>
          <w:sz w:val="16"/>
          <w:szCs w:val="16"/>
          <w:color w:val="auto"/>
        </w:rPr>
        <w:t>Business operations with similar scope and complexity to Honeywell.</w:t>
      </w:r>
    </w:p>
    <w:p>
      <w:pPr>
        <w:spacing w:after="0" w:line="86" w:lineRule="exact"/>
        <w:rPr>
          <w:rFonts w:ascii="Arial" w:cs="Arial" w:eastAsia="Arial" w:hAnsi="Arial"/>
          <w:sz w:val="16"/>
          <w:szCs w:val="16"/>
          <w:b w:val="1"/>
          <w:bCs w:val="1"/>
          <w:color w:val="D7282F"/>
        </w:rPr>
      </w:pPr>
    </w:p>
    <w:p>
      <w:pPr>
        <w:ind w:left="200" w:hanging="192"/>
        <w:spacing w:after="0"/>
        <w:tabs>
          <w:tab w:leader="none" w:pos="200" w:val="left"/>
        </w:tabs>
        <w:numPr>
          <w:ilvl w:val="0"/>
          <w:numId w:val="135"/>
        </w:numPr>
        <w:rPr>
          <w:rFonts w:ascii="Arial" w:cs="Arial" w:eastAsia="Arial" w:hAnsi="Arial"/>
          <w:sz w:val="16"/>
          <w:szCs w:val="16"/>
          <w:b w:val="1"/>
          <w:bCs w:val="1"/>
          <w:color w:val="D7282F"/>
        </w:rPr>
      </w:pPr>
      <w:r>
        <w:rPr>
          <w:rFonts w:ascii="Arial" w:cs="Arial" w:eastAsia="Arial" w:hAnsi="Arial"/>
          <w:sz w:val="16"/>
          <w:szCs w:val="16"/>
          <w:color w:val="auto"/>
        </w:rPr>
        <w:t>Industrial companies with technology drivers.</w:t>
      </w:r>
    </w:p>
    <w:p>
      <w:pPr>
        <w:spacing w:after="0" w:line="72" w:lineRule="exact"/>
        <w:rPr>
          <w:rFonts w:ascii="Arial" w:cs="Arial" w:eastAsia="Arial" w:hAnsi="Arial"/>
          <w:sz w:val="16"/>
          <w:szCs w:val="16"/>
          <w:b w:val="1"/>
          <w:bCs w:val="1"/>
          <w:color w:val="D7282F"/>
        </w:rPr>
      </w:pPr>
    </w:p>
    <w:p>
      <w:pPr>
        <w:ind w:left="200" w:hanging="192"/>
        <w:spacing w:after="0"/>
        <w:tabs>
          <w:tab w:leader="none" w:pos="200" w:val="left"/>
        </w:tabs>
        <w:numPr>
          <w:ilvl w:val="0"/>
          <w:numId w:val="135"/>
        </w:numPr>
        <w:rPr>
          <w:rFonts w:ascii="Arial" w:cs="Arial" w:eastAsia="Arial" w:hAnsi="Arial"/>
          <w:sz w:val="16"/>
          <w:szCs w:val="16"/>
          <w:b w:val="1"/>
          <w:bCs w:val="1"/>
          <w:color w:val="D7282F"/>
        </w:rPr>
      </w:pPr>
      <w:r>
        <w:rPr>
          <w:rFonts w:ascii="Arial" w:cs="Arial" w:eastAsia="Arial" w:hAnsi="Arial"/>
          <w:sz w:val="16"/>
          <w:szCs w:val="16"/>
          <w:color w:val="auto"/>
        </w:rPr>
        <w:t>Peer group overlap with potential peer (e.g., peer of peer).</w:t>
      </w:r>
    </w:p>
    <w:p>
      <w:pPr>
        <w:spacing w:after="0" w:line="86" w:lineRule="exact"/>
        <w:rPr>
          <w:rFonts w:ascii="Arial" w:cs="Arial" w:eastAsia="Arial" w:hAnsi="Arial"/>
          <w:sz w:val="16"/>
          <w:szCs w:val="16"/>
          <w:b w:val="1"/>
          <w:bCs w:val="1"/>
          <w:color w:val="D7282F"/>
        </w:rPr>
      </w:pPr>
    </w:p>
    <w:p>
      <w:pPr>
        <w:ind w:left="200" w:hanging="192"/>
        <w:spacing w:after="0"/>
        <w:tabs>
          <w:tab w:leader="none" w:pos="200" w:val="left"/>
        </w:tabs>
        <w:numPr>
          <w:ilvl w:val="0"/>
          <w:numId w:val="135"/>
        </w:numPr>
        <w:rPr>
          <w:rFonts w:ascii="Arial" w:cs="Arial" w:eastAsia="Arial" w:hAnsi="Arial"/>
          <w:sz w:val="16"/>
          <w:szCs w:val="16"/>
          <w:b w:val="1"/>
          <w:bCs w:val="1"/>
          <w:color w:val="D7282F"/>
        </w:rPr>
      </w:pPr>
      <w:r>
        <w:rPr>
          <w:rFonts w:ascii="Arial" w:cs="Arial" w:eastAsia="Arial" w:hAnsi="Arial"/>
          <w:sz w:val="16"/>
          <w:szCs w:val="16"/>
          <w:color w:val="auto"/>
        </w:rPr>
        <w:t>Global scope of operations and/or diversified product lines.</w:t>
      </w:r>
    </w:p>
    <w:p>
      <w:pPr>
        <w:spacing w:after="0" w:line="86" w:lineRule="exact"/>
        <w:rPr>
          <w:rFonts w:ascii="Arial" w:cs="Arial" w:eastAsia="Arial" w:hAnsi="Arial"/>
          <w:sz w:val="16"/>
          <w:szCs w:val="16"/>
          <w:b w:val="1"/>
          <w:bCs w:val="1"/>
          <w:color w:val="D7282F"/>
        </w:rPr>
      </w:pPr>
    </w:p>
    <w:p>
      <w:pPr>
        <w:ind w:left="200" w:hanging="192"/>
        <w:spacing w:after="0"/>
        <w:tabs>
          <w:tab w:leader="none" w:pos="200" w:val="left"/>
        </w:tabs>
        <w:numPr>
          <w:ilvl w:val="0"/>
          <w:numId w:val="135"/>
        </w:numPr>
        <w:rPr>
          <w:rFonts w:ascii="Arial" w:cs="Arial" w:eastAsia="Arial" w:hAnsi="Arial"/>
          <w:sz w:val="16"/>
          <w:szCs w:val="16"/>
          <w:b w:val="1"/>
          <w:bCs w:val="1"/>
          <w:color w:val="D7282F"/>
        </w:rPr>
      </w:pPr>
      <w:r>
        <w:rPr>
          <w:rFonts w:ascii="Arial" w:cs="Arial" w:eastAsia="Arial" w:hAnsi="Arial"/>
          <w:sz w:val="16"/>
          <w:szCs w:val="16"/>
          <w:color w:val="auto"/>
        </w:rPr>
        <w:t>Within reasonable range of sales and/or market capitalization.</w:t>
      </w:r>
    </w:p>
    <w:p>
      <w:pPr>
        <w:spacing w:after="0" w:line="86" w:lineRule="exact"/>
        <w:rPr>
          <w:rFonts w:ascii="Arial" w:cs="Arial" w:eastAsia="Arial" w:hAnsi="Arial"/>
          <w:sz w:val="16"/>
          <w:szCs w:val="16"/>
          <w:b w:val="1"/>
          <w:bCs w:val="1"/>
          <w:color w:val="D7282F"/>
        </w:rPr>
      </w:pPr>
    </w:p>
    <w:p>
      <w:pPr>
        <w:ind w:left="200" w:hanging="192"/>
        <w:spacing w:after="0"/>
        <w:tabs>
          <w:tab w:leader="none" w:pos="200" w:val="left"/>
        </w:tabs>
        <w:numPr>
          <w:ilvl w:val="0"/>
          <w:numId w:val="135"/>
        </w:numPr>
        <w:rPr>
          <w:rFonts w:ascii="Arial" w:cs="Arial" w:eastAsia="Arial" w:hAnsi="Arial"/>
          <w:sz w:val="16"/>
          <w:szCs w:val="16"/>
          <w:b w:val="1"/>
          <w:bCs w:val="1"/>
          <w:color w:val="D7282F"/>
        </w:rPr>
      </w:pPr>
      <w:r>
        <w:rPr>
          <w:rFonts w:ascii="Arial" w:cs="Arial" w:eastAsia="Arial" w:hAnsi="Arial"/>
          <w:sz w:val="16"/>
          <w:szCs w:val="16"/>
          <w:color w:val="auto"/>
        </w:rPr>
        <w:t>Demonstrated competitor for executive talent.</w:t>
      </w:r>
    </w:p>
    <w:p>
      <w:pPr>
        <w:spacing w:after="0" w:line="113" w:lineRule="exact"/>
        <w:rPr>
          <w:sz w:val="20"/>
          <w:szCs w:val="20"/>
          <w:color w:val="auto"/>
        </w:rPr>
      </w:pPr>
    </w:p>
    <w:p>
      <w:pPr>
        <w:ind w:right="740"/>
        <w:spacing w:after="0" w:line="286" w:lineRule="auto"/>
        <w:rPr>
          <w:sz w:val="20"/>
          <w:szCs w:val="20"/>
          <w:color w:val="auto"/>
        </w:rPr>
      </w:pPr>
      <w:r>
        <w:rPr>
          <w:rFonts w:ascii="Arial" w:cs="Arial" w:eastAsia="Arial" w:hAnsi="Arial"/>
          <w:sz w:val="16"/>
          <w:szCs w:val="16"/>
          <w:color w:val="auto"/>
        </w:rPr>
        <w:t>The MDCC reviews the appropriateness of the Compensation Peer Group companies on an annual basis and discusses whether any changes are necessary. No changes were made to the Compensation Peer Group in 2025.</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lists the Compensation Peer Group companies for 2025: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000" w:type="dxa"/>
            <w:vAlign w:val="bottom"/>
          </w:tcPr>
          <w:p>
            <w:pPr>
              <w:ind w:left="20"/>
              <w:spacing w:after="0"/>
              <w:rPr>
                <w:sz w:val="20"/>
                <w:szCs w:val="20"/>
                <w:color w:val="auto"/>
              </w:rPr>
            </w:pPr>
            <w:r>
              <w:rPr>
                <w:rFonts w:ascii="Arial" w:cs="Arial" w:eastAsia="Arial" w:hAnsi="Arial"/>
                <w:sz w:val="16"/>
                <w:szCs w:val="16"/>
                <w:b w:val="1"/>
                <w:bCs w:val="1"/>
                <w:color w:val="auto"/>
              </w:rPr>
              <w:t>Aerospace &amp; Defense</w:t>
            </w:r>
          </w:p>
        </w:tc>
        <w:tc>
          <w:tcPr>
            <w:tcW w:w="3420" w:type="dxa"/>
            <w:vAlign w:val="bottom"/>
          </w:tcPr>
          <w:p>
            <w:pPr>
              <w:ind w:left="760"/>
              <w:spacing w:after="0"/>
              <w:rPr>
                <w:sz w:val="20"/>
                <w:szCs w:val="20"/>
                <w:color w:val="auto"/>
              </w:rPr>
            </w:pPr>
            <w:r>
              <w:rPr>
                <w:rFonts w:ascii="Arial" w:cs="Arial" w:eastAsia="Arial" w:hAnsi="Arial"/>
                <w:sz w:val="16"/>
                <w:szCs w:val="16"/>
                <w:b w:val="1"/>
                <w:bCs w:val="1"/>
                <w:color w:val="auto"/>
              </w:rPr>
              <w:t>Machinery</w:t>
            </w:r>
          </w:p>
        </w:tc>
        <w:tc>
          <w:tcPr>
            <w:tcW w:w="4800" w:type="dxa"/>
            <w:vAlign w:val="bottom"/>
          </w:tcPr>
          <w:p>
            <w:pPr>
              <w:ind w:left="1080"/>
              <w:spacing w:after="0"/>
              <w:rPr>
                <w:sz w:val="20"/>
                <w:szCs w:val="20"/>
                <w:color w:val="auto"/>
              </w:rPr>
            </w:pPr>
            <w:r>
              <w:rPr>
                <w:rFonts w:ascii="Arial" w:cs="Arial" w:eastAsia="Arial" w:hAnsi="Arial"/>
                <w:sz w:val="16"/>
                <w:szCs w:val="16"/>
                <w:b w:val="1"/>
                <w:bCs w:val="1"/>
                <w:color w:val="auto"/>
              </w:rPr>
              <w:t>Chemicals</w:t>
            </w:r>
          </w:p>
        </w:tc>
      </w:tr>
      <w:tr>
        <w:trPr>
          <w:trHeight w:val="62"/>
        </w:trPr>
        <w:tc>
          <w:tcPr>
            <w:tcW w:w="3000" w:type="dxa"/>
            <w:vAlign w:val="bottom"/>
            <w:tcBorders>
              <w:bottom w:val="single" w:sz="8" w:color="D7282F"/>
            </w:tcBorders>
          </w:tcPr>
          <w:p>
            <w:pPr>
              <w:spacing w:after="0"/>
              <w:rPr>
                <w:sz w:val="5"/>
                <w:szCs w:val="5"/>
                <w:color w:val="auto"/>
              </w:rPr>
            </w:pPr>
          </w:p>
        </w:tc>
        <w:tc>
          <w:tcPr>
            <w:tcW w:w="3420" w:type="dxa"/>
            <w:vAlign w:val="bottom"/>
            <w:tcBorders>
              <w:bottom w:val="single" w:sz="8" w:color="D7282F"/>
            </w:tcBorders>
          </w:tcPr>
          <w:p>
            <w:pPr>
              <w:spacing w:after="0"/>
              <w:rPr>
                <w:sz w:val="5"/>
                <w:szCs w:val="5"/>
                <w:color w:val="auto"/>
              </w:rPr>
            </w:pPr>
          </w:p>
        </w:tc>
        <w:tc>
          <w:tcPr>
            <w:tcW w:w="4800" w:type="dxa"/>
            <w:vAlign w:val="bottom"/>
            <w:tcBorders>
              <w:bottom w:val="single" w:sz="8" w:color="D7282F"/>
            </w:tcBorders>
          </w:tcPr>
          <w:p>
            <w:pPr>
              <w:spacing w:after="0"/>
              <w:rPr>
                <w:sz w:val="5"/>
                <w:szCs w:val="5"/>
                <w:color w:val="auto"/>
              </w:rPr>
            </w:pPr>
          </w:p>
        </w:tc>
      </w:tr>
      <w:tr>
        <w:trPr>
          <w:trHeight w:val="261"/>
        </w:trPr>
        <w:tc>
          <w:tcPr>
            <w:tcW w:w="3000" w:type="dxa"/>
            <w:vAlign w:val="bottom"/>
          </w:tcPr>
          <w:p>
            <w:pPr>
              <w:ind w:left="20"/>
              <w:spacing w:after="0"/>
              <w:rPr>
                <w:sz w:val="20"/>
                <w:szCs w:val="20"/>
                <w:color w:val="auto"/>
              </w:rPr>
            </w:pPr>
            <w:r>
              <w:rPr>
                <w:rFonts w:ascii="Arial" w:cs="Arial" w:eastAsia="Arial" w:hAnsi="Arial"/>
                <w:sz w:val="16"/>
                <w:szCs w:val="16"/>
                <w:color w:val="auto"/>
              </w:rPr>
              <w:t>The Boeing Company</w:t>
            </w:r>
          </w:p>
        </w:tc>
        <w:tc>
          <w:tcPr>
            <w:tcW w:w="3420" w:type="dxa"/>
            <w:vAlign w:val="bottom"/>
          </w:tcPr>
          <w:p>
            <w:pPr>
              <w:ind w:left="760"/>
              <w:spacing w:after="0"/>
              <w:rPr>
                <w:sz w:val="20"/>
                <w:szCs w:val="20"/>
                <w:color w:val="auto"/>
              </w:rPr>
            </w:pPr>
            <w:r>
              <w:rPr>
                <w:rFonts w:ascii="Arial" w:cs="Arial" w:eastAsia="Arial" w:hAnsi="Arial"/>
                <w:sz w:val="16"/>
                <w:szCs w:val="16"/>
                <w:color w:val="auto"/>
              </w:rPr>
              <w:t>Deere &amp; Company</w:t>
            </w:r>
          </w:p>
        </w:tc>
        <w:tc>
          <w:tcPr>
            <w:tcW w:w="4800" w:type="dxa"/>
            <w:vAlign w:val="bottom"/>
          </w:tcPr>
          <w:p>
            <w:pPr>
              <w:ind w:left="1080"/>
              <w:spacing w:after="0"/>
              <w:rPr>
                <w:sz w:val="20"/>
                <w:szCs w:val="20"/>
                <w:color w:val="auto"/>
              </w:rPr>
            </w:pPr>
            <w:r>
              <w:rPr>
                <w:rFonts w:ascii="Arial" w:cs="Arial" w:eastAsia="Arial" w:hAnsi="Arial"/>
                <w:sz w:val="16"/>
                <w:szCs w:val="16"/>
                <w:color w:val="auto"/>
              </w:rPr>
              <w:t>DuPont de Nemours, Inc.</w:t>
            </w:r>
          </w:p>
        </w:tc>
      </w:tr>
      <w:tr>
        <w:trPr>
          <w:trHeight w:val="243"/>
        </w:trPr>
        <w:tc>
          <w:tcPr>
            <w:tcW w:w="3000" w:type="dxa"/>
            <w:vAlign w:val="bottom"/>
          </w:tcPr>
          <w:p>
            <w:pPr>
              <w:ind w:left="20"/>
              <w:spacing w:after="0"/>
              <w:rPr>
                <w:sz w:val="20"/>
                <w:szCs w:val="20"/>
                <w:color w:val="auto"/>
              </w:rPr>
            </w:pPr>
            <w:r>
              <w:rPr>
                <w:rFonts w:ascii="Arial" w:cs="Arial" w:eastAsia="Arial" w:hAnsi="Arial"/>
                <w:sz w:val="16"/>
                <w:szCs w:val="16"/>
                <w:color w:val="auto"/>
              </w:rPr>
              <w:t>General Dynamics Corporation</w:t>
            </w:r>
          </w:p>
        </w:tc>
        <w:tc>
          <w:tcPr>
            <w:tcW w:w="3420" w:type="dxa"/>
            <w:vAlign w:val="bottom"/>
          </w:tcPr>
          <w:p>
            <w:pPr>
              <w:ind w:left="760"/>
              <w:spacing w:after="0"/>
              <w:rPr>
                <w:sz w:val="20"/>
                <w:szCs w:val="20"/>
                <w:color w:val="auto"/>
              </w:rPr>
            </w:pPr>
            <w:r>
              <w:rPr>
                <w:rFonts w:ascii="Arial" w:cs="Arial" w:eastAsia="Arial" w:hAnsi="Arial"/>
                <w:sz w:val="16"/>
                <w:szCs w:val="16"/>
                <w:color w:val="auto"/>
              </w:rPr>
              <w:t>Caterpillar Inc.</w:t>
            </w:r>
          </w:p>
        </w:tc>
        <w:tc>
          <w:tcPr>
            <w:tcW w:w="4800" w:type="dxa"/>
            <w:vAlign w:val="bottom"/>
          </w:tcPr>
          <w:p>
            <w:pPr>
              <w:ind w:left="1080"/>
              <w:spacing w:after="0"/>
              <w:rPr>
                <w:sz w:val="20"/>
                <w:szCs w:val="20"/>
                <w:color w:val="auto"/>
              </w:rPr>
            </w:pPr>
            <w:r>
              <w:rPr>
                <w:rFonts w:ascii="Arial" w:cs="Arial" w:eastAsia="Arial" w:hAnsi="Arial"/>
                <w:sz w:val="16"/>
                <w:szCs w:val="16"/>
                <w:color w:val="auto"/>
              </w:rPr>
              <w:t>Dow Inc.</w:t>
            </w:r>
          </w:p>
        </w:tc>
      </w:tr>
      <w:tr>
        <w:trPr>
          <w:trHeight w:val="243"/>
        </w:trPr>
        <w:tc>
          <w:tcPr>
            <w:tcW w:w="3000" w:type="dxa"/>
            <w:vAlign w:val="bottom"/>
          </w:tcPr>
          <w:p>
            <w:pPr>
              <w:ind w:left="20"/>
              <w:spacing w:after="0"/>
              <w:rPr>
                <w:sz w:val="20"/>
                <w:szCs w:val="20"/>
                <w:color w:val="auto"/>
              </w:rPr>
            </w:pPr>
            <w:r>
              <w:rPr>
                <w:rFonts w:ascii="Arial" w:cs="Arial" w:eastAsia="Arial" w:hAnsi="Arial"/>
                <w:sz w:val="16"/>
                <w:szCs w:val="16"/>
                <w:color w:val="auto"/>
              </w:rPr>
              <w:t>General Electric Company</w:t>
            </w:r>
          </w:p>
        </w:tc>
        <w:tc>
          <w:tcPr>
            <w:tcW w:w="3420" w:type="dxa"/>
            <w:vAlign w:val="bottom"/>
          </w:tcPr>
          <w:p>
            <w:pPr>
              <w:ind w:left="760"/>
              <w:spacing w:after="0"/>
              <w:rPr>
                <w:sz w:val="20"/>
                <w:szCs w:val="20"/>
                <w:color w:val="auto"/>
              </w:rPr>
            </w:pPr>
            <w:r>
              <w:rPr>
                <w:rFonts w:ascii="Arial" w:cs="Arial" w:eastAsia="Arial" w:hAnsi="Arial"/>
                <w:sz w:val="16"/>
                <w:szCs w:val="16"/>
                <w:color w:val="auto"/>
              </w:rPr>
              <w:t>Illinois Tool Works Inc.</w:t>
            </w:r>
          </w:p>
        </w:tc>
        <w:tc>
          <w:tcPr>
            <w:tcW w:w="4800" w:type="dxa"/>
            <w:vAlign w:val="bottom"/>
          </w:tcPr>
          <w:p>
            <w:pPr>
              <w:spacing w:after="0"/>
              <w:rPr>
                <w:sz w:val="21"/>
                <w:szCs w:val="21"/>
                <w:color w:val="auto"/>
              </w:rPr>
            </w:pPr>
          </w:p>
        </w:tc>
      </w:tr>
      <w:tr>
        <w:trPr>
          <w:trHeight w:val="243"/>
        </w:trPr>
        <w:tc>
          <w:tcPr>
            <w:tcW w:w="3000" w:type="dxa"/>
            <w:vAlign w:val="bottom"/>
          </w:tcPr>
          <w:p>
            <w:pPr>
              <w:ind w:left="20"/>
              <w:spacing w:after="0"/>
              <w:rPr>
                <w:sz w:val="20"/>
                <w:szCs w:val="20"/>
                <w:color w:val="auto"/>
              </w:rPr>
            </w:pPr>
            <w:r>
              <w:rPr>
                <w:rFonts w:ascii="Arial" w:cs="Arial" w:eastAsia="Arial" w:hAnsi="Arial"/>
                <w:sz w:val="16"/>
                <w:szCs w:val="16"/>
                <w:color w:val="auto"/>
              </w:rPr>
              <w:t>Lockheed Martin Corporation</w:t>
            </w:r>
          </w:p>
        </w:tc>
        <w:tc>
          <w:tcPr>
            <w:tcW w:w="3420" w:type="dxa"/>
            <w:vAlign w:val="bottom"/>
          </w:tcPr>
          <w:p>
            <w:pPr>
              <w:spacing w:after="0"/>
              <w:rPr>
                <w:sz w:val="21"/>
                <w:szCs w:val="21"/>
                <w:color w:val="auto"/>
              </w:rPr>
            </w:pPr>
          </w:p>
        </w:tc>
        <w:tc>
          <w:tcPr>
            <w:tcW w:w="4800" w:type="dxa"/>
            <w:vAlign w:val="bottom"/>
          </w:tcPr>
          <w:p>
            <w:pPr>
              <w:spacing w:after="0"/>
              <w:rPr>
                <w:sz w:val="21"/>
                <w:szCs w:val="21"/>
                <w:color w:val="auto"/>
              </w:rPr>
            </w:pPr>
          </w:p>
        </w:tc>
      </w:tr>
      <w:tr>
        <w:trPr>
          <w:trHeight w:val="252"/>
        </w:trPr>
        <w:tc>
          <w:tcPr>
            <w:tcW w:w="3000" w:type="dxa"/>
            <w:vAlign w:val="bottom"/>
            <w:tcBorders>
              <w:bottom w:val="single" w:sz="8" w:color="D7282F"/>
            </w:tcBorders>
          </w:tcPr>
          <w:p>
            <w:pPr>
              <w:ind w:left="20"/>
              <w:spacing w:after="0"/>
              <w:rPr>
                <w:sz w:val="20"/>
                <w:szCs w:val="20"/>
                <w:color w:val="auto"/>
              </w:rPr>
            </w:pPr>
            <w:r>
              <w:rPr>
                <w:rFonts w:ascii="Arial" w:cs="Arial" w:eastAsia="Arial" w:hAnsi="Arial"/>
                <w:sz w:val="16"/>
                <w:szCs w:val="16"/>
                <w:color w:val="auto"/>
              </w:rPr>
              <w:t>RTX Corporation</w:t>
            </w:r>
          </w:p>
        </w:tc>
        <w:tc>
          <w:tcPr>
            <w:tcW w:w="3420" w:type="dxa"/>
            <w:vAlign w:val="bottom"/>
            <w:tcBorders>
              <w:bottom w:val="single" w:sz="8" w:color="D7282F"/>
            </w:tcBorders>
          </w:tcPr>
          <w:p>
            <w:pPr>
              <w:spacing w:after="0"/>
              <w:rPr>
                <w:sz w:val="21"/>
                <w:szCs w:val="21"/>
                <w:color w:val="auto"/>
              </w:rPr>
            </w:pPr>
          </w:p>
        </w:tc>
        <w:tc>
          <w:tcPr>
            <w:tcW w:w="4800" w:type="dxa"/>
            <w:vAlign w:val="bottom"/>
            <w:tcBorders>
              <w:bottom w:val="single" w:sz="8" w:color="D7282F"/>
            </w:tcBorders>
          </w:tcPr>
          <w:p>
            <w:pPr>
              <w:spacing w:after="0"/>
              <w:rPr>
                <w:sz w:val="21"/>
                <w:szCs w:val="21"/>
                <w:color w:val="auto"/>
              </w:rPr>
            </w:pPr>
          </w:p>
        </w:tc>
      </w:tr>
    </w:tbl>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120" w:type="dxa"/>
            <w:vAlign w:val="bottom"/>
          </w:tcPr>
          <w:p>
            <w:pPr>
              <w:ind w:left="20"/>
              <w:spacing w:after="0"/>
              <w:rPr>
                <w:sz w:val="20"/>
                <w:szCs w:val="20"/>
                <w:color w:val="auto"/>
              </w:rPr>
            </w:pPr>
            <w:r>
              <w:rPr>
                <w:rFonts w:ascii="Arial" w:cs="Arial" w:eastAsia="Arial" w:hAnsi="Arial"/>
                <w:sz w:val="16"/>
                <w:szCs w:val="16"/>
                <w:b w:val="1"/>
                <w:bCs w:val="1"/>
                <w:color w:val="auto"/>
              </w:rPr>
              <w:t>Electrical Equipment</w:t>
            </w:r>
          </w:p>
        </w:tc>
        <w:tc>
          <w:tcPr>
            <w:tcW w:w="3900" w:type="dxa"/>
            <w:vAlign w:val="bottom"/>
          </w:tcPr>
          <w:p>
            <w:pPr>
              <w:ind w:left="640"/>
              <w:spacing w:after="0"/>
              <w:rPr>
                <w:sz w:val="20"/>
                <w:szCs w:val="20"/>
                <w:color w:val="auto"/>
              </w:rPr>
            </w:pPr>
            <w:r>
              <w:rPr>
                <w:rFonts w:ascii="Arial" w:cs="Arial" w:eastAsia="Arial" w:hAnsi="Arial"/>
                <w:sz w:val="16"/>
                <w:szCs w:val="16"/>
                <w:b w:val="1"/>
                <w:bCs w:val="1"/>
                <w:color w:val="auto"/>
              </w:rPr>
              <w:t>Oil &amp; Gas</w:t>
            </w:r>
          </w:p>
        </w:tc>
        <w:tc>
          <w:tcPr>
            <w:tcW w:w="4200" w:type="dxa"/>
            <w:vAlign w:val="bottom"/>
          </w:tcPr>
          <w:p>
            <w:pPr>
              <w:ind w:left="480"/>
              <w:spacing w:after="0"/>
              <w:rPr>
                <w:sz w:val="20"/>
                <w:szCs w:val="20"/>
                <w:color w:val="auto"/>
              </w:rPr>
            </w:pPr>
            <w:r>
              <w:rPr>
                <w:rFonts w:ascii="Arial" w:cs="Arial" w:eastAsia="Arial" w:hAnsi="Arial"/>
                <w:sz w:val="16"/>
                <w:szCs w:val="16"/>
                <w:b w:val="1"/>
                <w:bCs w:val="1"/>
                <w:color w:val="auto"/>
              </w:rPr>
              <w:t>Industrial Conglomerates</w:t>
            </w:r>
          </w:p>
        </w:tc>
      </w:tr>
      <w:tr>
        <w:trPr>
          <w:trHeight w:val="62"/>
        </w:trPr>
        <w:tc>
          <w:tcPr>
            <w:tcW w:w="3120" w:type="dxa"/>
            <w:vAlign w:val="bottom"/>
            <w:tcBorders>
              <w:bottom w:val="single" w:sz="8" w:color="D7282F"/>
            </w:tcBorders>
          </w:tcPr>
          <w:p>
            <w:pPr>
              <w:spacing w:after="0"/>
              <w:rPr>
                <w:sz w:val="5"/>
                <w:szCs w:val="5"/>
                <w:color w:val="auto"/>
              </w:rPr>
            </w:pPr>
          </w:p>
        </w:tc>
        <w:tc>
          <w:tcPr>
            <w:tcW w:w="3900" w:type="dxa"/>
            <w:vAlign w:val="bottom"/>
            <w:tcBorders>
              <w:bottom w:val="single" w:sz="8" w:color="D7282F"/>
            </w:tcBorders>
          </w:tcPr>
          <w:p>
            <w:pPr>
              <w:spacing w:after="0"/>
              <w:rPr>
                <w:sz w:val="5"/>
                <w:szCs w:val="5"/>
                <w:color w:val="auto"/>
              </w:rPr>
            </w:pPr>
          </w:p>
        </w:tc>
        <w:tc>
          <w:tcPr>
            <w:tcW w:w="4200" w:type="dxa"/>
            <w:vAlign w:val="bottom"/>
            <w:tcBorders>
              <w:bottom w:val="single" w:sz="8" w:color="D7282F"/>
            </w:tcBorders>
          </w:tcPr>
          <w:p>
            <w:pPr>
              <w:spacing w:after="0"/>
              <w:rPr>
                <w:sz w:val="5"/>
                <w:szCs w:val="5"/>
                <w:color w:val="auto"/>
              </w:rPr>
            </w:pPr>
          </w:p>
        </w:tc>
      </w:tr>
      <w:tr>
        <w:trPr>
          <w:trHeight w:val="261"/>
        </w:trPr>
        <w:tc>
          <w:tcPr>
            <w:tcW w:w="3120" w:type="dxa"/>
            <w:vAlign w:val="bottom"/>
          </w:tcPr>
          <w:p>
            <w:pPr>
              <w:ind w:left="20"/>
              <w:spacing w:after="0"/>
              <w:rPr>
                <w:sz w:val="20"/>
                <w:szCs w:val="20"/>
                <w:color w:val="auto"/>
              </w:rPr>
            </w:pPr>
            <w:r>
              <w:rPr>
                <w:rFonts w:ascii="Arial" w:cs="Arial" w:eastAsia="Arial" w:hAnsi="Arial"/>
                <w:sz w:val="16"/>
                <w:szCs w:val="16"/>
                <w:color w:val="auto"/>
              </w:rPr>
              <w:t>Eaton Corporation plc</w:t>
            </w:r>
          </w:p>
        </w:tc>
        <w:tc>
          <w:tcPr>
            <w:tcW w:w="3900" w:type="dxa"/>
            <w:vAlign w:val="bottom"/>
          </w:tcPr>
          <w:p>
            <w:pPr>
              <w:ind w:left="640"/>
              <w:spacing w:after="0"/>
              <w:rPr>
                <w:sz w:val="20"/>
                <w:szCs w:val="20"/>
                <w:color w:val="auto"/>
              </w:rPr>
            </w:pPr>
            <w:r>
              <w:rPr>
                <w:rFonts w:ascii="Arial" w:cs="Arial" w:eastAsia="Arial" w:hAnsi="Arial"/>
                <w:sz w:val="16"/>
                <w:szCs w:val="16"/>
                <w:color w:val="auto"/>
              </w:rPr>
              <w:t>Schlumberger Limited</w:t>
            </w:r>
          </w:p>
        </w:tc>
        <w:tc>
          <w:tcPr>
            <w:tcW w:w="4200" w:type="dxa"/>
            <w:vAlign w:val="bottom"/>
          </w:tcPr>
          <w:p>
            <w:pPr>
              <w:ind w:left="480"/>
              <w:spacing w:after="0"/>
              <w:rPr>
                <w:sz w:val="20"/>
                <w:szCs w:val="20"/>
                <w:color w:val="auto"/>
              </w:rPr>
            </w:pPr>
            <w:r>
              <w:rPr>
                <w:rFonts w:ascii="Arial" w:cs="Arial" w:eastAsia="Arial" w:hAnsi="Arial"/>
                <w:sz w:val="16"/>
                <w:szCs w:val="16"/>
                <w:color w:val="auto"/>
              </w:rPr>
              <w:t>3M Company</w:t>
            </w:r>
          </w:p>
        </w:tc>
      </w:tr>
      <w:tr>
        <w:trPr>
          <w:trHeight w:val="243"/>
        </w:trPr>
        <w:tc>
          <w:tcPr>
            <w:tcW w:w="3120" w:type="dxa"/>
            <w:vAlign w:val="bottom"/>
          </w:tcPr>
          <w:p>
            <w:pPr>
              <w:ind w:left="20"/>
              <w:spacing w:after="0"/>
              <w:rPr>
                <w:sz w:val="20"/>
                <w:szCs w:val="20"/>
                <w:color w:val="auto"/>
              </w:rPr>
            </w:pPr>
            <w:r>
              <w:rPr>
                <w:rFonts w:ascii="Arial" w:cs="Arial" w:eastAsia="Arial" w:hAnsi="Arial"/>
                <w:sz w:val="16"/>
                <w:szCs w:val="16"/>
                <w:color w:val="auto"/>
              </w:rPr>
              <w:t>Emerson Electric Co.</w:t>
            </w:r>
          </w:p>
        </w:tc>
        <w:tc>
          <w:tcPr>
            <w:tcW w:w="3900" w:type="dxa"/>
            <w:vAlign w:val="bottom"/>
          </w:tcPr>
          <w:p>
            <w:pPr>
              <w:ind w:left="640"/>
              <w:spacing w:after="0"/>
              <w:rPr>
                <w:sz w:val="20"/>
                <w:szCs w:val="20"/>
                <w:color w:val="auto"/>
              </w:rPr>
            </w:pPr>
            <w:r>
              <w:rPr>
                <w:rFonts w:ascii="Arial" w:cs="Arial" w:eastAsia="Arial" w:hAnsi="Arial"/>
                <w:sz w:val="16"/>
                <w:szCs w:val="16"/>
                <w:color w:val="auto"/>
              </w:rPr>
              <w:t>Phillips 66</w:t>
            </w:r>
          </w:p>
        </w:tc>
        <w:tc>
          <w:tcPr>
            <w:tcW w:w="4200" w:type="dxa"/>
            <w:vAlign w:val="bottom"/>
          </w:tcPr>
          <w:p>
            <w:pPr>
              <w:spacing w:after="0"/>
              <w:rPr>
                <w:sz w:val="21"/>
                <w:szCs w:val="21"/>
                <w:color w:val="auto"/>
              </w:rPr>
            </w:pPr>
          </w:p>
        </w:tc>
      </w:tr>
      <w:tr>
        <w:trPr>
          <w:trHeight w:val="231"/>
        </w:trPr>
        <w:tc>
          <w:tcPr>
            <w:tcW w:w="3120" w:type="dxa"/>
            <w:vAlign w:val="bottom"/>
            <w:tcBorders>
              <w:bottom w:val="single" w:sz="8" w:color="D7282F"/>
            </w:tcBorders>
          </w:tcPr>
          <w:p>
            <w:pPr>
              <w:spacing w:after="0"/>
              <w:rPr>
                <w:sz w:val="20"/>
                <w:szCs w:val="20"/>
                <w:color w:val="auto"/>
              </w:rPr>
            </w:pPr>
          </w:p>
        </w:tc>
        <w:tc>
          <w:tcPr>
            <w:tcW w:w="3900" w:type="dxa"/>
            <w:vAlign w:val="bottom"/>
            <w:tcBorders>
              <w:bottom w:val="single" w:sz="8" w:color="D7282F"/>
            </w:tcBorders>
          </w:tcPr>
          <w:p>
            <w:pPr>
              <w:spacing w:after="0"/>
              <w:rPr>
                <w:sz w:val="20"/>
                <w:szCs w:val="20"/>
                <w:color w:val="auto"/>
              </w:rPr>
            </w:pPr>
          </w:p>
        </w:tc>
        <w:tc>
          <w:tcPr>
            <w:tcW w:w="4200" w:type="dxa"/>
            <w:vAlign w:val="bottom"/>
            <w:tcBorders>
              <w:bottom w:val="single" w:sz="8" w:color="D7282F"/>
            </w:tcBorders>
          </w:tcPr>
          <w:p>
            <w:pPr>
              <w:spacing w:after="0"/>
              <w:rPr>
                <w:sz w:val="20"/>
                <w:szCs w:val="20"/>
                <w:color w:val="auto"/>
              </w:rPr>
            </w:pPr>
          </w:p>
        </w:tc>
      </w:tr>
      <w:tr>
        <w:trPr>
          <w:trHeight w:val="431"/>
        </w:trPr>
        <w:tc>
          <w:tcPr>
            <w:tcW w:w="3120" w:type="dxa"/>
            <w:vAlign w:val="bottom"/>
          </w:tcPr>
          <w:p>
            <w:pPr>
              <w:ind w:left="20"/>
              <w:spacing w:after="0"/>
              <w:rPr>
                <w:sz w:val="20"/>
                <w:szCs w:val="20"/>
                <w:color w:val="auto"/>
              </w:rPr>
            </w:pPr>
            <w:r>
              <w:rPr>
                <w:rFonts w:ascii="Arial" w:cs="Arial" w:eastAsia="Arial" w:hAnsi="Arial"/>
                <w:sz w:val="16"/>
                <w:szCs w:val="16"/>
                <w:b w:val="1"/>
                <w:bCs w:val="1"/>
                <w:color w:val="auto"/>
              </w:rPr>
              <w:t>Building Products</w:t>
            </w:r>
          </w:p>
        </w:tc>
        <w:tc>
          <w:tcPr>
            <w:tcW w:w="3900" w:type="dxa"/>
            <w:vAlign w:val="bottom"/>
          </w:tcPr>
          <w:p>
            <w:pPr>
              <w:ind w:left="640"/>
              <w:spacing w:after="0"/>
              <w:rPr>
                <w:sz w:val="20"/>
                <w:szCs w:val="20"/>
                <w:color w:val="auto"/>
              </w:rPr>
            </w:pPr>
            <w:r>
              <w:rPr>
                <w:rFonts w:ascii="Arial" w:cs="Arial" w:eastAsia="Arial" w:hAnsi="Arial"/>
                <w:sz w:val="16"/>
                <w:szCs w:val="16"/>
                <w:b w:val="1"/>
                <w:bCs w:val="1"/>
                <w:color w:val="auto"/>
              </w:rPr>
              <w:t>Technology/Communications Equip.</w:t>
            </w:r>
          </w:p>
        </w:tc>
        <w:tc>
          <w:tcPr>
            <w:tcW w:w="4200" w:type="dxa"/>
            <w:vAlign w:val="bottom"/>
          </w:tcPr>
          <w:p>
            <w:pPr>
              <w:ind w:left="480"/>
              <w:spacing w:after="0"/>
              <w:rPr>
                <w:sz w:val="20"/>
                <w:szCs w:val="20"/>
                <w:color w:val="auto"/>
              </w:rPr>
            </w:pPr>
            <w:r>
              <w:rPr>
                <w:rFonts w:ascii="Arial" w:cs="Arial" w:eastAsia="Arial" w:hAnsi="Arial"/>
                <w:sz w:val="16"/>
                <w:szCs w:val="16"/>
                <w:b w:val="1"/>
                <w:bCs w:val="1"/>
                <w:color w:val="auto"/>
              </w:rPr>
              <w:t>Technology/Medical Equip.</w:t>
            </w:r>
          </w:p>
        </w:tc>
      </w:tr>
      <w:tr>
        <w:trPr>
          <w:trHeight w:val="62"/>
        </w:trPr>
        <w:tc>
          <w:tcPr>
            <w:tcW w:w="3120" w:type="dxa"/>
            <w:vAlign w:val="bottom"/>
            <w:tcBorders>
              <w:bottom w:val="single" w:sz="8" w:color="D7282F"/>
            </w:tcBorders>
          </w:tcPr>
          <w:p>
            <w:pPr>
              <w:spacing w:after="0"/>
              <w:rPr>
                <w:sz w:val="5"/>
                <w:szCs w:val="5"/>
                <w:color w:val="auto"/>
              </w:rPr>
            </w:pPr>
          </w:p>
        </w:tc>
        <w:tc>
          <w:tcPr>
            <w:tcW w:w="3900" w:type="dxa"/>
            <w:vAlign w:val="bottom"/>
            <w:tcBorders>
              <w:bottom w:val="single" w:sz="8" w:color="D7282F"/>
            </w:tcBorders>
          </w:tcPr>
          <w:p>
            <w:pPr>
              <w:spacing w:after="0"/>
              <w:rPr>
                <w:sz w:val="5"/>
                <w:szCs w:val="5"/>
                <w:color w:val="auto"/>
              </w:rPr>
            </w:pPr>
          </w:p>
        </w:tc>
        <w:tc>
          <w:tcPr>
            <w:tcW w:w="4200" w:type="dxa"/>
            <w:vAlign w:val="bottom"/>
            <w:tcBorders>
              <w:bottom w:val="single" w:sz="8" w:color="D7282F"/>
            </w:tcBorders>
          </w:tcPr>
          <w:p>
            <w:pPr>
              <w:spacing w:after="0"/>
              <w:rPr>
                <w:sz w:val="5"/>
                <w:szCs w:val="5"/>
                <w:color w:val="auto"/>
              </w:rPr>
            </w:pPr>
          </w:p>
        </w:tc>
      </w:tr>
      <w:tr>
        <w:trPr>
          <w:trHeight w:val="270"/>
        </w:trPr>
        <w:tc>
          <w:tcPr>
            <w:tcW w:w="3120" w:type="dxa"/>
            <w:vAlign w:val="bottom"/>
            <w:tcBorders>
              <w:bottom w:val="single" w:sz="8" w:color="D7282F"/>
            </w:tcBorders>
          </w:tcPr>
          <w:p>
            <w:pPr>
              <w:ind w:left="20"/>
              <w:spacing w:after="0"/>
              <w:rPr>
                <w:sz w:val="20"/>
                <w:szCs w:val="20"/>
                <w:color w:val="auto"/>
              </w:rPr>
            </w:pPr>
            <w:r>
              <w:rPr>
                <w:rFonts w:ascii="Arial" w:cs="Arial" w:eastAsia="Arial" w:hAnsi="Arial"/>
                <w:sz w:val="16"/>
                <w:szCs w:val="16"/>
                <w:color w:val="auto"/>
              </w:rPr>
              <w:t>Johnson Controls International plc</w:t>
            </w:r>
          </w:p>
        </w:tc>
        <w:tc>
          <w:tcPr>
            <w:tcW w:w="3900" w:type="dxa"/>
            <w:vAlign w:val="bottom"/>
            <w:tcBorders>
              <w:bottom w:val="single" w:sz="8" w:color="D7282F"/>
            </w:tcBorders>
          </w:tcPr>
          <w:p>
            <w:pPr>
              <w:ind w:left="640"/>
              <w:spacing w:after="0"/>
              <w:rPr>
                <w:sz w:val="20"/>
                <w:szCs w:val="20"/>
                <w:color w:val="auto"/>
              </w:rPr>
            </w:pPr>
            <w:r>
              <w:rPr>
                <w:rFonts w:ascii="Arial" w:cs="Arial" w:eastAsia="Arial" w:hAnsi="Arial"/>
                <w:sz w:val="16"/>
                <w:szCs w:val="16"/>
                <w:color w:val="auto"/>
              </w:rPr>
              <w:t>Cisco Systems, Inc.</w:t>
            </w:r>
          </w:p>
        </w:tc>
        <w:tc>
          <w:tcPr>
            <w:tcW w:w="4200" w:type="dxa"/>
            <w:vAlign w:val="bottom"/>
            <w:tcBorders>
              <w:bottom w:val="single" w:sz="8" w:color="D7282F"/>
            </w:tcBorders>
          </w:tcPr>
          <w:p>
            <w:pPr>
              <w:ind w:left="480"/>
              <w:spacing w:after="0"/>
              <w:rPr>
                <w:sz w:val="20"/>
                <w:szCs w:val="20"/>
                <w:color w:val="auto"/>
              </w:rPr>
            </w:pPr>
            <w:r>
              <w:rPr>
                <w:rFonts w:ascii="Arial" w:cs="Arial" w:eastAsia="Arial" w:hAnsi="Arial"/>
                <w:sz w:val="16"/>
                <w:szCs w:val="16"/>
                <w:color w:val="auto"/>
              </w:rPr>
              <w:t>Medtronic plc</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Honeywell's positioning relative to the 2025 Compensation Peer Group, as of December 31, 2025, was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20" w:type="dxa"/>
            <w:vAlign w:val="bottom"/>
          </w:tcPr>
          <w:p>
            <w:pPr>
              <w:spacing w:after="0"/>
              <w:rPr>
                <w:sz w:val="15"/>
                <w:szCs w:val="15"/>
                <w:color w:val="auto"/>
              </w:rPr>
            </w:pPr>
          </w:p>
        </w:tc>
        <w:tc>
          <w:tcPr>
            <w:tcW w:w="3000" w:type="dxa"/>
            <w:vAlign w:val="bottom"/>
            <w:gridSpan w:val="2"/>
          </w:tcPr>
          <w:p>
            <w:pPr>
              <w:ind w:left="1960"/>
              <w:spacing w:after="0"/>
              <w:rPr>
                <w:sz w:val="20"/>
                <w:szCs w:val="20"/>
                <w:color w:val="auto"/>
              </w:rPr>
            </w:pPr>
            <w:r>
              <w:rPr>
                <w:rFonts w:ascii="Arial" w:cs="Arial" w:eastAsia="Arial" w:hAnsi="Arial"/>
                <w:sz w:val="14"/>
                <w:szCs w:val="14"/>
                <w:b w:val="1"/>
                <w:bCs w:val="1"/>
                <w:color w:val="auto"/>
              </w:rPr>
              <w:t>Market Cap</w:t>
            </w:r>
          </w:p>
        </w:tc>
        <w:tc>
          <w:tcPr>
            <w:tcW w:w="132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Total Assets</w:t>
            </w:r>
          </w:p>
        </w:tc>
        <w:tc>
          <w:tcPr>
            <w:tcW w:w="154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Adjusted Sales</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Employees</w:t>
            </w:r>
          </w:p>
        </w:tc>
      </w:tr>
      <w:tr>
        <w:trPr>
          <w:trHeight w:val="214"/>
        </w:trPr>
        <w:tc>
          <w:tcPr>
            <w:tcW w:w="43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Company Name</w:t>
            </w:r>
          </w:p>
        </w:tc>
        <w:tc>
          <w:tcPr>
            <w:tcW w:w="2120" w:type="dxa"/>
            <w:vAlign w:val="bottom"/>
            <w:tcBorders>
              <w:bottom w:val="single" w:sz="8" w:color="D7282F"/>
            </w:tcBorders>
          </w:tcPr>
          <w:p>
            <w:pPr>
              <w:spacing w:after="0"/>
              <w:rPr>
                <w:sz w:val="18"/>
                <w:szCs w:val="18"/>
                <w:color w:val="auto"/>
              </w:rPr>
            </w:pPr>
          </w:p>
        </w:tc>
        <w:tc>
          <w:tcPr>
            <w:tcW w:w="88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($M)</w:t>
            </w:r>
          </w:p>
        </w:tc>
        <w:tc>
          <w:tcPr>
            <w:tcW w:w="480" w:type="dxa"/>
            <w:vAlign w:val="bottom"/>
            <w:tcBorders>
              <w:bottom w:val="single" w:sz="8" w:color="D7282F"/>
            </w:tcBorders>
          </w:tcPr>
          <w:p>
            <w:pPr>
              <w:spacing w:after="0"/>
              <w:rPr>
                <w:sz w:val="18"/>
                <w:szCs w:val="18"/>
                <w:color w:val="auto"/>
              </w:rPr>
            </w:pPr>
          </w:p>
        </w:tc>
        <w:tc>
          <w:tcPr>
            <w:tcW w:w="84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($M)</w:t>
            </w:r>
          </w:p>
        </w:tc>
        <w:tc>
          <w:tcPr>
            <w:tcW w:w="700" w:type="dxa"/>
            <w:vAlign w:val="bottom"/>
            <w:tcBorders>
              <w:bottom w:val="single" w:sz="8" w:color="D7282F"/>
            </w:tcBorders>
          </w:tcPr>
          <w:p>
            <w:pPr>
              <w:spacing w:after="0"/>
              <w:rPr>
                <w:sz w:val="18"/>
                <w:szCs w:val="18"/>
                <w:color w:val="auto"/>
              </w:rPr>
            </w:pPr>
          </w:p>
        </w:tc>
        <w:tc>
          <w:tcPr>
            <w:tcW w:w="84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($M)</w:t>
            </w:r>
          </w:p>
        </w:tc>
        <w:tc>
          <w:tcPr>
            <w:tcW w:w="10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(1)</w:t>
            </w:r>
          </w:p>
        </w:tc>
      </w:tr>
      <w:tr>
        <w:trPr>
          <w:trHeight w:val="315"/>
        </w:trPr>
        <w:tc>
          <w:tcPr>
            <w:tcW w:w="4320" w:type="dxa"/>
            <w:vAlign w:val="bottom"/>
          </w:tcPr>
          <w:p>
            <w:pPr>
              <w:ind w:left="20"/>
              <w:spacing w:after="0"/>
              <w:rPr>
                <w:sz w:val="20"/>
                <w:szCs w:val="20"/>
                <w:color w:val="auto"/>
              </w:rPr>
            </w:pPr>
            <w:r>
              <w:rPr>
                <w:rFonts w:ascii="Arial" w:cs="Arial" w:eastAsia="Arial" w:hAnsi="Arial"/>
                <w:sz w:val="14"/>
                <w:szCs w:val="14"/>
                <w:b w:val="1"/>
                <w:bCs w:val="1"/>
                <w:color w:val="D7282F"/>
              </w:rPr>
              <w:t>Honeywell International Inc.</w:t>
            </w:r>
          </w:p>
        </w:tc>
        <w:tc>
          <w:tcPr>
            <w:tcW w:w="2120" w:type="dxa"/>
            <w:vAlign w:val="bottom"/>
          </w:tcPr>
          <w:p>
            <w:pPr>
              <w:ind w:left="1960"/>
              <w:spacing w:after="0"/>
              <w:rPr>
                <w:sz w:val="20"/>
                <w:szCs w:val="20"/>
                <w:color w:val="auto"/>
              </w:rPr>
            </w:pPr>
            <w:r>
              <w:rPr>
                <w:rFonts w:ascii="Arial" w:cs="Arial" w:eastAsia="Arial" w:hAnsi="Arial"/>
                <w:sz w:val="14"/>
                <w:szCs w:val="14"/>
                <w:b w:val="1"/>
                <w:bCs w:val="1"/>
                <w:color w:val="D7282F"/>
              </w:rPr>
              <w:t>$</w:t>
            </w:r>
          </w:p>
        </w:tc>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D7282F"/>
              </w:rPr>
              <w:t>123,860</w:t>
            </w:r>
          </w:p>
        </w:tc>
        <w:tc>
          <w:tcPr>
            <w:tcW w:w="480" w:type="dxa"/>
            <w:vAlign w:val="bottom"/>
          </w:tcPr>
          <w:p>
            <w:pPr>
              <w:jc w:val="right"/>
              <w:ind w:right="8"/>
              <w:spacing w:after="0"/>
              <w:rPr>
                <w:sz w:val="20"/>
                <w:szCs w:val="20"/>
                <w:color w:val="auto"/>
              </w:rPr>
            </w:pPr>
            <w:r>
              <w:rPr>
                <w:rFonts w:ascii="Arial" w:cs="Arial" w:eastAsia="Arial" w:hAnsi="Arial"/>
                <w:sz w:val="14"/>
                <w:szCs w:val="14"/>
                <w:b w:val="1"/>
                <w:bCs w:val="1"/>
                <w:color w:val="D7282F"/>
              </w:rPr>
              <w:t>$</w:t>
            </w:r>
          </w:p>
        </w:tc>
        <w:tc>
          <w:tcPr>
            <w:tcW w:w="840" w:type="dxa"/>
            <w:vAlign w:val="bottom"/>
          </w:tcPr>
          <w:p>
            <w:pPr>
              <w:jc w:val="right"/>
              <w:ind w:right="228"/>
              <w:spacing w:after="0"/>
              <w:rPr>
                <w:sz w:val="20"/>
                <w:szCs w:val="20"/>
                <w:color w:val="auto"/>
              </w:rPr>
            </w:pPr>
            <w:r>
              <w:rPr>
                <w:rFonts w:ascii="Arial" w:cs="Arial" w:eastAsia="Arial" w:hAnsi="Arial"/>
                <w:sz w:val="14"/>
                <w:szCs w:val="14"/>
                <w:b w:val="1"/>
                <w:bCs w:val="1"/>
                <w:color w:val="D7282F"/>
              </w:rPr>
              <w:t>74,115</w:t>
            </w: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D7282F"/>
              </w:rPr>
              <w:t>$</w:t>
            </w:r>
          </w:p>
        </w:tc>
        <w:tc>
          <w:tcPr>
            <w:tcW w:w="840" w:type="dxa"/>
            <w:vAlign w:val="bottom"/>
          </w:tcPr>
          <w:p>
            <w:pPr>
              <w:jc w:val="right"/>
              <w:ind w:right="248"/>
              <w:spacing w:after="0"/>
              <w:rPr>
                <w:sz w:val="20"/>
                <w:szCs w:val="20"/>
                <w:color w:val="auto"/>
              </w:rPr>
            </w:pPr>
            <w:r>
              <w:rPr>
                <w:rFonts w:ascii="Arial" w:cs="Arial" w:eastAsia="Arial" w:hAnsi="Arial"/>
                <w:sz w:val="14"/>
                <w:szCs w:val="14"/>
                <w:b w:val="1"/>
                <w:bCs w:val="1"/>
                <w:color w:val="D7282F"/>
              </w:rPr>
              <w:t>37,754</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D7282F"/>
              </w:rPr>
              <w:t>101,000</w:t>
            </w:r>
          </w:p>
        </w:tc>
      </w:tr>
      <w:tr>
        <w:trPr>
          <w:trHeight w:val="123"/>
        </w:trPr>
        <w:tc>
          <w:tcPr>
            <w:tcW w:w="4320" w:type="dxa"/>
            <w:vAlign w:val="bottom"/>
            <w:tcBorders>
              <w:bottom w:val="single" w:sz="8" w:color="939598"/>
            </w:tcBorders>
          </w:tcPr>
          <w:p>
            <w:pPr>
              <w:spacing w:after="0"/>
              <w:rPr>
                <w:sz w:val="10"/>
                <w:szCs w:val="10"/>
                <w:color w:val="auto"/>
              </w:rPr>
            </w:pPr>
          </w:p>
        </w:tc>
        <w:tc>
          <w:tcPr>
            <w:tcW w:w="2120" w:type="dxa"/>
            <w:vAlign w:val="bottom"/>
            <w:tcBorders>
              <w:bottom w:val="single" w:sz="8" w:color="939598"/>
            </w:tcBorders>
          </w:tcPr>
          <w:p>
            <w:pPr>
              <w:spacing w:after="0"/>
              <w:rPr>
                <w:sz w:val="10"/>
                <w:szCs w:val="10"/>
                <w:color w:val="auto"/>
              </w:rPr>
            </w:pPr>
          </w:p>
        </w:tc>
        <w:tc>
          <w:tcPr>
            <w:tcW w:w="880" w:type="dxa"/>
            <w:vAlign w:val="bottom"/>
            <w:tcBorders>
              <w:bottom w:val="single" w:sz="8" w:color="939598"/>
            </w:tcBorders>
          </w:tcPr>
          <w:p>
            <w:pPr>
              <w:spacing w:after="0"/>
              <w:rPr>
                <w:sz w:val="10"/>
                <w:szCs w:val="10"/>
                <w:color w:val="auto"/>
              </w:rPr>
            </w:pPr>
          </w:p>
        </w:tc>
        <w:tc>
          <w:tcPr>
            <w:tcW w:w="480" w:type="dxa"/>
            <w:vAlign w:val="bottom"/>
            <w:tcBorders>
              <w:bottom w:val="single" w:sz="8" w:color="939598"/>
            </w:tcBorders>
          </w:tcPr>
          <w:p>
            <w:pPr>
              <w:spacing w:after="0"/>
              <w:rPr>
                <w:sz w:val="10"/>
                <w:szCs w:val="10"/>
                <w:color w:val="auto"/>
              </w:rPr>
            </w:pPr>
          </w:p>
        </w:tc>
        <w:tc>
          <w:tcPr>
            <w:tcW w:w="840" w:type="dxa"/>
            <w:vAlign w:val="bottom"/>
            <w:tcBorders>
              <w:bottom w:val="single" w:sz="8" w:color="939598"/>
            </w:tcBorders>
          </w:tcPr>
          <w:p>
            <w:pPr>
              <w:spacing w:after="0"/>
              <w:rPr>
                <w:sz w:val="10"/>
                <w:szCs w:val="10"/>
                <w:color w:val="auto"/>
              </w:rPr>
            </w:pPr>
          </w:p>
        </w:tc>
        <w:tc>
          <w:tcPr>
            <w:tcW w:w="700" w:type="dxa"/>
            <w:vAlign w:val="bottom"/>
            <w:tcBorders>
              <w:bottom w:val="single" w:sz="8" w:color="939598"/>
            </w:tcBorders>
          </w:tcPr>
          <w:p>
            <w:pPr>
              <w:spacing w:after="0"/>
              <w:rPr>
                <w:sz w:val="10"/>
                <w:szCs w:val="10"/>
                <w:color w:val="auto"/>
              </w:rPr>
            </w:pPr>
          </w:p>
        </w:tc>
        <w:tc>
          <w:tcPr>
            <w:tcW w:w="840" w:type="dxa"/>
            <w:vAlign w:val="bottom"/>
            <w:tcBorders>
              <w:bottom w:val="single" w:sz="8" w:color="939598"/>
            </w:tcBorders>
          </w:tcPr>
          <w:p>
            <w:pPr>
              <w:spacing w:after="0"/>
              <w:rPr>
                <w:sz w:val="10"/>
                <w:szCs w:val="10"/>
                <w:color w:val="auto"/>
              </w:rPr>
            </w:pPr>
          </w:p>
        </w:tc>
        <w:tc>
          <w:tcPr>
            <w:tcW w:w="1040" w:type="dxa"/>
            <w:vAlign w:val="bottom"/>
            <w:tcBorders>
              <w:bottom w:val="single" w:sz="8" w:color="939598"/>
            </w:tcBorders>
          </w:tcPr>
          <w:p>
            <w:pPr>
              <w:spacing w:after="0"/>
              <w:rPr>
                <w:sz w:val="10"/>
                <w:szCs w:val="10"/>
                <w:color w:val="auto"/>
              </w:rPr>
            </w:pPr>
          </w:p>
        </w:tc>
      </w:tr>
      <w:tr>
        <w:trPr>
          <w:trHeight w:val="315"/>
        </w:trPr>
        <w:tc>
          <w:tcPr>
            <w:tcW w:w="4320" w:type="dxa"/>
            <w:vAlign w:val="bottom"/>
          </w:tcPr>
          <w:p>
            <w:pPr>
              <w:ind w:left="20"/>
              <w:spacing w:after="0"/>
              <w:rPr>
                <w:sz w:val="20"/>
                <w:szCs w:val="20"/>
                <w:color w:val="auto"/>
              </w:rPr>
            </w:pPr>
            <w:r>
              <w:rPr>
                <w:rFonts w:ascii="Arial" w:cs="Arial" w:eastAsia="Arial" w:hAnsi="Arial"/>
                <w:sz w:val="14"/>
                <w:szCs w:val="14"/>
                <w:b w:val="1"/>
                <w:bCs w:val="1"/>
                <w:color w:val="auto"/>
              </w:rPr>
              <w:t>Compensation Peer Group Median</w:t>
            </w:r>
          </w:p>
        </w:tc>
        <w:tc>
          <w:tcPr>
            <w:tcW w:w="2120" w:type="dxa"/>
            <w:vAlign w:val="bottom"/>
          </w:tcPr>
          <w:p>
            <w:pPr>
              <w:ind w:left="1960"/>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101,361</w:t>
            </w:r>
          </w:p>
        </w:tc>
        <w:tc>
          <w:tcPr>
            <w:tcW w:w="4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228"/>
              <w:spacing w:after="0"/>
              <w:rPr>
                <w:sz w:val="20"/>
                <w:szCs w:val="20"/>
                <w:color w:val="auto"/>
              </w:rPr>
            </w:pPr>
            <w:r>
              <w:rPr>
                <w:rFonts w:ascii="Arial" w:cs="Arial" w:eastAsia="Arial" w:hAnsi="Arial"/>
                <w:sz w:val="14"/>
                <w:szCs w:val="14"/>
                <w:b w:val="1"/>
                <w:bCs w:val="1"/>
                <w:color w:val="auto"/>
              </w:rPr>
              <w:t>57,894</w:t>
            </w: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248"/>
              <w:spacing w:after="0"/>
              <w:rPr>
                <w:sz w:val="20"/>
                <w:szCs w:val="20"/>
                <w:color w:val="auto"/>
              </w:rPr>
            </w:pPr>
            <w:r>
              <w:rPr>
                <w:rFonts w:ascii="Arial" w:cs="Arial" w:eastAsia="Arial" w:hAnsi="Arial"/>
                <w:sz w:val="14"/>
                <w:szCs w:val="14"/>
                <w:b w:val="1"/>
                <w:bCs w:val="1"/>
                <w:color w:val="auto"/>
              </w:rPr>
              <w:t>42,798</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86,600</w:t>
            </w:r>
          </w:p>
        </w:tc>
      </w:tr>
      <w:tr>
        <w:trPr>
          <w:trHeight w:val="124"/>
        </w:trPr>
        <w:tc>
          <w:tcPr>
            <w:tcW w:w="4320" w:type="dxa"/>
            <w:vAlign w:val="bottom"/>
            <w:tcBorders>
              <w:bottom w:val="single" w:sz="8" w:color="939598"/>
            </w:tcBorders>
          </w:tcPr>
          <w:p>
            <w:pPr>
              <w:spacing w:after="0"/>
              <w:rPr>
                <w:sz w:val="10"/>
                <w:szCs w:val="10"/>
                <w:color w:val="auto"/>
              </w:rPr>
            </w:pPr>
          </w:p>
        </w:tc>
        <w:tc>
          <w:tcPr>
            <w:tcW w:w="2120" w:type="dxa"/>
            <w:vAlign w:val="bottom"/>
            <w:tcBorders>
              <w:bottom w:val="single" w:sz="8" w:color="939598"/>
            </w:tcBorders>
          </w:tcPr>
          <w:p>
            <w:pPr>
              <w:spacing w:after="0"/>
              <w:rPr>
                <w:sz w:val="10"/>
                <w:szCs w:val="10"/>
                <w:color w:val="auto"/>
              </w:rPr>
            </w:pPr>
          </w:p>
        </w:tc>
        <w:tc>
          <w:tcPr>
            <w:tcW w:w="880" w:type="dxa"/>
            <w:vAlign w:val="bottom"/>
            <w:tcBorders>
              <w:bottom w:val="single" w:sz="8" w:color="939598"/>
            </w:tcBorders>
          </w:tcPr>
          <w:p>
            <w:pPr>
              <w:spacing w:after="0"/>
              <w:rPr>
                <w:sz w:val="10"/>
                <w:szCs w:val="10"/>
                <w:color w:val="auto"/>
              </w:rPr>
            </w:pPr>
          </w:p>
        </w:tc>
        <w:tc>
          <w:tcPr>
            <w:tcW w:w="480" w:type="dxa"/>
            <w:vAlign w:val="bottom"/>
            <w:tcBorders>
              <w:bottom w:val="single" w:sz="8" w:color="939598"/>
            </w:tcBorders>
          </w:tcPr>
          <w:p>
            <w:pPr>
              <w:spacing w:after="0"/>
              <w:rPr>
                <w:sz w:val="10"/>
                <w:szCs w:val="10"/>
                <w:color w:val="auto"/>
              </w:rPr>
            </w:pPr>
          </w:p>
        </w:tc>
        <w:tc>
          <w:tcPr>
            <w:tcW w:w="840" w:type="dxa"/>
            <w:vAlign w:val="bottom"/>
            <w:tcBorders>
              <w:bottom w:val="single" w:sz="8" w:color="939598"/>
            </w:tcBorders>
          </w:tcPr>
          <w:p>
            <w:pPr>
              <w:spacing w:after="0"/>
              <w:rPr>
                <w:sz w:val="10"/>
                <w:szCs w:val="10"/>
                <w:color w:val="auto"/>
              </w:rPr>
            </w:pPr>
          </w:p>
        </w:tc>
        <w:tc>
          <w:tcPr>
            <w:tcW w:w="700" w:type="dxa"/>
            <w:vAlign w:val="bottom"/>
            <w:tcBorders>
              <w:bottom w:val="single" w:sz="8" w:color="939598"/>
            </w:tcBorders>
          </w:tcPr>
          <w:p>
            <w:pPr>
              <w:spacing w:after="0"/>
              <w:rPr>
                <w:sz w:val="10"/>
                <w:szCs w:val="10"/>
                <w:color w:val="auto"/>
              </w:rPr>
            </w:pPr>
          </w:p>
        </w:tc>
        <w:tc>
          <w:tcPr>
            <w:tcW w:w="840" w:type="dxa"/>
            <w:vAlign w:val="bottom"/>
            <w:tcBorders>
              <w:bottom w:val="single" w:sz="8" w:color="939598"/>
            </w:tcBorders>
          </w:tcPr>
          <w:p>
            <w:pPr>
              <w:spacing w:after="0"/>
              <w:rPr>
                <w:sz w:val="10"/>
                <w:szCs w:val="10"/>
                <w:color w:val="auto"/>
              </w:rPr>
            </w:pPr>
          </w:p>
        </w:tc>
        <w:tc>
          <w:tcPr>
            <w:tcW w:w="1040" w:type="dxa"/>
            <w:vAlign w:val="bottom"/>
            <w:tcBorders>
              <w:bottom w:val="single" w:sz="8" w:color="939598"/>
            </w:tcBorders>
          </w:tcPr>
          <w:p>
            <w:pPr>
              <w:spacing w:after="0"/>
              <w:rPr>
                <w:sz w:val="10"/>
                <w:szCs w:val="10"/>
                <w:color w:val="auto"/>
              </w:rPr>
            </w:pPr>
          </w:p>
        </w:tc>
      </w:tr>
      <w:tr>
        <w:trPr>
          <w:trHeight w:val="316"/>
        </w:trPr>
        <w:tc>
          <w:tcPr>
            <w:tcW w:w="4320" w:type="dxa"/>
            <w:vAlign w:val="bottom"/>
          </w:tcPr>
          <w:p>
            <w:pPr>
              <w:ind w:left="20"/>
              <w:spacing w:after="0"/>
              <w:rPr>
                <w:sz w:val="20"/>
                <w:szCs w:val="20"/>
                <w:color w:val="auto"/>
              </w:rPr>
            </w:pPr>
            <w:r>
              <w:rPr>
                <w:rFonts w:ascii="Arial" w:cs="Arial" w:eastAsia="Arial" w:hAnsi="Arial"/>
                <w:sz w:val="14"/>
                <w:szCs w:val="14"/>
                <w:b w:val="1"/>
                <w:bCs w:val="1"/>
                <w:color w:val="D7282F"/>
              </w:rPr>
              <w:t>Honeywell Percentile Rank</w:t>
            </w:r>
          </w:p>
        </w:tc>
        <w:tc>
          <w:tcPr>
            <w:tcW w:w="2120" w:type="dxa"/>
            <w:vAlign w:val="bottom"/>
          </w:tcPr>
          <w:p>
            <w:pPr>
              <w:spacing w:after="0"/>
              <w:rPr>
                <w:sz w:val="24"/>
                <w:szCs w:val="24"/>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b w:val="1"/>
                <w:bCs w:val="1"/>
                <w:color w:val="D7282F"/>
              </w:rPr>
              <w:t>65%</w:t>
            </w:r>
          </w:p>
        </w:tc>
        <w:tc>
          <w:tcPr>
            <w:tcW w:w="480" w:type="dxa"/>
            <w:vAlign w:val="bottom"/>
          </w:tcPr>
          <w:p>
            <w:pPr>
              <w:spacing w:after="0"/>
              <w:rPr>
                <w:sz w:val="24"/>
                <w:szCs w:val="24"/>
                <w:color w:val="auto"/>
              </w:rPr>
            </w:pPr>
          </w:p>
        </w:tc>
        <w:tc>
          <w:tcPr>
            <w:tcW w:w="840" w:type="dxa"/>
            <w:vAlign w:val="bottom"/>
          </w:tcPr>
          <w:p>
            <w:pPr>
              <w:jc w:val="right"/>
              <w:ind w:right="188"/>
              <w:spacing w:after="0"/>
              <w:rPr>
                <w:sz w:val="20"/>
                <w:szCs w:val="20"/>
                <w:color w:val="auto"/>
              </w:rPr>
            </w:pPr>
            <w:r>
              <w:rPr>
                <w:rFonts w:ascii="Arial" w:cs="Arial" w:eastAsia="Arial" w:hAnsi="Arial"/>
                <w:sz w:val="14"/>
                <w:szCs w:val="14"/>
                <w:b w:val="1"/>
                <w:bCs w:val="1"/>
                <w:color w:val="D7282F"/>
              </w:rPr>
              <w:t>61%</w:t>
            </w:r>
          </w:p>
        </w:tc>
        <w:tc>
          <w:tcPr>
            <w:tcW w:w="700" w:type="dxa"/>
            <w:vAlign w:val="bottom"/>
          </w:tcPr>
          <w:p>
            <w:pPr>
              <w:spacing w:after="0"/>
              <w:rPr>
                <w:sz w:val="24"/>
                <w:szCs w:val="24"/>
                <w:color w:val="auto"/>
              </w:rPr>
            </w:pPr>
          </w:p>
        </w:tc>
        <w:tc>
          <w:tcPr>
            <w:tcW w:w="840" w:type="dxa"/>
            <w:vAlign w:val="bottom"/>
          </w:tcPr>
          <w:p>
            <w:pPr>
              <w:jc w:val="right"/>
              <w:ind w:right="188"/>
              <w:spacing w:after="0"/>
              <w:rPr>
                <w:sz w:val="20"/>
                <w:szCs w:val="20"/>
                <w:color w:val="auto"/>
              </w:rPr>
            </w:pPr>
            <w:r>
              <w:rPr>
                <w:rFonts w:ascii="Arial" w:cs="Arial" w:eastAsia="Arial" w:hAnsi="Arial"/>
                <w:sz w:val="14"/>
                <w:szCs w:val="14"/>
                <w:b w:val="1"/>
                <w:bCs w:val="1"/>
                <w:color w:val="D7282F"/>
              </w:rPr>
              <w:t>44%</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D7282F"/>
              </w:rPr>
              <w:t>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2343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61" w:lineRule="exact"/>
        <w:rPr>
          <w:sz w:val="20"/>
          <w:szCs w:val="20"/>
          <w:color w:val="auto"/>
        </w:rPr>
      </w:pPr>
    </w:p>
    <w:p>
      <w:pPr>
        <w:ind w:left="200" w:right="60" w:hanging="192"/>
        <w:spacing w:after="0" w:line="226" w:lineRule="auto"/>
        <w:tabs>
          <w:tab w:leader="none" w:pos="200" w:val="left"/>
        </w:tabs>
        <w:numPr>
          <w:ilvl w:val="0"/>
          <w:numId w:val="136"/>
        </w:numPr>
        <w:rPr>
          <w:rFonts w:ascii="Arial" w:cs="Arial" w:eastAsia="Arial" w:hAnsi="Arial"/>
          <w:sz w:val="16"/>
          <w:szCs w:val="16"/>
          <w:color w:val="auto"/>
          <w:vertAlign w:val="superscript"/>
        </w:rPr>
      </w:pPr>
      <w:r>
        <w:rPr>
          <w:rFonts w:ascii="Arial" w:cs="Arial" w:eastAsia="Arial" w:hAnsi="Arial"/>
          <w:sz w:val="13"/>
          <w:szCs w:val="13"/>
          <w:color w:val="auto"/>
        </w:rPr>
        <w:t>Excludes Sandia National Laboratories (Sandia) and Kansas City National Security Campus (KCNSC) workforces. Sandia and KCNSC are U.S. Department of Energy facilities. Honeywell manages these facilities as a contract operator and does not establish or control their human resources policies.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Of the 18 companies in the 2025 Compensation Peer Group, 17 also listed Honeywell as a compensation peer group company in their proxy statement.</w:t>
      </w:r>
    </w:p>
    <w:p>
      <w:pPr>
        <w:spacing w:after="0" w:line="263"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60</w:t>
      </w:r>
      <w:r>
        <w:rPr>
          <w:sz w:val="20"/>
          <w:szCs w:val="20"/>
          <w:color w:val="auto"/>
        </w:rPr>
        <w:tab/>
      </w:r>
      <w:r>
        <w:rPr>
          <w:sz w:val="1"/>
          <w:szCs w:val="1"/>
          <w:color w:val="auto"/>
        </w:rPr>
        <w:drawing>
          <wp:inline distT="0" distB="0" distL="0" distR="0">
            <wp:extent cx="548640" cy="102870"/>
            <wp:effectExtent l="0" t="0" r="0" b="0"/>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2026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sectPr>
      </w:pPr>
    </w:p>
    <w:bookmarkStart w:id="65" w:name="page66"/>
    <w:bookmarkEnd w:id="65"/>
    <w:p>
      <w:pPr>
        <w:jc w:val="right"/>
        <w:spacing w:after="0"/>
        <w:rPr>
          <w:sz w:val="20"/>
          <w:szCs w:val="20"/>
          <w:color w:val="auto"/>
        </w:rPr>
      </w:pPr>
      <w:r>
        <w:rPr>
          <w:rFonts w:ascii="Arial" w:cs="Arial" w:eastAsia="Arial" w:hAnsi="Arial"/>
          <w:sz w:val="13"/>
          <w:szCs w:val="13"/>
          <w:b w:val="1"/>
          <w:bCs w:val="1"/>
          <w:color w:val="6D6E71"/>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PERFORMANCE RELATIVE TO PEERS</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D7282F"/>
        </w:rPr>
        <w:t>2025 PERFORMANCE</w:t>
      </w:r>
    </w:p>
    <w:p>
      <w:pPr>
        <w:spacing w:after="0" w:line="126"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 following graphs show Honeywell’s performance versus the median of the Compensation Peer Group for four key metrics in 2025. We include adjusted EPS growth and free cash flow margin since EPS and free cash flow are the primary measures used in our annual incentive compensation plan (ICP).</w:t>
      </w:r>
    </w:p>
    <w:p>
      <w:pPr>
        <w:spacing w:after="0" w:line="102"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1860" w:type="dxa"/>
            <w:vAlign w:val="bottom"/>
            <w:vMerge w:val="restart"/>
          </w:tcPr>
          <w:p>
            <w:pPr>
              <w:spacing w:after="0"/>
              <w:rPr>
                <w:sz w:val="20"/>
                <w:szCs w:val="20"/>
                <w:color w:val="auto"/>
              </w:rPr>
            </w:pPr>
            <w:r>
              <w:rPr>
                <w:rFonts w:ascii="Arial" w:cs="Arial" w:eastAsia="Arial" w:hAnsi="Arial"/>
                <w:sz w:val="16"/>
                <w:szCs w:val="16"/>
                <w:b w:val="1"/>
                <w:bCs w:val="1"/>
                <w:color w:val="6D6E71"/>
              </w:rPr>
              <w:t>ADJUSTED SALES</w:t>
            </w:r>
          </w:p>
        </w:tc>
        <w:tc>
          <w:tcPr>
            <w:tcW w:w="2380" w:type="dxa"/>
            <w:vAlign w:val="bottom"/>
          </w:tcPr>
          <w:p>
            <w:pPr>
              <w:ind w:left="400"/>
              <w:spacing w:after="0"/>
              <w:rPr>
                <w:sz w:val="20"/>
                <w:szCs w:val="20"/>
                <w:color w:val="auto"/>
              </w:rPr>
            </w:pPr>
            <w:r>
              <w:rPr>
                <w:rFonts w:ascii="Arial" w:cs="Arial" w:eastAsia="Arial" w:hAnsi="Arial"/>
                <w:sz w:val="16"/>
                <w:szCs w:val="16"/>
                <w:b w:val="1"/>
                <w:bCs w:val="1"/>
                <w:color w:val="6D6E71"/>
              </w:rPr>
              <w:t>ADJUSTED SEGMENT</w:t>
            </w:r>
          </w:p>
        </w:tc>
        <w:tc>
          <w:tcPr>
            <w:tcW w:w="2020" w:type="dxa"/>
            <w:vAlign w:val="bottom"/>
          </w:tcPr>
          <w:p>
            <w:pPr>
              <w:ind w:left="260"/>
              <w:spacing w:after="0"/>
              <w:rPr>
                <w:sz w:val="20"/>
                <w:szCs w:val="20"/>
                <w:color w:val="auto"/>
              </w:rPr>
            </w:pPr>
            <w:r>
              <w:rPr>
                <w:rFonts w:ascii="Arial" w:cs="Arial" w:eastAsia="Arial" w:hAnsi="Arial"/>
                <w:sz w:val="16"/>
                <w:szCs w:val="16"/>
                <w:b w:val="1"/>
                <w:bCs w:val="1"/>
                <w:color w:val="6D6E71"/>
              </w:rPr>
              <w:t>ADJUSTED EPS</w:t>
            </w:r>
          </w:p>
        </w:tc>
        <w:tc>
          <w:tcPr>
            <w:tcW w:w="1680" w:type="dxa"/>
            <w:vAlign w:val="bottom"/>
          </w:tcPr>
          <w:p>
            <w:pPr>
              <w:ind w:left="500"/>
              <w:spacing w:after="0"/>
              <w:rPr>
                <w:sz w:val="20"/>
                <w:szCs w:val="20"/>
                <w:color w:val="auto"/>
              </w:rPr>
            </w:pPr>
            <w:r>
              <w:rPr>
                <w:rFonts w:ascii="Arial" w:cs="Arial" w:eastAsia="Arial" w:hAnsi="Arial"/>
                <w:sz w:val="16"/>
                <w:szCs w:val="16"/>
                <w:b w:val="1"/>
                <w:bCs w:val="1"/>
                <w:color w:val="6D6E71"/>
              </w:rPr>
              <w:t>FREE CASH</w:t>
            </w:r>
          </w:p>
        </w:tc>
        <w:tc>
          <w:tcPr>
            <w:tcW w:w="0" w:type="dxa"/>
            <w:vAlign w:val="bottom"/>
          </w:tcPr>
          <w:p>
            <w:pPr>
              <w:spacing w:after="0"/>
              <w:rPr>
                <w:sz w:val="1"/>
                <w:szCs w:val="1"/>
                <w:color w:val="auto"/>
              </w:rPr>
            </w:pPr>
          </w:p>
        </w:tc>
      </w:tr>
      <w:tr>
        <w:trPr>
          <w:trHeight w:val="108"/>
        </w:trPr>
        <w:tc>
          <w:tcPr>
            <w:tcW w:w="1860" w:type="dxa"/>
            <w:vAlign w:val="bottom"/>
            <w:vMerge w:val="continue"/>
          </w:tcPr>
          <w:p>
            <w:pPr>
              <w:spacing w:after="0"/>
              <w:rPr>
                <w:sz w:val="9"/>
                <w:szCs w:val="9"/>
                <w:color w:val="auto"/>
              </w:rPr>
            </w:pPr>
          </w:p>
        </w:tc>
        <w:tc>
          <w:tcPr>
            <w:tcW w:w="2380" w:type="dxa"/>
            <w:vAlign w:val="bottom"/>
            <w:vMerge w:val="restart"/>
          </w:tcPr>
          <w:p>
            <w:pPr>
              <w:ind w:left="400"/>
              <w:spacing w:after="0"/>
              <w:rPr>
                <w:sz w:val="20"/>
                <w:szCs w:val="20"/>
                <w:color w:val="auto"/>
              </w:rPr>
            </w:pPr>
            <w:r>
              <w:rPr>
                <w:rFonts w:ascii="Arial" w:cs="Arial" w:eastAsia="Arial" w:hAnsi="Arial"/>
                <w:sz w:val="16"/>
                <w:szCs w:val="16"/>
                <w:b w:val="1"/>
                <w:bCs w:val="1"/>
                <w:color w:val="6D6E71"/>
              </w:rPr>
              <w:t>MARGIN</w:t>
            </w:r>
          </w:p>
        </w:tc>
        <w:tc>
          <w:tcPr>
            <w:tcW w:w="2020" w:type="dxa"/>
            <w:vAlign w:val="bottom"/>
            <w:vMerge w:val="restart"/>
          </w:tcPr>
          <w:p>
            <w:pPr>
              <w:ind w:left="260"/>
              <w:spacing w:after="0"/>
              <w:rPr>
                <w:sz w:val="20"/>
                <w:szCs w:val="20"/>
                <w:color w:val="auto"/>
              </w:rPr>
            </w:pPr>
            <w:r>
              <w:rPr>
                <w:rFonts w:ascii="Arial" w:cs="Arial" w:eastAsia="Arial" w:hAnsi="Arial"/>
                <w:sz w:val="16"/>
                <w:szCs w:val="16"/>
                <w:b w:val="1"/>
                <w:bCs w:val="1"/>
                <w:color w:val="6D6E71"/>
              </w:rPr>
              <w:t>GROWTH</w:t>
            </w:r>
          </w:p>
        </w:tc>
        <w:tc>
          <w:tcPr>
            <w:tcW w:w="1680" w:type="dxa"/>
            <w:vAlign w:val="bottom"/>
            <w:vMerge w:val="restart"/>
          </w:tcPr>
          <w:p>
            <w:pPr>
              <w:ind w:left="500"/>
              <w:spacing w:after="0"/>
              <w:rPr>
                <w:sz w:val="20"/>
                <w:szCs w:val="20"/>
                <w:color w:val="auto"/>
              </w:rPr>
            </w:pPr>
            <w:r>
              <w:rPr>
                <w:rFonts w:ascii="Arial" w:cs="Arial" w:eastAsia="Arial" w:hAnsi="Arial"/>
                <w:sz w:val="16"/>
                <w:szCs w:val="16"/>
                <w:b w:val="1"/>
                <w:bCs w:val="1"/>
                <w:color w:val="6D6E71"/>
                <w:w w:val="99"/>
              </w:rPr>
              <w:t>FLOW MARGIN</w:t>
            </w:r>
          </w:p>
        </w:tc>
        <w:tc>
          <w:tcPr>
            <w:tcW w:w="0" w:type="dxa"/>
            <w:vAlign w:val="bottom"/>
          </w:tcPr>
          <w:p>
            <w:pPr>
              <w:spacing w:after="0"/>
              <w:rPr>
                <w:sz w:val="1"/>
                <w:szCs w:val="1"/>
                <w:color w:val="auto"/>
              </w:rPr>
            </w:pPr>
          </w:p>
        </w:tc>
      </w:tr>
      <w:tr>
        <w:trPr>
          <w:trHeight w:val="115"/>
        </w:trPr>
        <w:tc>
          <w:tcPr>
            <w:tcW w:w="1860" w:type="dxa"/>
            <w:vAlign w:val="bottom"/>
            <w:vMerge w:val="restart"/>
          </w:tcPr>
          <w:p>
            <w:pPr>
              <w:spacing w:after="0"/>
              <w:rPr>
                <w:sz w:val="20"/>
                <w:szCs w:val="20"/>
                <w:color w:val="auto"/>
              </w:rPr>
            </w:pPr>
            <w:r>
              <w:rPr>
                <w:rFonts w:ascii="Arial" w:cs="Arial" w:eastAsia="Arial" w:hAnsi="Arial"/>
                <w:sz w:val="16"/>
                <w:szCs w:val="16"/>
                <w:b w:val="1"/>
                <w:bCs w:val="1"/>
                <w:color w:val="6D6E71"/>
              </w:rPr>
              <w:t>GROWTH</w:t>
            </w:r>
          </w:p>
        </w:tc>
        <w:tc>
          <w:tcPr>
            <w:tcW w:w="2380" w:type="dxa"/>
            <w:vAlign w:val="bottom"/>
            <w:vMerge w:val="continue"/>
          </w:tcPr>
          <w:p>
            <w:pPr>
              <w:spacing w:after="0"/>
              <w:rPr>
                <w:sz w:val="9"/>
                <w:szCs w:val="9"/>
                <w:color w:val="auto"/>
              </w:rPr>
            </w:pPr>
          </w:p>
        </w:tc>
        <w:tc>
          <w:tcPr>
            <w:tcW w:w="202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60" w:type="dxa"/>
            <w:vAlign w:val="bottom"/>
            <w:vMerge w:val="continue"/>
          </w:tcPr>
          <w:p>
            <w:pPr>
              <w:spacing w:after="0"/>
              <w:rPr>
                <w:sz w:val="9"/>
                <w:szCs w:val="9"/>
                <w:color w:val="auto"/>
              </w:rPr>
            </w:pPr>
          </w:p>
        </w:tc>
        <w:tc>
          <w:tcPr>
            <w:tcW w:w="23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175895</wp:posOffset>
            </wp:positionV>
            <wp:extent cx="5143500" cy="151701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5143500" cy="1517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00" w:right="500" w:hanging="192"/>
        <w:spacing w:after="0" w:line="286" w:lineRule="auto"/>
        <w:tabs>
          <w:tab w:leader="none" w:pos="195" w:val="left"/>
        </w:tabs>
        <w:numPr>
          <w:ilvl w:val="0"/>
          <w:numId w:val="137"/>
        </w:numPr>
        <w:rPr>
          <w:rFonts w:ascii="Arial" w:cs="Arial" w:eastAsia="Arial" w:hAnsi="Arial"/>
          <w:sz w:val="13"/>
          <w:szCs w:val="13"/>
          <w:color w:val="auto"/>
        </w:rPr>
      </w:pPr>
      <w:r>
        <w:rPr>
          <w:rFonts w:ascii="Arial" w:cs="Arial" w:eastAsia="Arial" w:hAnsi="Arial"/>
          <w:sz w:val="13"/>
          <w:szCs w:val="13"/>
          <w:color w:val="auto"/>
        </w:rPr>
        <w:t>Excludes the impact of investments related to the Bombardier Agreement announced on December 2, 2024, which resulted in increases to sales growth of 1.1%, organic growth of 1.1%, and adjusted EPS growth of 5.5%.</w:t>
      </w:r>
    </w:p>
    <w:p>
      <w:pPr>
        <w:spacing w:after="0" w:line="62" w:lineRule="exact"/>
        <w:rPr>
          <w:sz w:val="20"/>
          <w:szCs w:val="20"/>
          <w:color w:val="auto"/>
        </w:rPr>
      </w:pPr>
    </w:p>
    <w:p>
      <w:pPr>
        <w:ind w:right="180"/>
        <w:spacing w:after="0" w:line="264" w:lineRule="auto"/>
        <w:rPr>
          <w:sz w:val="20"/>
          <w:szCs w:val="20"/>
          <w:color w:val="auto"/>
        </w:rPr>
      </w:pPr>
      <w:r>
        <w:rPr>
          <w:rFonts w:ascii="Arial" w:cs="Arial" w:eastAsia="Arial" w:hAnsi="Arial"/>
          <w:sz w:val="13"/>
          <w:szCs w:val="13"/>
          <w:color w:val="auto"/>
        </w:rPr>
        <w:t>Source: Actuals for HON; CapIQ Act/Est for peers as of 12/31/2025. Reconciliation, notes, and definitions of non-GAAP financial measures used in the Compensation Discussion and Analysis section and elsewhere in this Proxy Statement, other than as part of disclosure of target levels, can be found on page 52 or in Appendix A.</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D7282F"/>
        </w:rPr>
        <w:t>THREE-YEAR PERFORMANCE VS. PEERS</w:t>
      </w:r>
    </w:p>
    <w:p>
      <w:pPr>
        <w:spacing w:after="0" w:line="112"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The MDCC also reviews Honeywell’s performance relative to the Compensation Peer Group over multi-year time periods. The following graphs show the Company’s performance versus the median of the Compensation Peer Group for four key metrics over the three-year period ending in 2025 that the MDCC reviewed.</w:t>
      </w:r>
    </w:p>
    <w:p>
      <w:pPr>
        <w:sectPr>
          <w:pgSz w:w="11900" w:h="16838" w:orient="portrait"/>
          <w:cols w:equalWidth="0" w:num="1">
            <w:col w:w="11240"/>
          </w:cols>
          <w:pgMar w:left="320" w:top="230" w:right="339" w:bottom="1440" w:gutter="0" w:footer="0" w:header="0"/>
        </w:sectPr>
      </w:pPr>
    </w:p>
    <w:p>
      <w:pPr>
        <w:spacing w:after="0" w:line="110"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6D6E71"/>
        </w:rPr>
        <w:t>ADJUSTED SALES</w:t>
      </w:r>
    </w:p>
    <w:p>
      <w:pPr>
        <w:spacing w:after="0" w:line="35"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6D6E71"/>
        </w:rPr>
        <w:t>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121920</wp:posOffset>
            </wp:positionV>
            <wp:extent cx="831215" cy="13798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831215" cy="13798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ind w:right="260"/>
        <w:spacing w:after="0" w:line="314" w:lineRule="auto"/>
        <w:rPr>
          <w:sz w:val="20"/>
          <w:szCs w:val="20"/>
          <w:color w:val="auto"/>
        </w:rPr>
      </w:pPr>
      <w:r>
        <w:rPr>
          <w:rFonts w:ascii="Arial" w:cs="Arial" w:eastAsia="Arial" w:hAnsi="Arial"/>
          <w:sz w:val="16"/>
          <w:szCs w:val="16"/>
          <w:b w:val="1"/>
          <w:bCs w:val="1"/>
          <w:color w:val="6D6E71"/>
        </w:rPr>
        <w:t>ADJ. SEGMENT MARGIN ADJUSTED EPS EXPANSION (bps)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831850" cy="13970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831850" cy="1397000"/>
                    </a:xfrm>
                    <a:prstGeom prst="rect">
                      <a:avLst/>
                    </a:prstGeom>
                    <a:noFill/>
                  </pic:spPr>
                </pic:pic>
              </a:graphicData>
            </a:graphic>
          </wp:anchor>
        </w:drawing>
        <w:drawing>
          <wp:anchor simplePos="0" relativeHeight="251657728" behindDoc="1" locked="0" layoutInCell="0" allowOverlap="1">
            <wp:simplePos x="0" y="0"/>
            <wp:positionH relativeFrom="column">
              <wp:posOffset>1429385</wp:posOffset>
            </wp:positionH>
            <wp:positionV relativeFrom="paragraph">
              <wp:posOffset>71755</wp:posOffset>
            </wp:positionV>
            <wp:extent cx="831850" cy="13970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831850" cy="13970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6D6E71"/>
        </w:rPr>
        <w:t>AVERAGE FREE CASH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6D6E71"/>
        </w:rPr>
        <w:t>FLOW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165100</wp:posOffset>
            </wp:positionV>
            <wp:extent cx="831215" cy="142303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831215" cy="1423035"/>
                    </a:xfrm>
                    <a:prstGeom prst="rect">
                      <a:avLst/>
                    </a:prstGeom>
                    <a:noFill/>
                  </pic:spPr>
                </pic:pic>
              </a:graphicData>
            </a:graphic>
          </wp:anchor>
        </w:drawing>
      </w:r>
    </w:p>
    <w:p>
      <w:pPr>
        <w:spacing w:after="0" w:line="278" w:lineRule="exact"/>
        <w:rPr>
          <w:sz w:val="20"/>
          <w:szCs w:val="20"/>
          <w:color w:val="auto"/>
        </w:rPr>
      </w:pPr>
    </w:p>
    <w:p>
      <w:pPr>
        <w:sectPr>
          <w:pgSz w:w="11900" w:h="16838" w:orient="portrait"/>
          <w:cols w:equalWidth="0" w:num="3">
            <w:col w:w="2680" w:space="720"/>
            <w:col w:w="3760" w:space="720"/>
            <w:col w:w="3360"/>
          </w:cols>
          <w:pgMar w:left="320" w:top="2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hanging="192"/>
        <w:spacing w:after="0"/>
        <w:tabs>
          <w:tab w:leader="none" w:pos="200" w:val="left"/>
        </w:tabs>
        <w:numPr>
          <w:ilvl w:val="0"/>
          <w:numId w:val="138"/>
        </w:numPr>
        <w:rPr>
          <w:rFonts w:ascii="Arial" w:cs="Arial" w:eastAsia="Arial" w:hAnsi="Arial"/>
          <w:sz w:val="13"/>
          <w:szCs w:val="13"/>
          <w:color w:val="auto"/>
        </w:rPr>
      </w:pPr>
      <w:r>
        <w:rPr>
          <w:rFonts w:ascii="Arial" w:cs="Arial" w:eastAsia="Arial" w:hAnsi="Arial"/>
          <w:sz w:val="13"/>
          <w:szCs w:val="13"/>
          <w:color w:val="auto"/>
        </w:rPr>
        <w:t>Excludes the impact of investments related to the Bombardier Agreement announced on December 2, 2024, which resulted in a reduction to average free cash flow margin of 10 basis points.</w:t>
      </w:r>
    </w:p>
    <w:p>
      <w:pPr>
        <w:spacing w:after="0" w:line="121" w:lineRule="exact"/>
        <w:rPr>
          <w:sz w:val="20"/>
          <w:szCs w:val="20"/>
          <w:color w:val="auto"/>
        </w:rPr>
      </w:pPr>
    </w:p>
    <w:p>
      <w:pPr>
        <w:ind w:right="300"/>
        <w:spacing w:after="0" w:line="264" w:lineRule="auto"/>
        <w:rPr>
          <w:sz w:val="20"/>
          <w:szCs w:val="20"/>
          <w:color w:val="auto"/>
        </w:rPr>
      </w:pPr>
      <w:r>
        <w:rPr>
          <w:rFonts w:ascii="Arial" w:cs="Arial" w:eastAsia="Arial" w:hAnsi="Arial"/>
          <w:sz w:val="13"/>
          <w:szCs w:val="13"/>
          <w:color w:val="auto"/>
        </w:rPr>
        <w:t>Source: S&amp;P Capital IQ for peer data. Reconciliation, notes, and definitions of non-GAAP financial measures used in the Compensation Discussion and Analysis section and elsewhere in this Proxy Statement, other than as part of disclosure of target levels, can be found on page 52 or in Appendix A.</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2026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61</w:t>
            </w:r>
          </w:p>
        </w:tc>
      </w:tr>
      <w:tr>
        <w:trPr>
          <w:trHeight w:val="359"/>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-368300</wp:posOffset>
            </wp:positionV>
            <wp:extent cx="548640" cy="10287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3"/>
          <w:szCs w:val="13"/>
          <w:b w:val="1"/>
          <w:bCs w:val="1"/>
          <w:color w:val="6D6E71"/>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D7282F"/>
        </w:rPr>
        <w:t>THREE-YEAR AVERAGE RETURN</w:t>
      </w:r>
    </w:p>
    <w:p>
      <w:pPr>
        <w:spacing w:after="0" w:line="112"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MDCC also carefully considers several different ratios that are important measures of Honeywell’s earnings performance compared to the Compensation Peer Group median. Shareowners have told the Company that they regard ROIC as a particularly important metric because it shows how well management is balancing delivery of short-term results against long-term sustainable growth. Honeywell’s three-year average ROIC was 15.6%, which outperformed the Compensation Peer Group median. The following graphs show the Company’s performance versus the median of the Compensation Peer Group for three key ratios over the three-year period ending in 2025 that the MDCC reviewed.</w:t>
      </w:r>
    </w:p>
    <w:p>
      <w:pPr>
        <w:spacing w:after="0" w:line="118" w:lineRule="exact"/>
        <w:rPr>
          <w:sz w:val="20"/>
          <w:szCs w:val="20"/>
          <w:color w:val="auto"/>
        </w:rPr>
      </w:pPr>
    </w:p>
    <w:p>
      <w:pPr>
        <w:ind w:left="1140"/>
        <w:spacing w:after="0"/>
        <w:tabs>
          <w:tab w:leader="none" w:pos="4260" w:val="left"/>
          <w:tab w:leader="none" w:pos="7260" w:val="left"/>
        </w:tabs>
        <w:rPr>
          <w:sz w:val="20"/>
          <w:szCs w:val="20"/>
          <w:color w:val="auto"/>
        </w:rPr>
      </w:pPr>
      <w:r>
        <w:rPr>
          <w:rFonts w:ascii="Arial" w:cs="Arial" w:eastAsia="Arial" w:hAnsi="Arial"/>
          <w:sz w:val="16"/>
          <w:szCs w:val="16"/>
          <w:b w:val="1"/>
          <w:bCs w:val="1"/>
          <w:color w:val="6D6E71"/>
        </w:rPr>
        <w:t>RETURN ON INVESTED CAPITAL</w:t>
      </w:r>
      <w:r>
        <w:rPr>
          <w:sz w:val="20"/>
          <w:szCs w:val="20"/>
          <w:color w:val="auto"/>
        </w:rPr>
        <w:tab/>
      </w:r>
      <w:r>
        <w:rPr>
          <w:rFonts w:ascii="Arial" w:cs="Arial" w:eastAsia="Arial" w:hAnsi="Arial"/>
          <w:sz w:val="16"/>
          <w:szCs w:val="16"/>
          <w:b w:val="1"/>
          <w:bCs w:val="1"/>
          <w:color w:val="6D6E71"/>
        </w:rPr>
        <w:t>RETURN ON ASSETS</w:t>
      </w:r>
      <w:r>
        <w:rPr>
          <w:sz w:val="20"/>
          <w:szCs w:val="20"/>
          <w:color w:val="auto"/>
        </w:rPr>
        <w:tab/>
      </w:r>
      <w:r>
        <w:rPr>
          <w:rFonts w:ascii="Arial" w:cs="Arial" w:eastAsia="Arial" w:hAnsi="Arial"/>
          <w:sz w:val="16"/>
          <w:szCs w:val="16"/>
          <w:b w:val="1"/>
          <w:bCs w:val="1"/>
          <w:color w:val="6D6E71"/>
        </w:rPr>
        <w:t>RETURN ON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140970</wp:posOffset>
            </wp:positionV>
            <wp:extent cx="728980" cy="119126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8980" cy="1191260"/>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140970</wp:posOffset>
            </wp:positionV>
            <wp:extent cx="728345" cy="119126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8345" cy="119126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140970</wp:posOffset>
            </wp:positionV>
            <wp:extent cx="728980" cy="119126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8980" cy="1191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300"/>
        <w:spacing w:after="0" w:line="264" w:lineRule="auto"/>
        <w:rPr>
          <w:sz w:val="20"/>
          <w:szCs w:val="20"/>
          <w:color w:val="auto"/>
        </w:rPr>
      </w:pPr>
      <w:r>
        <w:rPr>
          <w:rFonts w:ascii="Arial" w:cs="Arial" w:eastAsia="Arial" w:hAnsi="Arial"/>
          <w:sz w:val="13"/>
          <w:szCs w:val="13"/>
          <w:color w:val="auto"/>
        </w:rPr>
        <w:t>Source: S&amp;P Capital IQ for peer data. Reconciliation, notes, and definitions of non-GAAP financial measures used in the Compensation Discussion and Analysis section and elsewhere in this Proxy Statement, other than as part of disclosure of target levels, can be found on page 52 or in Appendix A.</w:t>
      </w:r>
    </w:p>
    <w:p>
      <w:pPr>
        <w:spacing w:after="0" w:line="189"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sz w:val="1"/>
          <w:szCs w:val="1"/>
          <w:color w:val="auto"/>
        </w:rPr>
        <w:drawing>
          <wp:inline distT="0" distB="0" distL="0" distR="0">
            <wp:extent cx="548640" cy="102870"/>
            <wp:effectExtent l="0" t="0" r="0" b="0"/>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2026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3"/>
          <w:szCs w:val="13"/>
          <w:b w:val="1"/>
          <w:bCs w:val="1"/>
          <w:color w:val="6D6E71"/>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2025 COMPENSATION SUMMARY</w:t>
      </w:r>
    </w:p>
    <w:p>
      <w:pPr>
        <w:spacing w:after="0" w:line="127"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The table below summarizes compensation awarded to the NEOs in 2025 as part of our regular annual compensation program. It reflects Honeywell’s commitment to align pay with Company performance and the interests of the Company’s shareowners. Details are more fully discussed later in this Compensation Discussion and Analysis. The table below does not include the one-time equity awards granted to certain of our named executive officers in connection with the spin-offs, which are described in "Transaction Awards"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23430" cy="65405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23430" cy="6540500"/>
                    </a:xfrm>
                    <a:prstGeom prst="rect">
                      <a:avLst/>
                    </a:prstGeom>
                    <a:noFill/>
                  </pic:spPr>
                </pic:pic>
              </a:graphicData>
            </a:graphic>
          </wp:anchor>
        </w:drawing>
      </w:r>
    </w:p>
    <w:p>
      <w:pPr>
        <w:spacing w:after="0" w:line="153" w:lineRule="exact"/>
        <w:rPr>
          <w:sz w:val="20"/>
          <w:szCs w:val="20"/>
          <w:color w:val="auto"/>
        </w:rPr>
      </w:pPr>
    </w:p>
    <w:p>
      <w:pPr>
        <w:ind w:left="2840" w:right="240" w:hanging="2033"/>
        <w:spacing w:after="0" w:line="304" w:lineRule="auto"/>
        <w:tabs>
          <w:tab w:leader="none" w:pos="2820" w:val="left"/>
        </w:tabs>
        <w:rPr>
          <w:sz w:val="20"/>
          <w:szCs w:val="20"/>
          <w:color w:val="auto"/>
        </w:rPr>
      </w:pPr>
      <w:r>
        <w:rPr>
          <w:rFonts w:ascii="Arial" w:cs="Arial" w:eastAsia="Arial" w:hAnsi="Arial"/>
          <w:sz w:val="14"/>
          <w:szCs w:val="14"/>
          <w:b w:val="1"/>
          <w:bCs w:val="1"/>
          <w:color w:val="auto"/>
        </w:rPr>
        <w:t>Base Salary</w:t>
      </w:r>
      <w:r>
        <w:rPr>
          <w:sz w:val="20"/>
          <w:szCs w:val="20"/>
          <w:color w:val="auto"/>
        </w:rPr>
        <w:tab/>
      </w:r>
      <w:r>
        <w:rPr>
          <w:rFonts w:ascii="Arial" w:cs="Arial" w:eastAsia="Arial" w:hAnsi="Arial"/>
          <w:sz w:val="16"/>
          <w:szCs w:val="16"/>
          <w:b w:val="1"/>
          <w:bCs w:val="1"/>
          <w:color w:val="D7282F"/>
        </w:rPr>
        <w:t xml:space="preserve">• </w:t>
      </w:r>
      <w:r>
        <w:rPr>
          <w:rFonts w:ascii="Arial" w:cs="Arial" w:eastAsia="Arial" w:hAnsi="Arial"/>
          <w:sz w:val="16"/>
          <w:szCs w:val="16"/>
          <w:color w:val="000000"/>
        </w:rPr>
        <w:t>Mr. Kapur did not receive a base salary increase in 2025. Other NEOs received an annual base pay adjustment</w:t>
      </w:r>
      <w:r>
        <w:rPr>
          <w:rFonts w:ascii="Arial" w:cs="Arial" w:eastAsia="Arial" w:hAnsi="Arial"/>
          <w:sz w:val="16"/>
          <w:szCs w:val="16"/>
          <w:b w:val="1"/>
          <w:bCs w:val="1"/>
          <w:color w:val="D7282F"/>
        </w:rPr>
        <w:t xml:space="preserve"> </w:t>
      </w:r>
      <w:r>
        <w:rPr>
          <w:rFonts w:ascii="Arial" w:cs="Arial" w:eastAsia="Arial" w:hAnsi="Arial"/>
          <w:sz w:val="16"/>
          <w:szCs w:val="16"/>
          <w:color w:val="000000"/>
        </w:rPr>
        <w:t>as a part of the annual compensation process.</w:t>
      </w:r>
    </w:p>
    <w:p>
      <w:pPr>
        <w:spacing w:after="0" w:line="6" w:lineRule="exact"/>
        <w:rPr>
          <w:sz w:val="20"/>
          <w:szCs w:val="20"/>
          <w:color w:val="auto"/>
        </w:rPr>
      </w:pPr>
    </w:p>
    <w:p>
      <w:pPr>
        <w:ind w:left="3040" w:hanging="193"/>
        <w:spacing w:after="0"/>
        <w:tabs>
          <w:tab w:leader="none" w:pos="3040" w:val="left"/>
        </w:tabs>
        <w:numPr>
          <w:ilvl w:val="0"/>
          <w:numId w:val="139"/>
        </w:numPr>
        <w:rPr>
          <w:rFonts w:ascii="Arial" w:cs="Arial" w:eastAsia="Arial" w:hAnsi="Arial"/>
          <w:sz w:val="16"/>
          <w:szCs w:val="16"/>
          <w:b w:val="1"/>
          <w:bCs w:val="1"/>
          <w:color w:val="D7282F"/>
        </w:rPr>
      </w:pPr>
      <w:r>
        <w:rPr>
          <w:rFonts w:ascii="Arial" w:cs="Arial" w:eastAsia="Arial" w:hAnsi="Arial"/>
          <w:sz w:val="16"/>
          <w:szCs w:val="16"/>
          <w:color w:val="auto"/>
        </w:rPr>
        <w:t>Annual base pay increases to other NEOs ranged from 0%–10% excluding any promotional increases.</w:t>
      </w:r>
    </w:p>
    <w:p>
      <w:pPr>
        <w:sectPr>
          <w:pgSz w:w="11900" w:h="16838" w:orient="portrait"/>
          <w:cols w:equalWidth="0" w:num="1">
            <w:col w:w="11240"/>
          </w:cols>
          <w:pgMar w:left="320" w:top="230" w:right="339" w:bottom="1440" w:gutter="0" w:footer="0" w:header="0"/>
        </w:sectPr>
      </w:pPr>
    </w:p>
    <w:p>
      <w:pPr>
        <w:spacing w:after="0" w:line="361"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Annual Incentive</w:t>
      </w:r>
    </w:p>
    <w:p>
      <w:pPr>
        <w:spacing w:after="0" w:line="29"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Compensation</w:t>
      </w:r>
    </w:p>
    <w:p>
      <w:pPr>
        <w:spacing w:after="0" w:line="1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Plan (ICP)</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ind w:left="193" w:right="320" w:hanging="193"/>
        <w:spacing w:after="0" w:line="275" w:lineRule="auto"/>
        <w:tabs>
          <w:tab w:leader="none" w:pos="190" w:val="left"/>
        </w:tabs>
        <w:numPr>
          <w:ilvl w:val="0"/>
          <w:numId w:val="140"/>
        </w:numPr>
        <w:rPr>
          <w:rFonts w:ascii="Arial" w:cs="Arial" w:eastAsia="Arial" w:hAnsi="Arial"/>
          <w:sz w:val="16"/>
          <w:szCs w:val="16"/>
          <w:b w:val="1"/>
          <w:bCs w:val="1"/>
          <w:color w:val="D7282F"/>
        </w:rPr>
      </w:pPr>
      <w:r>
        <w:rPr>
          <w:rFonts w:ascii="Arial" w:cs="Arial" w:eastAsia="Arial" w:hAnsi="Arial"/>
          <w:sz w:val="16"/>
          <w:szCs w:val="16"/>
          <w:color w:val="auto"/>
        </w:rPr>
        <w:t>Mr. Kapur's ICP target was 175% of base salary for the full calendar year. His earned award paid at 126% of target, reflecting application of the ICP formula and the Board’s assessment of 2025 performance. ICP awards paid to the Other NEOs for 2025 performance ranged from 99% to 126% of target.</w:t>
      </w:r>
    </w:p>
    <w:p>
      <w:pPr>
        <w:spacing w:after="0" w:line="29" w:lineRule="exact"/>
        <w:rPr>
          <w:rFonts w:ascii="Arial" w:cs="Arial" w:eastAsia="Arial" w:hAnsi="Arial"/>
          <w:sz w:val="16"/>
          <w:szCs w:val="16"/>
          <w:b w:val="1"/>
          <w:bCs w:val="1"/>
          <w:color w:val="D7282F"/>
        </w:rPr>
      </w:pPr>
    </w:p>
    <w:p>
      <w:pPr>
        <w:ind w:left="193" w:right="200" w:hanging="193"/>
        <w:spacing w:after="0" w:line="265" w:lineRule="auto"/>
        <w:tabs>
          <w:tab w:leader="none" w:pos="190" w:val="left"/>
        </w:tabs>
        <w:numPr>
          <w:ilvl w:val="0"/>
          <w:numId w:val="140"/>
        </w:numPr>
        <w:rPr>
          <w:rFonts w:ascii="Arial" w:cs="Arial" w:eastAsia="Arial" w:hAnsi="Arial"/>
          <w:sz w:val="16"/>
          <w:szCs w:val="16"/>
          <w:b w:val="1"/>
          <w:bCs w:val="1"/>
          <w:color w:val="D7282F"/>
        </w:rPr>
      </w:pPr>
      <w:r>
        <w:rPr>
          <w:rFonts w:ascii="Arial" w:cs="Arial" w:eastAsia="Arial" w:hAnsi="Arial"/>
          <w:sz w:val="16"/>
          <w:szCs w:val="16"/>
          <w:color w:val="auto"/>
        </w:rPr>
        <w:t>80% of payout based on Company performance against the three pre-established ICP metrics of adjusted EPS, free cash flow, and sales. For the Business Unit NEOs, half of their calculated award is tied to performance metrics of their business unit: AT, BA and IA income contribution, AT, BA, and IA free cash flow, and AT, BA, and IA sales for Mr. Currier, Mr. Hammoud, and Mr. Masso, respectively.</w:t>
      </w:r>
    </w:p>
    <w:p>
      <w:pPr>
        <w:spacing w:after="0" w:line="37" w:lineRule="exact"/>
        <w:rPr>
          <w:rFonts w:ascii="Arial" w:cs="Arial" w:eastAsia="Arial" w:hAnsi="Arial"/>
          <w:sz w:val="16"/>
          <w:szCs w:val="16"/>
          <w:b w:val="1"/>
          <w:bCs w:val="1"/>
          <w:color w:val="D7282F"/>
        </w:rPr>
      </w:pPr>
    </w:p>
    <w:p>
      <w:pPr>
        <w:ind w:left="193" w:right="360" w:hanging="193"/>
        <w:spacing w:after="0" w:line="286" w:lineRule="auto"/>
        <w:tabs>
          <w:tab w:leader="none" w:pos="190" w:val="left"/>
        </w:tabs>
        <w:numPr>
          <w:ilvl w:val="0"/>
          <w:numId w:val="140"/>
        </w:numPr>
        <w:rPr>
          <w:rFonts w:ascii="Arial" w:cs="Arial" w:eastAsia="Arial" w:hAnsi="Arial"/>
          <w:sz w:val="16"/>
          <w:szCs w:val="16"/>
          <w:b w:val="1"/>
          <w:bCs w:val="1"/>
          <w:color w:val="D7282F"/>
        </w:rPr>
      </w:pPr>
      <w:r>
        <w:rPr>
          <w:rFonts w:ascii="Arial" w:cs="Arial" w:eastAsia="Arial" w:hAnsi="Arial"/>
          <w:sz w:val="16"/>
          <w:szCs w:val="16"/>
          <w:color w:val="auto"/>
        </w:rPr>
        <w:t>15% of payouts were determined based on the MDCC’s qualitative assessment of individual performance and accomplishments discussed starting on page 68.</w:t>
      </w:r>
    </w:p>
    <w:p>
      <w:pPr>
        <w:spacing w:after="0" w:line="20" w:lineRule="exact"/>
        <w:rPr>
          <w:rFonts w:ascii="Arial" w:cs="Arial" w:eastAsia="Arial" w:hAnsi="Arial"/>
          <w:sz w:val="16"/>
          <w:szCs w:val="16"/>
          <w:b w:val="1"/>
          <w:bCs w:val="1"/>
          <w:color w:val="D7282F"/>
        </w:rPr>
      </w:pPr>
    </w:p>
    <w:p>
      <w:pPr>
        <w:ind w:left="193" w:right="820" w:hanging="193"/>
        <w:spacing w:after="0" w:line="286" w:lineRule="auto"/>
        <w:tabs>
          <w:tab w:leader="none" w:pos="190" w:val="left"/>
        </w:tabs>
        <w:numPr>
          <w:ilvl w:val="0"/>
          <w:numId w:val="140"/>
        </w:numPr>
        <w:rPr>
          <w:rFonts w:ascii="Arial" w:cs="Arial" w:eastAsia="Arial" w:hAnsi="Arial"/>
          <w:sz w:val="16"/>
          <w:szCs w:val="16"/>
          <w:b w:val="1"/>
          <w:bCs w:val="1"/>
          <w:color w:val="D7282F"/>
        </w:rPr>
      </w:pPr>
      <w:r>
        <w:rPr>
          <w:rFonts w:ascii="Arial" w:cs="Arial" w:eastAsia="Arial" w:hAnsi="Arial"/>
          <w:sz w:val="16"/>
          <w:szCs w:val="16"/>
          <w:color w:val="auto"/>
        </w:rPr>
        <w:t>5% of payouts were determined based on Corporate Responsibility KPIs that include specific corporate responsibility goals, as discussed on page 73.</w:t>
      </w:r>
    </w:p>
    <w:p>
      <w:pPr>
        <w:spacing w:after="0" w:line="200" w:lineRule="exact"/>
        <w:rPr>
          <w:sz w:val="20"/>
          <w:szCs w:val="20"/>
          <w:color w:val="auto"/>
        </w:rPr>
      </w:pPr>
    </w:p>
    <w:p>
      <w:pPr>
        <w:sectPr>
          <w:pgSz w:w="11900" w:h="16838" w:orient="portrait"/>
          <w:cols w:equalWidth="0" w:num="2">
            <w:col w:w="2160" w:space="687"/>
            <w:col w:w="8393"/>
          </w:cols>
          <w:pgMar w:left="320" w:top="2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Performance</w:t>
      </w:r>
    </w:p>
    <w:p>
      <w:pPr>
        <w:spacing w:after="0" w:line="29"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Stock Units</w:t>
      </w:r>
    </w:p>
    <w:p>
      <w:pPr>
        <w:spacing w:after="0" w:line="1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(PSUs)</w:t>
      </w:r>
    </w:p>
    <w:p>
      <w:pPr>
        <w:spacing w:after="0" w:line="1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(2025–2027)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93" w:hanging="193"/>
        <w:spacing w:after="0"/>
        <w:tabs>
          <w:tab w:leader="none" w:pos="193" w:val="left"/>
        </w:tabs>
        <w:numPr>
          <w:ilvl w:val="0"/>
          <w:numId w:val="141"/>
        </w:numPr>
        <w:rPr>
          <w:rFonts w:ascii="Arial" w:cs="Arial" w:eastAsia="Arial" w:hAnsi="Arial"/>
          <w:sz w:val="16"/>
          <w:szCs w:val="16"/>
          <w:b w:val="1"/>
          <w:bCs w:val="1"/>
          <w:color w:val="D7282F"/>
        </w:rPr>
      </w:pPr>
      <w:r>
        <w:rPr>
          <w:rFonts w:ascii="Arial" w:cs="Arial" w:eastAsia="Arial" w:hAnsi="Arial"/>
          <w:sz w:val="16"/>
          <w:szCs w:val="16"/>
          <w:color w:val="auto"/>
        </w:rPr>
        <w:t>Represented 50% of annual LTI.</w:t>
      </w:r>
    </w:p>
    <w:p>
      <w:pPr>
        <w:spacing w:after="0" w:line="86" w:lineRule="exact"/>
        <w:rPr>
          <w:rFonts w:ascii="Arial" w:cs="Arial" w:eastAsia="Arial" w:hAnsi="Arial"/>
          <w:sz w:val="16"/>
          <w:szCs w:val="16"/>
          <w:b w:val="1"/>
          <w:bCs w:val="1"/>
          <w:color w:val="D7282F"/>
        </w:rPr>
      </w:pPr>
    </w:p>
    <w:p>
      <w:pPr>
        <w:ind w:left="193" w:right="80" w:hanging="193"/>
        <w:spacing w:after="0" w:line="265" w:lineRule="auto"/>
        <w:tabs>
          <w:tab w:leader="none" w:pos="190" w:val="left"/>
        </w:tabs>
        <w:numPr>
          <w:ilvl w:val="0"/>
          <w:numId w:val="141"/>
        </w:numPr>
        <w:rPr>
          <w:rFonts w:ascii="Arial" w:cs="Arial" w:eastAsia="Arial" w:hAnsi="Arial"/>
          <w:sz w:val="16"/>
          <w:szCs w:val="16"/>
          <w:b w:val="1"/>
          <w:bCs w:val="1"/>
          <w:color w:val="D7282F"/>
        </w:rPr>
      </w:pPr>
      <w:r>
        <w:rPr>
          <w:rFonts w:ascii="Arial" w:cs="Arial" w:eastAsia="Arial" w:hAnsi="Arial"/>
          <w:sz w:val="16"/>
          <w:szCs w:val="16"/>
          <w:color w:val="auto"/>
        </w:rPr>
        <w:t>When granted on February 19, 2025, PSU awards included a three year performance period based on four equally weighted metrics: three-year total shareowner return (TSR) relative to the 2025 Compensation Peer Group, and cumulative revenue, average return on investment (ROI), and average segment margin rate. As a result of the upcoming Honeywell Aerospace Spin-off, performance will now be measured over a period ending at the spin-off of Honeywell Aerospace (as described above under the heading "2026 Incentive Plan Design").</w:t>
      </w:r>
    </w:p>
    <w:p>
      <w:pPr>
        <w:spacing w:after="0" w:line="200" w:lineRule="exact"/>
        <w:rPr>
          <w:sz w:val="20"/>
          <w:szCs w:val="20"/>
          <w:color w:val="auto"/>
        </w:rPr>
      </w:pPr>
    </w:p>
    <w:p>
      <w:pPr>
        <w:sectPr>
          <w:pgSz w:w="11900" w:h="16838" w:orient="portrait"/>
          <w:cols w:equalWidth="0" w:num="2">
            <w:col w:w="2127" w:space="720"/>
            <w:col w:w="8393"/>
          </w:cols>
          <w:pgMar w:left="320" w:top="230" w:right="339" w:bottom="1440" w:gutter="0" w:footer="0" w:header="0"/>
          <w:type w:val="continuous"/>
        </w:sectPr>
      </w:pPr>
    </w:p>
    <w:p>
      <w:pPr>
        <w:spacing w:after="0" w:line="200" w:lineRule="exact"/>
        <w:rPr>
          <w:sz w:val="20"/>
          <w:szCs w:val="20"/>
          <w:color w:val="auto"/>
        </w:rPr>
      </w:pPr>
    </w:p>
    <w:p>
      <w:pPr>
        <w:spacing w:after="0" w:line="353" w:lineRule="exact"/>
        <w:rPr>
          <w:sz w:val="20"/>
          <w:szCs w:val="20"/>
          <w:color w:val="auto"/>
        </w:rPr>
      </w:pPr>
    </w:p>
    <w:p>
      <w:pPr>
        <w:ind w:left="1000"/>
        <w:spacing w:after="0"/>
        <w:tabs>
          <w:tab w:leader="none" w:pos="2820" w:val="left"/>
        </w:tabs>
        <w:rPr>
          <w:sz w:val="20"/>
          <w:szCs w:val="20"/>
          <w:color w:val="auto"/>
        </w:rPr>
      </w:pPr>
      <w:r>
        <w:rPr>
          <w:rFonts w:ascii="Arial" w:cs="Arial" w:eastAsia="Arial" w:hAnsi="Arial"/>
          <w:sz w:val="14"/>
          <w:szCs w:val="14"/>
          <w:b w:val="1"/>
          <w:bCs w:val="1"/>
          <w:color w:val="auto"/>
        </w:rPr>
        <w:t>Stock Options</w:t>
      </w:r>
      <w:r>
        <w:rPr>
          <w:sz w:val="20"/>
          <w:szCs w:val="20"/>
          <w:color w:val="auto"/>
        </w:rPr>
        <w:tab/>
      </w:r>
      <w:r>
        <w:rPr>
          <w:rFonts w:ascii="Arial" w:cs="Arial" w:eastAsia="Arial" w:hAnsi="Arial"/>
          <w:sz w:val="16"/>
          <w:szCs w:val="16"/>
          <w:b w:val="1"/>
          <w:bCs w:val="1"/>
          <w:color w:val="D7282F"/>
        </w:rPr>
        <w:t xml:space="preserve">•  </w:t>
      </w:r>
      <w:r>
        <w:rPr>
          <w:rFonts w:ascii="Arial" w:cs="Arial" w:eastAsia="Arial" w:hAnsi="Arial"/>
          <w:sz w:val="16"/>
          <w:szCs w:val="16"/>
          <w:color w:val="000000"/>
        </w:rPr>
        <w:t>Represented 25% of annual LTI.</w:t>
      </w:r>
    </w:p>
    <w:p>
      <w:pPr>
        <w:spacing w:after="0" w:line="86" w:lineRule="exact"/>
        <w:rPr>
          <w:sz w:val="20"/>
          <w:szCs w:val="20"/>
          <w:color w:val="auto"/>
        </w:rPr>
      </w:pPr>
    </w:p>
    <w:p>
      <w:pPr>
        <w:ind w:left="3040" w:hanging="193"/>
        <w:spacing w:after="0"/>
        <w:tabs>
          <w:tab w:leader="none" w:pos="3040" w:val="left"/>
        </w:tabs>
        <w:numPr>
          <w:ilvl w:val="0"/>
          <w:numId w:val="142"/>
        </w:numPr>
        <w:rPr>
          <w:rFonts w:ascii="Arial" w:cs="Arial" w:eastAsia="Arial" w:hAnsi="Arial"/>
          <w:sz w:val="16"/>
          <w:szCs w:val="16"/>
          <w:b w:val="1"/>
          <w:bCs w:val="1"/>
          <w:color w:val="D7282F"/>
        </w:rPr>
      </w:pPr>
      <w:r>
        <w:rPr>
          <w:rFonts w:ascii="Arial" w:cs="Arial" w:eastAsia="Arial" w:hAnsi="Arial"/>
          <w:sz w:val="16"/>
          <w:szCs w:val="16"/>
          <w:color w:val="auto"/>
        </w:rPr>
        <w:t>Stock options issued to the NEOs in 2025 vest over four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1000" w:type="dxa"/>
        <w:tblCellMar>
          <w:top w:w="0" w:type="dxa"/>
          <w:left w:w="0" w:type="dxa"/>
          <w:bottom w:w="0" w:type="dxa"/>
          <w:right w:w="0" w:type="dxa"/>
        </w:tblCellMar>
      </w:tblPr>
      <w:tr>
        <w:trPr>
          <w:trHeight w:val="184"/>
        </w:trPr>
        <w:tc>
          <w:tcPr>
            <w:tcW w:w="1500" w:type="dxa"/>
            <w:vAlign w:val="bottom"/>
          </w:tcPr>
          <w:p>
            <w:pPr>
              <w:spacing w:after="0"/>
              <w:rPr>
                <w:sz w:val="20"/>
                <w:szCs w:val="20"/>
                <w:color w:val="auto"/>
              </w:rPr>
            </w:pPr>
            <w:r>
              <w:rPr>
                <w:rFonts w:ascii="Arial" w:cs="Arial" w:eastAsia="Arial" w:hAnsi="Arial"/>
                <w:sz w:val="14"/>
                <w:szCs w:val="14"/>
                <w:b w:val="1"/>
                <w:bCs w:val="1"/>
                <w:color w:val="auto"/>
              </w:rPr>
              <w:t>Restricted Stock</w:t>
            </w:r>
          </w:p>
        </w:tc>
        <w:tc>
          <w:tcPr>
            <w:tcW w:w="480" w:type="dxa"/>
            <w:vAlign w:val="bottom"/>
          </w:tcPr>
          <w:p>
            <w:pPr>
              <w:ind w:left="340"/>
              <w:spacing w:after="0"/>
              <w:rPr>
                <w:sz w:val="20"/>
                <w:szCs w:val="20"/>
                <w:color w:val="auto"/>
              </w:rPr>
            </w:pPr>
            <w:r>
              <w:rPr>
                <w:rFonts w:ascii="Arial" w:cs="Arial" w:eastAsia="Arial" w:hAnsi="Arial"/>
                <w:sz w:val="16"/>
                <w:szCs w:val="16"/>
                <w:b w:val="1"/>
                <w:bCs w:val="1"/>
                <w:color w:val="D7282F"/>
              </w:rPr>
              <w:t>•</w:t>
            </w:r>
          </w:p>
        </w:tc>
        <w:tc>
          <w:tcPr>
            <w:tcW w:w="4020" w:type="dxa"/>
            <w:vAlign w:val="bottom"/>
          </w:tcPr>
          <w:p>
            <w:pPr>
              <w:ind w:left="60"/>
              <w:spacing w:after="0"/>
              <w:rPr>
                <w:sz w:val="20"/>
                <w:szCs w:val="20"/>
                <w:color w:val="auto"/>
              </w:rPr>
            </w:pPr>
            <w:r>
              <w:rPr>
                <w:rFonts w:ascii="Arial" w:cs="Arial" w:eastAsia="Arial" w:hAnsi="Arial"/>
                <w:sz w:val="16"/>
                <w:szCs w:val="16"/>
                <w:color w:val="auto"/>
              </w:rPr>
              <w:t>Represented 25% of annual LTI.</w:t>
            </w:r>
          </w:p>
        </w:tc>
        <w:tc>
          <w:tcPr>
            <w:tcW w:w="0" w:type="dxa"/>
            <w:vAlign w:val="bottom"/>
          </w:tcPr>
          <w:p>
            <w:pPr>
              <w:spacing w:after="0"/>
              <w:rPr>
                <w:sz w:val="1"/>
                <w:szCs w:val="1"/>
                <w:color w:val="auto"/>
              </w:rPr>
            </w:pPr>
          </w:p>
        </w:tc>
      </w:tr>
      <w:tr>
        <w:trPr>
          <w:trHeight w:val="196"/>
        </w:trPr>
        <w:tc>
          <w:tcPr>
            <w:tcW w:w="1500" w:type="dxa"/>
            <w:vAlign w:val="bottom"/>
          </w:tcPr>
          <w:p>
            <w:pPr>
              <w:spacing w:after="0"/>
              <w:rPr>
                <w:sz w:val="20"/>
                <w:szCs w:val="20"/>
                <w:color w:val="auto"/>
              </w:rPr>
            </w:pPr>
            <w:r>
              <w:rPr>
                <w:rFonts w:ascii="Arial" w:cs="Arial" w:eastAsia="Arial" w:hAnsi="Arial"/>
                <w:sz w:val="14"/>
                <w:szCs w:val="14"/>
                <w:b w:val="1"/>
                <w:bCs w:val="1"/>
                <w:color w:val="auto"/>
              </w:rPr>
              <w:t>Units (RSUs)</w:t>
            </w:r>
          </w:p>
        </w:tc>
        <w:tc>
          <w:tcPr>
            <w:tcW w:w="480" w:type="dxa"/>
            <w:vAlign w:val="bottom"/>
            <w:vMerge w:val="restart"/>
          </w:tcPr>
          <w:p>
            <w:pPr>
              <w:ind w:left="340"/>
              <w:spacing w:after="0"/>
              <w:rPr>
                <w:sz w:val="20"/>
                <w:szCs w:val="20"/>
                <w:color w:val="auto"/>
              </w:rPr>
            </w:pPr>
            <w:r>
              <w:rPr>
                <w:rFonts w:ascii="Arial" w:cs="Arial" w:eastAsia="Arial" w:hAnsi="Arial"/>
                <w:sz w:val="16"/>
                <w:szCs w:val="16"/>
                <w:b w:val="1"/>
                <w:bCs w:val="1"/>
                <w:color w:val="D7282F"/>
              </w:rPr>
              <w:t>•</w:t>
            </w:r>
          </w:p>
        </w:tc>
        <w:tc>
          <w:tcPr>
            <w:tcW w:w="4020" w:type="dxa"/>
            <w:vAlign w:val="bottom"/>
            <w:vMerge w:val="restart"/>
          </w:tcPr>
          <w:p>
            <w:pPr>
              <w:ind w:left="60"/>
              <w:spacing w:after="0"/>
              <w:rPr>
                <w:sz w:val="20"/>
                <w:szCs w:val="20"/>
                <w:color w:val="auto"/>
              </w:rPr>
            </w:pPr>
            <w:r>
              <w:rPr>
                <w:rFonts w:ascii="Arial" w:cs="Arial" w:eastAsia="Arial" w:hAnsi="Arial"/>
                <w:sz w:val="16"/>
                <w:szCs w:val="16"/>
                <w:color w:val="auto"/>
              </w:rPr>
              <w:t>RSUs issued to the NEOs in 2025 vest over four years.</w:t>
            </w:r>
          </w:p>
        </w:tc>
        <w:tc>
          <w:tcPr>
            <w:tcW w:w="0" w:type="dxa"/>
            <w:vAlign w:val="bottom"/>
          </w:tcPr>
          <w:p>
            <w:pPr>
              <w:spacing w:after="0"/>
              <w:rPr>
                <w:sz w:val="1"/>
                <w:szCs w:val="1"/>
                <w:color w:val="auto"/>
              </w:rPr>
            </w:pPr>
          </w:p>
        </w:tc>
      </w:tr>
      <w:tr>
        <w:trPr>
          <w:trHeight w:val="116"/>
        </w:trPr>
        <w:tc>
          <w:tcPr>
            <w:tcW w:w="150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4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2026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63</w:t>
            </w:r>
          </w:p>
        </w:tc>
      </w:tr>
      <w:tr>
        <w:trPr>
          <w:trHeight w:val="373"/>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68" w:name="page69"/>
    <w:bookmarkEnd w:id="68"/>
    <w:p>
      <w:pPr>
        <w:spacing w:after="0" w:line="138" w:lineRule="exact"/>
        <w:rPr>
          <w:sz w:val="20"/>
          <w:szCs w:val="20"/>
          <w:color w:val="auto"/>
        </w:rPr>
      </w:pPr>
    </w:p>
    <w:p>
      <w:pPr>
        <w:spacing w:after="0"/>
        <w:rPr>
          <w:sz w:val="20"/>
          <w:szCs w:val="20"/>
          <w:color w:val="auto"/>
        </w:rPr>
      </w:pPr>
      <w:r>
        <w:rPr>
          <w:rFonts w:ascii="Arial" w:cs="Arial" w:eastAsia="Arial" w:hAnsi="Arial"/>
          <w:sz w:val="13"/>
          <w:szCs w:val="13"/>
          <w:b w:val="1"/>
          <w:bCs w:val="1"/>
          <w:color w:val="6D6E71"/>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tables below reflect the 2025 values for each element of total compensation described above. The first represents 2025 total target annual compensation for each NEO, while the second represents total actual annual direct compensation, both of which are key measures of executive pay that the MDCC regularly considers as part of its annual decision-making process. These tables do not replace the Summary Compensation Table shown on page 86, as required by the SEC, but are intended to show 2025 compensation from the perspective of the MDCC. The tables below does not include the one-time equity awards granted to certain of our named executive officers in connection with the spin-offs, which are described in "Transaction Awards" below.</w:t>
      </w:r>
    </w:p>
    <w:p>
      <w:pPr>
        <w:spacing w:after="0" w:line="19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2025 TOTAL TARGET ANNUAL DIRECT COMPENSATION</w:t>
      </w:r>
      <w:r>
        <w:rPr>
          <w:rFonts w:ascii="Arial" w:cs="Arial" w:eastAsia="Arial" w:hAnsi="Arial"/>
          <w:sz w:val="32"/>
          <w:szCs w:val="32"/>
          <w:b w:val="1"/>
          <w:bCs w:val="1"/>
          <w:color w:val="auto"/>
          <w:vertAlign w:val="superscript"/>
        </w:rPr>
        <w:t>(1)</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58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720" w:type="dxa"/>
            <w:vAlign w:val="bottom"/>
          </w:tcPr>
          <w:p>
            <w:pPr>
              <w:jc w:val="right"/>
              <w:ind w:right="48"/>
              <w:spacing w:after="0"/>
              <w:rPr>
                <w:sz w:val="20"/>
                <w:szCs w:val="20"/>
                <w:color w:val="auto"/>
              </w:rPr>
            </w:pPr>
            <w:r>
              <w:rPr>
                <w:rFonts w:ascii="Arial" w:cs="Arial" w:eastAsia="Arial" w:hAnsi="Arial"/>
                <w:sz w:val="14"/>
                <w:szCs w:val="14"/>
                <w:b w:val="1"/>
                <w:bCs w:val="1"/>
                <w:color w:val="auto"/>
              </w:rPr>
              <w:t>Base</w:t>
            </w:r>
          </w:p>
        </w:tc>
        <w:tc>
          <w:tcPr>
            <w:tcW w:w="1360" w:type="dxa"/>
            <w:vAlign w:val="bottom"/>
          </w:tcPr>
          <w:p>
            <w:pPr>
              <w:jc w:val="right"/>
              <w:ind w:right="168"/>
              <w:spacing w:after="0"/>
              <w:rPr>
                <w:sz w:val="20"/>
                <w:szCs w:val="20"/>
                <w:color w:val="auto"/>
              </w:rPr>
            </w:pPr>
            <w:r>
              <w:rPr>
                <w:rFonts w:ascii="Arial" w:cs="Arial" w:eastAsia="Arial" w:hAnsi="Arial"/>
                <w:sz w:val="14"/>
                <w:szCs w:val="14"/>
                <w:b w:val="1"/>
                <w:bCs w:val="1"/>
                <w:color w:val="auto"/>
              </w:rPr>
              <w:t>Target $</w:t>
            </w: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Target %</w:t>
            </w:r>
          </w:p>
        </w:tc>
        <w:tc>
          <w:tcPr>
            <w:tcW w:w="320" w:type="dxa"/>
            <w:vAlign w:val="bottom"/>
          </w:tcPr>
          <w:p>
            <w:pPr>
              <w:spacing w:after="0"/>
              <w:rPr>
                <w:sz w:val="15"/>
                <w:szCs w:val="15"/>
                <w:color w:val="auto"/>
              </w:rPr>
            </w:pPr>
          </w:p>
        </w:tc>
        <w:tc>
          <w:tcPr>
            <w:tcW w:w="1140" w:type="dxa"/>
            <w:vAlign w:val="bottom"/>
          </w:tcPr>
          <w:p>
            <w:pPr>
              <w:jc w:val="right"/>
              <w:ind w:right="148"/>
              <w:spacing w:after="0"/>
              <w:rPr>
                <w:sz w:val="20"/>
                <w:szCs w:val="20"/>
                <w:color w:val="auto"/>
              </w:rPr>
            </w:pPr>
            <w:r>
              <w:rPr>
                <w:rFonts w:ascii="Arial" w:cs="Arial" w:eastAsia="Arial" w:hAnsi="Arial"/>
                <w:sz w:val="14"/>
                <w:szCs w:val="14"/>
                <w:b w:val="1"/>
                <w:bCs w:val="1"/>
                <w:color w:val="auto"/>
              </w:rPr>
              <w:t>Long-Term</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Target Total</w:t>
            </w:r>
          </w:p>
        </w:tc>
        <w:tc>
          <w:tcPr>
            <w:tcW w:w="0" w:type="dxa"/>
            <w:vAlign w:val="bottom"/>
          </w:tcPr>
          <w:p>
            <w:pPr>
              <w:spacing w:after="0"/>
              <w:rPr>
                <w:sz w:val="1"/>
                <w:szCs w:val="1"/>
                <w:color w:val="auto"/>
              </w:rPr>
            </w:pPr>
          </w:p>
        </w:tc>
      </w:tr>
      <w:tr>
        <w:trPr>
          <w:trHeight w:val="214"/>
        </w:trPr>
        <w:tc>
          <w:tcPr>
            <w:tcW w:w="15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Name</w:t>
            </w:r>
          </w:p>
        </w:tc>
        <w:tc>
          <w:tcPr>
            <w:tcW w:w="2800" w:type="dxa"/>
            <w:vAlign w:val="bottom"/>
            <w:tcBorders>
              <w:bottom w:val="single" w:sz="8" w:color="D7282F"/>
            </w:tcBorders>
          </w:tcPr>
          <w:p>
            <w:pPr>
              <w:ind w:left="460"/>
              <w:spacing w:after="0"/>
              <w:rPr>
                <w:sz w:val="20"/>
                <w:szCs w:val="20"/>
                <w:color w:val="auto"/>
              </w:rPr>
            </w:pPr>
            <w:r>
              <w:rPr>
                <w:rFonts w:ascii="Arial" w:cs="Arial" w:eastAsia="Arial" w:hAnsi="Arial"/>
                <w:sz w:val="14"/>
                <w:szCs w:val="14"/>
                <w:b w:val="1"/>
                <w:bCs w:val="1"/>
                <w:color w:val="auto"/>
              </w:rPr>
              <w:t>Title</w:t>
            </w:r>
          </w:p>
        </w:tc>
        <w:tc>
          <w:tcPr>
            <w:tcW w:w="172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Salary</w:t>
            </w:r>
            <w:r>
              <w:rPr>
                <w:rFonts w:ascii="Arial" w:cs="Arial" w:eastAsia="Arial" w:hAnsi="Arial"/>
                <w:sz w:val="18"/>
                <w:szCs w:val="18"/>
                <w:b w:val="1"/>
                <w:bCs w:val="1"/>
                <w:color w:val="auto"/>
                <w:vertAlign w:val="superscript"/>
              </w:rPr>
              <w:t>(2)</w:t>
            </w:r>
          </w:p>
        </w:tc>
        <w:tc>
          <w:tcPr>
            <w:tcW w:w="136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ICP</w:t>
            </w:r>
          </w:p>
        </w:tc>
        <w:tc>
          <w:tcPr>
            <w:tcW w:w="96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ICP</w:t>
            </w:r>
          </w:p>
        </w:tc>
        <w:tc>
          <w:tcPr>
            <w:tcW w:w="320" w:type="dxa"/>
            <w:vAlign w:val="bottom"/>
            <w:tcBorders>
              <w:bottom w:val="single" w:sz="8" w:color="D7282F"/>
            </w:tcBorders>
          </w:tcPr>
          <w:p>
            <w:pPr>
              <w:spacing w:after="0"/>
              <w:rPr>
                <w:sz w:val="18"/>
                <w:szCs w:val="18"/>
                <w:color w:val="auto"/>
              </w:rPr>
            </w:pPr>
          </w:p>
        </w:tc>
        <w:tc>
          <w:tcPr>
            <w:tcW w:w="114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Incentives</w:t>
            </w:r>
            <w:r>
              <w:rPr>
                <w:rFonts w:ascii="Arial" w:cs="Arial" w:eastAsia="Arial" w:hAnsi="Arial"/>
                <w:sz w:val="18"/>
                <w:szCs w:val="18"/>
                <w:b w:val="1"/>
                <w:bCs w:val="1"/>
                <w:color w:val="auto"/>
                <w:vertAlign w:val="superscript"/>
              </w:rPr>
              <w:t>(3)</w:t>
            </w:r>
          </w:p>
        </w:tc>
        <w:tc>
          <w:tcPr>
            <w:tcW w:w="1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202"/>
        </w:trPr>
        <w:tc>
          <w:tcPr>
            <w:tcW w:w="1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Vimal Kapur</w:t>
            </w:r>
          </w:p>
        </w:tc>
        <w:tc>
          <w:tcPr>
            <w:tcW w:w="2800" w:type="dxa"/>
            <w:vAlign w:val="bottom"/>
          </w:tcPr>
          <w:p>
            <w:pPr>
              <w:ind w:left="460"/>
              <w:spacing w:after="0"/>
              <w:rPr>
                <w:sz w:val="20"/>
                <w:szCs w:val="20"/>
                <w:color w:val="auto"/>
              </w:rPr>
            </w:pPr>
            <w:r>
              <w:rPr>
                <w:rFonts w:ascii="Arial" w:cs="Arial" w:eastAsia="Arial" w:hAnsi="Arial"/>
                <w:sz w:val="14"/>
                <w:szCs w:val="14"/>
                <w:color w:val="auto"/>
              </w:rPr>
              <w:t>Chairman and CEO</w:t>
            </w:r>
          </w:p>
        </w:tc>
        <w:tc>
          <w:tcPr>
            <w:tcW w:w="1720" w:type="dxa"/>
            <w:vAlign w:val="bottom"/>
          </w:tcPr>
          <w:p>
            <w:pPr>
              <w:jc w:val="right"/>
              <w:ind w:right="108"/>
              <w:spacing w:after="0"/>
              <w:rPr>
                <w:sz w:val="20"/>
                <w:szCs w:val="20"/>
                <w:color w:val="auto"/>
              </w:rPr>
            </w:pPr>
            <w:r>
              <w:rPr>
                <w:rFonts w:ascii="Arial" w:cs="Arial" w:eastAsia="Arial" w:hAnsi="Arial"/>
                <w:sz w:val="14"/>
                <w:szCs w:val="14"/>
                <w:color w:val="auto"/>
              </w:rPr>
              <w:t>$   1,600,000</w:t>
            </w:r>
          </w:p>
        </w:tc>
        <w:tc>
          <w:tcPr>
            <w:tcW w:w="1360" w:type="dxa"/>
            <w:vAlign w:val="bottom"/>
          </w:tcPr>
          <w:p>
            <w:pPr>
              <w:jc w:val="right"/>
              <w:ind w:right="228"/>
              <w:spacing w:after="0"/>
              <w:rPr>
                <w:sz w:val="20"/>
                <w:szCs w:val="20"/>
                <w:color w:val="auto"/>
              </w:rPr>
            </w:pPr>
            <w:r>
              <w:rPr>
                <w:rFonts w:ascii="Arial" w:cs="Arial" w:eastAsia="Arial" w:hAnsi="Arial"/>
                <w:sz w:val="14"/>
                <w:szCs w:val="14"/>
                <w:color w:val="auto"/>
              </w:rPr>
              <w:t>$   2,800,000</w:t>
            </w: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175%</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14,500,000</w:t>
            </w:r>
          </w:p>
        </w:tc>
        <w:tc>
          <w:tcPr>
            <w:tcW w:w="1340" w:type="dxa"/>
            <w:vAlign w:val="bottom"/>
          </w:tcPr>
          <w:p>
            <w:pPr>
              <w:jc w:val="right"/>
              <w:spacing w:after="0"/>
              <w:rPr>
                <w:sz w:val="20"/>
                <w:szCs w:val="20"/>
                <w:color w:val="auto"/>
              </w:rPr>
            </w:pPr>
            <w:r>
              <w:rPr>
                <w:rFonts w:ascii="Arial" w:cs="Arial" w:eastAsia="Arial" w:hAnsi="Arial"/>
                <w:sz w:val="14"/>
                <w:szCs w:val="14"/>
                <w:color w:val="auto"/>
              </w:rPr>
              <w:t>$    18,900,000</w:t>
            </w:r>
          </w:p>
        </w:tc>
        <w:tc>
          <w:tcPr>
            <w:tcW w:w="0" w:type="dxa"/>
            <w:vAlign w:val="bottom"/>
          </w:tcPr>
          <w:p>
            <w:pPr>
              <w:spacing w:after="0"/>
              <w:rPr>
                <w:sz w:val="1"/>
                <w:szCs w:val="1"/>
                <w:color w:val="auto"/>
              </w:rPr>
            </w:pPr>
          </w:p>
        </w:tc>
      </w:tr>
      <w:tr>
        <w:trPr>
          <w:trHeight w:val="114"/>
        </w:trPr>
        <w:tc>
          <w:tcPr>
            <w:tcW w:w="1580" w:type="dxa"/>
            <w:vAlign w:val="bottom"/>
            <w:vMerge w:val="continue"/>
          </w:tcPr>
          <w:p>
            <w:pPr>
              <w:spacing w:after="0"/>
              <w:rPr>
                <w:sz w:val="9"/>
                <w:szCs w:val="9"/>
                <w:color w:val="auto"/>
              </w:rPr>
            </w:pPr>
          </w:p>
        </w:tc>
        <w:tc>
          <w:tcPr>
            <w:tcW w:w="28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580" w:type="dxa"/>
            <w:vAlign w:val="bottom"/>
            <w:tcBorders>
              <w:bottom w:val="single" w:sz="8" w:color="939598"/>
            </w:tcBorders>
          </w:tcPr>
          <w:p>
            <w:pPr>
              <w:spacing w:after="0"/>
              <w:rPr>
                <w:sz w:val="10"/>
                <w:szCs w:val="10"/>
                <w:color w:val="auto"/>
              </w:rPr>
            </w:pPr>
          </w:p>
        </w:tc>
        <w:tc>
          <w:tcPr>
            <w:tcW w:w="2800" w:type="dxa"/>
            <w:vAlign w:val="bottom"/>
            <w:tcBorders>
              <w:bottom w:val="single" w:sz="8" w:color="939598"/>
            </w:tcBorders>
          </w:tcPr>
          <w:p>
            <w:pPr>
              <w:spacing w:after="0"/>
              <w:rPr>
                <w:sz w:val="10"/>
                <w:szCs w:val="10"/>
                <w:color w:val="auto"/>
              </w:rPr>
            </w:pPr>
          </w:p>
        </w:tc>
        <w:tc>
          <w:tcPr>
            <w:tcW w:w="1720" w:type="dxa"/>
            <w:vAlign w:val="bottom"/>
            <w:tcBorders>
              <w:bottom w:val="single" w:sz="8" w:color="939598"/>
            </w:tcBorders>
          </w:tcPr>
          <w:p>
            <w:pPr>
              <w:spacing w:after="0"/>
              <w:rPr>
                <w:sz w:val="10"/>
                <w:szCs w:val="10"/>
                <w:color w:val="auto"/>
              </w:rPr>
            </w:pPr>
          </w:p>
        </w:tc>
        <w:tc>
          <w:tcPr>
            <w:tcW w:w="1360" w:type="dxa"/>
            <w:vAlign w:val="bottom"/>
            <w:tcBorders>
              <w:bottom w:val="single" w:sz="8" w:color="939598"/>
            </w:tcBorders>
          </w:tcPr>
          <w:p>
            <w:pPr>
              <w:spacing w:after="0"/>
              <w:rPr>
                <w:sz w:val="10"/>
                <w:szCs w:val="10"/>
                <w:color w:val="auto"/>
              </w:rPr>
            </w:pPr>
          </w:p>
        </w:tc>
        <w:tc>
          <w:tcPr>
            <w:tcW w:w="960" w:type="dxa"/>
            <w:vAlign w:val="bottom"/>
            <w:tcBorders>
              <w:bottom w:val="single" w:sz="8" w:color="939598"/>
            </w:tcBorders>
          </w:tcPr>
          <w:p>
            <w:pPr>
              <w:spacing w:after="0"/>
              <w:rPr>
                <w:sz w:val="10"/>
                <w:szCs w:val="10"/>
                <w:color w:val="auto"/>
              </w:rPr>
            </w:pPr>
          </w:p>
        </w:tc>
        <w:tc>
          <w:tcPr>
            <w:tcW w:w="320" w:type="dxa"/>
            <w:vAlign w:val="bottom"/>
            <w:tcBorders>
              <w:bottom w:val="single" w:sz="8" w:color="939598"/>
            </w:tcBorders>
          </w:tcPr>
          <w:p>
            <w:pPr>
              <w:spacing w:after="0"/>
              <w:rPr>
                <w:sz w:val="10"/>
                <w:szCs w:val="10"/>
                <w:color w:val="auto"/>
              </w:rPr>
            </w:pPr>
          </w:p>
        </w:tc>
        <w:tc>
          <w:tcPr>
            <w:tcW w:w="1140" w:type="dxa"/>
            <w:vAlign w:val="bottom"/>
            <w:tcBorders>
              <w:bottom w:val="single" w:sz="8" w:color="939598"/>
            </w:tcBorders>
          </w:tcPr>
          <w:p>
            <w:pPr>
              <w:spacing w:after="0"/>
              <w:rPr>
                <w:sz w:val="10"/>
                <w:szCs w:val="10"/>
                <w:color w:val="auto"/>
              </w:rPr>
            </w:pPr>
          </w:p>
        </w:tc>
        <w:tc>
          <w:tcPr>
            <w:tcW w:w="134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580" w:type="dxa"/>
            <w:vAlign w:val="bottom"/>
          </w:tcPr>
          <w:p>
            <w:pPr>
              <w:ind w:left="20"/>
              <w:spacing w:after="0"/>
              <w:rPr>
                <w:sz w:val="20"/>
                <w:szCs w:val="20"/>
                <w:color w:val="auto"/>
              </w:rPr>
            </w:pPr>
            <w:r>
              <w:rPr>
                <w:rFonts w:ascii="Arial" w:cs="Arial" w:eastAsia="Arial" w:hAnsi="Arial"/>
                <w:sz w:val="14"/>
                <w:szCs w:val="14"/>
                <w:b w:val="1"/>
                <w:bCs w:val="1"/>
                <w:color w:val="auto"/>
              </w:rPr>
              <w:t>Michal Stepniak</w:t>
            </w:r>
          </w:p>
        </w:tc>
        <w:tc>
          <w:tcPr>
            <w:tcW w:w="2800" w:type="dxa"/>
            <w:vAlign w:val="bottom"/>
          </w:tcPr>
          <w:p>
            <w:pPr>
              <w:ind w:left="460"/>
              <w:spacing w:after="0"/>
              <w:rPr>
                <w:sz w:val="20"/>
                <w:szCs w:val="20"/>
                <w:color w:val="auto"/>
              </w:rPr>
            </w:pPr>
            <w:r>
              <w:rPr>
                <w:rFonts w:ascii="Arial" w:cs="Arial" w:eastAsia="Arial" w:hAnsi="Arial"/>
                <w:sz w:val="14"/>
                <w:szCs w:val="14"/>
                <w:color w:val="auto"/>
              </w:rPr>
              <w:t>SVP, Chief Financial Officer</w:t>
            </w:r>
          </w:p>
        </w:tc>
        <w:tc>
          <w:tcPr>
            <w:tcW w:w="1720" w:type="dxa"/>
            <w:vAlign w:val="bottom"/>
          </w:tcPr>
          <w:p>
            <w:pPr>
              <w:jc w:val="right"/>
              <w:ind w:right="108"/>
              <w:spacing w:after="0"/>
              <w:rPr>
                <w:sz w:val="20"/>
                <w:szCs w:val="20"/>
                <w:color w:val="auto"/>
              </w:rPr>
            </w:pPr>
            <w:r>
              <w:rPr>
                <w:rFonts w:ascii="Arial" w:cs="Arial" w:eastAsia="Arial" w:hAnsi="Arial"/>
                <w:sz w:val="14"/>
                <w:szCs w:val="14"/>
                <w:color w:val="auto"/>
              </w:rPr>
              <w:t>925,000</w:t>
            </w:r>
          </w:p>
        </w:tc>
        <w:tc>
          <w:tcPr>
            <w:tcW w:w="1360" w:type="dxa"/>
            <w:vAlign w:val="bottom"/>
          </w:tcPr>
          <w:p>
            <w:pPr>
              <w:jc w:val="right"/>
              <w:ind w:right="228"/>
              <w:spacing w:after="0"/>
              <w:rPr>
                <w:sz w:val="20"/>
                <w:szCs w:val="20"/>
                <w:color w:val="auto"/>
              </w:rPr>
            </w:pPr>
            <w:r>
              <w:rPr>
                <w:rFonts w:ascii="Arial" w:cs="Arial" w:eastAsia="Arial" w:hAnsi="Arial"/>
                <w:sz w:val="14"/>
                <w:szCs w:val="14"/>
                <w:color w:val="auto"/>
              </w:rPr>
              <w:t>925,000</w:t>
            </w: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100%</w:t>
            </w:r>
          </w:p>
        </w:tc>
        <w:tc>
          <w:tcPr>
            <w:tcW w:w="320" w:type="dxa"/>
            <w:vAlign w:val="bottom"/>
          </w:tcPr>
          <w:p>
            <w:pPr>
              <w:spacing w:after="0"/>
              <w:rPr>
                <w:sz w:val="18"/>
                <w:szCs w:val="18"/>
                <w:color w:val="auto"/>
              </w:rPr>
            </w:pP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3,800,000</w:t>
            </w:r>
          </w:p>
        </w:tc>
        <w:tc>
          <w:tcPr>
            <w:tcW w:w="1340" w:type="dxa"/>
            <w:vAlign w:val="bottom"/>
          </w:tcPr>
          <w:p>
            <w:pPr>
              <w:jc w:val="right"/>
              <w:spacing w:after="0"/>
              <w:rPr>
                <w:sz w:val="20"/>
                <w:szCs w:val="20"/>
                <w:color w:val="auto"/>
              </w:rPr>
            </w:pPr>
            <w:r>
              <w:rPr>
                <w:rFonts w:ascii="Arial" w:cs="Arial" w:eastAsia="Arial" w:hAnsi="Arial"/>
                <w:sz w:val="14"/>
                <w:szCs w:val="14"/>
                <w:color w:val="auto"/>
              </w:rPr>
              <w:t>5,650,000</w:t>
            </w:r>
          </w:p>
        </w:tc>
        <w:tc>
          <w:tcPr>
            <w:tcW w:w="0" w:type="dxa"/>
            <w:vAlign w:val="bottom"/>
          </w:tcPr>
          <w:p>
            <w:pPr>
              <w:spacing w:after="0"/>
              <w:rPr>
                <w:sz w:val="1"/>
                <w:szCs w:val="1"/>
                <w:color w:val="auto"/>
              </w:rPr>
            </w:pPr>
          </w:p>
        </w:tc>
      </w:tr>
      <w:tr>
        <w:trPr>
          <w:trHeight w:val="102"/>
        </w:trPr>
        <w:tc>
          <w:tcPr>
            <w:tcW w:w="158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580" w:type="dxa"/>
            <w:vAlign w:val="bottom"/>
            <w:tcBorders>
              <w:bottom w:val="single" w:sz="8" w:color="939598"/>
            </w:tcBorders>
          </w:tcPr>
          <w:p>
            <w:pPr>
              <w:spacing w:after="0"/>
              <w:rPr>
                <w:sz w:val="11"/>
                <w:szCs w:val="11"/>
                <w:color w:val="auto"/>
              </w:rPr>
            </w:pPr>
          </w:p>
        </w:tc>
        <w:tc>
          <w:tcPr>
            <w:tcW w:w="2800" w:type="dxa"/>
            <w:vAlign w:val="bottom"/>
            <w:tcBorders>
              <w:bottom w:val="single" w:sz="8" w:color="939598"/>
            </w:tcBorders>
          </w:tcPr>
          <w:p>
            <w:pPr>
              <w:spacing w:after="0"/>
              <w:rPr>
                <w:sz w:val="11"/>
                <w:szCs w:val="11"/>
                <w:color w:val="auto"/>
              </w:rPr>
            </w:pPr>
          </w:p>
        </w:tc>
        <w:tc>
          <w:tcPr>
            <w:tcW w:w="1720" w:type="dxa"/>
            <w:vAlign w:val="bottom"/>
            <w:tcBorders>
              <w:bottom w:val="single" w:sz="8" w:color="939598"/>
            </w:tcBorders>
          </w:tcPr>
          <w:p>
            <w:pPr>
              <w:spacing w:after="0"/>
              <w:rPr>
                <w:sz w:val="11"/>
                <w:szCs w:val="11"/>
                <w:color w:val="auto"/>
              </w:rPr>
            </w:pPr>
          </w:p>
        </w:tc>
        <w:tc>
          <w:tcPr>
            <w:tcW w:w="1360" w:type="dxa"/>
            <w:vAlign w:val="bottom"/>
            <w:tcBorders>
              <w:bottom w:val="single" w:sz="8" w:color="939598"/>
            </w:tcBorders>
          </w:tcPr>
          <w:p>
            <w:pPr>
              <w:spacing w:after="0"/>
              <w:rPr>
                <w:sz w:val="11"/>
                <w:szCs w:val="11"/>
                <w:color w:val="auto"/>
              </w:rPr>
            </w:pPr>
          </w:p>
        </w:tc>
        <w:tc>
          <w:tcPr>
            <w:tcW w:w="960" w:type="dxa"/>
            <w:vAlign w:val="bottom"/>
            <w:tcBorders>
              <w:bottom w:val="single" w:sz="8" w:color="939598"/>
            </w:tcBorders>
          </w:tcPr>
          <w:p>
            <w:pPr>
              <w:spacing w:after="0"/>
              <w:rPr>
                <w:sz w:val="11"/>
                <w:szCs w:val="11"/>
                <w:color w:val="auto"/>
              </w:rPr>
            </w:pPr>
          </w:p>
        </w:tc>
        <w:tc>
          <w:tcPr>
            <w:tcW w:w="320" w:type="dxa"/>
            <w:vAlign w:val="bottom"/>
            <w:tcBorders>
              <w:bottom w:val="single" w:sz="8" w:color="939598"/>
            </w:tcBorders>
          </w:tcPr>
          <w:p>
            <w:pPr>
              <w:spacing w:after="0"/>
              <w:rPr>
                <w:sz w:val="11"/>
                <w:szCs w:val="11"/>
                <w:color w:val="auto"/>
              </w:rPr>
            </w:pPr>
          </w:p>
        </w:tc>
        <w:tc>
          <w:tcPr>
            <w:tcW w:w="1140" w:type="dxa"/>
            <w:vAlign w:val="bottom"/>
            <w:tcBorders>
              <w:bottom w:val="single" w:sz="8" w:color="939598"/>
            </w:tcBorders>
          </w:tcPr>
          <w:p>
            <w:pPr>
              <w:spacing w:after="0"/>
              <w:rPr>
                <w:sz w:val="11"/>
                <w:szCs w:val="11"/>
                <w:color w:val="auto"/>
              </w:rPr>
            </w:pPr>
          </w:p>
        </w:tc>
        <w:tc>
          <w:tcPr>
            <w:tcW w:w="134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1580" w:type="dxa"/>
            <w:vAlign w:val="bottom"/>
          </w:tcPr>
          <w:p>
            <w:pPr>
              <w:ind w:left="20"/>
              <w:spacing w:after="0"/>
              <w:rPr>
                <w:sz w:val="20"/>
                <w:szCs w:val="20"/>
                <w:color w:val="auto"/>
              </w:rPr>
            </w:pPr>
            <w:r>
              <w:rPr>
                <w:rFonts w:ascii="Arial" w:cs="Arial" w:eastAsia="Arial" w:hAnsi="Arial"/>
                <w:sz w:val="14"/>
                <w:szCs w:val="14"/>
                <w:b w:val="1"/>
                <w:bCs w:val="1"/>
                <w:color w:val="auto"/>
              </w:rPr>
              <w:t>James Currier</w:t>
            </w:r>
          </w:p>
        </w:tc>
        <w:tc>
          <w:tcPr>
            <w:tcW w:w="2800" w:type="dxa"/>
            <w:vAlign w:val="bottom"/>
          </w:tcPr>
          <w:p>
            <w:pPr>
              <w:ind w:left="460"/>
              <w:spacing w:after="0"/>
              <w:rPr>
                <w:sz w:val="20"/>
                <w:szCs w:val="20"/>
                <w:color w:val="auto"/>
              </w:rPr>
            </w:pPr>
            <w:r>
              <w:rPr>
                <w:rFonts w:ascii="Arial" w:cs="Arial" w:eastAsia="Arial" w:hAnsi="Arial"/>
                <w:sz w:val="14"/>
                <w:szCs w:val="14"/>
                <w:color w:val="auto"/>
              </w:rPr>
              <w:t>President and CEO, AT</w:t>
            </w:r>
          </w:p>
        </w:tc>
        <w:tc>
          <w:tcPr>
            <w:tcW w:w="1720" w:type="dxa"/>
            <w:vAlign w:val="bottom"/>
          </w:tcPr>
          <w:p>
            <w:pPr>
              <w:jc w:val="right"/>
              <w:ind w:right="108"/>
              <w:spacing w:after="0"/>
              <w:rPr>
                <w:sz w:val="20"/>
                <w:szCs w:val="20"/>
                <w:color w:val="auto"/>
              </w:rPr>
            </w:pPr>
            <w:r>
              <w:rPr>
                <w:rFonts w:ascii="Arial" w:cs="Arial" w:eastAsia="Arial" w:hAnsi="Arial"/>
                <w:sz w:val="14"/>
                <w:szCs w:val="14"/>
                <w:color w:val="auto"/>
              </w:rPr>
              <w:t>847,000</w:t>
            </w:r>
          </w:p>
        </w:tc>
        <w:tc>
          <w:tcPr>
            <w:tcW w:w="1360" w:type="dxa"/>
            <w:vAlign w:val="bottom"/>
          </w:tcPr>
          <w:p>
            <w:pPr>
              <w:jc w:val="right"/>
              <w:ind w:right="228"/>
              <w:spacing w:after="0"/>
              <w:rPr>
                <w:sz w:val="20"/>
                <w:szCs w:val="20"/>
                <w:color w:val="auto"/>
              </w:rPr>
            </w:pPr>
            <w:r>
              <w:rPr>
                <w:rFonts w:ascii="Arial" w:cs="Arial" w:eastAsia="Arial" w:hAnsi="Arial"/>
                <w:sz w:val="14"/>
                <w:szCs w:val="14"/>
                <w:color w:val="auto"/>
              </w:rPr>
              <w:t>847,000</w:t>
            </w: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100%</w:t>
            </w:r>
          </w:p>
        </w:tc>
        <w:tc>
          <w:tcPr>
            <w:tcW w:w="320" w:type="dxa"/>
            <w:vAlign w:val="bottom"/>
          </w:tcPr>
          <w:p>
            <w:pPr>
              <w:spacing w:after="0"/>
              <w:rPr>
                <w:sz w:val="18"/>
                <w:szCs w:val="18"/>
                <w:color w:val="auto"/>
              </w:rPr>
            </w:pP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4,000,000</w:t>
            </w:r>
          </w:p>
        </w:tc>
        <w:tc>
          <w:tcPr>
            <w:tcW w:w="1340" w:type="dxa"/>
            <w:vAlign w:val="bottom"/>
          </w:tcPr>
          <w:p>
            <w:pPr>
              <w:jc w:val="right"/>
              <w:spacing w:after="0"/>
              <w:rPr>
                <w:sz w:val="20"/>
                <w:szCs w:val="20"/>
                <w:color w:val="auto"/>
              </w:rPr>
            </w:pPr>
            <w:r>
              <w:rPr>
                <w:rFonts w:ascii="Arial" w:cs="Arial" w:eastAsia="Arial" w:hAnsi="Arial"/>
                <w:sz w:val="14"/>
                <w:szCs w:val="14"/>
                <w:color w:val="auto"/>
              </w:rPr>
              <w:t>5,694,000</w:t>
            </w:r>
          </w:p>
        </w:tc>
        <w:tc>
          <w:tcPr>
            <w:tcW w:w="0" w:type="dxa"/>
            <w:vAlign w:val="bottom"/>
          </w:tcPr>
          <w:p>
            <w:pPr>
              <w:spacing w:after="0"/>
              <w:rPr>
                <w:sz w:val="1"/>
                <w:szCs w:val="1"/>
                <w:color w:val="auto"/>
              </w:rPr>
            </w:pPr>
          </w:p>
        </w:tc>
      </w:tr>
      <w:tr>
        <w:trPr>
          <w:trHeight w:val="102"/>
        </w:trPr>
        <w:tc>
          <w:tcPr>
            <w:tcW w:w="158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1580" w:type="dxa"/>
            <w:vAlign w:val="bottom"/>
            <w:tcBorders>
              <w:bottom w:val="single" w:sz="8" w:color="939598"/>
            </w:tcBorders>
          </w:tcPr>
          <w:p>
            <w:pPr>
              <w:spacing w:after="0"/>
              <w:rPr>
                <w:sz w:val="11"/>
                <w:szCs w:val="11"/>
                <w:color w:val="auto"/>
              </w:rPr>
            </w:pPr>
          </w:p>
        </w:tc>
        <w:tc>
          <w:tcPr>
            <w:tcW w:w="2800" w:type="dxa"/>
            <w:vAlign w:val="bottom"/>
            <w:tcBorders>
              <w:bottom w:val="single" w:sz="8" w:color="939598"/>
            </w:tcBorders>
          </w:tcPr>
          <w:p>
            <w:pPr>
              <w:spacing w:after="0"/>
              <w:rPr>
                <w:sz w:val="11"/>
                <w:szCs w:val="11"/>
                <w:color w:val="auto"/>
              </w:rPr>
            </w:pPr>
          </w:p>
        </w:tc>
        <w:tc>
          <w:tcPr>
            <w:tcW w:w="1720" w:type="dxa"/>
            <w:vAlign w:val="bottom"/>
            <w:tcBorders>
              <w:bottom w:val="single" w:sz="8" w:color="939598"/>
            </w:tcBorders>
          </w:tcPr>
          <w:p>
            <w:pPr>
              <w:spacing w:after="0"/>
              <w:rPr>
                <w:sz w:val="11"/>
                <w:szCs w:val="11"/>
                <w:color w:val="auto"/>
              </w:rPr>
            </w:pPr>
          </w:p>
        </w:tc>
        <w:tc>
          <w:tcPr>
            <w:tcW w:w="1360" w:type="dxa"/>
            <w:vAlign w:val="bottom"/>
            <w:tcBorders>
              <w:bottom w:val="single" w:sz="8" w:color="939598"/>
            </w:tcBorders>
          </w:tcPr>
          <w:p>
            <w:pPr>
              <w:spacing w:after="0"/>
              <w:rPr>
                <w:sz w:val="11"/>
                <w:szCs w:val="11"/>
                <w:color w:val="auto"/>
              </w:rPr>
            </w:pPr>
          </w:p>
        </w:tc>
        <w:tc>
          <w:tcPr>
            <w:tcW w:w="960" w:type="dxa"/>
            <w:vAlign w:val="bottom"/>
            <w:tcBorders>
              <w:bottom w:val="single" w:sz="8" w:color="939598"/>
            </w:tcBorders>
          </w:tcPr>
          <w:p>
            <w:pPr>
              <w:spacing w:after="0"/>
              <w:rPr>
                <w:sz w:val="11"/>
                <w:szCs w:val="11"/>
                <w:color w:val="auto"/>
              </w:rPr>
            </w:pPr>
          </w:p>
        </w:tc>
        <w:tc>
          <w:tcPr>
            <w:tcW w:w="320" w:type="dxa"/>
            <w:vAlign w:val="bottom"/>
            <w:tcBorders>
              <w:bottom w:val="single" w:sz="8" w:color="939598"/>
            </w:tcBorders>
          </w:tcPr>
          <w:p>
            <w:pPr>
              <w:spacing w:after="0"/>
              <w:rPr>
                <w:sz w:val="11"/>
                <w:szCs w:val="11"/>
                <w:color w:val="auto"/>
              </w:rPr>
            </w:pPr>
          </w:p>
        </w:tc>
        <w:tc>
          <w:tcPr>
            <w:tcW w:w="1140" w:type="dxa"/>
            <w:vAlign w:val="bottom"/>
            <w:tcBorders>
              <w:bottom w:val="single" w:sz="8" w:color="939598"/>
            </w:tcBorders>
          </w:tcPr>
          <w:p>
            <w:pPr>
              <w:spacing w:after="0"/>
              <w:rPr>
                <w:sz w:val="11"/>
                <w:szCs w:val="11"/>
                <w:color w:val="auto"/>
              </w:rPr>
            </w:pPr>
          </w:p>
        </w:tc>
        <w:tc>
          <w:tcPr>
            <w:tcW w:w="134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1580" w:type="dxa"/>
            <w:vAlign w:val="bottom"/>
          </w:tcPr>
          <w:p>
            <w:pPr>
              <w:ind w:left="20"/>
              <w:spacing w:after="0"/>
              <w:rPr>
                <w:sz w:val="20"/>
                <w:szCs w:val="20"/>
                <w:color w:val="auto"/>
              </w:rPr>
            </w:pPr>
            <w:r>
              <w:rPr>
                <w:rFonts w:ascii="Arial" w:cs="Arial" w:eastAsia="Arial" w:hAnsi="Arial"/>
                <w:sz w:val="14"/>
                <w:szCs w:val="14"/>
                <w:b w:val="1"/>
                <w:bCs w:val="1"/>
                <w:color w:val="auto"/>
              </w:rPr>
              <w:t>James Masso</w:t>
            </w:r>
          </w:p>
        </w:tc>
        <w:tc>
          <w:tcPr>
            <w:tcW w:w="2800" w:type="dxa"/>
            <w:vAlign w:val="bottom"/>
          </w:tcPr>
          <w:p>
            <w:pPr>
              <w:ind w:left="460"/>
              <w:spacing w:after="0"/>
              <w:rPr>
                <w:sz w:val="20"/>
                <w:szCs w:val="20"/>
                <w:color w:val="auto"/>
              </w:rPr>
            </w:pPr>
            <w:r>
              <w:rPr>
                <w:rFonts w:ascii="Arial" w:cs="Arial" w:eastAsia="Arial" w:hAnsi="Arial"/>
                <w:sz w:val="14"/>
                <w:szCs w:val="14"/>
                <w:color w:val="auto"/>
              </w:rPr>
              <w:t>President and CEO, PA</w:t>
            </w:r>
          </w:p>
        </w:tc>
        <w:tc>
          <w:tcPr>
            <w:tcW w:w="1720" w:type="dxa"/>
            <w:vAlign w:val="bottom"/>
          </w:tcPr>
          <w:p>
            <w:pPr>
              <w:jc w:val="right"/>
              <w:ind w:right="108"/>
              <w:spacing w:after="0"/>
              <w:rPr>
                <w:sz w:val="20"/>
                <w:szCs w:val="20"/>
                <w:color w:val="auto"/>
              </w:rPr>
            </w:pPr>
            <w:r>
              <w:rPr>
                <w:rFonts w:ascii="Arial" w:cs="Arial" w:eastAsia="Arial" w:hAnsi="Arial"/>
                <w:sz w:val="14"/>
                <w:szCs w:val="14"/>
                <w:color w:val="auto"/>
              </w:rPr>
              <w:t>675,000</w:t>
            </w:r>
          </w:p>
        </w:tc>
        <w:tc>
          <w:tcPr>
            <w:tcW w:w="1360" w:type="dxa"/>
            <w:vAlign w:val="bottom"/>
          </w:tcPr>
          <w:p>
            <w:pPr>
              <w:jc w:val="right"/>
              <w:ind w:right="228"/>
              <w:spacing w:after="0"/>
              <w:rPr>
                <w:sz w:val="20"/>
                <w:szCs w:val="20"/>
                <w:color w:val="auto"/>
              </w:rPr>
            </w:pPr>
            <w:r>
              <w:rPr>
                <w:rFonts w:ascii="Arial" w:cs="Arial" w:eastAsia="Arial" w:hAnsi="Arial"/>
                <w:sz w:val="14"/>
                <w:szCs w:val="14"/>
                <w:color w:val="auto"/>
              </w:rPr>
              <w:t>675,000</w:t>
            </w: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100%</w:t>
            </w:r>
          </w:p>
        </w:tc>
        <w:tc>
          <w:tcPr>
            <w:tcW w:w="320" w:type="dxa"/>
            <w:vAlign w:val="bottom"/>
          </w:tcPr>
          <w:p>
            <w:pPr>
              <w:spacing w:after="0"/>
              <w:rPr>
                <w:sz w:val="18"/>
                <w:szCs w:val="18"/>
                <w:color w:val="auto"/>
              </w:rPr>
            </w:pP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1,800,000</w:t>
            </w:r>
          </w:p>
        </w:tc>
        <w:tc>
          <w:tcPr>
            <w:tcW w:w="1340" w:type="dxa"/>
            <w:vAlign w:val="bottom"/>
          </w:tcPr>
          <w:p>
            <w:pPr>
              <w:jc w:val="right"/>
              <w:spacing w:after="0"/>
              <w:rPr>
                <w:sz w:val="20"/>
                <w:szCs w:val="20"/>
                <w:color w:val="auto"/>
              </w:rPr>
            </w:pPr>
            <w:r>
              <w:rPr>
                <w:rFonts w:ascii="Arial" w:cs="Arial" w:eastAsia="Arial" w:hAnsi="Arial"/>
                <w:sz w:val="14"/>
                <w:szCs w:val="14"/>
                <w:color w:val="auto"/>
              </w:rPr>
              <w:t>3,150,000</w:t>
            </w:r>
          </w:p>
        </w:tc>
        <w:tc>
          <w:tcPr>
            <w:tcW w:w="0" w:type="dxa"/>
            <w:vAlign w:val="bottom"/>
          </w:tcPr>
          <w:p>
            <w:pPr>
              <w:spacing w:after="0"/>
              <w:rPr>
                <w:sz w:val="1"/>
                <w:szCs w:val="1"/>
                <w:color w:val="auto"/>
              </w:rPr>
            </w:pPr>
          </w:p>
        </w:tc>
      </w:tr>
      <w:tr>
        <w:trPr>
          <w:trHeight w:val="102"/>
        </w:trPr>
        <w:tc>
          <w:tcPr>
            <w:tcW w:w="158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580" w:type="dxa"/>
            <w:vAlign w:val="bottom"/>
            <w:tcBorders>
              <w:bottom w:val="single" w:sz="8" w:color="939598"/>
            </w:tcBorders>
          </w:tcPr>
          <w:p>
            <w:pPr>
              <w:spacing w:after="0"/>
              <w:rPr>
                <w:sz w:val="11"/>
                <w:szCs w:val="11"/>
                <w:color w:val="auto"/>
              </w:rPr>
            </w:pPr>
          </w:p>
        </w:tc>
        <w:tc>
          <w:tcPr>
            <w:tcW w:w="2800" w:type="dxa"/>
            <w:vAlign w:val="bottom"/>
            <w:tcBorders>
              <w:bottom w:val="single" w:sz="8" w:color="939598"/>
            </w:tcBorders>
          </w:tcPr>
          <w:p>
            <w:pPr>
              <w:spacing w:after="0"/>
              <w:rPr>
                <w:sz w:val="11"/>
                <w:szCs w:val="11"/>
                <w:color w:val="auto"/>
              </w:rPr>
            </w:pPr>
          </w:p>
        </w:tc>
        <w:tc>
          <w:tcPr>
            <w:tcW w:w="1720" w:type="dxa"/>
            <w:vAlign w:val="bottom"/>
            <w:tcBorders>
              <w:bottom w:val="single" w:sz="8" w:color="939598"/>
            </w:tcBorders>
          </w:tcPr>
          <w:p>
            <w:pPr>
              <w:spacing w:after="0"/>
              <w:rPr>
                <w:sz w:val="11"/>
                <w:szCs w:val="11"/>
                <w:color w:val="auto"/>
              </w:rPr>
            </w:pPr>
          </w:p>
        </w:tc>
        <w:tc>
          <w:tcPr>
            <w:tcW w:w="1360" w:type="dxa"/>
            <w:vAlign w:val="bottom"/>
            <w:tcBorders>
              <w:bottom w:val="single" w:sz="8" w:color="939598"/>
            </w:tcBorders>
          </w:tcPr>
          <w:p>
            <w:pPr>
              <w:spacing w:after="0"/>
              <w:rPr>
                <w:sz w:val="11"/>
                <w:szCs w:val="11"/>
                <w:color w:val="auto"/>
              </w:rPr>
            </w:pPr>
          </w:p>
        </w:tc>
        <w:tc>
          <w:tcPr>
            <w:tcW w:w="960" w:type="dxa"/>
            <w:vAlign w:val="bottom"/>
            <w:tcBorders>
              <w:bottom w:val="single" w:sz="8" w:color="939598"/>
            </w:tcBorders>
          </w:tcPr>
          <w:p>
            <w:pPr>
              <w:spacing w:after="0"/>
              <w:rPr>
                <w:sz w:val="11"/>
                <w:szCs w:val="11"/>
                <w:color w:val="auto"/>
              </w:rPr>
            </w:pPr>
          </w:p>
        </w:tc>
        <w:tc>
          <w:tcPr>
            <w:tcW w:w="320" w:type="dxa"/>
            <w:vAlign w:val="bottom"/>
            <w:tcBorders>
              <w:bottom w:val="single" w:sz="8" w:color="939598"/>
            </w:tcBorders>
          </w:tcPr>
          <w:p>
            <w:pPr>
              <w:spacing w:after="0"/>
              <w:rPr>
                <w:sz w:val="11"/>
                <w:szCs w:val="11"/>
                <w:color w:val="auto"/>
              </w:rPr>
            </w:pPr>
          </w:p>
        </w:tc>
        <w:tc>
          <w:tcPr>
            <w:tcW w:w="1140" w:type="dxa"/>
            <w:vAlign w:val="bottom"/>
            <w:tcBorders>
              <w:bottom w:val="single" w:sz="8" w:color="939598"/>
            </w:tcBorders>
          </w:tcPr>
          <w:p>
            <w:pPr>
              <w:spacing w:after="0"/>
              <w:rPr>
                <w:sz w:val="11"/>
                <w:szCs w:val="11"/>
                <w:color w:val="auto"/>
              </w:rPr>
            </w:pPr>
          </w:p>
        </w:tc>
        <w:tc>
          <w:tcPr>
            <w:tcW w:w="134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1580" w:type="dxa"/>
            <w:vAlign w:val="bottom"/>
          </w:tcPr>
          <w:p>
            <w:pPr>
              <w:ind w:left="20"/>
              <w:spacing w:after="0"/>
              <w:rPr>
                <w:sz w:val="20"/>
                <w:szCs w:val="20"/>
                <w:color w:val="auto"/>
              </w:rPr>
            </w:pPr>
            <w:r>
              <w:rPr>
                <w:rFonts w:ascii="Arial" w:cs="Arial" w:eastAsia="Arial" w:hAnsi="Arial"/>
                <w:sz w:val="14"/>
                <w:szCs w:val="14"/>
                <w:b w:val="1"/>
                <w:bCs w:val="1"/>
                <w:color w:val="auto"/>
              </w:rPr>
              <w:t>Billal Hammoud</w:t>
            </w:r>
          </w:p>
        </w:tc>
        <w:tc>
          <w:tcPr>
            <w:tcW w:w="2800" w:type="dxa"/>
            <w:vAlign w:val="bottom"/>
          </w:tcPr>
          <w:p>
            <w:pPr>
              <w:ind w:left="460"/>
              <w:spacing w:after="0"/>
              <w:rPr>
                <w:sz w:val="20"/>
                <w:szCs w:val="20"/>
                <w:color w:val="auto"/>
              </w:rPr>
            </w:pPr>
            <w:r>
              <w:rPr>
                <w:rFonts w:ascii="Arial" w:cs="Arial" w:eastAsia="Arial" w:hAnsi="Arial"/>
                <w:sz w:val="14"/>
                <w:szCs w:val="14"/>
                <w:color w:val="auto"/>
              </w:rPr>
              <w:t>President and CEO, BA</w:t>
            </w:r>
          </w:p>
        </w:tc>
        <w:tc>
          <w:tcPr>
            <w:tcW w:w="1720" w:type="dxa"/>
            <w:vAlign w:val="bottom"/>
          </w:tcPr>
          <w:p>
            <w:pPr>
              <w:jc w:val="right"/>
              <w:ind w:right="108"/>
              <w:spacing w:after="0"/>
              <w:rPr>
                <w:sz w:val="20"/>
                <w:szCs w:val="20"/>
                <w:color w:val="auto"/>
              </w:rPr>
            </w:pPr>
            <w:r>
              <w:rPr>
                <w:rFonts w:ascii="Arial" w:cs="Arial" w:eastAsia="Arial" w:hAnsi="Arial"/>
                <w:sz w:val="14"/>
                <w:szCs w:val="14"/>
                <w:color w:val="auto"/>
              </w:rPr>
              <w:t>700,000</w:t>
            </w:r>
          </w:p>
        </w:tc>
        <w:tc>
          <w:tcPr>
            <w:tcW w:w="1360" w:type="dxa"/>
            <w:vAlign w:val="bottom"/>
          </w:tcPr>
          <w:p>
            <w:pPr>
              <w:jc w:val="right"/>
              <w:ind w:right="228"/>
              <w:spacing w:after="0"/>
              <w:rPr>
                <w:sz w:val="20"/>
                <w:szCs w:val="20"/>
                <w:color w:val="auto"/>
              </w:rPr>
            </w:pPr>
            <w:r>
              <w:rPr>
                <w:rFonts w:ascii="Arial" w:cs="Arial" w:eastAsia="Arial" w:hAnsi="Arial"/>
                <w:sz w:val="14"/>
                <w:szCs w:val="14"/>
                <w:color w:val="auto"/>
              </w:rPr>
              <w:t>700,000</w:t>
            </w: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100%</w:t>
            </w:r>
          </w:p>
        </w:tc>
        <w:tc>
          <w:tcPr>
            <w:tcW w:w="320" w:type="dxa"/>
            <w:vAlign w:val="bottom"/>
          </w:tcPr>
          <w:p>
            <w:pPr>
              <w:spacing w:after="0"/>
              <w:rPr>
                <w:sz w:val="18"/>
                <w:szCs w:val="18"/>
                <w:color w:val="auto"/>
              </w:rPr>
            </w:pP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1,950,000</w:t>
            </w:r>
          </w:p>
        </w:tc>
        <w:tc>
          <w:tcPr>
            <w:tcW w:w="1340" w:type="dxa"/>
            <w:vAlign w:val="bottom"/>
          </w:tcPr>
          <w:p>
            <w:pPr>
              <w:jc w:val="right"/>
              <w:spacing w:after="0"/>
              <w:rPr>
                <w:sz w:val="20"/>
                <w:szCs w:val="20"/>
                <w:color w:val="auto"/>
              </w:rPr>
            </w:pPr>
            <w:r>
              <w:rPr>
                <w:rFonts w:ascii="Arial" w:cs="Arial" w:eastAsia="Arial" w:hAnsi="Arial"/>
                <w:sz w:val="14"/>
                <w:szCs w:val="14"/>
                <w:color w:val="auto"/>
              </w:rPr>
              <w:t>3,350,000</w:t>
            </w:r>
          </w:p>
        </w:tc>
        <w:tc>
          <w:tcPr>
            <w:tcW w:w="0" w:type="dxa"/>
            <w:vAlign w:val="bottom"/>
          </w:tcPr>
          <w:p>
            <w:pPr>
              <w:spacing w:after="0"/>
              <w:rPr>
                <w:sz w:val="1"/>
                <w:szCs w:val="1"/>
                <w:color w:val="auto"/>
              </w:rPr>
            </w:pPr>
          </w:p>
        </w:tc>
      </w:tr>
      <w:tr>
        <w:trPr>
          <w:trHeight w:val="102"/>
        </w:trPr>
        <w:tc>
          <w:tcPr>
            <w:tcW w:w="158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580" w:type="dxa"/>
            <w:vAlign w:val="bottom"/>
            <w:tcBorders>
              <w:bottom w:val="single" w:sz="8" w:color="D7282F"/>
            </w:tcBorders>
          </w:tcPr>
          <w:p>
            <w:pPr>
              <w:spacing w:after="0"/>
              <w:rPr>
                <w:sz w:val="11"/>
                <w:szCs w:val="11"/>
                <w:color w:val="auto"/>
              </w:rPr>
            </w:pPr>
          </w:p>
        </w:tc>
        <w:tc>
          <w:tcPr>
            <w:tcW w:w="2800" w:type="dxa"/>
            <w:vAlign w:val="bottom"/>
            <w:tcBorders>
              <w:bottom w:val="single" w:sz="8" w:color="D7282F"/>
            </w:tcBorders>
          </w:tcPr>
          <w:p>
            <w:pPr>
              <w:spacing w:after="0"/>
              <w:rPr>
                <w:sz w:val="11"/>
                <w:szCs w:val="11"/>
                <w:color w:val="auto"/>
              </w:rPr>
            </w:pPr>
          </w:p>
        </w:tc>
        <w:tc>
          <w:tcPr>
            <w:tcW w:w="1720" w:type="dxa"/>
            <w:vAlign w:val="bottom"/>
            <w:tcBorders>
              <w:bottom w:val="single" w:sz="8" w:color="D7282F"/>
            </w:tcBorders>
          </w:tcPr>
          <w:p>
            <w:pPr>
              <w:spacing w:after="0"/>
              <w:rPr>
                <w:sz w:val="11"/>
                <w:szCs w:val="11"/>
                <w:color w:val="auto"/>
              </w:rPr>
            </w:pPr>
          </w:p>
        </w:tc>
        <w:tc>
          <w:tcPr>
            <w:tcW w:w="1360" w:type="dxa"/>
            <w:vAlign w:val="bottom"/>
            <w:tcBorders>
              <w:bottom w:val="single" w:sz="8" w:color="D7282F"/>
            </w:tcBorders>
          </w:tcPr>
          <w:p>
            <w:pPr>
              <w:spacing w:after="0"/>
              <w:rPr>
                <w:sz w:val="11"/>
                <w:szCs w:val="11"/>
                <w:color w:val="auto"/>
              </w:rPr>
            </w:pPr>
          </w:p>
        </w:tc>
        <w:tc>
          <w:tcPr>
            <w:tcW w:w="960" w:type="dxa"/>
            <w:vAlign w:val="bottom"/>
            <w:tcBorders>
              <w:bottom w:val="single" w:sz="8" w:color="D7282F"/>
            </w:tcBorders>
          </w:tcPr>
          <w:p>
            <w:pPr>
              <w:spacing w:after="0"/>
              <w:rPr>
                <w:sz w:val="11"/>
                <w:szCs w:val="11"/>
                <w:color w:val="auto"/>
              </w:rPr>
            </w:pPr>
          </w:p>
        </w:tc>
        <w:tc>
          <w:tcPr>
            <w:tcW w:w="320" w:type="dxa"/>
            <w:vAlign w:val="bottom"/>
            <w:tcBorders>
              <w:bottom w:val="single" w:sz="8" w:color="D7282F"/>
            </w:tcBorders>
          </w:tcPr>
          <w:p>
            <w:pPr>
              <w:spacing w:after="0"/>
              <w:rPr>
                <w:sz w:val="11"/>
                <w:szCs w:val="11"/>
                <w:color w:val="auto"/>
              </w:rPr>
            </w:pPr>
          </w:p>
        </w:tc>
        <w:tc>
          <w:tcPr>
            <w:tcW w:w="1140" w:type="dxa"/>
            <w:vAlign w:val="bottom"/>
            <w:tcBorders>
              <w:bottom w:val="single" w:sz="8" w:color="D7282F"/>
            </w:tcBorders>
          </w:tcPr>
          <w:p>
            <w:pPr>
              <w:spacing w:after="0"/>
              <w:rPr>
                <w:sz w:val="11"/>
                <w:szCs w:val="11"/>
                <w:color w:val="auto"/>
              </w:rPr>
            </w:pPr>
          </w:p>
        </w:tc>
        <w:tc>
          <w:tcPr>
            <w:tcW w:w="1340" w:type="dxa"/>
            <w:vAlign w:val="bottom"/>
            <w:tcBorders>
              <w:bottom w:val="single" w:sz="8" w:color="D7282F"/>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sectPr>
          <w:pgSz w:w="11900" w:h="16977" w:orient="portrait"/>
          <w:cols w:equalWidth="0" w:num="1">
            <w:col w:w="11220"/>
          </w:cols>
          <w:pgMar w:left="320" w:top="230" w:right="359" w:bottom="0" w:gutter="0" w:footer="0" w:header="0"/>
        </w:sectPr>
      </w:pPr>
    </w:p>
    <w:p>
      <w:pPr>
        <w:ind w:left="200" w:hanging="192"/>
        <w:spacing w:after="0"/>
        <w:tabs>
          <w:tab w:leader="none" w:pos="200" w:val="left"/>
        </w:tabs>
        <w:numPr>
          <w:ilvl w:val="0"/>
          <w:numId w:val="143"/>
        </w:numPr>
        <w:rPr>
          <w:rFonts w:ascii="Arial" w:cs="Arial" w:eastAsia="Arial" w:hAnsi="Arial"/>
          <w:sz w:val="16"/>
          <w:szCs w:val="16"/>
          <w:color w:val="auto"/>
          <w:vertAlign w:val="superscript"/>
        </w:rPr>
      </w:pPr>
      <w:r>
        <w:rPr>
          <w:rFonts w:ascii="Arial" w:cs="Arial" w:eastAsia="Arial" w:hAnsi="Arial"/>
          <w:sz w:val="13"/>
          <w:szCs w:val="13"/>
          <w:color w:val="auto"/>
        </w:rPr>
        <w:t>Excludes Mr. Lewis and Mr. Boldea who are former NEOs.</w:t>
      </w:r>
    </w:p>
    <w:p>
      <w:pPr>
        <w:spacing w:after="0" w:line="56" w:lineRule="exact"/>
        <w:rPr>
          <w:rFonts w:ascii="Arial" w:cs="Arial" w:eastAsia="Arial" w:hAnsi="Arial"/>
          <w:sz w:val="16"/>
          <w:szCs w:val="16"/>
          <w:color w:val="auto"/>
          <w:vertAlign w:val="superscript"/>
        </w:rPr>
      </w:pPr>
    </w:p>
    <w:p>
      <w:pPr>
        <w:ind w:left="200" w:hanging="192"/>
        <w:spacing w:after="0" w:line="225" w:lineRule="auto"/>
        <w:tabs>
          <w:tab w:leader="none" w:pos="200" w:val="left"/>
        </w:tabs>
        <w:numPr>
          <w:ilvl w:val="0"/>
          <w:numId w:val="143"/>
        </w:numPr>
        <w:rPr>
          <w:rFonts w:ascii="Arial" w:cs="Arial" w:eastAsia="Arial" w:hAnsi="Arial"/>
          <w:sz w:val="16"/>
          <w:szCs w:val="16"/>
          <w:color w:val="auto"/>
          <w:vertAlign w:val="superscript"/>
        </w:rPr>
      </w:pPr>
      <w:r>
        <w:rPr>
          <w:rFonts w:ascii="Arial" w:cs="Arial" w:eastAsia="Arial" w:hAnsi="Arial"/>
          <w:sz w:val="13"/>
          <w:szCs w:val="13"/>
          <w:color w:val="auto"/>
        </w:rPr>
        <w:t>Base Salary at the end of 2025.</w:t>
      </w:r>
    </w:p>
    <w:p>
      <w:pPr>
        <w:spacing w:after="0" w:line="59" w:lineRule="exact"/>
        <w:rPr>
          <w:rFonts w:ascii="Arial" w:cs="Arial" w:eastAsia="Arial" w:hAnsi="Arial"/>
          <w:sz w:val="16"/>
          <w:szCs w:val="16"/>
          <w:color w:val="auto"/>
          <w:vertAlign w:val="superscript"/>
        </w:rPr>
      </w:pPr>
    </w:p>
    <w:p>
      <w:pPr>
        <w:ind w:left="200" w:hanging="192"/>
        <w:spacing w:after="0"/>
        <w:tabs>
          <w:tab w:leader="none" w:pos="200" w:val="left"/>
        </w:tabs>
        <w:numPr>
          <w:ilvl w:val="0"/>
          <w:numId w:val="143"/>
        </w:numPr>
        <w:rPr>
          <w:rFonts w:ascii="Arial" w:cs="Arial" w:eastAsia="Arial" w:hAnsi="Arial"/>
          <w:sz w:val="16"/>
          <w:szCs w:val="16"/>
          <w:color w:val="auto"/>
          <w:vertAlign w:val="superscript"/>
        </w:rPr>
      </w:pPr>
      <w:r>
        <w:rPr>
          <w:rFonts w:ascii="Arial" w:cs="Arial" w:eastAsia="Arial" w:hAnsi="Arial"/>
          <w:sz w:val="13"/>
          <w:szCs w:val="13"/>
          <w:color w:val="auto"/>
        </w:rPr>
        <w:t>Total target value of LTI awarded in 2025.</w:t>
      </w:r>
    </w:p>
    <w:p>
      <w:pPr>
        <w:spacing w:after="0" w:line="23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2025 TOTAL ACTUAL ANNUAL DIRECT COMPENSATION</w:t>
      </w:r>
    </w:p>
    <w:p>
      <w:pPr>
        <w:spacing w:after="0" w:line="200" w:lineRule="exact"/>
        <w:rPr>
          <w:sz w:val="20"/>
          <w:szCs w:val="20"/>
          <w:color w:val="auto"/>
        </w:rPr>
      </w:pPr>
    </w:p>
    <w:p>
      <w:pPr>
        <w:spacing w:after="0" w:line="396"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D7282F"/>
        </w:rPr>
        <w:t xml:space="preserve">VIMAL KAPUR </w:t>
      </w:r>
      <w:r>
        <w:rPr>
          <w:rFonts w:ascii="Arial" w:cs="Arial" w:eastAsia="Arial" w:hAnsi="Arial"/>
          <w:sz w:val="18"/>
          <w:szCs w:val="18"/>
          <w:b w:val="1"/>
          <w:bCs w:val="1"/>
          <w:color w:val="000000"/>
        </w:rPr>
        <w:t>| 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120650</wp:posOffset>
            </wp:positionV>
            <wp:extent cx="4354830" cy="49720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4354830" cy="4972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 Annual</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 Compensation</w:t>
      </w:r>
    </w:p>
    <w:p>
      <w:pPr>
        <w:spacing w:after="0" w:line="306" w:lineRule="exact"/>
        <w:rPr>
          <w:sz w:val="20"/>
          <w:szCs w:val="20"/>
          <w:color w:val="auto"/>
        </w:rPr>
      </w:pPr>
    </w:p>
    <w:p>
      <w:pPr>
        <w:sectPr>
          <w:pgSz w:w="11900" w:h="16977" w:orient="portrait"/>
          <w:cols w:equalWidth="0" w:num="2">
            <w:col w:w="7440" w:space="720"/>
            <w:col w:w="3060"/>
          </w:cols>
          <w:pgMar w:left="320" w:top="230" w:right="359" w:bottom="0" w:gutter="0" w:footer="0" w:header="0"/>
          <w:type w:val="continuous"/>
        </w:sectPr>
      </w:pPr>
    </w:p>
    <w:p>
      <w:pPr>
        <w:spacing w:after="0" w:line="249" w:lineRule="exact"/>
        <w:rPr>
          <w:sz w:val="20"/>
          <w:szCs w:val="20"/>
          <w:color w:val="auto"/>
        </w:rPr>
      </w:pPr>
    </w:p>
    <w:p>
      <w:pPr>
        <w:jc w:val="right"/>
        <w:ind w:right="1660"/>
        <w:spacing w:after="0"/>
        <w:rPr>
          <w:sz w:val="20"/>
          <w:szCs w:val="20"/>
          <w:color w:val="auto"/>
        </w:rPr>
      </w:pPr>
      <w:r>
        <w:rPr>
          <w:rFonts w:ascii="Arial" w:cs="Arial" w:eastAsia="Arial" w:hAnsi="Arial"/>
          <w:sz w:val="25"/>
          <w:szCs w:val="25"/>
          <w:b w:val="1"/>
          <w:bCs w:val="1"/>
          <w:color w:val="D7282F"/>
        </w:rPr>
        <w:t>$19,606,983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D7282F"/>
        </w:rPr>
        <w:t xml:space="preserve">MICHAL STEPNIAK </w:t>
      </w:r>
      <w:r>
        <w:rPr>
          <w:rFonts w:ascii="Arial" w:cs="Arial" w:eastAsia="Arial" w:hAnsi="Arial"/>
          <w:sz w:val="18"/>
          <w:szCs w:val="18"/>
          <w:b w:val="1"/>
          <w:bCs w:val="1"/>
          <w:color w:val="000000"/>
        </w:rPr>
        <w:t>| SVP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120650</wp:posOffset>
            </wp:positionV>
            <wp:extent cx="4354830" cy="49720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4354830" cy="49720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8160"/>
        <w:spacing w:after="0"/>
        <w:rPr>
          <w:sz w:val="20"/>
          <w:szCs w:val="20"/>
          <w:color w:val="auto"/>
        </w:rPr>
      </w:pPr>
      <w:r>
        <w:rPr>
          <w:rFonts w:ascii="Arial" w:cs="Arial" w:eastAsia="Arial" w:hAnsi="Arial"/>
          <w:sz w:val="25"/>
          <w:szCs w:val="25"/>
          <w:b w:val="1"/>
          <w:bCs w:val="1"/>
          <w:color w:val="D7282F"/>
        </w:rPr>
        <w:t>$5,700,967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D7282F"/>
        </w:rPr>
        <w:t xml:space="preserve">JAMES CURRIER </w:t>
      </w:r>
      <w:r>
        <w:rPr>
          <w:rFonts w:ascii="Arial" w:cs="Arial" w:eastAsia="Arial" w:hAnsi="Arial"/>
          <w:sz w:val="18"/>
          <w:szCs w:val="18"/>
          <w:b w:val="1"/>
          <w:bCs w:val="1"/>
          <w:color w:val="000000"/>
        </w:rPr>
        <w:t>| President and CEO, Aerospace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103505</wp:posOffset>
            </wp:positionV>
            <wp:extent cx="4354830" cy="49720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4354830" cy="49720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8160"/>
        <w:spacing w:after="0"/>
        <w:rPr>
          <w:sz w:val="20"/>
          <w:szCs w:val="20"/>
          <w:color w:val="auto"/>
        </w:rPr>
      </w:pPr>
      <w:r>
        <w:rPr>
          <w:rFonts w:ascii="Arial" w:cs="Arial" w:eastAsia="Arial" w:hAnsi="Arial"/>
          <w:sz w:val="25"/>
          <w:szCs w:val="25"/>
          <w:b w:val="1"/>
          <w:bCs w:val="1"/>
          <w:color w:val="D7282F"/>
        </w:rPr>
        <w:t>$5,855,177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D7282F"/>
        </w:rPr>
        <w:t xml:space="preserve">JAMES MASSO </w:t>
      </w:r>
      <w:r>
        <w:rPr>
          <w:rFonts w:ascii="Arial" w:cs="Arial" w:eastAsia="Arial" w:hAnsi="Arial"/>
          <w:sz w:val="18"/>
          <w:szCs w:val="18"/>
          <w:b w:val="1"/>
          <w:bCs w:val="1"/>
          <w:color w:val="000000"/>
        </w:rPr>
        <w:t>| President and CEO, Process Automation</w:t>
      </w:r>
      <w:r>
        <w:rPr>
          <w:rFonts w:ascii="Arial" w:cs="Arial" w:eastAsia="Arial" w:hAnsi="Arial"/>
          <w:sz w:val="23"/>
          <w:szCs w:val="23"/>
          <w:b w:val="1"/>
          <w:bCs w:val="1"/>
          <w:color w:val="000000"/>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69850</wp:posOffset>
            </wp:positionV>
            <wp:extent cx="4354830" cy="49720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4354830" cy="497205"/>
                    </a:xfrm>
                    <a:prstGeom prst="rect">
                      <a:avLst/>
                    </a:prstGeom>
                    <a:noFill/>
                  </pic:spPr>
                </pic:pic>
              </a:graphicData>
            </a:graphic>
          </wp:anchor>
        </w:drawing>
      </w:r>
    </w:p>
    <w:p>
      <w:pPr>
        <w:spacing w:after="0" w:line="349" w:lineRule="exact"/>
        <w:rPr>
          <w:sz w:val="20"/>
          <w:szCs w:val="20"/>
          <w:color w:val="auto"/>
        </w:rPr>
      </w:pPr>
    </w:p>
    <w:p>
      <w:pPr>
        <w:ind w:left="8160"/>
        <w:spacing w:after="0"/>
        <w:rPr>
          <w:sz w:val="20"/>
          <w:szCs w:val="20"/>
          <w:color w:val="auto"/>
        </w:rPr>
      </w:pPr>
      <w:r>
        <w:rPr>
          <w:rFonts w:ascii="Arial" w:cs="Arial" w:eastAsia="Arial" w:hAnsi="Arial"/>
          <w:sz w:val="25"/>
          <w:szCs w:val="25"/>
          <w:b w:val="1"/>
          <w:bCs w:val="1"/>
          <w:color w:val="D7282F"/>
        </w:rPr>
        <w:t>$4,876,333</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D7282F"/>
        </w:rPr>
        <w:t xml:space="preserve">BILLAL HAMMOUD </w:t>
      </w:r>
      <w:r>
        <w:rPr>
          <w:rFonts w:ascii="Arial" w:cs="Arial" w:eastAsia="Arial" w:hAnsi="Arial"/>
          <w:sz w:val="18"/>
          <w:szCs w:val="18"/>
          <w:b w:val="1"/>
          <w:bCs w:val="1"/>
          <w:color w:val="000000"/>
        </w:rPr>
        <w:t>| President and CEO, Building Automation</w:t>
      </w:r>
      <w:r>
        <w:rPr>
          <w:rFonts w:ascii="Arial" w:cs="Arial" w:eastAsia="Arial" w:hAnsi="Arial"/>
          <w:sz w:val="23"/>
          <w:szCs w:val="23"/>
          <w:b w:val="1"/>
          <w:bCs w:val="1"/>
          <w:color w:val="000000"/>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69850</wp:posOffset>
            </wp:positionV>
            <wp:extent cx="4354830" cy="49720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4354830" cy="497205"/>
                    </a:xfrm>
                    <a:prstGeom prst="rect">
                      <a:avLst/>
                    </a:prstGeom>
                    <a:noFill/>
                  </pic:spPr>
                </pic:pic>
              </a:graphicData>
            </a:graphic>
          </wp:anchor>
        </w:drawing>
      </w:r>
    </w:p>
    <w:p>
      <w:pPr>
        <w:spacing w:after="0" w:line="349" w:lineRule="exact"/>
        <w:rPr>
          <w:sz w:val="20"/>
          <w:szCs w:val="20"/>
          <w:color w:val="auto"/>
        </w:rPr>
      </w:pPr>
    </w:p>
    <w:p>
      <w:pPr>
        <w:ind w:left="8160"/>
        <w:spacing w:after="0"/>
        <w:rPr>
          <w:sz w:val="20"/>
          <w:szCs w:val="20"/>
          <w:color w:val="auto"/>
        </w:rPr>
      </w:pPr>
      <w:r>
        <w:rPr>
          <w:rFonts w:ascii="Arial" w:cs="Arial" w:eastAsia="Arial" w:hAnsi="Arial"/>
          <w:sz w:val="25"/>
          <w:szCs w:val="25"/>
          <w:b w:val="1"/>
          <w:bCs w:val="1"/>
          <w:color w:val="D7282F"/>
        </w:rPr>
        <w:t>$4,534,424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sz w:val="1"/>
          <w:szCs w:val="1"/>
          <w:color w:val="auto"/>
        </w:rPr>
        <w:drawing>
          <wp:inline distT="0" distB="0" distL="0" distR="0">
            <wp:extent cx="548640" cy="102870"/>
            <wp:effectExtent l="0" t="0" r="0" b="0"/>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2026 NOTICE AND PROXY STATEMENT</w:t>
      </w:r>
    </w:p>
    <w:p>
      <w:pPr>
        <w:sectPr>
          <w:pgSz w:w="11900" w:h="16977" w:orient="portrait"/>
          <w:cols w:equalWidth="0" w:num="1">
            <w:col w:w="11220"/>
          </w:cols>
          <w:pgMar w:left="320" w:top="230" w:right="359" w:bottom="0" w:gutter="0" w:footer="0" w:header="0"/>
          <w:type w:val="continuous"/>
        </w:sectPr>
      </w:pPr>
    </w:p>
    <w:bookmarkStart w:id="69" w:name="page70"/>
    <w:bookmarkEnd w:id="69"/>
    <w:p>
      <w:pPr>
        <w:spacing w:after="0"/>
        <w:tabs>
          <w:tab w:leader="none" w:pos="473" w:val="left"/>
          <w:tab w:leader="none" w:pos="18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384810</wp:posOffset>
            </wp:positionV>
            <wp:extent cx="715772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516890</wp:posOffset>
            </wp:positionH>
            <wp:positionV relativeFrom="page">
              <wp:posOffset>88900</wp:posOffset>
            </wp:positionV>
            <wp:extent cx="548640" cy="5143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clrChange>
                        <a:clrFrom>
                          <a:srgbClr val="FFFFFF"/>
                        </a:clrFrom>
                        <a:clrTo>
                          <a:srgbClr val="FFFFFF">
                            <a:alpha val="0"/>
                          </a:srgbClr>
                        </a:clrTo>
                      </a:clrChange>
                      <a:extLst>
                        <a:ext uri="{28A0092B-C50C-407E-A947-70E740481C1C}"/>
                      </a:extLst>
                    </a:blip>
                    <a:srcRect/>
                    <a:stretch>
                      <a:fillRect/>
                    </a:stretch>
                  </pic:blipFill>
                  <pic:spPr bwMode="auto">
                    <a:xfrm>
                      <a:off x="0" y="0"/>
                      <a:ext cx="548640" cy="51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jc w:val="right"/>
        <w:spacing w:after="0"/>
        <w:rPr>
          <w:sz w:val="20"/>
          <w:szCs w:val="20"/>
          <w:color w:val="auto"/>
        </w:rPr>
      </w:pPr>
      <w:r>
        <w:rPr>
          <w:rFonts w:ascii="Arial" w:cs="Arial" w:eastAsia="Arial" w:hAnsi="Arial"/>
          <w:sz w:val="13"/>
          <w:szCs w:val="13"/>
          <w:b w:val="1"/>
          <w:bCs w:val="1"/>
          <w:color w:val="6D6E71"/>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D7282F"/>
        </w:rPr>
        <w:t xml:space="preserve">GREGORY P. LEWIS </w:t>
      </w:r>
      <w:r>
        <w:rPr>
          <w:rFonts w:ascii="Arial" w:cs="Arial" w:eastAsia="Arial" w:hAnsi="Arial"/>
          <w:sz w:val="18"/>
          <w:szCs w:val="18"/>
          <w:b w:val="1"/>
          <w:bCs w:val="1"/>
          <w:color w:val="000000"/>
        </w:rPr>
        <w:t>| Former SVP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103505</wp:posOffset>
            </wp:positionV>
            <wp:extent cx="4354830" cy="49720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4354830" cy="49720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348"/>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60" w:type="dxa"/>
            <w:vAlign w:val="bottom"/>
          </w:tcPr>
          <w:p>
            <w:pPr>
              <w:ind w:left="1100"/>
              <w:spacing w:after="0"/>
              <w:rPr>
                <w:sz w:val="20"/>
                <w:szCs w:val="20"/>
                <w:color w:val="auto"/>
              </w:rPr>
            </w:pPr>
            <w:r>
              <w:rPr>
                <w:rFonts w:ascii="Arial" w:cs="Arial" w:eastAsia="Arial" w:hAnsi="Arial"/>
                <w:sz w:val="25"/>
                <w:szCs w:val="25"/>
                <w:b w:val="1"/>
                <w:bCs w:val="1"/>
                <w:color w:val="D7282F"/>
              </w:rPr>
              <w:t>$1,797,804</w:t>
            </w:r>
          </w:p>
        </w:tc>
        <w:tc>
          <w:tcPr>
            <w:tcW w:w="0" w:type="dxa"/>
            <w:vAlign w:val="bottom"/>
          </w:tcPr>
          <w:p>
            <w:pPr>
              <w:spacing w:after="0"/>
              <w:rPr>
                <w:sz w:val="1"/>
                <w:szCs w:val="1"/>
                <w:color w:val="auto"/>
              </w:rPr>
            </w:pPr>
          </w:p>
        </w:tc>
      </w:tr>
      <w:tr>
        <w:trPr>
          <w:trHeight w:val="1012"/>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60" w:type="dxa"/>
            <w:vAlign w:val="bottom"/>
          </w:tcPr>
          <w:p>
            <w:pPr>
              <w:ind w:left="1100"/>
              <w:spacing w:after="0"/>
              <w:rPr>
                <w:sz w:val="20"/>
                <w:szCs w:val="20"/>
                <w:color w:val="auto"/>
              </w:rPr>
            </w:pPr>
            <w:r>
              <w:rPr>
                <w:rFonts w:ascii="Arial" w:cs="Arial" w:eastAsia="Arial" w:hAnsi="Arial"/>
                <w:sz w:val="16"/>
                <w:szCs w:val="16"/>
                <w:b w:val="1"/>
                <w:bCs w:val="1"/>
                <w:color w:val="auto"/>
              </w:rPr>
              <w:t>Total Annual</w:t>
            </w:r>
          </w:p>
        </w:tc>
        <w:tc>
          <w:tcPr>
            <w:tcW w:w="0" w:type="dxa"/>
            <w:vAlign w:val="bottom"/>
          </w:tcPr>
          <w:p>
            <w:pPr>
              <w:spacing w:after="0"/>
              <w:rPr>
                <w:sz w:val="1"/>
                <w:szCs w:val="1"/>
                <w:color w:val="auto"/>
              </w:rPr>
            </w:pPr>
          </w:p>
        </w:tc>
      </w:tr>
      <w:tr>
        <w:trPr>
          <w:trHeight w:val="223"/>
        </w:trPr>
        <w:tc>
          <w:tcPr>
            <w:tcW w:w="5920" w:type="dxa"/>
            <w:vAlign w:val="bottom"/>
            <w:gridSpan w:val="7"/>
            <w:vMerge w:val="restart"/>
          </w:tcPr>
          <w:p>
            <w:pPr>
              <w:spacing w:after="0"/>
              <w:rPr>
                <w:sz w:val="20"/>
                <w:szCs w:val="20"/>
                <w:color w:val="auto"/>
              </w:rPr>
            </w:pPr>
            <w:r>
              <w:rPr>
                <w:rFonts w:ascii="Arial" w:cs="Arial" w:eastAsia="Arial" w:hAnsi="Arial"/>
                <w:sz w:val="18"/>
                <w:szCs w:val="18"/>
                <w:b w:val="1"/>
                <w:bCs w:val="1"/>
                <w:color w:val="D7282F"/>
                <w:w w:val="99"/>
              </w:rPr>
              <w:t xml:space="preserve">LUCIAN BOLDEA </w:t>
            </w:r>
            <w:r>
              <w:rPr>
                <w:rFonts w:ascii="Arial" w:cs="Arial" w:eastAsia="Arial" w:hAnsi="Arial"/>
                <w:sz w:val="18"/>
                <w:szCs w:val="18"/>
                <w:b w:val="1"/>
                <w:bCs w:val="1"/>
                <w:color w:val="000000"/>
                <w:w w:val="99"/>
              </w:rPr>
              <w:t>| Former President and CEO, Industrial Automation</w:t>
            </w:r>
          </w:p>
        </w:tc>
        <w:tc>
          <w:tcPr>
            <w:tcW w:w="2760" w:type="dxa"/>
            <w:vAlign w:val="bottom"/>
          </w:tcPr>
          <w:p>
            <w:pPr>
              <w:ind w:left="1100"/>
              <w:spacing w:after="0"/>
              <w:rPr>
                <w:sz w:val="20"/>
                <w:szCs w:val="20"/>
                <w:color w:val="auto"/>
              </w:rPr>
            </w:pPr>
            <w:r>
              <w:rPr>
                <w:rFonts w:ascii="Arial" w:cs="Arial" w:eastAsia="Arial" w:hAnsi="Arial"/>
                <w:sz w:val="16"/>
                <w:szCs w:val="16"/>
                <w:b w:val="1"/>
                <w:bCs w:val="1"/>
                <w:color w:val="auto"/>
              </w:rPr>
              <w:t>Direct Compensation</w:t>
            </w:r>
          </w:p>
        </w:tc>
        <w:tc>
          <w:tcPr>
            <w:tcW w:w="0" w:type="dxa"/>
            <w:vAlign w:val="bottom"/>
          </w:tcPr>
          <w:p>
            <w:pPr>
              <w:spacing w:after="0"/>
              <w:rPr>
                <w:sz w:val="1"/>
                <w:szCs w:val="1"/>
                <w:color w:val="auto"/>
              </w:rPr>
            </w:pPr>
          </w:p>
        </w:tc>
      </w:tr>
      <w:tr>
        <w:trPr>
          <w:trHeight w:val="141"/>
        </w:trPr>
        <w:tc>
          <w:tcPr>
            <w:tcW w:w="5920" w:type="dxa"/>
            <w:vAlign w:val="bottom"/>
            <w:gridSpan w:val="7"/>
            <w:vMerge w:val="continue"/>
          </w:tcPr>
          <w:p>
            <w:pPr>
              <w:spacing w:after="0"/>
              <w:rPr>
                <w:sz w:val="12"/>
                <w:szCs w:val="12"/>
                <w:color w:val="auto"/>
              </w:rPr>
            </w:pPr>
          </w:p>
        </w:tc>
        <w:tc>
          <w:tcPr>
            <w:tcW w:w="2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90"/>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60" w:type="dxa"/>
            <w:vAlign w:val="bottom"/>
          </w:tcPr>
          <w:p>
            <w:pPr>
              <w:ind w:left="1100"/>
              <w:spacing w:after="0"/>
              <w:rPr>
                <w:sz w:val="20"/>
                <w:szCs w:val="20"/>
                <w:color w:val="auto"/>
              </w:rPr>
            </w:pPr>
            <w:r>
              <w:rPr>
                <w:rFonts w:ascii="Arial" w:cs="Arial" w:eastAsia="Arial" w:hAnsi="Arial"/>
                <w:sz w:val="25"/>
                <w:szCs w:val="25"/>
                <w:b w:val="1"/>
                <w:bCs w:val="1"/>
                <w:color w:val="D7282F"/>
              </w:rPr>
              <w:t>$4,578,003</w:t>
            </w:r>
          </w:p>
        </w:tc>
        <w:tc>
          <w:tcPr>
            <w:tcW w:w="0" w:type="dxa"/>
            <w:vAlign w:val="bottom"/>
          </w:tcPr>
          <w:p>
            <w:pPr>
              <w:spacing w:after="0"/>
              <w:rPr>
                <w:sz w:val="1"/>
                <w:szCs w:val="1"/>
                <w:color w:val="auto"/>
              </w:rPr>
            </w:pPr>
          </w:p>
        </w:tc>
      </w:tr>
      <w:tr>
        <w:trPr>
          <w:trHeight w:val="629"/>
        </w:trPr>
        <w:tc>
          <w:tcPr>
            <w:tcW w:w="20" w:type="dxa"/>
            <w:vAlign w:val="bottom"/>
            <w:vMerge w:val="restart"/>
          </w:tcPr>
          <w:p>
            <w:pPr>
              <w:spacing w:after="0"/>
              <w:rPr>
                <w:sz w:val="24"/>
                <w:szCs w:val="24"/>
                <w:color w:val="auto"/>
              </w:rPr>
            </w:pPr>
          </w:p>
        </w:tc>
        <w:tc>
          <w:tcPr>
            <w:tcW w:w="60" w:type="dxa"/>
            <w:vAlign w:val="bottom"/>
          </w:tcPr>
          <w:p>
            <w:pPr>
              <w:spacing w:after="0"/>
              <w:rPr>
                <w:sz w:val="24"/>
                <w:szCs w:val="24"/>
                <w:color w:val="auto"/>
              </w:rPr>
            </w:pPr>
          </w:p>
        </w:tc>
        <w:tc>
          <w:tcPr>
            <w:tcW w:w="292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 xml:space="preserve">Base Salary </w:t>
            </w:r>
            <w:r>
              <w:rPr>
                <w:rFonts w:ascii="Arial" w:cs="Arial" w:eastAsia="Arial" w:hAnsi="Arial"/>
                <w:sz w:val="16"/>
                <w:szCs w:val="16"/>
                <w:b w:val="1"/>
                <w:bCs w:val="1"/>
                <w:color w:val="auto"/>
                <w:vertAlign w:val="superscript"/>
              </w:rPr>
              <w:t>(1)</w:t>
            </w:r>
          </w:p>
        </w:tc>
        <w:tc>
          <w:tcPr>
            <w:tcW w:w="80" w:type="dxa"/>
            <w:vAlign w:val="bottom"/>
          </w:tcPr>
          <w:p>
            <w:pPr>
              <w:spacing w:after="0"/>
              <w:rPr>
                <w:sz w:val="24"/>
                <w:szCs w:val="24"/>
                <w:color w:val="auto"/>
              </w:rPr>
            </w:pPr>
          </w:p>
        </w:tc>
        <w:tc>
          <w:tcPr>
            <w:tcW w:w="234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Annual Incentive Plan (ICP)</w:t>
            </w:r>
            <w:r>
              <w:rPr>
                <w:rFonts w:ascii="Arial" w:cs="Arial" w:eastAsia="Arial" w:hAnsi="Arial"/>
                <w:sz w:val="16"/>
                <w:szCs w:val="16"/>
                <w:b w:val="1"/>
                <w:bCs w:val="1"/>
                <w:color w:val="auto"/>
                <w:vertAlign w:val="superscript"/>
              </w:rPr>
              <w:t>(2)</w:t>
            </w:r>
          </w:p>
        </w:tc>
        <w:tc>
          <w:tcPr>
            <w:tcW w:w="420" w:type="dxa"/>
            <w:vAlign w:val="bottom"/>
            <w:vMerge w:val="restart"/>
          </w:tcPr>
          <w:p>
            <w:pPr>
              <w:spacing w:after="0"/>
              <w:rPr>
                <w:sz w:val="24"/>
                <w:szCs w:val="24"/>
                <w:color w:val="auto"/>
              </w:rPr>
            </w:pPr>
          </w:p>
        </w:tc>
        <w:tc>
          <w:tcPr>
            <w:tcW w:w="80" w:type="dxa"/>
            <w:vAlign w:val="bottom"/>
          </w:tcPr>
          <w:p>
            <w:pPr>
              <w:spacing w:after="0"/>
              <w:rPr>
                <w:sz w:val="24"/>
                <w:szCs w:val="24"/>
                <w:color w:val="auto"/>
              </w:rPr>
            </w:pPr>
          </w:p>
        </w:tc>
        <w:tc>
          <w:tcPr>
            <w:tcW w:w="2760" w:type="dxa"/>
            <w:vAlign w:val="bottom"/>
            <w:vMerge w:val="restart"/>
          </w:tcPr>
          <w:p>
            <w:pPr>
              <w:ind w:left="40"/>
              <w:spacing w:after="0"/>
              <w:rPr>
                <w:sz w:val="20"/>
                <w:szCs w:val="20"/>
                <w:color w:val="auto"/>
              </w:rPr>
            </w:pPr>
            <w:r>
              <w:rPr>
                <w:rFonts w:ascii="Arial" w:cs="Arial" w:eastAsia="Arial" w:hAnsi="Arial"/>
                <w:sz w:val="13"/>
                <w:szCs w:val="13"/>
                <w:b w:val="1"/>
                <w:bCs w:val="1"/>
                <w:color w:val="auto"/>
                <w:w w:val="95"/>
              </w:rPr>
              <w:t>2025–2027 Performance Stock Units (PSUs)</w:t>
            </w:r>
            <w:r>
              <w:rPr>
                <w:rFonts w:ascii="Arial" w:cs="Arial" w:eastAsia="Arial" w:hAnsi="Arial"/>
                <w:sz w:val="16"/>
                <w:szCs w:val="16"/>
                <w:b w:val="1"/>
                <w:bCs w:val="1"/>
                <w:color w:val="auto"/>
                <w:w w:val="95"/>
                <w:vertAlign w:val="superscript"/>
              </w:rPr>
              <w:t>(3)</w:t>
            </w:r>
          </w:p>
        </w:tc>
        <w:tc>
          <w:tcPr>
            <w:tcW w:w="0" w:type="dxa"/>
            <w:vAlign w:val="bottom"/>
          </w:tcPr>
          <w:p>
            <w:pPr>
              <w:spacing w:after="0"/>
              <w:rPr>
                <w:sz w:val="1"/>
                <w:szCs w:val="1"/>
                <w:color w:val="auto"/>
              </w:rPr>
            </w:pPr>
          </w:p>
        </w:tc>
      </w:tr>
      <w:tr>
        <w:trPr>
          <w:trHeight w:val="78"/>
        </w:trPr>
        <w:tc>
          <w:tcPr>
            <w:tcW w:w="20" w:type="dxa"/>
            <w:vAlign w:val="bottom"/>
            <w:vMerge w:val="continue"/>
          </w:tcPr>
          <w:p>
            <w:pPr>
              <w:spacing w:after="0"/>
              <w:rPr>
                <w:sz w:val="6"/>
                <w:szCs w:val="6"/>
                <w:color w:val="auto"/>
              </w:rPr>
            </w:pPr>
          </w:p>
        </w:tc>
        <w:tc>
          <w:tcPr>
            <w:tcW w:w="60" w:type="dxa"/>
            <w:vAlign w:val="bottom"/>
            <w:shd w:val="clear" w:color="auto" w:fill="D9D9D9"/>
          </w:tcPr>
          <w:p>
            <w:pPr>
              <w:spacing w:after="0" w:line="58" w:lineRule="exact"/>
              <w:rPr>
                <w:sz w:val="20"/>
                <w:szCs w:val="20"/>
                <w:color w:val="auto"/>
              </w:rPr>
            </w:pPr>
            <w:r>
              <w:rPr>
                <w:rFonts w:ascii="Wingdings" w:cs="Wingdings" w:eastAsia="Wingdings" w:hAnsi="Wingdings"/>
                <w:sz w:val="6"/>
                <w:szCs w:val="6"/>
                <w:b w:val="1"/>
                <w:bCs w:val="1"/>
                <w:color w:val="auto"/>
                <w:highlight w:val="lightGray"/>
                <w:w w:val="88"/>
              </w:rPr>
              <w:t>n</w:t>
            </w:r>
          </w:p>
        </w:tc>
        <w:tc>
          <w:tcPr>
            <w:tcW w:w="2920" w:type="dxa"/>
            <w:vAlign w:val="bottom"/>
            <w:vMerge w:val="continue"/>
          </w:tcPr>
          <w:p>
            <w:pPr>
              <w:spacing w:after="0"/>
              <w:rPr>
                <w:sz w:val="6"/>
                <w:szCs w:val="6"/>
                <w:color w:val="auto"/>
              </w:rPr>
            </w:pPr>
          </w:p>
        </w:tc>
        <w:tc>
          <w:tcPr>
            <w:tcW w:w="80" w:type="dxa"/>
            <w:vAlign w:val="bottom"/>
            <w:shd w:val="clear" w:color="auto" w:fill="939598"/>
          </w:tcPr>
          <w:p>
            <w:pPr>
              <w:spacing w:after="0" w:line="58" w:lineRule="exact"/>
              <w:rPr>
                <w:sz w:val="20"/>
                <w:szCs w:val="20"/>
                <w:color w:val="auto"/>
              </w:rPr>
            </w:pPr>
            <w:r>
              <w:rPr>
                <w:rFonts w:ascii="Wingdings" w:cs="Wingdings" w:eastAsia="Wingdings" w:hAnsi="Wingdings"/>
                <w:sz w:val="6"/>
                <w:szCs w:val="6"/>
                <w:b w:val="1"/>
                <w:bCs w:val="1"/>
                <w:color w:val="auto"/>
                <w:shd w:val="clear" w:color="auto" w:fill="939598"/>
              </w:rPr>
              <w:t>n</w:t>
            </w:r>
          </w:p>
        </w:tc>
        <w:tc>
          <w:tcPr>
            <w:tcW w:w="2340" w:type="dxa"/>
            <w:vAlign w:val="bottom"/>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80" w:type="dxa"/>
            <w:vAlign w:val="bottom"/>
            <w:shd w:val="clear" w:color="auto" w:fill="6D6E71"/>
          </w:tcPr>
          <w:p>
            <w:pPr>
              <w:spacing w:after="0" w:line="58" w:lineRule="exact"/>
              <w:rPr>
                <w:sz w:val="20"/>
                <w:szCs w:val="20"/>
                <w:color w:val="auto"/>
              </w:rPr>
            </w:pPr>
            <w:r>
              <w:rPr>
                <w:rFonts w:ascii="Wingdings" w:cs="Wingdings" w:eastAsia="Wingdings" w:hAnsi="Wingdings"/>
                <w:sz w:val="6"/>
                <w:szCs w:val="6"/>
                <w:b w:val="1"/>
                <w:bCs w:val="1"/>
                <w:color w:val="auto"/>
                <w:shd w:val="clear" w:color="auto" w:fill="6D6E71"/>
              </w:rPr>
              <w:t>n</w:t>
            </w:r>
          </w:p>
        </w:tc>
        <w:tc>
          <w:tcPr>
            <w:tcW w:w="2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29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34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20" w:type="dxa"/>
            <w:vAlign w:val="bottom"/>
            <w:vMerge w:val="restart"/>
          </w:tcPr>
          <w:p>
            <w:pPr>
              <w:spacing w:after="0"/>
              <w:rPr>
                <w:sz w:val="21"/>
                <w:szCs w:val="21"/>
                <w:color w:val="auto"/>
              </w:rPr>
            </w:pPr>
          </w:p>
        </w:tc>
        <w:tc>
          <w:tcPr>
            <w:tcW w:w="60" w:type="dxa"/>
            <w:vAlign w:val="bottom"/>
          </w:tcPr>
          <w:p>
            <w:pPr>
              <w:spacing w:after="0"/>
              <w:rPr>
                <w:sz w:val="21"/>
                <w:szCs w:val="21"/>
                <w:color w:val="auto"/>
              </w:rPr>
            </w:pPr>
          </w:p>
        </w:tc>
        <w:tc>
          <w:tcPr>
            <w:tcW w:w="292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Stock Options</w:t>
            </w:r>
            <w:r>
              <w:rPr>
                <w:rFonts w:ascii="Arial" w:cs="Arial" w:eastAsia="Arial" w:hAnsi="Arial"/>
                <w:sz w:val="16"/>
                <w:szCs w:val="16"/>
                <w:b w:val="1"/>
                <w:bCs w:val="1"/>
                <w:color w:val="auto"/>
                <w:vertAlign w:val="superscript"/>
              </w:rPr>
              <w:t>(4)</w:t>
            </w:r>
          </w:p>
        </w:tc>
        <w:tc>
          <w:tcPr>
            <w:tcW w:w="80" w:type="dxa"/>
            <w:vAlign w:val="bottom"/>
          </w:tcPr>
          <w:p>
            <w:pPr>
              <w:spacing w:after="0"/>
              <w:rPr>
                <w:sz w:val="21"/>
                <w:szCs w:val="21"/>
                <w:color w:val="auto"/>
              </w:rPr>
            </w:pPr>
          </w:p>
        </w:tc>
        <w:tc>
          <w:tcPr>
            <w:tcW w:w="234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Restricted Stock Units (RSUs)</w:t>
            </w:r>
            <w:r>
              <w:rPr>
                <w:rFonts w:ascii="Arial" w:cs="Arial" w:eastAsia="Arial" w:hAnsi="Arial"/>
                <w:sz w:val="16"/>
                <w:szCs w:val="16"/>
                <w:b w:val="1"/>
                <w:bCs w:val="1"/>
                <w:color w:val="auto"/>
                <w:vertAlign w:val="superscript"/>
              </w:rPr>
              <w:t>(5)</w:t>
            </w: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8"/>
        </w:trPr>
        <w:tc>
          <w:tcPr>
            <w:tcW w:w="20" w:type="dxa"/>
            <w:vAlign w:val="bottom"/>
            <w:vMerge w:val="continue"/>
          </w:tcPr>
          <w:p>
            <w:pPr>
              <w:spacing w:after="0"/>
              <w:rPr>
                <w:sz w:val="6"/>
                <w:szCs w:val="6"/>
                <w:color w:val="auto"/>
              </w:rPr>
            </w:pPr>
          </w:p>
        </w:tc>
        <w:tc>
          <w:tcPr>
            <w:tcW w:w="60" w:type="dxa"/>
            <w:vAlign w:val="bottom"/>
            <w:shd w:val="clear" w:color="auto" w:fill="000000"/>
          </w:tcPr>
          <w:p>
            <w:pPr>
              <w:spacing w:after="0" w:line="58" w:lineRule="exact"/>
              <w:rPr>
                <w:sz w:val="20"/>
                <w:szCs w:val="20"/>
                <w:color w:val="auto"/>
              </w:rPr>
            </w:pPr>
            <w:r>
              <w:rPr>
                <w:rFonts w:ascii="Wingdings" w:cs="Wingdings" w:eastAsia="Wingdings" w:hAnsi="Wingdings"/>
                <w:sz w:val="6"/>
                <w:szCs w:val="6"/>
                <w:b w:val="1"/>
                <w:bCs w:val="1"/>
                <w:color w:val="auto"/>
                <w:highlight w:val="black"/>
                <w:w w:val="88"/>
              </w:rPr>
              <w:t>n</w:t>
            </w:r>
          </w:p>
        </w:tc>
        <w:tc>
          <w:tcPr>
            <w:tcW w:w="2920" w:type="dxa"/>
            <w:vAlign w:val="bottom"/>
            <w:vMerge w:val="continue"/>
          </w:tcPr>
          <w:p>
            <w:pPr>
              <w:spacing w:after="0"/>
              <w:rPr>
                <w:sz w:val="6"/>
                <w:szCs w:val="6"/>
                <w:color w:val="auto"/>
              </w:rPr>
            </w:pPr>
          </w:p>
        </w:tc>
        <w:tc>
          <w:tcPr>
            <w:tcW w:w="80" w:type="dxa"/>
            <w:vAlign w:val="bottom"/>
            <w:shd w:val="clear" w:color="auto" w:fill="D7282F"/>
          </w:tcPr>
          <w:p>
            <w:pPr>
              <w:spacing w:after="0" w:line="58" w:lineRule="exact"/>
              <w:rPr>
                <w:sz w:val="20"/>
                <w:szCs w:val="20"/>
                <w:color w:val="auto"/>
              </w:rPr>
            </w:pPr>
            <w:r>
              <w:rPr>
                <w:rFonts w:ascii="Wingdings" w:cs="Wingdings" w:eastAsia="Wingdings" w:hAnsi="Wingdings"/>
                <w:sz w:val="6"/>
                <w:szCs w:val="6"/>
                <w:b w:val="1"/>
                <w:bCs w:val="1"/>
                <w:color w:val="auto"/>
                <w:shd w:val="clear" w:color="auto" w:fill="D7282F"/>
              </w:rPr>
              <w:t>n</w:t>
            </w:r>
          </w:p>
        </w:tc>
        <w:tc>
          <w:tcPr>
            <w:tcW w:w="234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2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29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34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7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-1151890</wp:posOffset>
            </wp:positionV>
            <wp:extent cx="4114800" cy="47180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4114800" cy="471805"/>
                    </a:xfrm>
                    <a:prstGeom prst="rect">
                      <a:avLst/>
                    </a:prstGeom>
                    <a:noFill/>
                  </pic:spPr>
                </pic:pic>
              </a:graphicData>
            </a:graphic>
          </wp:anchor>
        </w:drawing>
      </w:r>
    </w:p>
    <w:p>
      <w:pPr>
        <w:spacing w:after="0" w:line="194" w:lineRule="exact"/>
        <w:rPr>
          <w:sz w:val="20"/>
          <w:szCs w:val="20"/>
          <w:color w:val="auto"/>
        </w:rPr>
      </w:pPr>
    </w:p>
    <w:p>
      <w:pPr>
        <w:ind w:left="200" w:hanging="192"/>
        <w:spacing w:after="0"/>
        <w:tabs>
          <w:tab w:leader="none" w:pos="200" w:val="left"/>
        </w:tabs>
        <w:numPr>
          <w:ilvl w:val="0"/>
          <w:numId w:val="144"/>
        </w:numPr>
        <w:rPr>
          <w:rFonts w:ascii="Arial" w:cs="Arial" w:eastAsia="Arial" w:hAnsi="Arial"/>
          <w:sz w:val="16"/>
          <w:szCs w:val="16"/>
          <w:color w:val="auto"/>
          <w:vertAlign w:val="superscript"/>
        </w:rPr>
      </w:pPr>
      <w:r>
        <w:rPr>
          <w:rFonts w:ascii="Arial" w:cs="Arial" w:eastAsia="Arial" w:hAnsi="Arial"/>
          <w:sz w:val="13"/>
          <w:szCs w:val="13"/>
          <w:color w:val="auto"/>
        </w:rPr>
        <w:t>Represents base salary actually paid in 2025.</w:t>
      </w:r>
    </w:p>
    <w:p>
      <w:pPr>
        <w:spacing w:after="0" w:line="50" w:lineRule="exact"/>
        <w:rPr>
          <w:rFonts w:ascii="Arial" w:cs="Arial" w:eastAsia="Arial" w:hAnsi="Arial"/>
          <w:sz w:val="16"/>
          <w:szCs w:val="16"/>
          <w:color w:val="auto"/>
          <w:vertAlign w:val="superscript"/>
        </w:rPr>
      </w:pPr>
    </w:p>
    <w:p>
      <w:pPr>
        <w:ind w:left="200" w:right="540" w:hanging="192"/>
        <w:spacing w:after="0" w:line="226" w:lineRule="auto"/>
        <w:tabs>
          <w:tab w:leader="none" w:pos="200" w:val="left"/>
        </w:tabs>
        <w:numPr>
          <w:ilvl w:val="0"/>
          <w:numId w:val="144"/>
        </w:numPr>
        <w:rPr>
          <w:rFonts w:ascii="Arial" w:cs="Arial" w:eastAsia="Arial" w:hAnsi="Arial"/>
          <w:sz w:val="16"/>
          <w:szCs w:val="16"/>
          <w:color w:val="auto"/>
          <w:vertAlign w:val="superscript"/>
        </w:rPr>
      </w:pPr>
      <w:r>
        <w:rPr>
          <w:rFonts w:ascii="Arial" w:cs="Arial" w:eastAsia="Arial" w:hAnsi="Arial"/>
          <w:sz w:val="13"/>
          <w:szCs w:val="13"/>
          <w:color w:val="auto"/>
        </w:rPr>
        <w:t>Annual ICP payouts determined 80% based on calculation against preset ICP financial goals, 15% based on individual assessments, and 5% based on performance against 2025 Corporate Responsibility KPIs. Mr. Boldea did not receive an ICP bonus.</w:t>
      </w:r>
    </w:p>
    <w:p>
      <w:pPr>
        <w:spacing w:after="0" w:line="45" w:lineRule="exact"/>
        <w:rPr>
          <w:rFonts w:ascii="Arial" w:cs="Arial" w:eastAsia="Arial" w:hAnsi="Arial"/>
          <w:sz w:val="16"/>
          <w:szCs w:val="16"/>
          <w:color w:val="auto"/>
          <w:vertAlign w:val="superscript"/>
        </w:rPr>
      </w:pPr>
    </w:p>
    <w:p>
      <w:pPr>
        <w:ind w:left="200" w:hanging="192"/>
        <w:spacing w:after="0"/>
        <w:tabs>
          <w:tab w:leader="none" w:pos="200" w:val="left"/>
        </w:tabs>
        <w:numPr>
          <w:ilvl w:val="0"/>
          <w:numId w:val="144"/>
        </w:numPr>
        <w:rPr>
          <w:rFonts w:ascii="Arial" w:cs="Arial" w:eastAsia="Arial" w:hAnsi="Arial"/>
          <w:sz w:val="16"/>
          <w:szCs w:val="16"/>
          <w:color w:val="auto"/>
          <w:vertAlign w:val="superscript"/>
        </w:rPr>
      </w:pPr>
      <w:r>
        <w:rPr>
          <w:rFonts w:ascii="Arial" w:cs="Arial" w:eastAsia="Arial" w:hAnsi="Arial"/>
          <w:sz w:val="13"/>
          <w:szCs w:val="13"/>
          <w:color w:val="auto"/>
        </w:rPr>
        <w:t>PSUs vest on the third anniversary of the grant date, if earned.</w:t>
      </w:r>
    </w:p>
    <w:p>
      <w:pPr>
        <w:spacing w:after="0" w:line="56" w:lineRule="exact"/>
        <w:rPr>
          <w:rFonts w:ascii="Arial" w:cs="Arial" w:eastAsia="Arial" w:hAnsi="Arial"/>
          <w:sz w:val="16"/>
          <w:szCs w:val="16"/>
          <w:color w:val="auto"/>
          <w:vertAlign w:val="superscript"/>
        </w:rPr>
      </w:pPr>
    </w:p>
    <w:p>
      <w:pPr>
        <w:ind w:left="200" w:hanging="192"/>
        <w:spacing w:after="0" w:line="207" w:lineRule="auto"/>
        <w:tabs>
          <w:tab w:leader="none" w:pos="200" w:val="left"/>
        </w:tabs>
        <w:numPr>
          <w:ilvl w:val="0"/>
          <w:numId w:val="144"/>
        </w:numPr>
        <w:rPr>
          <w:rFonts w:ascii="Arial" w:cs="Arial" w:eastAsia="Arial" w:hAnsi="Arial"/>
          <w:sz w:val="16"/>
          <w:szCs w:val="16"/>
          <w:color w:val="auto"/>
          <w:vertAlign w:val="superscript"/>
        </w:rPr>
      </w:pPr>
      <w:r>
        <w:rPr>
          <w:rFonts w:ascii="Arial" w:cs="Arial" w:eastAsia="Arial" w:hAnsi="Arial"/>
          <w:sz w:val="13"/>
          <w:szCs w:val="13"/>
          <w:color w:val="auto"/>
        </w:rPr>
        <w:t>Stock options vest ratably over four years and have a 10-year term.</w:t>
      </w:r>
    </w:p>
    <w:p>
      <w:pPr>
        <w:spacing w:after="0" w:line="57" w:lineRule="exact"/>
        <w:rPr>
          <w:rFonts w:ascii="Arial" w:cs="Arial" w:eastAsia="Arial" w:hAnsi="Arial"/>
          <w:sz w:val="16"/>
          <w:szCs w:val="16"/>
          <w:color w:val="auto"/>
          <w:vertAlign w:val="superscript"/>
        </w:rPr>
      </w:pPr>
    </w:p>
    <w:p>
      <w:pPr>
        <w:ind w:left="200" w:hanging="192"/>
        <w:spacing w:after="0" w:line="225" w:lineRule="auto"/>
        <w:tabs>
          <w:tab w:leader="none" w:pos="200" w:val="left"/>
        </w:tabs>
        <w:numPr>
          <w:ilvl w:val="0"/>
          <w:numId w:val="144"/>
        </w:numPr>
        <w:rPr>
          <w:rFonts w:ascii="Arial" w:cs="Arial" w:eastAsia="Arial" w:hAnsi="Arial"/>
          <w:sz w:val="16"/>
          <w:szCs w:val="16"/>
          <w:color w:val="auto"/>
          <w:vertAlign w:val="superscript"/>
        </w:rPr>
      </w:pPr>
      <w:r>
        <w:rPr>
          <w:rFonts w:ascii="Arial" w:cs="Arial" w:eastAsia="Arial" w:hAnsi="Arial"/>
          <w:sz w:val="13"/>
          <w:szCs w:val="13"/>
          <w:color w:val="auto"/>
        </w:rPr>
        <w:t>RSUs vest over a four-year period and are subject to stock ownership and post-vesting holding requirements.</w:t>
      </w:r>
    </w:p>
    <w:p>
      <w:pPr>
        <w:spacing w:after="0" w:line="57" w:lineRule="exact"/>
        <w:rPr>
          <w:rFonts w:ascii="Arial" w:cs="Arial" w:eastAsia="Arial" w:hAnsi="Arial"/>
          <w:sz w:val="16"/>
          <w:szCs w:val="16"/>
          <w:color w:val="auto"/>
          <w:vertAlign w:val="superscript"/>
        </w:rPr>
      </w:pPr>
    </w:p>
    <w:p>
      <w:pPr>
        <w:ind w:left="200" w:hanging="192"/>
        <w:spacing w:after="0" w:line="207" w:lineRule="auto"/>
        <w:tabs>
          <w:tab w:leader="none" w:pos="200" w:val="left"/>
        </w:tabs>
        <w:numPr>
          <w:ilvl w:val="0"/>
          <w:numId w:val="144"/>
        </w:numPr>
        <w:rPr>
          <w:rFonts w:ascii="Arial" w:cs="Arial" w:eastAsia="Arial" w:hAnsi="Arial"/>
          <w:sz w:val="16"/>
          <w:szCs w:val="16"/>
          <w:color w:val="auto"/>
          <w:vertAlign w:val="superscript"/>
        </w:rPr>
      </w:pPr>
      <w:r>
        <w:rPr>
          <w:rFonts w:ascii="Arial" w:cs="Arial" w:eastAsia="Arial" w:hAnsi="Arial"/>
          <w:sz w:val="13"/>
          <w:szCs w:val="13"/>
          <w:color w:val="auto"/>
        </w:rPr>
        <w:t>Includes Mr. Masso's one-time sign-on RSU award and Mr. Hammoud's one-time RSU award for business performance.</w:t>
      </w:r>
    </w:p>
    <w:p>
      <w:pPr>
        <w:spacing w:after="0" w:line="286"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TRANSACTION AWARDS</w:t>
      </w:r>
    </w:p>
    <w:p>
      <w:pPr>
        <w:spacing w:after="0" w:line="127" w:lineRule="exact"/>
        <w:rPr>
          <w:sz w:val="20"/>
          <w:szCs w:val="20"/>
          <w:color w:val="auto"/>
        </w:rPr>
      </w:pPr>
    </w:p>
    <w:p>
      <w:pPr>
        <w:ind w:right="140"/>
        <w:spacing w:after="0" w:line="262" w:lineRule="auto"/>
        <w:rPr>
          <w:sz w:val="20"/>
          <w:szCs w:val="20"/>
          <w:color w:val="auto"/>
        </w:rPr>
      </w:pPr>
      <w:r>
        <w:rPr>
          <w:rFonts w:ascii="Arial" w:cs="Arial" w:eastAsia="Arial" w:hAnsi="Arial"/>
          <w:sz w:val="16"/>
          <w:szCs w:val="16"/>
          <w:color w:val="auto"/>
        </w:rPr>
        <w:t>In February 2025, concurrent with the 2025 LTI grants, Honeywell granted Mr. Kapur, Mr. Stepniak, Mr. Currier, Mr. Hammoud, and Mr. Boldea one-time equity awards to safeguard continuity of leadership through the completion of the spin-offs and to incentivize leadership for the successful completion of Honeywell’s critical and unique transformational activities. The awards were designed to align actual payouts with shareowner experience over the vesting period, consisting of 60% stock options and 40% RSUs. These awards will vest 50% at the completion of the Honeywell Aerospace spin-off and 50% at the one-year anniversary of the spin-off. There is no value associated with these awards included in the Summary Compensation Table because no compensation expense was required to be recognized with respect to the award in 2025 due to the probable outcome of the performance based vesting condition.</w:t>
      </w:r>
    </w:p>
    <w:p>
      <w:pPr>
        <w:spacing w:after="0" w:line="25" w:lineRule="exact"/>
        <w:rPr>
          <w:sz w:val="20"/>
          <w:szCs w:val="20"/>
          <w:color w:val="auto"/>
        </w:rPr>
      </w:pPr>
    </w:p>
    <w:p>
      <w:pPr>
        <w:ind w:right="220"/>
        <w:spacing w:after="0" w:line="268" w:lineRule="auto"/>
        <w:rPr>
          <w:sz w:val="20"/>
          <w:szCs w:val="20"/>
          <w:color w:val="auto"/>
        </w:rPr>
      </w:pPr>
      <w:r>
        <w:rPr>
          <w:rFonts w:ascii="Arial" w:cs="Arial" w:eastAsia="Arial" w:hAnsi="Arial"/>
          <w:sz w:val="16"/>
          <w:szCs w:val="16"/>
          <w:color w:val="auto"/>
        </w:rPr>
        <w:t>The number of shares and stock options reflect the equitable adjustments that were made to all outstanding Honeywell equity awards held by the NEOs in connection with the completion of Honeywell’s spin-off of Solstice Advanced Materials.</w:t>
      </w:r>
    </w:p>
    <w:p>
      <w:pPr>
        <w:spacing w:after="0" w:line="75"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These one-time awards were unique to the circumstances of Honeywell’s spin-offs and portfolio transformation, and the MDCC does not intend to grant additional one-time awards to the NEOs in the foreseeable future.</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Mr. Boldea's transaction award was forfeited upon his separation from Honeywell on September 1, 2025.</w:t>
      </w:r>
    </w:p>
    <w:p>
      <w:pPr>
        <w:spacing w:after="0" w:line="304"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2025 BASE SALARY DECISIONS</w:t>
      </w:r>
    </w:p>
    <w:p>
      <w:pPr>
        <w:spacing w:after="0" w:line="127"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In 2025, the MDCC approved base salary actions for each NEO based on an assessment of performance and pay positioning against comparable positions in Compensation Peer Group companies. All base salary increases were effective March 31, 2025 (unless otherwise noted).</w:t>
      </w:r>
    </w:p>
    <w:p>
      <w:pPr>
        <w:spacing w:after="0" w:line="61" w:lineRule="exact"/>
        <w:rPr>
          <w:sz w:val="20"/>
          <w:szCs w:val="20"/>
          <w:color w:val="auto"/>
        </w:rPr>
      </w:pPr>
    </w:p>
    <w:p>
      <w:pPr>
        <w:ind w:left="200" w:hanging="192"/>
        <w:spacing w:after="0"/>
        <w:tabs>
          <w:tab w:leader="none" w:pos="200" w:val="left"/>
        </w:tabs>
        <w:numPr>
          <w:ilvl w:val="0"/>
          <w:numId w:val="145"/>
        </w:numPr>
        <w:rPr>
          <w:rFonts w:ascii="Arial" w:cs="Arial" w:eastAsia="Arial" w:hAnsi="Arial"/>
          <w:sz w:val="16"/>
          <w:szCs w:val="16"/>
          <w:b w:val="1"/>
          <w:bCs w:val="1"/>
          <w:color w:val="D7282F"/>
        </w:rPr>
      </w:pPr>
      <w:r>
        <w:rPr>
          <w:rFonts w:ascii="Arial" w:cs="Arial" w:eastAsia="Arial" w:hAnsi="Arial"/>
          <w:sz w:val="16"/>
          <w:szCs w:val="16"/>
          <w:color w:val="auto"/>
        </w:rPr>
        <w:t>Mr. Kapur had no base salary increase in 2025.</w:t>
      </w:r>
    </w:p>
    <w:p>
      <w:pPr>
        <w:spacing w:after="0" w:line="72" w:lineRule="exact"/>
        <w:rPr>
          <w:rFonts w:ascii="Arial" w:cs="Arial" w:eastAsia="Arial" w:hAnsi="Arial"/>
          <w:sz w:val="16"/>
          <w:szCs w:val="16"/>
          <w:b w:val="1"/>
          <w:bCs w:val="1"/>
          <w:color w:val="D7282F"/>
        </w:rPr>
      </w:pPr>
    </w:p>
    <w:p>
      <w:pPr>
        <w:ind w:left="200" w:right="380" w:hanging="192"/>
        <w:spacing w:after="0" w:line="304" w:lineRule="auto"/>
        <w:tabs>
          <w:tab w:leader="none" w:pos="197" w:val="left"/>
        </w:tabs>
        <w:numPr>
          <w:ilvl w:val="0"/>
          <w:numId w:val="145"/>
        </w:numPr>
        <w:rPr>
          <w:rFonts w:ascii="Arial" w:cs="Arial" w:eastAsia="Arial" w:hAnsi="Arial"/>
          <w:sz w:val="16"/>
          <w:szCs w:val="16"/>
          <w:b w:val="1"/>
          <w:bCs w:val="1"/>
          <w:color w:val="D7282F"/>
        </w:rPr>
      </w:pPr>
      <w:r>
        <w:rPr>
          <w:rFonts w:ascii="Arial" w:cs="Arial" w:eastAsia="Arial" w:hAnsi="Arial"/>
          <w:sz w:val="16"/>
          <w:szCs w:val="16"/>
          <w:color w:val="auto"/>
        </w:rPr>
        <w:t>Mr. Stepniak's base salary increased by 54.2% to $925,000 on February 17, 2025 upon his appointment to Senior Vice President and Chief Financial Officer.</w:t>
      </w:r>
    </w:p>
    <w:p>
      <w:pPr>
        <w:spacing w:after="0" w:line="6" w:lineRule="exact"/>
        <w:rPr>
          <w:rFonts w:ascii="Arial" w:cs="Arial" w:eastAsia="Arial" w:hAnsi="Arial"/>
          <w:sz w:val="16"/>
          <w:szCs w:val="16"/>
          <w:b w:val="1"/>
          <w:bCs w:val="1"/>
          <w:color w:val="D7282F"/>
        </w:rPr>
      </w:pPr>
    </w:p>
    <w:p>
      <w:pPr>
        <w:ind w:left="200" w:hanging="192"/>
        <w:spacing w:after="0"/>
        <w:tabs>
          <w:tab w:leader="none" w:pos="200" w:val="left"/>
        </w:tabs>
        <w:numPr>
          <w:ilvl w:val="0"/>
          <w:numId w:val="145"/>
        </w:numPr>
        <w:rPr>
          <w:rFonts w:ascii="Arial" w:cs="Arial" w:eastAsia="Arial" w:hAnsi="Arial"/>
          <w:sz w:val="16"/>
          <w:szCs w:val="16"/>
          <w:b w:val="1"/>
          <w:bCs w:val="1"/>
          <w:color w:val="D7282F"/>
        </w:rPr>
      </w:pPr>
      <w:r>
        <w:rPr>
          <w:rFonts w:ascii="Arial" w:cs="Arial" w:eastAsia="Arial" w:hAnsi="Arial"/>
          <w:sz w:val="16"/>
          <w:szCs w:val="16"/>
          <w:color w:val="auto"/>
        </w:rPr>
        <w:t>Mr. Currier's base salary increased by 10% to $847,000 based on positioning in the compensation market range.</w:t>
      </w:r>
    </w:p>
    <w:p>
      <w:pPr>
        <w:spacing w:after="0" w:line="72" w:lineRule="exact"/>
        <w:rPr>
          <w:rFonts w:ascii="Arial" w:cs="Arial" w:eastAsia="Arial" w:hAnsi="Arial"/>
          <w:sz w:val="16"/>
          <w:szCs w:val="16"/>
          <w:b w:val="1"/>
          <w:bCs w:val="1"/>
          <w:color w:val="D7282F"/>
        </w:rPr>
      </w:pPr>
    </w:p>
    <w:p>
      <w:pPr>
        <w:ind w:left="200" w:hanging="192"/>
        <w:spacing w:after="0"/>
        <w:tabs>
          <w:tab w:leader="none" w:pos="200" w:val="left"/>
        </w:tabs>
        <w:numPr>
          <w:ilvl w:val="0"/>
          <w:numId w:val="145"/>
        </w:numPr>
        <w:rPr>
          <w:rFonts w:ascii="Arial" w:cs="Arial" w:eastAsia="Arial" w:hAnsi="Arial"/>
          <w:sz w:val="16"/>
          <w:szCs w:val="16"/>
          <w:b w:val="1"/>
          <w:bCs w:val="1"/>
          <w:color w:val="D7282F"/>
        </w:rPr>
      </w:pPr>
      <w:r>
        <w:rPr>
          <w:rFonts w:ascii="Arial" w:cs="Arial" w:eastAsia="Arial" w:hAnsi="Arial"/>
          <w:sz w:val="16"/>
          <w:szCs w:val="16"/>
          <w:color w:val="auto"/>
        </w:rPr>
        <w:t>Mr. Masso's base salary was $675,000 as of his hire date on July 14, 2025.</w:t>
      </w:r>
    </w:p>
    <w:p>
      <w:pPr>
        <w:spacing w:after="0" w:line="86" w:lineRule="exact"/>
        <w:rPr>
          <w:rFonts w:ascii="Arial" w:cs="Arial" w:eastAsia="Arial" w:hAnsi="Arial"/>
          <w:sz w:val="16"/>
          <w:szCs w:val="16"/>
          <w:b w:val="1"/>
          <w:bCs w:val="1"/>
          <w:color w:val="D7282F"/>
        </w:rPr>
      </w:pPr>
    </w:p>
    <w:p>
      <w:pPr>
        <w:ind w:left="200" w:hanging="192"/>
        <w:spacing w:after="0"/>
        <w:tabs>
          <w:tab w:leader="none" w:pos="200" w:val="left"/>
        </w:tabs>
        <w:numPr>
          <w:ilvl w:val="0"/>
          <w:numId w:val="145"/>
        </w:numPr>
        <w:rPr>
          <w:rFonts w:ascii="Arial" w:cs="Arial" w:eastAsia="Arial" w:hAnsi="Arial"/>
          <w:sz w:val="16"/>
          <w:szCs w:val="16"/>
          <w:b w:val="1"/>
          <w:bCs w:val="1"/>
          <w:color w:val="D7282F"/>
        </w:rPr>
      </w:pPr>
      <w:r>
        <w:rPr>
          <w:rFonts w:ascii="Arial" w:cs="Arial" w:eastAsia="Arial" w:hAnsi="Arial"/>
          <w:sz w:val="16"/>
          <w:szCs w:val="16"/>
          <w:color w:val="auto"/>
        </w:rPr>
        <w:t>Mr. Hammoud's base salary increased by 3.5% to $700,000.</w:t>
      </w:r>
    </w:p>
    <w:p>
      <w:pPr>
        <w:spacing w:after="0" w:line="86" w:lineRule="exact"/>
        <w:rPr>
          <w:rFonts w:ascii="Arial" w:cs="Arial" w:eastAsia="Arial" w:hAnsi="Arial"/>
          <w:sz w:val="16"/>
          <w:szCs w:val="16"/>
          <w:b w:val="1"/>
          <w:bCs w:val="1"/>
          <w:color w:val="D7282F"/>
        </w:rPr>
      </w:pPr>
    </w:p>
    <w:p>
      <w:pPr>
        <w:ind w:left="200" w:right="600" w:hanging="192"/>
        <w:spacing w:after="0" w:line="286" w:lineRule="auto"/>
        <w:tabs>
          <w:tab w:leader="none" w:pos="197" w:val="left"/>
        </w:tabs>
        <w:numPr>
          <w:ilvl w:val="0"/>
          <w:numId w:val="145"/>
        </w:numPr>
        <w:rPr>
          <w:rFonts w:ascii="Arial" w:cs="Arial" w:eastAsia="Arial" w:hAnsi="Arial"/>
          <w:sz w:val="16"/>
          <w:szCs w:val="16"/>
          <w:b w:val="1"/>
          <w:bCs w:val="1"/>
          <w:color w:val="D7282F"/>
        </w:rPr>
      </w:pPr>
      <w:r>
        <w:rPr>
          <w:rFonts w:ascii="Arial" w:cs="Arial" w:eastAsia="Arial" w:hAnsi="Arial"/>
          <w:sz w:val="16"/>
          <w:szCs w:val="16"/>
          <w:color w:val="auto"/>
        </w:rPr>
        <w:t>Mr. Lewis's base salary was decreased to $750,000 on February 17, 2025 upon his transition to Senior Vice President, Transformation and Senior Advisor. Effective June 1, 2025, Mr. Lewis's base salary was decreased to $100,000 upon his transition to Senior Advisor.</w:t>
      </w:r>
    </w:p>
    <w:p>
      <w:pPr>
        <w:spacing w:after="0" w:line="20" w:lineRule="exact"/>
        <w:rPr>
          <w:rFonts w:ascii="Arial" w:cs="Arial" w:eastAsia="Arial" w:hAnsi="Arial"/>
          <w:sz w:val="16"/>
          <w:szCs w:val="16"/>
          <w:b w:val="1"/>
          <w:bCs w:val="1"/>
          <w:color w:val="D7282F"/>
        </w:rPr>
      </w:pPr>
    </w:p>
    <w:p>
      <w:pPr>
        <w:ind w:left="200" w:hanging="192"/>
        <w:spacing w:after="0"/>
        <w:tabs>
          <w:tab w:leader="none" w:pos="200" w:val="left"/>
        </w:tabs>
        <w:numPr>
          <w:ilvl w:val="0"/>
          <w:numId w:val="145"/>
        </w:numPr>
        <w:rPr>
          <w:rFonts w:ascii="Arial" w:cs="Arial" w:eastAsia="Arial" w:hAnsi="Arial"/>
          <w:sz w:val="16"/>
          <w:szCs w:val="16"/>
          <w:b w:val="1"/>
          <w:bCs w:val="1"/>
          <w:color w:val="D7282F"/>
        </w:rPr>
      </w:pPr>
      <w:r>
        <w:rPr>
          <w:rFonts w:ascii="Arial" w:cs="Arial" w:eastAsia="Arial" w:hAnsi="Arial"/>
          <w:sz w:val="16"/>
          <w:szCs w:val="16"/>
          <w:color w:val="auto"/>
        </w:rPr>
        <w:t>Mr. Boldea did not receive a salary increase in 2025.</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2026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65</w:t>
            </w:r>
          </w:p>
        </w:tc>
      </w:tr>
      <w:tr>
        <w:trPr>
          <w:trHeight w:val="373"/>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122" w:gutter="0" w:footer="0" w:header="0"/>
        </w:sectPr>
      </w:pPr>
    </w:p>
    <w:bookmarkStart w:id="71" w:name="page72"/>
    <w:bookmarkEnd w:id="71"/>
    <w:p>
      <w:pPr>
        <w:spacing w:after="0"/>
        <w:rPr>
          <w:sz w:val="20"/>
          <w:szCs w:val="20"/>
          <w:color w:val="auto"/>
        </w:rPr>
      </w:pPr>
      <w:r>
        <w:rPr>
          <w:rFonts w:ascii="Arial" w:cs="Arial" w:eastAsia="Arial" w:hAnsi="Arial"/>
          <w:sz w:val="13"/>
          <w:szCs w:val="13"/>
          <w:b w:val="1"/>
          <w:bCs w:val="1"/>
          <w:color w:val="6D6E71"/>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2025 ANNUAL INCENTIVE COMPENSATION PLAN DECISIONS</w:t>
      </w:r>
    </w:p>
    <w:p>
      <w:pPr>
        <w:spacing w:after="0" w:line="127"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As prescribed in Honeywell's ICP program, 80% of the ICP awards earned by the NEOs was determined based on performance against financial targets established by the MDCC in early February 2025 (based on the mid-point of external guidance), 15% of the awards was determined based on the MDCC’s qualitative assessment of individual 2025 performance against objectives and their significant accomplishments (described beginning on page 68), and 5% of the awards was determined based on the MDCC's assessment of performance against Corporate Responsibility KPIs set for 2025. The potential attainment percentage for each of the formulaic, individual qualitative, and Corporate Responsibility portions of the award could range from 0% to 200% of target.</w:t>
      </w:r>
    </w:p>
    <w:p>
      <w:pPr>
        <w:spacing w:after="0" w:line="55" w:lineRule="exact"/>
        <w:rPr>
          <w:sz w:val="20"/>
          <w:szCs w:val="20"/>
          <w:color w:val="auto"/>
        </w:rPr>
      </w:pPr>
    </w:p>
    <w:p>
      <w:pPr>
        <w:ind w:right="160"/>
        <w:spacing w:after="0" w:line="268" w:lineRule="auto"/>
        <w:rPr>
          <w:sz w:val="20"/>
          <w:szCs w:val="20"/>
          <w:color w:val="auto"/>
        </w:rPr>
      </w:pPr>
      <w:r>
        <w:rPr>
          <w:rFonts w:ascii="Arial" w:cs="Arial" w:eastAsia="Arial" w:hAnsi="Arial"/>
          <w:sz w:val="16"/>
          <w:szCs w:val="16"/>
          <w:color w:val="auto"/>
        </w:rPr>
        <w:t>Individual 2025 ICP target amounts for the NEOs were determined by multiplying their 2025 ICP applicable base salary by their individual ICP target award percentage.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Individual ICP target award percentages for 2025 were:</w:t>
      </w:r>
    </w:p>
    <w:p>
      <w:pPr>
        <w:spacing w:after="0" w:line="73" w:lineRule="exact"/>
        <w:rPr>
          <w:sz w:val="20"/>
          <w:szCs w:val="20"/>
          <w:color w:val="auto"/>
        </w:rPr>
      </w:pPr>
    </w:p>
    <w:p>
      <w:pPr>
        <w:ind w:left="200" w:hanging="192"/>
        <w:spacing w:after="0"/>
        <w:tabs>
          <w:tab w:leader="none" w:pos="200" w:val="left"/>
        </w:tabs>
        <w:numPr>
          <w:ilvl w:val="0"/>
          <w:numId w:val="146"/>
        </w:numPr>
        <w:rPr>
          <w:rFonts w:ascii="Arial" w:cs="Arial" w:eastAsia="Arial" w:hAnsi="Arial"/>
          <w:sz w:val="16"/>
          <w:szCs w:val="16"/>
          <w:b w:val="1"/>
          <w:bCs w:val="1"/>
          <w:color w:val="D7282F"/>
        </w:rPr>
      </w:pPr>
      <w:r>
        <w:rPr>
          <w:rFonts w:ascii="Arial" w:cs="Arial" w:eastAsia="Arial" w:hAnsi="Arial"/>
          <w:sz w:val="16"/>
          <w:szCs w:val="16"/>
          <w:color w:val="auto"/>
        </w:rPr>
        <w:t>Mr. Kapur: 175%.</w:t>
      </w:r>
    </w:p>
    <w:p>
      <w:pPr>
        <w:spacing w:after="0" w:line="86" w:lineRule="exact"/>
        <w:rPr>
          <w:rFonts w:ascii="Arial" w:cs="Arial" w:eastAsia="Arial" w:hAnsi="Arial"/>
          <w:sz w:val="16"/>
          <w:szCs w:val="16"/>
          <w:b w:val="1"/>
          <w:bCs w:val="1"/>
          <w:color w:val="D7282F"/>
        </w:rPr>
      </w:pPr>
    </w:p>
    <w:p>
      <w:pPr>
        <w:ind w:left="200" w:hanging="192"/>
        <w:spacing w:after="0"/>
        <w:tabs>
          <w:tab w:leader="none" w:pos="200" w:val="left"/>
        </w:tabs>
        <w:numPr>
          <w:ilvl w:val="0"/>
          <w:numId w:val="146"/>
        </w:numPr>
        <w:rPr>
          <w:rFonts w:ascii="Arial" w:cs="Arial" w:eastAsia="Arial" w:hAnsi="Arial"/>
          <w:sz w:val="16"/>
          <w:szCs w:val="16"/>
          <w:b w:val="1"/>
          <w:bCs w:val="1"/>
          <w:color w:val="D7282F"/>
        </w:rPr>
      </w:pPr>
      <w:r>
        <w:rPr>
          <w:rFonts w:ascii="Arial" w:cs="Arial" w:eastAsia="Arial" w:hAnsi="Arial"/>
          <w:sz w:val="16"/>
          <w:szCs w:val="16"/>
          <w:color w:val="auto"/>
        </w:rPr>
        <w:t>Other NEOs: 100%.</w:t>
      </w:r>
    </w:p>
    <w:p>
      <w:pPr>
        <w:spacing w:after="0" w:line="25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ICP FORMULAIC PORTION (80% OF TARGET AWARD)</w:t>
      </w:r>
    </w:p>
    <w:p>
      <w:pPr>
        <w:spacing w:after="0" w:line="128"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The following table describes each of the financial ICP metrics and the relative weighting percentage for each metric that is included in the formulaic portion of the ICP payout (i.e., 80%) for each NEO.</w:t>
      </w:r>
    </w:p>
    <w:p>
      <w:pPr>
        <w:spacing w:after="0" w:line="33"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For Messrs. Kapur, Lewis, and Stepniak (Corporate NEOs), the formulaic portion of their ICP award was based entirely on Company-wide (Total Honeywell) sales, adjusted EPS, and free cash flow. For Messrs. Currier, Hammoud, and Masso (Business Unit NEOs), in addition to Total Honeywell sales, adjusted EPS, and free cash flow, the MDCC also established business unit targets, which represented 50% of the ICP calculation.</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Due to his separation from Honeywell, Mr. Boldea did not receive a 2025 ICP award.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ICP Weighting</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560" w:type="dxa"/>
            <w:vAlign w:val="bottom"/>
          </w:tcPr>
          <w:p>
            <w:pPr>
              <w:spacing w:after="0"/>
              <w:rPr>
                <w:sz w:val="17"/>
                <w:szCs w:val="17"/>
                <w:color w:val="auto"/>
              </w:rPr>
            </w:pPr>
          </w:p>
        </w:tc>
        <w:tc>
          <w:tcPr>
            <w:tcW w:w="1780" w:type="dxa"/>
            <w:vAlign w:val="bottom"/>
          </w:tcPr>
          <w:p>
            <w:pPr>
              <w:jc w:val="right"/>
              <w:ind w:right="48"/>
              <w:spacing w:after="0"/>
              <w:rPr>
                <w:sz w:val="20"/>
                <w:szCs w:val="20"/>
                <w:color w:val="auto"/>
              </w:rPr>
            </w:pPr>
            <w:r>
              <w:rPr>
                <w:rFonts w:ascii="Arial" w:cs="Arial" w:eastAsia="Arial" w:hAnsi="Arial"/>
                <w:sz w:val="14"/>
                <w:szCs w:val="14"/>
                <w:b w:val="1"/>
                <w:bCs w:val="1"/>
                <w:color w:val="auto"/>
              </w:rPr>
              <w:t>(Formulaic)</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1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560" w:type="dxa"/>
            <w:vAlign w:val="bottom"/>
          </w:tcPr>
          <w:p>
            <w:pPr>
              <w:spacing w:after="0"/>
              <w:rPr>
                <w:sz w:val="2"/>
                <w:szCs w:val="2"/>
                <w:color w:val="auto"/>
              </w:rPr>
            </w:pPr>
          </w:p>
        </w:tc>
        <w:tc>
          <w:tcPr>
            <w:tcW w:w="1780" w:type="dxa"/>
            <w:vAlign w:val="bottom"/>
            <w:tcBorders>
              <w:bottom w:val="single" w:sz="8" w:color="D7282F"/>
            </w:tcBorders>
          </w:tcPr>
          <w:p>
            <w:pPr>
              <w:spacing w:after="0"/>
              <w:rPr>
                <w:sz w:val="2"/>
                <w:szCs w:val="2"/>
                <w:color w:val="auto"/>
              </w:rPr>
            </w:pPr>
          </w:p>
        </w:tc>
        <w:tc>
          <w:tcPr>
            <w:tcW w:w="760" w:type="dxa"/>
            <w:vAlign w:val="bottom"/>
            <w:tcBorders>
              <w:bottom w:val="single" w:sz="8" w:color="D7282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ICP Metric</w:t>
            </w:r>
          </w:p>
        </w:tc>
        <w:tc>
          <w:tcPr>
            <w:tcW w:w="480" w:type="dxa"/>
            <w:vAlign w:val="bottom"/>
          </w:tcPr>
          <w:p>
            <w:pPr>
              <w:spacing w:after="0"/>
              <w:rPr>
                <w:sz w:val="17"/>
                <w:szCs w:val="17"/>
                <w:color w:val="auto"/>
              </w:rPr>
            </w:pPr>
          </w:p>
        </w:tc>
        <w:tc>
          <w:tcPr>
            <w:tcW w:w="65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Significance</w:t>
            </w:r>
          </w:p>
        </w:tc>
        <w:tc>
          <w:tcPr>
            <w:tcW w:w="1780" w:type="dxa"/>
            <w:vAlign w:val="bottom"/>
          </w:tcPr>
          <w:p>
            <w:pPr>
              <w:jc w:val="right"/>
              <w:ind w:right="448"/>
              <w:spacing w:after="0"/>
              <w:rPr>
                <w:sz w:val="20"/>
                <w:szCs w:val="20"/>
                <w:color w:val="auto"/>
              </w:rPr>
            </w:pPr>
            <w:r>
              <w:rPr>
                <w:rFonts w:ascii="Arial" w:cs="Arial" w:eastAsia="Arial" w:hAnsi="Arial"/>
                <w:sz w:val="14"/>
                <w:szCs w:val="14"/>
                <w:b w:val="1"/>
                <w:bCs w:val="1"/>
                <w:color w:val="auto"/>
              </w:rPr>
              <w:t>Corporate</w:t>
            </w:r>
          </w:p>
        </w:tc>
        <w:tc>
          <w:tcPr>
            <w:tcW w:w="7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Business</w:t>
            </w:r>
          </w:p>
        </w:tc>
        <w:tc>
          <w:tcPr>
            <w:tcW w:w="0" w:type="dxa"/>
            <w:vAlign w:val="bottom"/>
          </w:tcPr>
          <w:p>
            <w:pPr>
              <w:spacing w:after="0"/>
              <w:rPr>
                <w:sz w:val="1"/>
                <w:szCs w:val="1"/>
                <w:color w:val="auto"/>
              </w:rPr>
            </w:pPr>
          </w:p>
        </w:tc>
      </w:tr>
      <w:tr>
        <w:trPr>
          <w:trHeight w:val="102"/>
        </w:trPr>
        <w:tc>
          <w:tcPr>
            <w:tcW w:w="164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6560" w:type="dxa"/>
            <w:vAlign w:val="bottom"/>
            <w:vMerge w:val="continue"/>
          </w:tcPr>
          <w:p>
            <w:pPr>
              <w:spacing w:after="0"/>
              <w:rPr>
                <w:sz w:val="8"/>
                <w:szCs w:val="8"/>
                <w:color w:val="auto"/>
              </w:rPr>
            </w:pPr>
          </w:p>
        </w:tc>
        <w:tc>
          <w:tcPr>
            <w:tcW w:w="178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NEOs</w:t>
            </w:r>
          </w:p>
        </w:tc>
        <w:tc>
          <w:tcPr>
            <w:tcW w:w="78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Unit NEOs</w:t>
            </w:r>
          </w:p>
        </w:tc>
        <w:tc>
          <w:tcPr>
            <w:tcW w:w="0" w:type="dxa"/>
            <w:vAlign w:val="bottom"/>
          </w:tcPr>
          <w:p>
            <w:pPr>
              <w:spacing w:after="0"/>
              <w:rPr>
                <w:sz w:val="1"/>
                <w:szCs w:val="1"/>
                <w:color w:val="auto"/>
              </w:rPr>
            </w:pPr>
          </w:p>
        </w:tc>
      </w:tr>
      <w:tr>
        <w:trPr>
          <w:trHeight w:val="95"/>
        </w:trPr>
        <w:tc>
          <w:tcPr>
            <w:tcW w:w="1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560" w:type="dxa"/>
            <w:vAlign w:val="bottom"/>
          </w:tcPr>
          <w:p>
            <w:pPr>
              <w:spacing w:after="0"/>
              <w:rPr>
                <w:sz w:val="8"/>
                <w:szCs w:val="8"/>
                <w:color w:val="auto"/>
              </w:rPr>
            </w:pPr>
          </w:p>
        </w:tc>
        <w:tc>
          <w:tcPr>
            <w:tcW w:w="1780" w:type="dxa"/>
            <w:vAlign w:val="bottom"/>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640" w:type="dxa"/>
            <w:vAlign w:val="bottom"/>
            <w:tcBorders>
              <w:bottom w:val="single" w:sz="8" w:color="D7282F"/>
            </w:tcBorders>
          </w:tcPr>
          <w:p>
            <w:pPr>
              <w:spacing w:after="0"/>
              <w:rPr>
                <w:sz w:val="2"/>
                <w:szCs w:val="2"/>
                <w:color w:val="auto"/>
              </w:rPr>
            </w:pPr>
          </w:p>
        </w:tc>
        <w:tc>
          <w:tcPr>
            <w:tcW w:w="480" w:type="dxa"/>
            <w:vAlign w:val="bottom"/>
            <w:tcBorders>
              <w:bottom w:val="single" w:sz="8" w:color="D7282F"/>
            </w:tcBorders>
          </w:tcPr>
          <w:p>
            <w:pPr>
              <w:spacing w:after="0"/>
              <w:rPr>
                <w:sz w:val="2"/>
                <w:szCs w:val="2"/>
                <w:color w:val="auto"/>
              </w:rPr>
            </w:pPr>
          </w:p>
        </w:tc>
        <w:tc>
          <w:tcPr>
            <w:tcW w:w="6560" w:type="dxa"/>
            <w:vAlign w:val="bottom"/>
            <w:tcBorders>
              <w:bottom w:val="single" w:sz="8" w:color="D7282F"/>
            </w:tcBorders>
          </w:tcPr>
          <w:p>
            <w:pPr>
              <w:spacing w:after="0"/>
              <w:rPr>
                <w:sz w:val="2"/>
                <w:szCs w:val="2"/>
                <w:color w:val="auto"/>
              </w:rPr>
            </w:pPr>
          </w:p>
        </w:tc>
        <w:tc>
          <w:tcPr>
            <w:tcW w:w="1780" w:type="dxa"/>
            <w:vAlign w:val="bottom"/>
            <w:tcBorders>
              <w:bottom w:val="single" w:sz="8" w:color="D7282F"/>
            </w:tcBorders>
          </w:tcPr>
          <w:p>
            <w:pPr>
              <w:spacing w:after="0"/>
              <w:rPr>
                <w:sz w:val="2"/>
                <w:szCs w:val="2"/>
                <w:color w:val="auto"/>
              </w:rPr>
            </w:pPr>
          </w:p>
        </w:tc>
        <w:tc>
          <w:tcPr>
            <w:tcW w:w="760" w:type="dxa"/>
            <w:vAlign w:val="bottom"/>
            <w:tcBorders>
              <w:bottom w:val="single" w:sz="8" w:color="D7282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5"/>
        </w:trPr>
        <w:tc>
          <w:tcPr>
            <w:tcW w:w="1640" w:type="dxa"/>
            <w:vAlign w:val="bottom"/>
          </w:tcPr>
          <w:p>
            <w:pPr>
              <w:ind w:left="20"/>
              <w:spacing w:after="0"/>
              <w:rPr>
                <w:sz w:val="20"/>
                <w:szCs w:val="20"/>
                <w:color w:val="auto"/>
              </w:rPr>
            </w:pPr>
            <w:r>
              <w:rPr>
                <w:rFonts w:ascii="Arial" w:cs="Arial" w:eastAsia="Arial" w:hAnsi="Arial"/>
                <w:sz w:val="14"/>
                <w:szCs w:val="14"/>
                <w:b w:val="1"/>
                <w:bCs w:val="1"/>
                <w:color w:val="auto"/>
              </w:rPr>
              <w:t>Honeywell Sales</w:t>
            </w:r>
          </w:p>
        </w:tc>
        <w:tc>
          <w:tcPr>
            <w:tcW w:w="480" w:type="dxa"/>
            <w:vAlign w:val="bottom"/>
          </w:tcPr>
          <w:p>
            <w:pPr>
              <w:spacing w:after="0"/>
              <w:rPr>
                <w:sz w:val="24"/>
                <w:szCs w:val="24"/>
                <w:color w:val="auto"/>
              </w:rPr>
            </w:pPr>
          </w:p>
        </w:tc>
        <w:tc>
          <w:tcPr>
            <w:tcW w:w="6560" w:type="dxa"/>
            <w:vAlign w:val="bottom"/>
          </w:tcPr>
          <w:p>
            <w:pPr>
              <w:ind w:left="100"/>
              <w:spacing w:after="0"/>
              <w:rPr>
                <w:sz w:val="20"/>
                <w:szCs w:val="20"/>
                <w:color w:val="auto"/>
              </w:rPr>
            </w:pPr>
            <w:r>
              <w:rPr>
                <w:rFonts w:ascii="Arial" w:cs="Arial" w:eastAsia="Arial" w:hAnsi="Arial"/>
                <w:sz w:val="14"/>
                <w:szCs w:val="14"/>
                <w:color w:val="auto"/>
              </w:rPr>
              <w:t>To incentivize organic growth and achieving short-term annual metrics for long-term success.</w:t>
            </w:r>
          </w:p>
        </w:tc>
        <w:tc>
          <w:tcPr>
            <w:tcW w:w="1780" w:type="dxa"/>
            <w:vAlign w:val="bottom"/>
          </w:tcPr>
          <w:p>
            <w:pPr>
              <w:jc w:val="right"/>
              <w:ind w:right="448"/>
              <w:spacing w:after="0"/>
              <w:rPr>
                <w:sz w:val="20"/>
                <w:szCs w:val="20"/>
                <w:color w:val="auto"/>
              </w:rPr>
            </w:pPr>
            <w:r>
              <w:rPr>
                <w:rFonts w:ascii="Arial" w:cs="Arial" w:eastAsia="Arial" w:hAnsi="Arial"/>
                <w:sz w:val="14"/>
                <w:szCs w:val="14"/>
                <w:color w:val="auto"/>
              </w:rPr>
              <w:t>20%</w:t>
            </w:r>
          </w:p>
        </w:tc>
        <w:tc>
          <w:tcPr>
            <w:tcW w:w="760" w:type="dxa"/>
            <w:vAlign w:val="bottom"/>
          </w:tcPr>
          <w:p>
            <w:pPr>
              <w:jc w:val="right"/>
              <w:spacing w:after="0"/>
              <w:rPr>
                <w:sz w:val="20"/>
                <w:szCs w:val="20"/>
                <w:color w:val="auto"/>
              </w:rPr>
            </w:pPr>
            <w:r>
              <w:rPr>
                <w:rFonts w:ascii="Arial" w:cs="Arial" w:eastAsia="Arial" w:hAnsi="Arial"/>
                <w:sz w:val="14"/>
                <w:szCs w:val="14"/>
                <w:color w:val="auto"/>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120" w:type="dxa"/>
            <w:vAlign w:val="bottom"/>
            <w:tcBorders>
              <w:bottom w:val="single" w:sz="8" w:color="939598"/>
            </w:tcBorders>
            <w:gridSpan w:val="2"/>
          </w:tcPr>
          <w:p>
            <w:pPr>
              <w:spacing w:after="0"/>
              <w:rPr>
                <w:sz w:val="10"/>
                <w:szCs w:val="10"/>
                <w:color w:val="auto"/>
              </w:rPr>
            </w:pPr>
          </w:p>
        </w:tc>
        <w:tc>
          <w:tcPr>
            <w:tcW w:w="6560" w:type="dxa"/>
            <w:vAlign w:val="bottom"/>
            <w:tcBorders>
              <w:bottom w:val="single" w:sz="8" w:color="939598"/>
            </w:tcBorders>
          </w:tcPr>
          <w:p>
            <w:pPr>
              <w:spacing w:after="0"/>
              <w:rPr>
                <w:sz w:val="10"/>
                <w:szCs w:val="10"/>
                <w:color w:val="auto"/>
              </w:rPr>
            </w:pPr>
          </w:p>
        </w:tc>
        <w:tc>
          <w:tcPr>
            <w:tcW w:w="1780" w:type="dxa"/>
            <w:vAlign w:val="bottom"/>
            <w:tcBorders>
              <w:bottom w:val="single" w:sz="8" w:color="939598"/>
            </w:tcBorders>
          </w:tcPr>
          <w:p>
            <w:pPr>
              <w:spacing w:after="0"/>
              <w:rPr>
                <w:sz w:val="10"/>
                <w:szCs w:val="10"/>
                <w:color w:val="auto"/>
              </w:rPr>
            </w:pPr>
          </w:p>
        </w:tc>
        <w:tc>
          <w:tcPr>
            <w:tcW w:w="760" w:type="dxa"/>
            <w:vAlign w:val="bottom"/>
            <w:tcBorders>
              <w:bottom w:val="single" w:sz="8" w:color="939598"/>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1"/>
        </w:trPr>
        <w:tc>
          <w:tcPr>
            <w:tcW w:w="212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 Honeywell EPS</w:t>
            </w:r>
          </w:p>
        </w:tc>
        <w:tc>
          <w:tcPr>
            <w:tcW w:w="6560" w:type="dxa"/>
            <w:vAlign w:val="bottom"/>
          </w:tcPr>
          <w:p>
            <w:pPr>
              <w:ind w:left="100"/>
              <w:spacing w:after="0"/>
              <w:rPr>
                <w:sz w:val="20"/>
                <w:szCs w:val="20"/>
                <w:color w:val="auto"/>
              </w:rPr>
            </w:pPr>
            <w:r>
              <w:rPr>
                <w:rFonts w:ascii="Arial" w:cs="Arial" w:eastAsia="Arial" w:hAnsi="Arial"/>
                <w:sz w:val="14"/>
                <w:szCs w:val="14"/>
                <w:color w:val="auto"/>
              </w:rPr>
              <w:t>Viewed as the most important measure of near-term profitability that has a direct impact on stock</w:t>
            </w:r>
          </w:p>
        </w:tc>
        <w:tc>
          <w:tcPr>
            <w:tcW w:w="1780" w:type="dxa"/>
            <w:vAlign w:val="bottom"/>
          </w:tcPr>
          <w:p>
            <w:pPr>
              <w:jc w:val="right"/>
              <w:ind w:right="448"/>
              <w:spacing w:after="0"/>
              <w:rPr>
                <w:sz w:val="20"/>
                <w:szCs w:val="20"/>
                <w:color w:val="auto"/>
              </w:rPr>
            </w:pPr>
            <w:r>
              <w:rPr>
                <w:rFonts w:ascii="Arial" w:cs="Arial" w:eastAsia="Arial" w:hAnsi="Arial"/>
                <w:sz w:val="14"/>
                <w:szCs w:val="14"/>
                <w:color w:val="auto"/>
              </w:rPr>
              <w:t>40%</w:t>
            </w:r>
          </w:p>
        </w:tc>
        <w:tc>
          <w:tcPr>
            <w:tcW w:w="760" w:type="dxa"/>
            <w:vAlign w:val="bottom"/>
          </w:tcPr>
          <w:p>
            <w:pPr>
              <w:jc w:val="right"/>
              <w:spacing w:after="0"/>
              <w:rPr>
                <w:sz w:val="20"/>
                <w:szCs w:val="20"/>
                <w:color w:val="auto"/>
              </w:rPr>
            </w:pPr>
            <w:r>
              <w:rPr>
                <w:rFonts w:ascii="Arial" w:cs="Arial" w:eastAsia="Arial" w:hAnsi="Arial"/>
                <w:sz w:val="14"/>
                <w:szCs w:val="14"/>
                <w:color w:val="auto"/>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560" w:type="dxa"/>
            <w:vAlign w:val="bottom"/>
          </w:tcPr>
          <w:p>
            <w:pPr>
              <w:ind w:left="100"/>
              <w:spacing w:after="0"/>
              <w:rPr>
                <w:sz w:val="20"/>
                <w:szCs w:val="20"/>
                <w:color w:val="auto"/>
              </w:rPr>
            </w:pPr>
            <w:r>
              <w:rPr>
                <w:rFonts w:ascii="Arial" w:cs="Arial" w:eastAsia="Arial" w:hAnsi="Arial"/>
                <w:sz w:val="14"/>
                <w:szCs w:val="14"/>
                <w:color w:val="auto"/>
              </w:rPr>
              <w:t>price and shareowner value creation.</w:t>
            </w:r>
          </w:p>
        </w:tc>
        <w:tc>
          <w:tcPr>
            <w:tcW w:w="1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120" w:type="dxa"/>
            <w:vAlign w:val="bottom"/>
            <w:tcBorders>
              <w:bottom w:val="single" w:sz="8" w:color="939598"/>
            </w:tcBorders>
            <w:gridSpan w:val="2"/>
          </w:tcPr>
          <w:p>
            <w:pPr>
              <w:spacing w:after="0"/>
              <w:rPr>
                <w:sz w:val="12"/>
                <w:szCs w:val="12"/>
                <w:color w:val="auto"/>
              </w:rPr>
            </w:pPr>
          </w:p>
        </w:tc>
        <w:tc>
          <w:tcPr>
            <w:tcW w:w="6560" w:type="dxa"/>
            <w:vAlign w:val="bottom"/>
            <w:tcBorders>
              <w:bottom w:val="single" w:sz="8" w:color="939598"/>
            </w:tcBorders>
          </w:tcPr>
          <w:p>
            <w:pPr>
              <w:spacing w:after="0"/>
              <w:rPr>
                <w:sz w:val="12"/>
                <w:szCs w:val="12"/>
                <w:color w:val="auto"/>
              </w:rPr>
            </w:pPr>
          </w:p>
        </w:tc>
        <w:tc>
          <w:tcPr>
            <w:tcW w:w="1780" w:type="dxa"/>
            <w:vAlign w:val="bottom"/>
            <w:tcBorders>
              <w:bottom w:val="single" w:sz="8" w:color="939598"/>
            </w:tcBorders>
          </w:tcPr>
          <w:p>
            <w:pPr>
              <w:spacing w:after="0"/>
              <w:rPr>
                <w:sz w:val="12"/>
                <w:szCs w:val="12"/>
                <w:color w:val="auto"/>
              </w:rPr>
            </w:pPr>
          </w:p>
        </w:tc>
        <w:tc>
          <w:tcPr>
            <w:tcW w:w="760" w:type="dxa"/>
            <w:vAlign w:val="bottom"/>
            <w:tcBorders>
              <w:bottom w:val="single" w:sz="8" w:color="939598"/>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1"/>
        </w:trPr>
        <w:tc>
          <w:tcPr>
            <w:tcW w:w="2120" w:type="dxa"/>
            <w:vAlign w:val="bottom"/>
            <w:gridSpan w:val="2"/>
          </w:tcPr>
          <w:p>
            <w:pPr>
              <w:ind w:left="20"/>
              <w:spacing w:after="0"/>
              <w:rPr>
                <w:sz w:val="20"/>
                <w:szCs w:val="20"/>
                <w:color w:val="auto"/>
              </w:rPr>
            </w:pPr>
            <w:r>
              <w:rPr>
                <w:rFonts w:ascii="Arial" w:cs="Arial" w:eastAsia="Arial" w:hAnsi="Arial"/>
                <w:sz w:val="14"/>
                <w:szCs w:val="14"/>
                <w:b w:val="1"/>
                <w:bCs w:val="1"/>
                <w:color w:val="auto"/>
              </w:rPr>
              <w:t>Honeywell Free Cash Flow</w:t>
            </w:r>
          </w:p>
        </w:tc>
        <w:tc>
          <w:tcPr>
            <w:tcW w:w="6560" w:type="dxa"/>
            <w:vAlign w:val="bottom"/>
          </w:tcPr>
          <w:p>
            <w:pPr>
              <w:ind w:left="100"/>
              <w:spacing w:after="0"/>
              <w:rPr>
                <w:sz w:val="20"/>
                <w:szCs w:val="20"/>
                <w:color w:val="auto"/>
              </w:rPr>
            </w:pPr>
            <w:r>
              <w:rPr>
                <w:rFonts w:ascii="Arial" w:cs="Arial" w:eastAsia="Arial" w:hAnsi="Arial"/>
                <w:sz w:val="14"/>
                <w:szCs w:val="14"/>
                <w:color w:val="auto"/>
              </w:rPr>
              <w:t>Reflects quality of earnings and incremental cash generated from operations that may be reinvested</w:t>
            </w:r>
          </w:p>
        </w:tc>
        <w:tc>
          <w:tcPr>
            <w:tcW w:w="1780" w:type="dxa"/>
            <w:vAlign w:val="bottom"/>
          </w:tcPr>
          <w:p>
            <w:pPr>
              <w:jc w:val="right"/>
              <w:ind w:right="448"/>
              <w:spacing w:after="0"/>
              <w:rPr>
                <w:sz w:val="20"/>
                <w:szCs w:val="20"/>
                <w:color w:val="auto"/>
              </w:rPr>
            </w:pPr>
            <w:r>
              <w:rPr>
                <w:rFonts w:ascii="Arial" w:cs="Arial" w:eastAsia="Arial" w:hAnsi="Arial"/>
                <w:sz w:val="14"/>
                <w:szCs w:val="14"/>
                <w:color w:val="auto"/>
              </w:rPr>
              <w:t>40%</w:t>
            </w:r>
          </w:p>
        </w:tc>
        <w:tc>
          <w:tcPr>
            <w:tcW w:w="760" w:type="dxa"/>
            <w:vAlign w:val="bottom"/>
          </w:tcPr>
          <w:p>
            <w:pPr>
              <w:jc w:val="right"/>
              <w:spacing w:after="0"/>
              <w:rPr>
                <w:sz w:val="20"/>
                <w:szCs w:val="20"/>
                <w:color w:val="auto"/>
              </w:rPr>
            </w:pPr>
            <w:r>
              <w:rPr>
                <w:rFonts w:ascii="Arial" w:cs="Arial" w:eastAsia="Arial" w:hAnsi="Arial"/>
                <w:sz w:val="14"/>
                <w:szCs w:val="14"/>
                <w:color w:val="auto"/>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560" w:type="dxa"/>
            <w:vAlign w:val="bottom"/>
          </w:tcPr>
          <w:p>
            <w:pPr>
              <w:ind w:left="100"/>
              <w:spacing w:after="0"/>
              <w:rPr>
                <w:sz w:val="20"/>
                <w:szCs w:val="20"/>
                <w:color w:val="auto"/>
              </w:rPr>
            </w:pPr>
            <w:r>
              <w:rPr>
                <w:rFonts w:ascii="Arial" w:cs="Arial" w:eastAsia="Arial" w:hAnsi="Arial"/>
                <w:sz w:val="14"/>
                <w:szCs w:val="14"/>
                <w:color w:val="auto"/>
              </w:rPr>
              <w:t>in our businesses, used to make acquisitions, or returned to shareowners in the form of dividends or</w:t>
            </w:r>
          </w:p>
        </w:tc>
        <w:tc>
          <w:tcPr>
            <w:tcW w:w="1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560" w:type="dxa"/>
            <w:vAlign w:val="bottom"/>
          </w:tcPr>
          <w:p>
            <w:pPr>
              <w:ind w:left="100"/>
              <w:spacing w:after="0"/>
              <w:rPr>
                <w:sz w:val="20"/>
                <w:szCs w:val="20"/>
                <w:color w:val="auto"/>
              </w:rPr>
            </w:pPr>
            <w:r>
              <w:rPr>
                <w:rFonts w:ascii="Arial" w:cs="Arial" w:eastAsia="Arial" w:hAnsi="Arial"/>
                <w:sz w:val="14"/>
                <w:szCs w:val="14"/>
                <w:color w:val="auto"/>
              </w:rPr>
              <w:t>share repurchases.</w:t>
            </w:r>
          </w:p>
        </w:tc>
        <w:tc>
          <w:tcPr>
            <w:tcW w:w="1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640" w:type="dxa"/>
            <w:vAlign w:val="bottom"/>
            <w:tcBorders>
              <w:bottom w:val="single" w:sz="8" w:color="939598"/>
            </w:tcBorders>
          </w:tcPr>
          <w:p>
            <w:pPr>
              <w:spacing w:after="0"/>
              <w:rPr>
                <w:sz w:val="11"/>
                <w:szCs w:val="11"/>
                <w:color w:val="auto"/>
              </w:rPr>
            </w:pPr>
          </w:p>
        </w:tc>
        <w:tc>
          <w:tcPr>
            <w:tcW w:w="480" w:type="dxa"/>
            <w:vAlign w:val="bottom"/>
            <w:tcBorders>
              <w:bottom w:val="single" w:sz="8" w:color="939598"/>
            </w:tcBorders>
          </w:tcPr>
          <w:p>
            <w:pPr>
              <w:spacing w:after="0"/>
              <w:rPr>
                <w:sz w:val="11"/>
                <w:szCs w:val="11"/>
                <w:color w:val="auto"/>
              </w:rPr>
            </w:pPr>
          </w:p>
        </w:tc>
        <w:tc>
          <w:tcPr>
            <w:tcW w:w="6560" w:type="dxa"/>
            <w:vAlign w:val="bottom"/>
            <w:tcBorders>
              <w:bottom w:val="single" w:sz="8" w:color="939598"/>
            </w:tcBorders>
          </w:tcPr>
          <w:p>
            <w:pPr>
              <w:spacing w:after="0"/>
              <w:rPr>
                <w:sz w:val="11"/>
                <w:szCs w:val="11"/>
                <w:color w:val="auto"/>
              </w:rPr>
            </w:pPr>
          </w:p>
        </w:tc>
        <w:tc>
          <w:tcPr>
            <w:tcW w:w="1780" w:type="dxa"/>
            <w:vAlign w:val="bottom"/>
            <w:tcBorders>
              <w:bottom w:val="single" w:sz="8" w:color="939598"/>
            </w:tcBorders>
          </w:tcPr>
          <w:p>
            <w:pPr>
              <w:spacing w:after="0"/>
              <w:rPr>
                <w:sz w:val="11"/>
                <w:szCs w:val="11"/>
                <w:color w:val="auto"/>
              </w:rPr>
            </w:pPr>
          </w:p>
        </w:tc>
        <w:tc>
          <w:tcPr>
            <w:tcW w:w="760" w:type="dxa"/>
            <w:vAlign w:val="bottom"/>
            <w:tcBorders>
              <w:bottom w:val="single" w:sz="8" w:color="939598"/>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1"/>
        </w:trPr>
        <w:tc>
          <w:tcPr>
            <w:tcW w:w="1640" w:type="dxa"/>
            <w:vAlign w:val="bottom"/>
          </w:tcPr>
          <w:p>
            <w:pPr>
              <w:ind w:left="20"/>
              <w:spacing w:after="0"/>
              <w:rPr>
                <w:sz w:val="20"/>
                <w:szCs w:val="20"/>
                <w:color w:val="auto"/>
              </w:rPr>
            </w:pPr>
            <w:r>
              <w:rPr>
                <w:rFonts w:ascii="Arial" w:cs="Arial" w:eastAsia="Arial" w:hAnsi="Arial"/>
                <w:sz w:val="14"/>
                <w:szCs w:val="14"/>
                <w:b w:val="1"/>
                <w:bCs w:val="1"/>
                <w:color w:val="auto"/>
              </w:rPr>
              <w:t>Business Unit Metric 1:</w:t>
            </w:r>
          </w:p>
        </w:tc>
        <w:tc>
          <w:tcPr>
            <w:tcW w:w="480" w:type="dxa"/>
            <w:vAlign w:val="bottom"/>
          </w:tcPr>
          <w:p>
            <w:pPr>
              <w:spacing w:after="0"/>
              <w:rPr>
                <w:sz w:val="24"/>
                <w:szCs w:val="24"/>
                <w:color w:val="auto"/>
              </w:rPr>
            </w:pPr>
          </w:p>
        </w:tc>
        <w:tc>
          <w:tcPr>
            <w:tcW w:w="6560" w:type="dxa"/>
            <w:vAlign w:val="bottom"/>
          </w:tcPr>
          <w:p>
            <w:pPr>
              <w:ind w:left="100"/>
              <w:spacing w:after="0"/>
              <w:rPr>
                <w:sz w:val="20"/>
                <w:szCs w:val="20"/>
                <w:color w:val="auto"/>
              </w:rPr>
            </w:pPr>
            <w:r>
              <w:rPr>
                <w:rFonts w:ascii="Arial" w:cs="Arial" w:eastAsia="Arial" w:hAnsi="Arial"/>
                <w:sz w:val="14"/>
                <w:szCs w:val="14"/>
                <w:color w:val="auto"/>
              </w:rPr>
              <w:t>Business unit measure of near-term profitability and contribution to overall Company performance.</w:t>
            </w:r>
          </w:p>
        </w:tc>
        <w:tc>
          <w:tcPr>
            <w:tcW w:w="1780" w:type="dxa"/>
            <w:vAlign w:val="bottom"/>
          </w:tcPr>
          <w:p>
            <w:pPr>
              <w:jc w:val="right"/>
              <w:ind w:right="448"/>
              <w:spacing w:after="0"/>
              <w:rPr>
                <w:sz w:val="20"/>
                <w:szCs w:val="20"/>
                <w:color w:val="auto"/>
              </w:rPr>
            </w:pPr>
            <w:r>
              <w:rPr>
                <w:rFonts w:ascii="Arial" w:cs="Arial" w:eastAsia="Arial" w:hAnsi="Arial"/>
                <w:sz w:val="14"/>
                <w:szCs w:val="14"/>
                <w:color w:val="auto"/>
              </w:rPr>
              <w:t>0%</w:t>
            </w:r>
          </w:p>
        </w:tc>
        <w:tc>
          <w:tcPr>
            <w:tcW w:w="760" w:type="dxa"/>
            <w:vAlign w:val="bottom"/>
          </w:tcPr>
          <w:p>
            <w:pPr>
              <w:jc w:val="right"/>
              <w:spacing w:after="0"/>
              <w:rPr>
                <w:sz w:val="20"/>
                <w:szCs w:val="20"/>
                <w:color w:val="auto"/>
              </w:rPr>
            </w:pPr>
            <w:r>
              <w:rPr>
                <w:rFonts w:ascii="Arial" w:cs="Arial" w:eastAsia="Arial" w:hAnsi="Arial"/>
                <w:sz w:val="14"/>
                <w:szCs w:val="14"/>
                <w:color w:val="auto"/>
              </w:rPr>
              <w:t>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640" w:type="dxa"/>
            <w:vAlign w:val="bottom"/>
          </w:tcPr>
          <w:p>
            <w:pPr>
              <w:ind w:left="20"/>
              <w:spacing w:after="0"/>
              <w:rPr>
                <w:sz w:val="20"/>
                <w:szCs w:val="20"/>
                <w:color w:val="auto"/>
              </w:rPr>
            </w:pPr>
            <w:r>
              <w:rPr>
                <w:rFonts w:ascii="Arial" w:cs="Arial" w:eastAsia="Arial" w:hAnsi="Arial"/>
                <w:sz w:val="14"/>
                <w:szCs w:val="14"/>
                <w:b w:val="1"/>
                <w:bCs w:val="1"/>
                <w:color w:val="auto"/>
              </w:rPr>
              <w:t>Income Contribution</w:t>
            </w:r>
          </w:p>
        </w:tc>
        <w:tc>
          <w:tcPr>
            <w:tcW w:w="480" w:type="dxa"/>
            <w:vAlign w:val="bottom"/>
          </w:tcPr>
          <w:p>
            <w:pPr>
              <w:spacing w:after="0"/>
              <w:rPr>
                <w:sz w:val="17"/>
                <w:szCs w:val="17"/>
                <w:color w:val="auto"/>
              </w:rPr>
            </w:pPr>
          </w:p>
        </w:tc>
        <w:tc>
          <w:tcPr>
            <w:tcW w:w="65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1640" w:type="dxa"/>
            <w:vAlign w:val="bottom"/>
            <w:tcBorders>
              <w:bottom w:val="single" w:sz="8" w:color="939598"/>
            </w:tcBorders>
          </w:tcPr>
          <w:p>
            <w:pPr>
              <w:spacing w:after="0"/>
              <w:rPr>
                <w:sz w:val="11"/>
                <w:szCs w:val="11"/>
                <w:color w:val="auto"/>
              </w:rPr>
            </w:pPr>
          </w:p>
        </w:tc>
        <w:tc>
          <w:tcPr>
            <w:tcW w:w="480" w:type="dxa"/>
            <w:vAlign w:val="bottom"/>
            <w:tcBorders>
              <w:bottom w:val="single" w:sz="8" w:color="939598"/>
            </w:tcBorders>
          </w:tcPr>
          <w:p>
            <w:pPr>
              <w:spacing w:after="0"/>
              <w:rPr>
                <w:sz w:val="11"/>
                <w:szCs w:val="11"/>
                <w:color w:val="auto"/>
              </w:rPr>
            </w:pPr>
          </w:p>
        </w:tc>
        <w:tc>
          <w:tcPr>
            <w:tcW w:w="6560" w:type="dxa"/>
            <w:vAlign w:val="bottom"/>
            <w:tcBorders>
              <w:bottom w:val="single" w:sz="8" w:color="939598"/>
            </w:tcBorders>
          </w:tcPr>
          <w:p>
            <w:pPr>
              <w:spacing w:after="0"/>
              <w:rPr>
                <w:sz w:val="11"/>
                <w:szCs w:val="11"/>
                <w:color w:val="auto"/>
              </w:rPr>
            </w:pPr>
          </w:p>
        </w:tc>
        <w:tc>
          <w:tcPr>
            <w:tcW w:w="1780" w:type="dxa"/>
            <w:vAlign w:val="bottom"/>
            <w:tcBorders>
              <w:bottom w:val="single" w:sz="8" w:color="939598"/>
            </w:tcBorders>
          </w:tcPr>
          <w:p>
            <w:pPr>
              <w:spacing w:after="0"/>
              <w:rPr>
                <w:sz w:val="11"/>
                <w:szCs w:val="11"/>
                <w:color w:val="auto"/>
              </w:rPr>
            </w:pPr>
          </w:p>
        </w:tc>
        <w:tc>
          <w:tcPr>
            <w:tcW w:w="760" w:type="dxa"/>
            <w:vAlign w:val="bottom"/>
            <w:tcBorders>
              <w:bottom w:val="single" w:sz="8" w:color="939598"/>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1"/>
        </w:trPr>
        <w:tc>
          <w:tcPr>
            <w:tcW w:w="1640" w:type="dxa"/>
            <w:vAlign w:val="bottom"/>
          </w:tcPr>
          <w:p>
            <w:pPr>
              <w:ind w:left="20"/>
              <w:spacing w:after="0"/>
              <w:rPr>
                <w:sz w:val="20"/>
                <w:szCs w:val="20"/>
                <w:color w:val="auto"/>
              </w:rPr>
            </w:pPr>
            <w:r>
              <w:rPr>
                <w:rFonts w:ascii="Arial" w:cs="Arial" w:eastAsia="Arial" w:hAnsi="Arial"/>
                <w:sz w:val="14"/>
                <w:szCs w:val="14"/>
                <w:b w:val="1"/>
                <w:bCs w:val="1"/>
                <w:color w:val="auto"/>
              </w:rPr>
              <w:t>Business Unit Metric 2:</w:t>
            </w:r>
          </w:p>
        </w:tc>
        <w:tc>
          <w:tcPr>
            <w:tcW w:w="480" w:type="dxa"/>
            <w:vAlign w:val="bottom"/>
          </w:tcPr>
          <w:p>
            <w:pPr>
              <w:spacing w:after="0"/>
              <w:rPr>
                <w:sz w:val="24"/>
                <w:szCs w:val="24"/>
                <w:color w:val="auto"/>
              </w:rPr>
            </w:pPr>
          </w:p>
        </w:tc>
        <w:tc>
          <w:tcPr>
            <w:tcW w:w="6560" w:type="dxa"/>
            <w:vAlign w:val="bottom"/>
          </w:tcPr>
          <w:p>
            <w:pPr>
              <w:ind w:left="100"/>
              <w:spacing w:after="0"/>
              <w:rPr>
                <w:sz w:val="20"/>
                <w:szCs w:val="20"/>
                <w:color w:val="auto"/>
              </w:rPr>
            </w:pPr>
            <w:r>
              <w:rPr>
                <w:rFonts w:ascii="Arial" w:cs="Arial" w:eastAsia="Arial" w:hAnsi="Arial"/>
                <w:sz w:val="14"/>
                <w:szCs w:val="14"/>
                <w:color w:val="auto"/>
              </w:rPr>
              <w:t>Business unit contribution to overall Company free cash flow performance.</w:t>
            </w:r>
          </w:p>
        </w:tc>
        <w:tc>
          <w:tcPr>
            <w:tcW w:w="1780" w:type="dxa"/>
            <w:vAlign w:val="bottom"/>
          </w:tcPr>
          <w:p>
            <w:pPr>
              <w:jc w:val="right"/>
              <w:ind w:right="448"/>
              <w:spacing w:after="0"/>
              <w:rPr>
                <w:sz w:val="20"/>
                <w:szCs w:val="20"/>
                <w:color w:val="auto"/>
              </w:rPr>
            </w:pPr>
            <w:r>
              <w:rPr>
                <w:rFonts w:ascii="Arial" w:cs="Arial" w:eastAsia="Arial" w:hAnsi="Arial"/>
                <w:sz w:val="14"/>
                <w:szCs w:val="14"/>
                <w:color w:val="auto"/>
              </w:rPr>
              <w:t>0%</w:t>
            </w:r>
          </w:p>
        </w:tc>
        <w:tc>
          <w:tcPr>
            <w:tcW w:w="760" w:type="dxa"/>
            <w:vAlign w:val="bottom"/>
          </w:tcPr>
          <w:p>
            <w:pPr>
              <w:jc w:val="right"/>
              <w:spacing w:after="0"/>
              <w:rPr>
                <w:sz w:val="20"/>
                <w:szCs w:val="20"/>
                <w:color w:val="auto"/>
              </w:rPr>
            </w:pPr>
            <w:r>
              <w:rPr>
                <w:rFonts w:ascii="Arial" w:cs="Arial" w:eastAsia="Arial" w:hAnsi="Arial"/>
                <w:sz w:val="14"/>
                <w:szCs w:val="14"/>
                <w:color w:val="auto"/>
              </w:rPr>
              <w:t>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640" w:type="dxa"/>
            <w:vAlign w:val="bottom"/>
          </w:tcPr>
          <w:p>
            <w:pPr>
              <w:ind w:left="20"/>
              <w:spacing w:after="0"/>
              <w:rPr>
                <w:sz w:val="20"/>
                <w:szCs w:val="20"/>
                <w:color w:val="auto"/>
              </w:rPr>
            </w:pPr>
            <w:r>
              <w:rPr>
                <w:rFonts w:ascii="Arial" w:cs="Arial" w:eastAsia="Arial" w:hAnsi="Arial"/>
                <w:sz w:val="14"/>
                <w:szCs w:val="14"/>
                <w:b w:val="1"/>
                <w:bCs w:val="1"/>
                <w:color w:val="auto"/>
              </w:rPr>
              <w:t>Free Cash Flow</w:t>
            </w:r>
          </w:p>
        </w:tc>
        <w:tc>
          <w:tcPr>
            <w:tcW w:w="480" w:type="dxa"/>
            <w:vAlign w:val="bottom"/>
          </w:tcPr>
          <w:p>
            <w:pPr>
              <w:spacing w:after="0"/>
              <w:rPr>
                <w:sz w:val="17"/>
                <w:szCs w:val="17"/>
                <w:color w:val="auto"/>
              </w:rPr>
            </w:pPr>
          </w:p>
        </w:tc>
        <w:tc>
          <w:tcPr>
            <w:tcW w:w="65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120" w:type="dxa"/>
            <w:vAlign w:val="bottom"/>
            <w:tcBorders>
              <w:bottom w:val="single" w:sz="8" w:color="939598"/>
            </w:tcBorders>
            <w:gridSpan w:val="2"/>
          </w:tcPr>
          <w:p>
            <w:pPr>
              <w:spacing w:after="0"/>
              <w:rPr>
                <w:sz w:val="11"/>
                <w:szCs w:val="11"/>
                <w:color w:val="auto"/>
              </w:rPr>
            </w:pPr>
          </w:p>
        </w:tc>
        <w:tc>
          <w:tcPr>
            <w:tcW w:w="6560" w:type="dxa"/>
            <w:vAlign w:val="bottom"/>
            <w:tcBorders>
              <w:bottom w:val="single" w:sz="8" w:color="939598"/>
            </w:tcBorders>
          </w:tcPr>
          <w:p>
            <w:pPr>
              <w:spacing w:after="0"/>
              <w:rPr>
                <w:sz w:val="11"/>
                <w:szCs w:val="11"/>
                <w:color w:val="auto"/>
              </w:rPr>
            </w:pPr>
          </w:p>
        </w:tc>
        <w:tc>
          <w:tcPr>
            <w:tcW w:w="1780" w:type="dxa"/>
            <w:vAlign w:val="bottom"/>
            <w:tcBorders>
              <w:bottom w:val="single" w:sz="8" w:color="939598"/>
            </w:tcBorders>
          </w:tcPr>
          <w:p>
            <w:pPr>
              <w:spacing w:after="0"/>
              <w:rPr>
                <w:sz w:val="11"/>
                <w:szCs w:val="11"/>
                <w:color w:val="auto"/>
              </w:rPr>
            </w:pPr>
          </w:p>
        </w:tc>
        <w:tc>
          <w:tcPr>
            <w:tcW w:w="760" w:type="dxa"/>
            <w:vAlign w:val="bottom"/>
            <w:tcBorders>
              <w:bottom w:val="single" w:sz="8" w:color="939598"/>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5"/>
        </w:trPr>
        <w:tc>
          <w:tcPr>
            <w:tcW w:w="2120" w:type="dxa"/>
            <w:vAlign w:val="bottom"/>
            <w:gridSpan w:val="2"/>
          </w:tcPr>
          <w:p>
            <w:pPr>
              <w:ind w:left="20"/>
              <w:spacing w:after="0"/>
              <w:rPr>
                <w:sz w:val="20"/>
                <w:szCs w:val="20"/>
                <w:color w:val="auto"/>
              </w:rPr>
            </w:pPr>
            <w:r>
              <w:rPr>
                <w:rFonts w:ascii="Arial" w:cs="Arial" w:eastAsia="Arial" w:hAnsi="Arial"/>
                <w:sz w:val="14"/>
                <w:szCs w:val="14"/>
                <w:b w:val="1"/>
                <w:bCs w:val="1"/>
                <w:color w:val="auto"/>
              </w:rPr>
              <w:t>Business Unit Metric 3: Sales</w:t>
            </w:r>
          </w:p>
        </w:tc>
        <w:tc>
          <w:tcPr>
            <w:tcW w:w="6560" w:type="dxa"/>
            <w:vAlign w:val="bottom"/>
          </w:tcPr>
          <w:p>
            <w:pPr>
              <w:ind w:left="100"/>
              <w:spacing w:after="0"/>
              <w:rPr>
                <w:sz w:val="20"/>
                <w:szCs w:val="20"/>
                <w:color w:val="auto"/>
              </w:rPr>
            </w:pPr>
            <w:r>
              <w:rPr>
                <w:rFonts w:ascii="Arial" w:cs="Arial" w:eastAsia="Arial" w:hAnsi="Arial"/>
                <w:sz w:val="14"/>
                <w:szCs w:val="14"/>
                <w:color w:val="auto"/>
              </w:rPr>
              <w:t>Business unit contribution to overall Company sales performance.</w:t>
            </w:r>
          </w:p>
        </w:tc>
        <w:tc>
          <w:tcPr>
            <w:tcW w:w="1780" w:type="dxa"/>
            <w:vAlign w:val="bottom"/>
          </w:tcPr>
          <w:p>
            <w:pPr>
              <w:jc w:val="right"/>
              <w:ind w:right="448"/>
              <w:spacing w:after="0"/>
              <w:rPr>
                <w:sz w:val="20"/>
                <w:szCs w:val="20"/>
                <w:color w:val="auto"/>
              </w:rPr>
            </w:pPr>
            <w:r>
              <w:rPr>
                <w:rFonts w:ascii="Arial" w:cs="Arial" w:eastAsia="Arial" w:hAnsi="Arial"/>
                <w:sz w:val="14"/>
                <w:szCs w:val="14"/>
                <w:color w:val="auto"/>
              </w:rPr>
              <w:t>0%</w:t>
            </w:r>
          </w:p>
        </w:tc>
        <w:tc>
          <w:tcPr>
            <w:tcW w:w="760" w:type="dxa"/>
            <w:vAlign w:val="bottom"/>
          </w:tcPr>
          <w:p>
            <w:pPr>
              <w:jc w:val="right"/>
              <w:spacing w:after="0"/>
              <w:rPr>
                <w:sz w:val="20"/>
                <w:szCs w:val="20"/>
                <w:color w:val="auto"/>
              </w:rPr>
            </w:pPr>
            <w:r>
              <w:rPr>
                <w:rFonts w:ascii="Arial" w:cs="Arial" w:eastAsia="Arial" w:hAnsi="Arial"/>
                <w:sz w:val="14"/>
                <w:szCs w:val="14"/>
                <w:color w:val="auto"/>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1640" w:type="dxa"/>
            <w:vAlign w:val="bottom"/>
            <w:tcBorders>
              <w:bottom w:val="single" w:sz="8" w:color="939598"/>
            </w:tcBorders>
          </w:tcPr>
          <w:p>
            <w:pPr>
              <w:spacing w:after="0"/>
              <w:rPr>
                <w:sz w:val="10"/>
                <w:szCs w:val="10"/>
                <w:color w:val="auto"/>
              </w:rPr>
            </w:pPr>
          </w:p>
        </w:tc>
        <w:tc>
          <w:tcPr>
            <w:tcW w:w="480" w:type="dxa"/>
            <w:vAlign w:val="bottom"/>
            <w:tcBorders>
              <w:bottom w:val="single" w:sz="8" w:color="939598"/>
            </w:tcBorders>
          </w:tcPr>
          <w:p>
            <w:pPr>
              <w:spacing w:after="0"/>
              <w:rPr>
                <w:sz w:val="10"/>
                <w:szCs w:val="10"/>
                <w:color w:val="auto"/>
              </w:rPr>
            </w:pPr>
          </w:p>
        </w:tc>
        <w:tc>
          <w:tcPr>
            <w:tcW w:w="6560" w:type="dxa"/>
            <w:vAlign w:val="bottom"/>
            <w:tcBorders>
              <w:bottom w:val="single" w:sz="8" w:color="939598"/>
            </w:tcBorders>
          </w:tcPr>
          <w:p>
            <w:pPr>
              <w:spacing w:after="0"/>
              <w:rPr>
                <w:sz w:val="10"/>
                <w:szCs w:val="10"/>
                <w:color w:val="auto"/>
              </w:rPr>
            </w:pPr>
          </w:p>
        </w:tc>
        <w:tc>
          <w:tcPr>
            <w:tcW w:w="1780" w:type="dxa"/>
            <w:vAlign w:val="bottom"/>
            <w:tcBorders>
              <w:bottom w:val="single" w:sz="8" w:color="939598"/>
            </w:tcBorders>
          </w:tcPr>
          <w:p>
            <w:pPr>
              <w:spacing w:after="0"/>
              <w:rPr>
                <w:sz w:val="10"/>
                <w:szCs w:val="10"/>
                <w:color w:val="auto"/>
              </w:rPr>
            </w:pPr>
          </w:p>
        </w:tc>
        <w:tc>
          <w:tcPr>
            <w:tcW w:w="760" w:type="dxa"/>
            <w:vAlign w:val="bottom"/>
            <w:tcBorders>
              <w:bottom w:val="single" w:sz="8" w:color="939598"/>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5"/>
        </w:trPr>
        <w:tc>
          <w:tcPr>
            <w:tcW w:w="164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48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1780" w:type="dxa"/>
            <w:vAlign w:val="bottom"/>
          </w:tcPr>
          <w:p>
            <w:pPr>
              <w:jc w:val="right"/>
              <w:ind w:right="448"/>
              <w:spacing w:after="0"/>
              <w:rPr>
                <w:sz w:val="20"/>
                <w:szCs w:val="20"/>
                <w:color w:val="auto"/>
              </w:rPr>
            </w:pPr>
            <w:r>
              <w:rPr>
                <w:rFonts w:ascii="Arial" w:cs="Arial" w:eastAsia="Arial" w:hAnsi="Arial"/>
                <w:sz w:val="14"/>
                <w:szCs w:val="14"/>
                <w:color w:val="auto"/>
              </w:rPr>
              <w:t>100%</w:t>
            </w:r>
          </w:p>
        </w:tc>
        <w:tc>
          <w:tcPr>
            <w:tcW w:w="760" w:type="dxa"/>
            <w:vAlign w:val="bottom"/>
          </w:tcPr>
          <w:p>
            <w:pPr>
              <w:jc w:val="right"/>
              <w:spacing w:after="0"/>
              <w:rPr>
                <w:sz w:val="20"/>
                <w:szCs w:val="20"/>
                <w:color w:val="auto"/>
              </w:rPr>
            </w:pPr>
            <w:r>
              <w:rPr>
                <w:rFonts w:ascii="Arial" w:cs="Arial" w:eastAsia="Arial" w:hAnsi="Arial"/>
                <w:sz w:val="14"/>
                <w:szCs w:val="14"/>
                <w:color w:val="auto"/>
              </w:rPr>
              <w:t>100%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1640" w:type="dxa"/>
            <w:vAlign w:val="bottom"/>
            <w:tcBorders>
              <w:bottom w:val="single" w:sz="8" w:color="D7282F"/>
            </w:tcBorders>
          </w:tcPr>
          <w:p>
            <w:pPr>
              <w:spacing w:after="0"/>
              <w:rPr>
                <w:sz w:val="10"/>
                <w:szCs w:val="10"/>
                <w:color w:val="auto"/>
              </w:rPr>
            </w:pPr>
          </w:p>
        </w:tc>
        <w:tc>
          <w:tcPr>
            <w:tcW w:w="7040" w:type="dxa"/>
            <w:vAlign w:val="bottom"/>
            <w:tcBorders>
              <w:bottom w:val="single" w:sz="8" w:color="D7282F"/>
            </w:tcBorders>
            <w:gridSpan w:val="2"/>
          </w:tcPr>
          <w:p>
            <w:pPr>
              <w:spacing w:after="0"/>
              <w:rPr>
                <w:sz w:val="10"/>
                <w:szCs w:val="10"/>
                <w:color w:val="auto"/>
              </w:rPr>
            </w:pPr>
          </w:p>
        </w:tc>
        <w:tc>
          <w:tcPr>
            <w:tcW w:w="1780" w:type="dxa"/>
            <w:vAlign w:val="bottom"/>
            <w:tcBorders>
              <w:bottom w:val="single" w:sz="8" w:color="D7282F"/>
            </w:tcBorders>
          </w:tcPr>
          <w:p>
            <w:pPr>
              <w:spacing w:after="0"/>
              <w:rPr>
                <w:sz w:val="10"/>
                <w:szCs w:val="10"/>
                <w:color w:val="auto"/>
              </w:rPr>
            </w:pPr>
          </w:p>
        </w:tc>
        <w:tc>
          <w:tcPr>
            <w:tcW w:w="760" w:type="dxa"/>
            <w:vAlign w:val="bottom"/>
            <w:tcBorders>
              <w:bottom w:val="single" w:sz="8" w:color="D7282F"/>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86"/>
        </w:trPr>
        <w:tc>
          <w:tcPr>
            <w:tcW w:w="1640" w:type="dxa"/>
            <w:vAlign w:val="bottom"/>
          </w:tcPr>
          <w:p>
            <w:pPr>
              <w:ind w:left="20"/>
              <w:spacing w:after="0"/>
              <w:rPr>
                <w:sz w:val="20"/>
                <w:szCs w:val="20"/>
                <w:color w:val="auto"/>
              </w:rPr>
            </w:pPr>
            <w:r>
              <w:rPr>
                <w:rFonts w:ascii="Arial" w:cs="Arial" w:eastAsia="Arial" w:hAnsi="Arial"/>
                <w:sz w:val="18"/>
                <w:szCs w:val="18"/>
                <w:b w:val="1"/>
                <w:bCs w:val="1"/>
                <w:color w:val="auto"/>
              </w:rPr>
              <w:t>66</w:t>
            </w:r>
          </w:p>
        </w:tc>
        <w:tc>
          <w:tcPr>
            <w:tcW w:w="7040" w:type="dxa"/>
            <w:vAlign w:val="bottom"/>
            <w:gridSpan w:val="2"/>
          </w:tcPr>
          <w:p>
            <w:pPr>
              <w:spacing w:after="0"/>
              <w:rPr>
                <w:sz w:val="20"/>
                <w:szCs w:val="20"/>
                <w:color w:val="auto"/>
              </w:rPr>
            </w:pPr>
            <w:r>
              <w:rPr>
                <w:rFonts w:ascii="Arial" w:cs="Arial" w:eastAsia="Arial" w:hAnsi="Arial"/>
                <w:sz w:val="13"/>
                <w:szCs w:val="13"/>
                <w:b w:val="1"/>
                <w:bCs w:val="1"/>
                <w:color w:val="6D6E71"/>
              </w:rPr>
              <w:t>|   2026 NOTICE AND PROXY STATEMENT</w:t>
            </w:r>
          </w:p>
        </w:tc>
        <w:tc>
          <w:tcPr>
            <w:tcW w:w="1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16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56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-368300</wp:posOffset>
            </wp:positionV>
            <wp:extent cx="548640" cy="10287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72" w:name="page73"/>
    <w:bookmarkEnd w:id="7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b w:val="1"/>
          <w:bCs w:val="1"/>
          <w:color w:val="D7282F"/>
        </w:rPr>
        <w:t>2025 ICP GOALS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For 2025, the Total Honeywell ICP targets for sales, adjusted EPS, and free cash flow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600" w:type="dxa"/>
            <w:vAlign w:val="bottom"/>
          </w:tcPr>
          <w:p>
            <w:pPr>
              <w:spacing w:after="0"/>
              <w:rPr>
                <w:sz w:val="15"/>
                <w:szCs w:val="15"/>
                <w:color w:val="auto"/>
              </w:rPr>
            </w:pPr>
          </w:p>
        </w:tc>
        <w:tc>
          <w:tcPr>
            <w:tcW w:w="1300" w:type="dxa"/>
            <w:vAlign w:val="bottom"/>
          </w:tcPr>
          <w:p>
            <w:pPr>
              <w:jc w:val="right"/>
              <w:ind w:right="168"/>
              <w:spacing w:after="0"/>
              <w:rPr>
                <w:sz w:val="20"/>
                <w:szCs w:val="20"/>
                <w:color w:val="auto"/>
              </w:rPr>
            </w:pPr>
            <w:r>
              <w:rPr>
                <w:rFonts w:ascii="Arial" w:cs="Arial" w:eastAsia="Arial" w:hAnsi="Arial"/>
                <w:sz w:val="14"/>
                <w:szCs w:val="14"/>
                <w:b w:val="1"/>
                <w:bCs w:val="1"/>
                <w:color w:val="auto"/>
              </w:rPr>
              <w:t>2024 ICP</w:t>
            </w:r>
          </w:p>
        </w:tc>
        <w:tc>
          <w:tcPr>
            <w:tcW w:w="1500" w:type="dxa"/>
            <w:vAlign w:val="bottom"/>
          </w:tcPr>
          <w:p>
            <w:pPr>
              <w:spacing w:after="0"/>
              <w:rPr>
                <w:sz w:val="15"/>
                <w:szCs w:val="15"/>
                <w:color w:val="auto"/>
              </w:rPr>
            </w:pPr>
          </w:p>
        </w:tc>
        <w:tc>
          <w:tcPr>
            <w:tcW w:w="13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2025 Goal v.</w:t>
            </w:r>
          </w:p>
        </w:tc>
        <w:tc>
          <w:tcPr>
            <w:tcW w:w="2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ICP Goal</w:t>
            </w:r>
          </w:p>
        </w:tc>
        <w:tc>
          <w:tcPr>
            <w:tcW w:w="1300" w:type="dxa"/>
            <w:vAlign w:val="bottom"/>
          </w:tcPr>
          <w:p>
            <w:pPr>
              <w:jc w:val="right"/>
              <w:ind w:right="208"/>
              <w:spacing w:after="0"/>
              <w:rPr>
                <w:sz w:val="20"/>
                <w:szCs w:val="20"/>
                <w:color w:val="auto"/>
              </w:rPr>
            </w:pPr>
            <w:r>
              <w:rPr>
                <w:rFonts w:ascii="Arial" w:cs="Arial" w:eastAsia="Arial" w:hAnsi="Arial"/>
                <w:sz w:val="14"/>
                <w:szCs w:val="14"/>
                <w:b w:val="1"/>
                <w:bCs w:val="1"/>
                <w:color w:val="auto"/>
              </w:rPr>
              <w:t>Goal Actual</w:t>
            </w:r>
          </w:p>
        </w:tc>
        <w:tc>
          <w:tcPr>
            <w:tcW w:w="15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2025 ICP Goal</w:t>
            </w:r>
          </w:p>
        </w:tc>
        <w:tc>
          <w:tcPr>
            <w:tcW w:w="1340" w:type="dxa"/>
            <w:vAlign w:val="bottom"/>
            <w:vMerge w:val="continue"/>
          </w:tcPr>
          <w:p>
            <w:pPr>
              <w:spacing w:after="0"/>
              <w:rPr>
                <w:sz w:val="14"/>
                <w:szCs w:val="14"/>
                <w:color w:val="auto"/>
              </w:rPr>
            </w:pPr>
          </w:p>
        </w:tc>
        <w:tc>
          <w:tcPr>
            <w:tcW w:w="2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Basis for 2025 Goals</w:t>
            </w:r>
          </w:p>
        </w:tc>
        <w:tc>
          <w:tcPr>
            <w:tcW w:w="0" w:type="dxa"/>
            <w:vAlign w:val="bottom"/>
          </w:tcPr>
          <w:p>
            <w:pPr>
              <w:spacing w:after="0"/>
              <w:rPr>
                <w:sz w:val="1"/>
                <w:szCs w:val="1"/>
                <w:color w:val="auto"/>
              </w:rPr>
            </w:pPr>
          </w:p>
        </w:tc>
      </w:tr>
      <w:tr>
        <w:trPr>
          <w:trHeight w:val="88"/>
        </w:trPr>
        <w:tc>
          <w:tcPr>
            <w:tcW w:w="1600" w:type="dxa"/>
            <w:vAlign w:val="bottom"/>
            <w:vMerge w:val="continue"/>
          </w:tcPr>
          <w:p>
            <w:pPr>
              <w:spacing w:after="0"/>
              <w:rPr>
                <w:sz w:val="7"/>
                <w:szCs w:val="7"/>
                <w:color w:val="auto"/>
              </w:rPr>
            </w:pPr>
          </w:p>
        </w:tc>
        <w:tc>
          <w:tcPr>
            <w:tcW w:w="13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Performance</w:t>
            </w:r>
          </w:p>
        </w:tc>
        <w:tc>
          <w:tcPr>
            <w:tcW w:w="1500" w:type="dxa"/>
            <w:vAlign w:val="bottom"/>
            <w:vMerge w:val="continue"/>
          </w:tcPr>
          <w:p>
            <w:pPr>
              <w:spacing w:after="0"/>
              <w:rPr>
                <w:sz w:val="7"/>
                <w:szCs w:val="7"/>
                <w:color w:val="auto"/>
              </w:rPr>
            </w:pPr>
          </w:p>
        </w:tc>
        <w:tc>
          <w:tcPr>
            <w:tcW w:w="13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2024 Actual</w:t>
            </w:r>
          </w:p>
        </w:tc>
        <w:tc>
          <w:tcPr>
            <w:tcW w:w="2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1600" w:type="dxa"/>
            <w:vAlign w:val="bottom"/>
            <w:tcBorders>
              <w:bottom w:val="single" w:sz="8" w:color="D7282F"/>
            </w:tcBorders>
          </w:tcPr>
          <w:p>
            <w:pPr>
              <w:spacing w:after="0"/>
              <w:rPr>
                <w:sz w:val="10"/>
                <w:szCs w:val="10"/>
                <w:color w:val="auto"/>
              </w:rPr>
            </w:pPr>
          </w:p>
        </w:tc>
        <w:tc>
          <w:tcPr>
            <w:tcW w:w="1300" w:type="dxa"/>
            <w:vAlign w:val="bottom"/>
            <w:tcBorders>
              <w:bottom w:val="single" w:sz="8" w:color="D7282F"/>
            </w:tcBorders>
            <w:vMerge w:val="continue"/>
          </w:tcPr>
          <w:p>
            <w:pPr>
              <w:spacing w:after="0"/>
              <w:rPr>
                <w:sz w:val="10"/>
                <w:szCs w:val="10"/>
                <w:color w:val="auto"/>
              </w:rPr>
            </w:pPr>
          </w:p>
        </w:tc>
        <w:tc>
          <w:tcPr>
            <w:tcW w:w="1500" w:type="dxa"/>
            <w:vAlign w:val="bottom"/>
            <w:tcBorders>
              <w:bottom w:val="single" w:sz="8" w:color="D7282F"/>
            </w:tcBorders>
          </w:tcPr>
          <w:p>
            <w:pPr>
              <w:spacing w:after="0"/>
              <w:rPr>
                <w:sz w:val="10"/>
                <w:szCs w:val="10"/>
                <w:color w:val="auto"/>
              </w:rPr>
            </w:pPr>
          </w:p>
        </w:tc>
        <w:tc>
          <w:tcPr>
            <w:tcW w:w="1340" w:type="dxa"/>
            <w:vAlign w:val="bottom"/>
            <w:tcBorders>
              <w:bottom w:val="single" w:sz="8" w:color="D7282F"/>
            </w:tcBorders>
            <w:vMerge w:val="continue"/>
          </w:tcPr>
          <w:p>
            <w:pPr>
              <w:spacing w:after="0"/>
              <w:rPr>
                <w:sz w:val="10"/>
                <w:szCs w:val="10"/>
                <w:color w:val="auto"/>
              </w:rPr>
            </w:pPr>
          </w:p>
        </w:tc>
        <w:tc>
          <w:tcPr>
            <w:tcW w:w="2340" w:type="dxa"/>
            <w:vAlign w:val="bottom"/>
            <w:tcBorders>
              <w:bottom w:val="single" w:sz="8" w:color="D7282F"/>
            </w:tcBorders>
          </w:tcPr>
          <w:p>
            <w:pPr>
              <w:spacing w:after="0"/>
              <w:rPr>
                <w:sz w:val="10"/>
                <w:szCs w:val="10"/>
                <w:color w:val="auto"/>
              </w:rPr>
            </w:pPr>
          </w:p>
        </w:tc>
        <w:tc>
          <w:tcPr>
            <w:tcW w:w="0" w:type="dxa"/>
            <w:vAlign w:val="bottom"/>
          </w:tcPr>
          <w:p>
            <w:pPr>
              <w:spacing w:after="0"/>
              <w:rPr>
                <w:sz w:val="1"/>
                <w:szCs w:val="1"/>
                <w:color w:val="auto"/>
              </w:rPr>
            </w:pPr>
          </w:p>
        </w:tc>
      </w:tr>
      <w:tr>
        <w:trPr>
          <w:trHeight w:val="296"/>
        </w:trPr>
        <w:tc>
          <w:tcPr>
            <w:tcW w:w="1600" w:type="dxa"/>
            <w:vAlign w:val="bottom"/>
          </w:tcPr>
          <w:p>
            <w:pPr>
              <w:ind w:left="20"/>
              <w:spacing w:after="0"/>
              <w:rPr>
                <w:sz w:val="20"/>
                <w:szCs w:val="20"/>
                <w:color w:val="auto"/>
              </w:rPr>
            </w:pPr>
            <w:r>
              <w:rPr>
                <w:rFonts w:ascii="Arial" w:cs="Arial" w:eastAsia="Arial" w:hAnsi="Arial"/>
                <w:sz w:val="14"/>
                <w:szCs w:val="14"/>
                <w:b w:val="1"/>
                <w:bCs w:val="1"/>
                <w:color w:val="auto"/>
              </w:rPr>
              <w:t>Honeywell ICP Sales</w:t>
            </w:r>
          </w:p>
        </w:tc>
        <w:tc>
          <w:tcPr>
            <w:tcW w:w="1300" w:type="dxa"/>
            <w:vAlign w:val="bottom"/>
          </w:tcPr>
          <w:p>
            <w:pPr>
              <w:jc w:val="right"/>
              <w:ind w:right="168"/>
              <w:spacing w:after="0"/>
              <w:rPr>
                <w:sz w:val="20"/>
                <w:szCs w:val="20"/>
                <w:color w:val="auto"/>
              </w:rPr>
            </w:pPr>
            <w:r>
              <w:rPr>
                <w:rFonts w:ascii="Arial" w:cs="Arial" w:eastAsia="Arial" w:hAnsi="Arial"/>
                <w:sz w:val="14"/>
                <w:szCs w:val="14"/>
                <w:color w:val="auto"/>
              </w:rPr>
              <w:t>$38.87 billion</w:t>
            </w:r>
          </w:p>
        </w:tc>
        <w:tc>
          <w:tcPr>
            <w:tcW w:w="1500" w:type="dxa"/>
            <w:vAlign w:val="bottom"/>
          </w:tcPr>
          <w:p>
            <w:pPr>
              <w:jc w:val="right"/>
              <w:ind w:right="228"/>
              <w:spacing w:after="0"/>
              <w:rPr>
                <w:sz w:val="20"/>
                <w:szCs w:val="20"/>
                <w:color w:val="auto"/>
              </w:rPr>
            </w:pPr>
            <w:r>
              <w:rPr>
                <w:rFonts w:ascii="Arial" w:cs="Arial" w:eastAsia="Arial" w:hAnsi="Arial"/>
                <w:sz w:val="14"/>
                <w:szCs w:val="14"/>
                <w:color w:val="auto"/>
              </w:rPr>
              <w:t>$40.06 billion</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3.1 %</w:t>
            </w:r>
          </w:p>
        </w:tc>
        <w:tc>
          <w:tcPr>
            <w:tcW w:w="2340" w:type="dxa"/>
            <w:vAlign w:val="bottom"/>
          </w:tcPr>
          <w:p>
            <w:pPr>
              <w:ind w:left="20"/>
              <w:spacing w:after="0"/>
              <w:rPr>
                <w:sz w:val="20"/>
                <w:szCs w:val="20"/>
                <w:color w:val="auto"/>
              </w:rPr>
            </w:pPr>
            <w:r>
              <w:rPr>
                <w:rFonts w:ascii="Arial" w:cs="Arial" w:eastAsia="Arial" w:hAnsi="Arial"/>
                <w:sz w:val="14"/>
                <w:szCs w:val="14"/>
                <w:color w:val="auto"/>
              </w:rPr>
              <w:t>Midpoint of initial guidance range</w:t>
            </w:r>
          </w:p>
        </w:tc>
        <w:tc>
          <w:tcPr>
            <w:tcW w:w="0" w:type="dxa"/>
            <w:vAlign w:val="bottom"/>
          </w:tcPr>
          <w:p>
            <w:pPr>
              <w:spacing w:after="0"/>
              <w:rPr>
                <w:sz w:val="1"/>
                <w:szCs w:val="1"/>
                <w:color w:val="auto"/>
              </w:rPr>
            </w:pPr>
          </w:p>
        </w:tc>
      </w:tr>
      <w:tr>
        <w:trPr>
          <w:trHeight w:val="144"/>
        </w:trPr>
        <w:tc>
          <w:tcPr>
            <w:tcW w:w="1600" w:type="dxa"/>
            <w:vAlign w:val="bottom"/>
            <w:tcBorders>
              <w:bottom w:val="single" w:sz="8" w:color="939598"/>
            </w:tcBorders>
          </w:tcPr>
          <w:p>
            <w:pPr>
              <w:spacing w:after="0"/>
              <w:rPr>
                <w:sz w:val="12"/>
                <w:szCs w:val="12"/>
                <w:color w:val="auto"/>
              </w:rPr>
            </w:pPr>
          </w:p>
        </w:tc>
        <w:tc>
          <w:tcPr>
            <w:tcW w:w="1300" w:type="dxa"/>
            <w:vAlign w:val="bottom"/>
            <w:tcBorders>
              <w:bottom w:val="single" w:sz="8" w:color="939598"/>
            </w:tcBorders>
          </w:tcPr>
          <w:p>
            <w:pPr>
              <w:spacing w:after="0"/>
              <w:rPr>
                <w:sz w:val="12"/>
                <w:szCs w:val="12"/>
                <w:color w:val="auto"/>
              </w:rPr>
            </w:pPr>
          </w:p>
        </w:tc>
        <w:tc>
          <w:tcPr>
            <w:tcW w:w="1500" w:type="dxa"/>
            <w:vAlign w:val="bottom"/>
            <w:tcBorders>
              <w:bottom w:val="single" w:sz="8" w:color="939598"/>
            </w:tcBorders>
          </w:tcPr>
          <w:p>
            <w:pPr>
              <w:spacing w:after="0"/>
              <w:rPr>
                <w:sz w:val="12"/>
                <w:szCs w:val="12"/>
                <w:color w:val="auto"/>
              </w:rPr>
            </w:pPr>
          </w:p>
        </w:tc>
        <w:tc>
          <w:tcPr>
            <w:tcW w:w="1340" w:type="dxa"/>
            <w:vAlign w:val="bottom"/>
            <w:tcBorders>
              <w:bottom w:val="single" w:sz="8" w:color="939598"/>
            </w:tcBorders>
          </w:tcPr>
          <w:p>
            <w:pPr>
              <w:spacing w:after="0"/>
              <w:rPr>
                <w:sz w:val="12"/>
                <w:szCs w:val="12"/>
                <w:color w:val="auto"/>
              </w:rPr>
            </w:pPr>
          </w:p>
        </w:tc>
        <w:tc>
          <w:tcPr>
            <w:tcW w:w="2340" w:type="dxa"/>
            <w:vAlign w:val="bottom"/>
          </w:tcPr>
          <w:p>
            <w:pPr>
              <w:ind w:left="20"/>
              <w:spacing w:after="0" w:line="125" w:lineRule="exact"/>
              <w:rPr>
                <w:sz w:val="20"/>
                <w:szCs w:val="20"/>
                <w:color w:val="auto"/>
              </w:rPr>
            </w:pPr>
            <w:r>
              <w:rPr>
                <w:rFonts w:ascii="Arial" w:cs="Arial" w:eastAsia="Arial" w:hAnsi="Arial"/>
                <w:sz w:val="14"/>
                <w:szCs w:val="14"/>
                <w:color w:val="auto"/>
              </w:rPr>
              <w:t>communicated to investors on</w:t>
            </w:r>
          </w:p>
        </w:tc>
        <w:tc>
          <w:tcPr>
            <w:tcW w:w="0" w:type="dxa"/>
            <w:vAlign w:val="bottom"/>
          </w:tcPr>
          <w:p>
            <w:pPr>
              <w:spacing w:after="0"/>
              <w:rPr>
                <w:sz w:val="1"/>
                <w:szCs w:val="1"/>
                <w:color w:val="auto"/>
              </w:rPr>
            </w:pPr>
          </w:p>
        </w:tc>
      </w:tr>
      <w:tr>
        <w:trPr>
          <w:trHeight w:val="187"/>
        </w:trPr>
        <w:tc>
          <w:tcPr>
            <w:tcW w:w="1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Adjusted ICP EPS</w:t>
            </w:r>
          </w:p>
        </w:tc>
        <w:tc>
          <w:tcPr>
            <w:tcW w:w="1300" w:type="dxa"/>
            <w:vAlign w:val="bottom"/>
            <w:vMerge w:val="restart"/>
          </w:tcPr>
          <w:p>
            <w:pPr>
              <w:jc w:val="right"/>
              <w:ind w:right="208"/>
              <w:spacing w:after="0"/>
              <w:rPr>
                <w:sz w:val="20"/>
                <w:szCs w:val="20"/>
                <w:color w:val="auto"/>
              </w:rPr>
            </w:pPr>
            <w:r>
              <w:rPr>
                <w:rFonts w:ascii="Arial" w:cs="Arial" w:eastAsia="Arial" w:hAnsi="Arial"/>
                <w:sz w:val="14"/>
                <w:szCs w:val="14"/>
                <w:color w:val="auto"/>
              </w:rPr>
              <w:t>$10.34</w:t>
            </w:r>
          </w:p>
        </w:tc>
        <w:tc>
          <w:tcPr>
            <w:tcW w:w="1500" w:type="dxa"/>
            <w:vAlign w:val="bottom"/>
            <w:vMerge w:val="restart"/>
          </w:tcPr>
          <w:p>
            <w:pPr>
              <w:jc w:val="right"/>
              <w:ind w:right="288"/>
              <w:spacing w:after="0"/>
              <w:rPr>
                <w:sz w:val="20"/>
                <w:szCs w:val="20"/>
                <w:color w:val="auto"/>
              </w:rPr>
            </w:pPr>
            <w:r>
              <w:rPr>
                <w:rFonts w:ascii="Arial" w:cs="Arial" w:eastAsia="Arial" w:hAnsi="Arial"/>
                <w:sz w:val="14"/>
                <w:szCs w:val="14"/>
                <w:color w:val="auto"/>
              </w:rPr>
              <w:t>$10.30</w:t>
            </w:r>
          </w:p>
        </w:tc>
        <w:tc>
          <w:tcPr>
            <w:tcW w:w="1340" w:type="dxa"/>
            <w:vAlign w:val="bottom"/>
            <w:vMerge w:val="restart"/>
          </w:tcPr>
          <w:p>
            <w:pPr>
              <w:jc w:val="right"/>
              <w:ind w:right="88"/>
              <w:spacing w:after="0"/>
              <w:rPr>
                <w:sz w:val="20"/>
                <w:szCs w:val="20"/>
                <w:color w:val="auto"/>
              </w:rPr>
            </w:pPr>
            <w:r>
              <w:rPr>
                <w:rFonts w:ascii="Arial" w:cs="Arial" w:eastAsia="Arial" w:hAnsi="Arial"/>
                <w:sz w:val="14"/>
                <w:szCs w:val="14"/>
                <w:color w:val="auto"/>
              </w:rPr>
              <w:t>(0.4%)</w:t>
            </w:r>
          </w:p>
        </w:tc>
        <w:tc>
          <w:tcPr>
            <w:tcW w:w="2340" w:type="dxa"/>
            <w:vAlign w:val="bottom"/>
          </w:tcPr>
          <w:p>
            <w:pPr>
              <w:ind w:left="20"/>
              <w:spacing w:after="0"/>
              <w:rPr>
                <w:sz w:val="20"/>
                <w:szCs w:val="20"/>
                <w:color w:val="auto"/>
              </w:rPr>
            </w:pPr>
            <w:r>
              <w:rPr>
                <w:rFonts w:ascii="Arial" w:cs="Arial" w:eastAsia="Arial" w:hAnsi="Arial"/>
                <w:sz w:val="14"/>
                <w:szCs w:val="14"/>
                <w:color w:val="auto"/>
              </w:rPr>
              <w:t>February 6, 2025 (Guidance</w:t>
            </w:r>
          </w:p>
        </w:tc>
        <w:tc>
          <w:tcPr>
            <w:tcW w:w="0" w:type="dxa"/>
            <w:vAlign w:val="bottom"/>
          </w:tcPr>
          <w:p>
            <w:pPr>
              <w:spacing w:after="0"/>
              <w:rPr>
                <w:sz w:val="1"/>
                <w:szCs w:val="1"/>
                <w:color w:val="auto"/>
              </w:rPr>
            </w:pPr>
          </w:p>
        </w:tc>
      </w:tr>
      <w:tr>
        <w:trPr>
          <w:trHeight w:val="129"/>
        </w:trPr>
        <w:tc>
          <w:tcPr>
            <w:tcW w:w="160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340" w:type="dxa"/>
            <w:vAlign w:val="bottom"/>
            <w:vMerge w:val="restart"/>
          </w:tcPr>
          <w:p>
            <w:pPr>
              <w:ind w:left="20"/>
              <w:spacing w:after="0"/>
              <w:rPr>
                <w:sz w:val="20"/>
                <w:szCs w:val="20"/>
                <w:color w:val="auto"/>
              </w:rPr>
            </w:pPr>
            <w:r>
              <w:rPr>
                <w:rFonts w:ascii="Arial" w:cs="Arial" w:eastAsia="Arial" w:hAnsi="Arial"/>
                <w:sz w:val="14"/>
                <w:szCs w:val="14"/>
                <w:color w:val="auto"/>
              </w:rPr>
              <w:t>Range)</w:t>
            </w:r>
          </w:p>
        </w:tc>
        <w:tc>
          <w:tcPr>
            <w:tcW w:w="0" w:type="dxa"/>
            <w:vAlign w:val="bottom"/>
          </w:tcPr>
          <w:p>
            <w:pPr>
              <w:spacing w:after="0"/>
              <w:rPr>
                <w:sz w:val="1"/>
                <w:szCs w:val="1"/>
                <w:color w:val="auto"/>
              </w:rPr>
            </w:pPr>
          </w:p>
        </w:tc>
      </w:tr>
      <w:tr>
        <w:trPr>
          <w:trHeight w:val="62"/>
        </w:trPr>
        <w:tc>
          <w:tcPr>
            <w:tcW w:w="16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1600" w:type="dxa"/>
            <w:vAlign w:val="bottom"/>
            <w:tcBorders>
              <w:bottom w:val="single" w:sz="8" w:color="939598"/>
            </w:tcBorders>
          </w:tcPr>
          <w:p>
            <w:pPr>
              <w:spacing w:after="0"/>
              <w:rPr>
                <w:sz w:val="5"/>
                <w:szCs w:val="5"/>
                <w:color w:val="auto"/>
              </w:rPr>
            </w:pPr>
          </w:p>
        </w:tc>
        <w:tc>
          <w:tcPr>
            <w:tcW w:w="1300" w:type="dxa"/>
            <w:vAlign w:val="bottom"/>
            <w:tcBorders>
              <w:bottom w:val="single" w:sz="8" w:color="939598"/>
            </w:tcBorders>
          </w:tcPr>
          <w:p>
            <w:pPr>
              <w:spacing w:after="0"/>
              <w:rPr>
                <w:sz w:val="5"/>
                <w:szCs w:val="5"/>
                <w:color w:val="auto"/>
              </w:rPr>
            </w:pPr>
          </w:p>
        </w:tc>
        <w:tc>
          <w:tcPr>
            <w:tcW w:w="1500" w:type="dxa"/>
            <w:vAlign w:val="bottom"/>
            <w:tcBorders>
              <w:bottom w:val="single" w:sz="8" w:color="939598"/>
            </w:tcBorders>
          </w:tcPr>
          <w:p>
            <w:pPr>
              <w:spacing w:after="0"/>
              <w:rPr>
                <w:sz w:val="5"/>
                <w:szCs w:val="5"/>
                <w:color w:val="auto"/>
              </w:rPr>
            </w:pPr>
          </w:p>
        </w:tc>
        <w:tc>
          <w:tcPr>
            <w:tcW w:w="1340" w:type="dxa"/>
            <w:vAlign w:val="bottom"/>
            <w:tcBorders>
              <w:bottom w:val="single" w:sz="8" w:color="939598"/>
            </w:tcBorders>
          </w:tcPr>
          <w:p>
            <w:pPr>
              <w:spacing w:after="0"/>
              <w:rPr>
                <w:sz w:val="5"/>
                <w:szCs w:val="5"/>
                <w:color w:val="auto"/>
              </w:rPr>
            </w:pPr>
          </w:p>
        </w:tc>
        <w:tc>
          <w:tcPr>
            <w:tcW w:w="2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5"/>
        </w:trPr>
        <w:tc>
          <w:tcPr>
            <w:tcW w:w="1600" w:type="dxa"/>
            <w:vAlign w:val="bottom"/>
          </w:tcPr>
          <w:p>
            <w:pPr>
              <w:ind w:left="20"/>
              <w:spacing w:after="0"/>
              <w:rPr>
                <w:sz w:val="20"/>
                <w:szCs w:val="20"/>
                <w:color w:val="auto"/>
              </w:rPr>
            </w:pPr>
            <w:r>
              <w:rPr>
                <w:rFonts w:ascii="Arial" w:cs="Arial" w:eastAsia="Arial" w:hAnsi="Arial"/>
                <w:sz w:val="14"/>
                <w:szCs w:val="14"/>
                <w:b w:val="1"/>
                <w:bCs w:val="1"/>
                <w:color w:val="auto"/>
              </w:rPr>
              <w:t>Honeywell ICP Free</w:t>
            </w:r>
          </w:p>
        </w:tc>
        <w:tc>
          <w:tcPr>
            <w:tcW w:w="1300" w:type="dxa"/>
            <w:vAlign w:val="bottom"/>
          </w:tcPr>
          <w:p>
            <w:pPr>
              <w:jc w:val="right"/>
              <w:ind w:right="168"/>
              <w:spacing w:after="0"/>
              <w:rPr>
                <w:sz w:val="20"/>
                <w:szCs w:val="20"/>
                <w:color w:val="auto"/>
              </w:rPr>
            </w:pPr>
            <w:r>
              <w:rPr>
                <w:rFonts w:ascii="Arial" w:cs="Arial" w:eastAsia="Arial" w:hAnsi="Arial"/>
                <w:sz w:val="14"/>
                <w:szCs w:val="14"/>
                <w:color w:val="auto"/>
              </w:rPr>
              <w:t>$5.46 billion</w:t>
            </w:r>
          </w:p>
        </w:tc>
        <w:tc>
          <w:tcPr>
            <w:tcW w:w="1500" w:type="dxa"/>
            <w:vAlign w:val="bottom"/>
          </w:tcPr>
          <w:p>
            <w:pPr>
              <w:jc w:val="right"/>
              <w:ind w:right="228"/>
              <w:spacing w:after="0"/>
              <w:rPr>
                <w:sz w:val="20"/>
                <w:szCs w:val="20"/>
                <w:color w:val="auto"/>
              </w:rPr>
            </w:pPr>
            <w:r>
              <w:rPr>
                <w:rFonts w:ascii="Arial" w:cs="Arial" w:eastAsia="Arial" w:hAnsi="Arial"/>
                <w:sz w:val="14"/>
                <w:szCs w:val="14"/>
                <w:color w:val="auto"/>
              </w:rPr>
              <w:t>$5.60 billion</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2.6 %</w:t>
            </w: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600" w:type="dxa"/>
            <w:vAlign w:val="bottom"/>
          </w:tcPr>
          <w:p>
            <w:pPr>
              <w:ind w:left="20"/>
              <w:spacing w:after="0"/>
              <w:rPr>
                <w:sz w:val="20"/>
                <w:szCs w:val="20"/>
                <w:color w:val="auto"/>
              </w:rPr>
            </w:pPr>
            <w:r>
              <w:rPr>
                <w:rFonts w:ascii="Arial" w:cs="Arial" w:eastAsia="Arial" w:hAnsi="Arial"/>
                <w:sz w:val="14"/>
                <w:szCs w:val="14"/>
                <w:b w:val="1"/>
                <w:bCs w:val="1"/>
                <w:color w:val="auto"/>
              </w:rPr>
              <w:t>Cash Flow</w:t>
            </w:r>
          </w:p>
        </w:tc>
        <w:tc>
          <w:tcPr>
            <w:tcW w:w="1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3"/>
        </w:trPr>
        <w:tc>
          <w:tcPr>
            <w:tcW w:w="1600" w:type="dxa"/>
            <w:vAlign w:val="bottom"/>
            <w:tcBorders>
              <w:bottom w:val="single" w:sz="8" w:color="D7282F"/>
            </w:tcBorders>
          </w:tcPr>
          <w:p>
            <w:pPr>
              <w:spacing w:after="0"/>
              <w:rPr>
                <w:sz w:val="10"/>
                <w:szCs w:val="10"/>
                <w:color w:val="auto"/>
              </w:rPr>
            </w:pPr>
          </w:p>
        </w:tc>
        <w:tc>
          <w:tcPr>
            <w:tcW w:w="1300" w:type="dxa"/>
            <w:vAlign w:val="bottom"/>
            <w:tcBorders>
              <w:bottom w:val="single" w:sz="8" w:color="D7282F"/>
            </w:tcBorders>
          </w:tcPr>
          <w:p>
            <w:pPr>
              <w:spacing w:after="0"/>
              <w:rPr>
                <w:sz w:val="10"/>
                <w:szCs w:val="10"/>
                <w:color w:val="auto"/>
              </w:rPr>
            </w:pPr>
          </w:p>
        </w:tc>
        <w:tc>
          <w:tcPr>
            <w:tcW w:w="1500" w:type="dxa"/>
            <w:vAlign w:val="bottom"/>
            <w:tcBorders>
              <w:bottom w:val="single" w:sz="8" w:color="D7282F"/>
            </w:tcBorders>
          </w:tcPr>
          <w:p>
            <w:pPr>
              <w:spacing w:after="0"/>
              <w:rPr>
                <w:sz w:val="10"/>
                <w:szCs w:val="10"/>
                <w:color w:val="auto"/>
              </w:rPr>
            </w:pPr>
          </w:p>
        </w:tc>
        <w:tc>
          <w:tcPr>
            <w:tcW w:w="1340" w:type="dxa"/>
            <w:vAlign w:val="bottom"/>
            <w:tcBorders>
              <w:bottom w:val="single" w:sz="8" w:color="D7282F"/>
            </w:tcBorders>
          </w:tcPr>
          <w:p>
            <w:pPr>
              <w:spacing w:after="0"/>
              <w:rPr>
                <w:sz w:val="10"/>
                <w:szCs w:val="10"/>
                <w:color w:val="auto"/>
              </w:rPr>
            </w:pPr>
          </w:p>
        </w:tc>
        <w:tc>
          <w:tcPr>
            <w:tcW w:w="2340" w:type="dxa"/>
            <w:vAlign w:val="bottom"/>
            <w:tcBorders>
              <w:bottom w:val="single" w:sz="8" w:color="D7282F"/>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60"/>
        <w:spacing w:after="0"/>
        <w:rPr>
          <w:sz w:val="20"/>
          <w:szCs w:val="20"/>
          <w:color w:val="auto"/>
        </w:rPr>
      </w:pPr>
      <w:r>
        <w:rPr>
          <w:rFonts w:ascii="Arial" w:cs="Arial" w:eastAsia="Arial" w:hAnsi="Arial"/>
          <w:sz w:val="12"/>
          <w:szCs w:val="12"/>
          <w:b w:val="1"/>
          <w:bCs w:val="1"/>
          <w:color w:val="6D6E71"/>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1175385</wp:posOffset>
            </wp:positionV>
            <wp:extent cx="1911350" cy="136271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911350" cy="1362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520" w:type="dxa"/>
            <w:vAlign w:val="bottom"/>
          </w:tcPr>
          <w:p>
            <w:pPr>
              <w:jc w:val="right"/>
              <w:ind w:right="108"/>
              <w:spacing w:after="0"/>
              <w:rPr>
                <w:sz w:val="20"/>
                <w:szCs w:val="20"/>
                <w:color w:val="auto"/>
              </w:rPr>
            </w:pPr>
            <w:r>
              <w:rPr>
                <w:rFonts w:ascii="Arial" w:cs="Arial" w:eastAsia="Arial" w:hAnsi="Arial"/>
                <w:sz w:val="14"/>
                <w:szCs w:val="14"/>
                <w:b w:val="1"/>
                <w:bCs w:val="1"/>
                <w:color w:val="auto"/>
              </w:rPr>
              <w:t>2025</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2025</w:t>
            </w:r>
          </w:p>
        </w:tc>
      </w:tr>
      <w:tr>
        <w:trPr>
          <w:trHeight w:val="175"/>
        </w:trPr>
        <w:tc>
          <w:tcPr>
            <w:tcW w:w="1520" w:type="dxa"/>
            <w:vAlign w:val="bottom"/>
          </w:tcPr>
          <w:p>
            <w:pPr>
              <w:jc w:val="right"/>
              <w:ind w:right="108"/>
              <w:spacing w:after="0"/>
              <w:rPr>
                <w:sz w:val="20"/>
                <w:szCs w:val="20"/>
                <w:color w:val="auto"/>
              </w:rPr>
            </w:pPr>
            <w:r>
              <w:rPr>
                <w:rFonts w:ascii="Arial" w:cs="Arial" w:eastAsia="Arial" w:hAnsi="Arial"/>
                <w:sz w:val="14"/>
                <w:szCs w:val="14"/>
                <w:b w:val="1"/>
                <w:bCs w:val="1"/>
                <w:color w:val="auto"/>
              </w:rPr>
              <w:t>Threshold</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Maximum</w:t>
            </w:r>
          </w:p>
        </w:tc>
      </w:tr>
      <w:tr>
        <w:trPr>
          <w:trHeight w:val="197"/>
        </w:trPr>
        <w:tc>
          <w:tcPr>
            <w:tcW w:w="15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(50% Payout)</w:t>
            </w:r>
          </w:p>
        </w:tc>
        <w:tc>
          <w:tcPr>
            <w:tcW w:w="11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(200% Payout)</w:t>
            </w:r>
          </w:p>
        </w:tc>
      </w:tr>
      <w:tr>
        <w:trPr>
          <w:trHeight w:val="311"/>
        </w:trPr>
        <w:tc>
          <w:tcPr>
            <w:tcW w:w="1520" w:type="dxa"/>
            <w:vAlign w:val="bottom"/>
          </w:tcPr>
          <w:p>
            <w:pPr>
              <w:jc w:val="right"/>
              <w:ind w:right="108"/>
              <w:spacing w:after="0"/>
              <w:rPr>
                <w:sz w:val="20"/>
                <w:szCs w:val="20"/>
                <w:color w:val="auto"/>
              </w:rPr>
            </w:pPr>
            <w:r>
              <w:rPr>
                <w:rFonts w:ascii="Arial" w:cs="Arial" w:eastAsia="Arial" w:hAnsi="Arial"/>
                <w:sz w:val="14"/>
                <w:szCs w:val="14"/>
                <w:color w:val="auto"/>
              </w:rPr>
              <w:t>$32.05 billion</w:t>
            </w:r>
          </w:p>
        </w:tc>
        <w:tc>
          <w:tcPr>
            <w:tcW w:w="1180" w:type="dxa"/>
            <w:vAlign w:val="bottom"/>
          </w:tcPr>
          <w:p>
            <w:pPr>
              <w:jc w:val="right"/>
              <w:spacing w:after="0"/>
              <w:rPr>
                <w:sz w:val="20"/>
                <w:szCs w:val="20"/>
                <w:color w:val="auto"/>
              </w:rPr>
            </w:pPr>
            <w:r>
              <w:rPr>
                <w:rFonts w:ascii="Arial" w:cs="Arial" w:eastAsia="Arial" w:hAnsi="Arial"/>
                <w:sz w:val="14"/>
                <w:szCs w:val="14"/>
                <w:color w:val="auto"/>
              </w:rPr>
              <w:t>$48.08 billion</w:t>
            </w:r>
          </w:p>
        </w:tc>
      </w:tr>
      <w:tr>
        <w:trPr>
          <w:trHeight w:val="129"/>
        </w:trPr>
        <w:tc>
          <w:tcPr>
            <w:tcW w:w="1520" w:type="dxa"/>
            <w:vAlign w:val="bottom"/>
            <w:tcBorders>
              <w:bottom w:val="single" w:sz="8" w:color="939598"/>
            </w:tcBorders>
          </w:tcPr>
          <w:p>
            <w:pPr>
              <w:spacing w:after="0"/>
              <w:rPr>
                <w:sz w:val="11"/>
                <w:szCs w:val="11"/>
                <w:color w:val="auto"/>
              </w:rPr>
            </w:pPr>
          </w:p>
        </w:tc>
        <w:tc>
          <w:tcPr>
            <w:tcW w:w="1180" w:type="dxa"/>
            <w:vAlign w:val="bottom"/>
            <w:tcBorders>
              <w:bottom w:val="single" w:sz="8" w:color="939598"/>
            </w:tcBorders>
          </w:tcPr>
          <w:p>
            <w:pPr>
              <w:spacing w:after="0"/>
              <w:rPr>
                <w:sz w:val="11"/>
                <w:szCs w:val="11"/>
                <w:color w:val="auto"/>
              </w:rPr>
            </w:pPr>
          </w:p>
        </w:tc>
      </w:tr>
      <w:tr>
        <w:trPr>
          <w:trHeight w:val="309"/>
        </w:trPr>
        <w:tc>
          <w:tcPr>
            <w:tcW w:w="1520" w:type="dxa"/>
            <w:vAlign w:val="bottom"/>
          </w:tcPr>
          <w:p>
            <w:pPr>
              <w:jc w:val="right"/>
              <w:ind w:right="168"/>
              <w:spacing w:after="0"/>
              <w:rPr>
                <w:sz w:val="20"/>
                <w:szCs w:val="20"/>
                <w:color w:val="auto"/>
              </w:rPr>
            </w:pPr>
            <w:r>
              <w:rPr>
                <w:rFonts w:ascii="Arial" w:cs="Arial" w:eastAsia="Arial" w:hAnsi="Arial"/>
                <w:sz w:val="14"/>
                <w:szCs w:val="14"/>
                <w:color w:val="auto"/>
              </w:rPr>
              <w:t>$8.24</w:t>
            </w:r>
          </w:p>
        </w:tc>
        <w:tc>
          <w:tcPr>
            <w:tcW w:w="1180" w:type="dxa"/>
            <w:vAlign w:val="bottom"/>
          </w:tcPr>
          <w:p>
            <w:pPr>
              <w:jc w:val="right"/>
              <w:spacing w:after="0"/>
              <w:rPr>
                <w:sz w:val="20"/>
                <w:szCs w:val="20"/>
                <w:color w:val="auto"/>
              </w:rPr>
            </w:pPr>
            <w:r>
              <w:rPr>
                <w:rFonts w:ascii="Arial" w:cs="Arial" w:eastAsia="Arial" w:hAnsi="Arial"/>
                <w:sz w:val="14"/>
                <w:szCs w:val="14"/>
                <w:color w:val="auto"/>
              </w:rPr>
              <w:t>$12.36</w:t>
            </w:r>
          </w:p>
        </w:tc>
      </w:tr>
      <w:tr>
        <w:trPr>
          <w:trHeight w:val="130"/>
        </w:trPr>
        <w:tc>
          <w:tcPr>
            <w:tcW w:w="1520" w:type="dxa"/>
            <w:vAlign w:val="bottom"/>
            <w:tcBorders>
              <w:bottom w:val="single" w:sz="8" w:color="939598"/>
            </w:tcBorders>
          </w:tcPr>
          <w:p>
            <w:pPr>
              <w:spacing w:after="0"/>
              <w:rPr>
                <w:sz w:val="11"/>
                <w:szCs w:val="11"/>
                <w:color w:val="auto"/>
              </w:rPr>
            </w:pPr>
          </w:p>
        </w:tc>
        <w:tc>
          <w:tcPr>
            <w:tcW w:w="1180" w:type="dxa"/>
            <w:vAlign w:val="bottom"/>
            <w:tcBorders>
              <w:bottom w:val="single" w:sz="8" w:color="939598"/>
            </w:tcBorders>
          </w:tcPr>
          <w:p>
            <w:pPr>
              <w:spacing w:after="0"/>
              <w:rPr>
                <w:sz w:val="11"/>
                <w:szCs w:val="11"/>
                <w:color w:val="auto"/>
              </w:rPr>
            </w:pPr>
          </w:p>
        </w:tc>
      </w:tr>
      <w:tr>
        <w:trPr>
          <w:trHeight w:val="309"/>
        </w:trPr>
        <w:tc>
          <w:tcPr>
            <w:tcW w:w="1520" w:type="dxa"/>
            <w:vAlign w:val="bottom"/>
          </w:tcPr>
          <w:p>
            <w:pPr>
              <w:jc w:val="right"/>
              <w:ind w:right="108"/>
              <w:spacing w:after="0"/>
              <w:rPr>
                <w:sz w:val="20"/>
                <w:szCs w:val="20"/>
                <w:color w:val="auto"/>
              </w:rPr>
            </w:pPr>
            <w:r>
              <w:rPr>
                <w:rFonts w:ascii="Arial" w:cs="Arial" w:eastAsia="Arial" w:hAnsi="Arial"/>
                <w:sz w:val="14"/>
                <w:szCs w:val="14"/>
                <w:color w:val="auto"/>
              </w:rPr>
              <w:t>$4.48 billion</w:t>
            </w:r>
          </w:p>
        </w:tc>
        <w:tc>
          <w:tcPr>
            <w:tcW w:w="1180" w:type="dxa"/>
            <w:vAlign w:val="bottom"/>
          </w:tcPr>
          <w:p>
            <w:pPr>
              <w:jc w:val="right"/>
              <w:spacing w:after="0"/>
              <w:rPr>
                <w:sz w:val="20"/>
                <w:szCs w:val="20"/>
                <w:color w:val="auto"/>
              </w:rPr>
            </w:pPr>
            <w:r>
              <w:rPr>
                <w:rFonts w:ascii="Arial" w:cs="Arial" w:eastAsia="Arial" w:hAnsi="Arial"/>
                <w:sz w:val="14"/>
                <w:szCs w:val="14"/>
                <w:color w:val="auto"/>
              </w:rPr>
              <w:t>$6.72 billion</w:t>
            </w:r>
          </w:p>
        </w:tc>
      </w:tr>
    </w:tbl>
    <w:p>
      <w:pPr>
        <w:spacing w:after="0" w:line="493" w:lineRule="exact"/>
        <w:rPr>
          <w:sz w:val="20"/>
          <w:szCs w:val="20"/>
          <w:color w:val="auto"/>
        </w:rPr>
      </w:pPr>
    </w:p>
    <w:p>
      <w:pPr>
        <w:sectPr>
          <w:pgSz w:w="11900" w:h="16838" w:orient="portrait"/>
          <w:cols w:equalWidth="0" w:num="2">
            <w:col w:w="8080" w:space="300"/>
            <w:col w:w="2860"/>
          </w:cols>
          <w:pgMar w:left="320" w:top="230" w:right="339" w:bottom="232" w:gutter="0" w:footer="0" w:header="0"/>
        </w:sectPr>
      </w:pPr>
    </w:p>
    <w:p>
      <w:pPr>
        <w:ind w:right="200"/>
        <w:spacing w:after="0" w:line="248" w:lineRule="auto"/>
        <w:rPr>
          <w:sz w:val="20"/>
          <w:szCs w:val="20"/>
          <w:color w:val="auto"/>
        </w:rPr>
      </w:pPr>
      <w:r>
        <w:rPr>
          <w:rFonts w:ascii="Arial" w:cs="Arial" w:eastAsia="Arial" w:hAnsi="Arial"/>
          <w:sz w:val="16"/>
          <w:szCs w:val="16"/>
          <w:color w:val="auto"/>
        </w:rPr>
        <w:t>The midpoint of 2025 EPS guidance is down slightly year over year due to the 2025 sale of the PPE business and increases in below-the-line items, which are the differences between segment profit and income before tax — specifically higher net interest expense, reduced pension income, and increased repositioning spend.</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D7282F"/>
        </w:rPr>
        <w:t>ACTUAL PERFORMANCE AGAINST 2025 ICP GOALS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The Corporate NEOs' formulaic payout portion of ICP (80% of ICP) was based on actual 2025 performance against 2025 ICP targets as follows:</w:t>
      </w:r>
    </w:p>
    <w:p>
      <w:pPr>
        <w:spacing w:after="0" w:line="166"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360" w:type="dxa"/>
            <w:vAlign w:val="bottom"/>
          </w:tcPr>
          <w:p>
            <w:pPr>
              <w:jc w:val="right"/>
              <w:ind w:right="150"/>
              <w:spacing w:after="0"/>
              <w:rPr>
                <w:sz w:val="20"/>
                <w:szCs w:val="20"/>
                <w:color w:val="auto"/>
              </w:rPr>
            </w:pPr>
            <w:r>
              <w:rPr>
                <w:rFonts w:ascii="Arial" w:cs="Arial" w:eastAsia="Arial" w:hAnsi="Arial"/>
                <w:sz w:val="13"/>
                <w:szCs w:val="13"/>
                <w:b w:val="1"/>
                <w:bCs w:val="1"/>
                <w:color w:val="auto"/>
              </w:rPr>
              <w:t>Metric</w:t>
            </w:r>
          </w:p>
        </w:tc>
        <w:tc>
          <w:tcPr>
            <w:tcW w:w="1100" w:type="dxa"/>
            <w:vAlign w:val="bottom"/>
          </w:tcPr>
          <w:p>
            <w:pPr>
              <w:jc w:val="right"/>
              <w:ind w:right="150"/>
              <w:spacing w:after="0"/>
              <w:rPr>
                <w:sz w:val="20"/>
                <w:szCs w:val="20"/>
                <w:color w:val="auto"/>
              </w:rPr>
            </w:pPr>
            <w:r>
              <w:rPr>
                <w:rFonts w:ascii="Arial" w:cs="Arial" w:eastAsia="Arial" w:hAnsi="Arial"/>
                <w:sz w:val="13"/>
                <w:szCs w:val="13"/>
                <w:b w:val="1"/>
                <w:bCs w:val="1"/>
                <w:color w:val="auto"/>
              </w:rPr>
              <w:t>Corporate</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Calculated</w:t>
            </w:r>
          </w:p>
        </w:tc>
      </w:tr>
      <w:tr>
        <w:trPr>
          <w:trHeight w:val="157"/>
        </w:trPr>
        <w:tc>
          <w:tcPr>
            <w:tcW w:w="1180" w:type="dxa"/>
            <w:vAlign w:val="bottom"/>
          </w:tcPr>
          <w:p>
            <w:pPr>
              <w:spacing w:after="0"/>
              <w:rPr>
                <w:sz w:val="13"/>
                <w:szCs w:val="13"/>
                <w:color w:val="auto"/>
              </w:rPr>
            </w:pPr>
          </w:p>
        </w:tc>
        <w:tc>
          <w:tcPr>
            <w:tcW w:w="1260" w:type="dxa"/>
            <w:vAlign w:val="bottom"/>
          </w:tcPr>
          <w:p>
            <w:pPr>
              <w:jc w:val="right"/>
              <w:ind w:right="130"/>
              <w:spacing w:after="0"/>
              <w:rPr>
                <w:sz w:val="20"/>
                <w:szCs w:val="20"/>
                <w:color w:val="auto"/>
              </w:rPr>
            </w:pPr>
            <w:r>
              <w:rPr>
                <w:rFonts w:ascii="Arial" w:cs="Arial" w:eastAsia="Arial" w:hAnsi="Arial"/>
                <w:sz w:val="13"/>
                <w:szCs w:val="13"/>
                <w:b w:val="1"/>
                <w:bCs w:val="1"/>
                <w:color w:val="auto"/>
              </w:rPr>
              <w:t>2025 ICP Goal</w:t>
            </w:r>
          </w:p>
        </w:tc>
        <w:tc>
          <w:tcPr>
            <w:tcW w:w="1360" w:type="dxa"/>
            <w:vAlign w:val="bottom"/>
          </w:tcPr>
          <w:p>
            <w:pPr>
              <w:jc w:val="right"/>
              <w:ind w:right="170"/>
              <w:spacing w:after="0"/>
              <w:rPr>
                <w:sz w:val="20"/>
                <w:szCs w:val="20"/>
                <w:color w:val="auto"/>
              </w:rPr>
            </w:pPr>
            <w:r>
              <w:rPr>
                <w:rFonts w:ascii="Arial" w:cs="Arial" w:eastAsia="Arial" w:hAnsi="Arial"/>
                <w:sz w:val="13"/>
                <w:szCs w:val="13"/>
                <w:b w:val="1"/>
                <w:bCs w:val="1"/>
                <w:color w:val="auto"/>
              </w:rPr>
              <w:t>2025 Actual</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Achievement</w:t>
            </w:r>
          </w:p>
        </w:tc>
        <w:tc>
          <w:tcPr>
            <w:tcW w:w="2900" w:type="dxa"/>
            <w:vAlign w:val="bottom"/>
          </w:tcPr>
          <w:p>
            <w:pPr>
              <w:spacing w:after="0"/>
              <w:rPr>
                <w:sz w:val="13"/>
                <w:szCs w:val="13"/>
                <w:color w:val="auto"/>
              </w:rPr>
            </w:pPr>
          </w:p>
        </w:tc>
        <w:tc>
          <w:tcPr>
            <w:tcW w:w="1360" w:type="dxa"/>
            <w:vAlign w:val="bottom"/>
          </w:tcPr>
          <w:p>
            <w:pPr>
              <w:jc w:val="right"/>
              <w:ind w:right="150"/>
              <w:spacing w:after="0"/>
              <w:rPr>
                <w:sz w:val="20"/>
                <w:szCs w:val="20"/>
                <w:color w:val="auto"/>
              </w:rPr>
            </w:pPr>
            <w:r>
              <w:rPr>
                <w:rFonts w:ascii="Arial" w:cs="Arial" w:eastAsia="Arial" w:hAnsi="Arial"/>
                <w:sz w:val="13"/>
                <w:szCs w:val="13"/>
                <w:b w:val="1"/>
                <w:bCs w:val="1"/>
                <w:color w:val="auto"/>
              </w:rPr>
              <w:t>Payout</w:t>
            </w:r>
          </w:p>
        </w:tc>
        <w:tc>
          <w:tcPr>
            <w:tcW w:w="1100" w:type="dxa"/>
            <w:vAlign w:val="bottom"/>
          </w:tcPr>
          <w:p>
            <w:pPr>
              <w:jc w:val="right"/>
              <w:ind w:right="150"/>
              <w:spacing w:after="0"/>
              <w:rPr>
                <w:sz w:val="20"/>
                <w:szCs w:val="20"/>
                <w:color w:val="auto"/>
              </w:rPr>
            </w:pPr>
            <w:r>
              <w:rPr>
                <w:rFonts w:ascii="Arial" w:cs="Arial" w:eastAsia="Arial" w:hAnsi="Arial"/>
                <w:sz w:val="13"/>
                <w:szCs w:val="13"/>
                <w:b w:val="1"/>
                <w:bCs w:val="1"/>
                <w:color w:val="auto"/>
              </w:rPr>
              <w:t>NEO</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Payout</w:t>
            </w:r>
          </w:p>
        </w:tc>
      </w:tr>
      <w:tr>
        <w:trPr>
          <w:trHeight w:val="209"/>
        </w:trPr>
        <w:tc>
          <w:tcPr>
            <w:tcW w:w="1180" w:type="dxa"/>
            <w:vAlign w:val="bottom"/>
            <w:tcBorders>
              <w:bottom w:val="single" w:sz="8" w:color="D7282F"/>
            </w:tcBorders>
          </w:tcPr>
          <w:p>
            <w:pPr>
              <w:ind w:left="20"/>
              <w:spacing w:after="0"/>
              <w:rPr>
                <w:sz w:val="20"/>
                <w:szCs w:val="20"/>
                <w:color w:val="auto"/>
              </w:rPr>
            </w:pPr>
            <w:r>
              <w:rPr>
                <w:rFonts w:ascii="Arial" w:cs="Arial" w:eastAsia="Arial" w:hAnsi="Arial"/>
                <w:sz w:val="13"/>
                <w:szCs w:val="13"/>
                <w:b w:val="1"/>
                <w:bCs w:val="1"/>
                <w:color w:val="auto"/>
              </w:rPr>
              <w:t>ICP Goal</w:t>
            </w:r>
            <w:r>
              <w:rPr>
                <w:rFonts w:ascii="Arial" w:cs="Arial" w:eastAsia="Arial" w:hAnsi="Arial"/>
                <w:sz w:val="17"/>
                <w:szCs w:val="17"/>
                <w:b w:val="1"/>
                <w:bCs w:val="1"/>
                <w:color w:val="auto"/>
                <w:vertAlign w:val="superscript"/>
              </w:rPr>
              <w:t>(1)</w:t>
            </w:r>
          </w:p>
        </w:tc>
        <w:tc>
          <w:tcPr>
            <w:tcW w:w="1260" w:type="dxa"/>
            <w:vAlign w:val="bottom"/>
            <w:tcBorders>
              <w:bottom w:val="single" w:sz="8" w:color="D7282F"/>
            </w:tcBorders>
          </w:tcPr>
          <w:p>
            <w:pPr>
              <w:jc w:val="right"/>
              <w:ind w:right="130"/>
              <w:spacing w:after="0"/>
              <w:rPr>
                <w:sz w:val="20"/>
                <w:szCs w:val="20"/>
                <w:color w:val="auto"/>
              </w:rPr>
            </w:pPr>
            <w:r>
              <w:rPr>
                <w:rFonts w:ascii="Arial" w:cs="Arial" w:eastAsia="Arial" w:hAnsi="Arial"/>
                <w:sz w:val="13"/>
                <w:szCs w:val="13"/>
                <w:b w:val="1"/>
                <w:bCs w:val="1"/>
                <w:color w:val="auto"/>
              </w:rPr>
              <w:t>(Target)</w:t>
            </w:r>
          </w:p>
        </w:tc>
        <w:tc>
          <w:tcPr>
            <w:tcW w:w="1360" w:type="dxa"/>
            <w:vAlign w:val="bottom"/>
            <w:tcBorders>
              <w:bottom w:val="single" w:sz="8" w:color="D7282F"/>
            </w:tcBorders>
          </w:tcPr>
          <w:p>
            <w:pPr>
              <w:jc w:val="right"/>
              <w:ind w:right="170"/>
              <w:spacing w:after="0"/>
              <w:rPr>
                <w:sz w:val="20"/>
                <w:szCs w:val="20"/>
                <w:color w:val="auto"/>
              </w:rPr>
            </w:pPr>
            <w:r>
              <w:rPr>
                <w:rFonts w:ascii="Arial" w:cs="Arial" w:eastAsia="Arial" w:hAnsi="Arial"/>
                <w:sz w:val="13"/>
                <w:szCs w:val="13"/>
                <w:b w:val="1"/>
                <w:bCs w:val="1"/>
                <w:color w:val="auto"/>
              </w:rPr>
              <w:t>Performance</w:t>
            </w:r>
            <w:r>
              <w:rPr>
                <w:rFonts w:ascii="Arial" w:cs="Arial" w:eastAsia="Arial" w:hAnsi="Arial"/>
                <w:sz w:val="17"/>
                <w:szCs w:val="17"/>
                <w:b w:val="1"/>
                <w:bCs w:val="1"/>
                <w:color w:val="auto"/>
                <w:vertAlign w:val="superscript"/>
              </w:rPr>
              <w:t>(2)</w:t>
            </w:r>
          </w:p>
        </w:tc>
        <w:tc>
          <w:tcPr>
            <w:tcW w:w="1100" w:type="dxa"/>
            <w:vAlign w:val="bottom"/>
            <w:tcBorders>
              <w:bottom w:val="single" w:sz="8" w:color="D7282F"/>
            </w:tcBorders>
          </w:tcPr>
          <w:p>
            <w:pPr>
              <w:jc w:val="right"/>
              <w:spacing w:after="0"/>
              <w:rPr>
                <w:sz w:val="20"/>
                <w:szCs w:val="20"/>
                <w:color w:val="auto"/>
              </w:rPr>
            </w:pPr>
            <w:r>
              <w:rPr>
                <w:rFonts w:ascii="Arial" w:cs="Arial" w:eastAsia="Arial" w:hAnsi="Arial"/>
                <w:sz w:val="13"/>
                <w:szCs w:val="13"/>
                <w:b w:val="1"/>
                <w:bCs w:val="1"/>
                <w:color w:val="auto"/>
              </w:rPr>
              <w:t>%</w:t>
            </w:r>
          </w:p>
        </w:tc>
        <w:tc>
          <w:tcPr>
            <w:tcW w:w="2900" w:type="dxa"/>
            <w:vAlign w:val="bottom"/>
            <w:tcBorders>
              <w:bottom w:val="single" w:sz="8" w:color="D7282F"/>
            </w:tcBorders>
          </w:tcPr>
          <w:p>
            <w:pPr>
              <w:ind w:left="20"/>
              <w:spacing w:after="0"/>
              <w:rPr>
                <w:sz w:val="20"/>
                <w:szCs w:val="20"/>
                <w:color w:val="auto"/>
              </w:rPr>
            </w:pPr>
            <w:r>
              <w:rPr>
                <w:rFonts w:ascii="Arial" w:cs="Arial" w:eastAsia="Arial" w:hAnsi="Arial"/>
                <w:sz w:val="13"/>
                <w:szCs w:val="13"/>
                <w:b w:val="1"/>
                <w:bCs w:val="1"/>
                <w:color w:val="auto"/>
              </w:rPr>
              <w:t>2025 Performance</w:t>
            </w:r>
          </w:p>
        </w:tc>
        <w:tc>
          <w:tcPr>
            <w:tcW w:w="1360" w:type="dxa"/>
            <w:vAlign w:val="bottom"/>
            <w:tcBorders>
              <w:bottom w:val="single" w:sz="8" w:color="D7282F"/>
            </w:tcBorders>
          </w:tcPr>
          <w:p>
            <w:pPr>
              <w:jc w:val="right"/>
              <w:ind w:right="150"/>
              <w:spacing w:after="0"/>
              <w:rPr>
                <w:sz w:val="20"/>
                <w:szCs w:val="20"/>
                <w:color w:val="auto"/>
              </w:rPr>
            </w:pPr>
            <w:r>
              <w:rPr>
                <w:rFonts w:ascii="Arial" w:cs="Arial" w:eastAsia="Arial" w:hAnsi="Arial"/>
                <w:sz w:val="13"/>
                <w:szCs w:val="13"/>
                <w:b w:val="1"/>
                <w:bCs w:val="1"/>
                <w:color w:val="auto"/>
              </w:rPr>
              <w:t>Percentage</w:t>
            </w:r>
            <w:r>
              <w:rPr>
                <w:rFonts w:ascii="Arial" w:cs="Arial" w:eastAsia="Arial" w:hAnsi="Arial"/>
                <w:sz w:val="17"/>
                <w:szCs w:val="17"/>
                <w:b w:val="1"/>
                <w:bCs w:val="1"/>
                <w:color w:val="auto"/>
                <w:vertAlign w:val="superscript"/>
              </w:rPr>
              <w:t>(3)</w:t>
            </w:r>
          </w:p>
        </w:tc>
        <w:tc>
          <w:tcPr>
            <w:tcW w:w="1100" w:type="dxa"/>
            <w:vAlign w:val="bottom"/>
            <w:tcBorders>
              <w:bottom w:val="single" w:sz="8" w:color="D7282F"/>
            </w:tcBorders>
          </w:tcPr>
          <w:p>
            <w:pPr>
              <w:jc w:val="right"/>
              <w:ind w:right="150"/>
              <w:spacing w:after="0"/>
              <w:rPr>
                <w:sz w:val="20"/>
                <w:szCs w:val="20"/>
                <w:color w:val="auto"/>
              </w:rPr>
            </w:pPr>
            <w:r>
              <w:rPr>
                <w:rFonts w:ascii="Arial" w:cs="Arial" w:eastAsia="Arial" w:hAnsi="Arial"/>
                <w:sz w:val="13"/>
                <w:szCs w:val="13"/>
                <w:b w:val="1"/>
                <w:bCs w:val="1"/>
                <w:color w:val="auto"/>
              </w:rPr>
              <w:t>Weighting</w:t>
            </w:r>
          </w:p>
        </w:tc>
        <w:tc>
          <w:tcPr>
            <w:tcW w:w="980" w:type="dxa"/>
            <w:vAlign w:val="bottom"/>
            <w:tcBorders>
              <w:bottom w:val="single" w:sz="8" w:color="D7282F"/>
            </w:tcBorders>
          </w:tcPr>
          <w:p>
            <w:pPr>
              <w:jc w:val="right"/>
              <w:spacing w:after="0"/>
              <w:rPr>
                <w:sz w:val="20"/>
                <w:szCs w:val="20"/>
                <w:color w:val="auto"/>
              </w:rPr>
            </w:pPr>
            <w:r>
              <w:rPr>
                <w:rFonts w:ascii="Arial" w:cs="Arial" w:eastAsia="Arial" w:hAnsi="Arial"/>
                <w:sz w:val="13"/>
                <w:szCs w:val="13"/>
                <w:b w:val="1"/>
                <w:bCs w:val="1"/>
                <w:color w:val="auto"/>
              </w:rPr>
              <w:t>Percentage</w:t>
            </w:r>
          </w:p>
        </w:tc>
      </w:tr>
      <w:tr>
        <w:trPr>
          <w:trHeight w:val="295"/>
        </w:trPr>
        <w:tc>
          <w:tcPr>
            <w:tcW w:w="1180" w:type="dxa"/>
            <w:vAlign w:val="bottom"/>
          </w:tcPr>
          <w:p>
            <w:pPr>
              <w:ind w:left="20"/>
              <w:spacing w:after="0"/>
              <w:rPr>
                <w:sz w:val="20"/>
                <w:szCs w:val="20"/>
                <w:color w:val="auto"/>
              </w:rPr>
            </w:pPr>
            <w:r>
              <w:rPr>
                <w:rFonts w:ascii="Arial" w:cs="Arial" w:eastAsia="Arial" w:hAnsi="Arial"/>
                <w:sz w:val="14"/>
                <w:szCs w:val="14"/>
                <w:b w:val="1"/>
                <w:bCs w:val="1"/>
                <w:color w:val="auto"/>
              </w:rPr>
              <w:t>Honeywell ICP</w:t>
            </w:r>
          </w:p>
        </w:tc>
        <w:tc>
          <w:tcPr>
            <w:tcW w:w="1260" w:type="dxa"/>
            <w:vAlign w:val="bottom"/>
          </w:tcPr>
          <w:p>
            <w:pPr>
              <w:jc w:val="right"/>
              <w:ind w:right="130"/>
              <w:spacing w:after="0"/>
              <w:rPr>
                <w:sz w:val="20"/>
                <w:szCs w:val="20"/>
                <w:color w:val="auto"/>
              </w:rPr>
            </w:pPr>
            <w:r>
              <w:rPr>
                <w:rFonts w:ascii="Arial" w:cs="Arial" w:eastAsia="Arial" w:hAnsi="Arial"/>
                <w:sz w:val="14"/>
                <w:szCs w:val="14"/>
                <w:color w:val="auto"/>
              </w:rPr>
              <w:t>$40.06 billion</w:t>
            </w:r>
          </w:p>
        </w:tc>
        <w:tc>
          <w:tcPr>
            <w:tcW w:w="1360" w:type="dxa"/>
            <w:vAlign w:val="bottom"/>
          </w:tcPr>
          <w:p>
            <w:pPr>
              <w:jc w:val="right"/>
              <w:ind w:right="170"/>
              <w:spacing w:after="0"/>
              <w:rPr>
                <w:sz w:val="20"/>
                <w:szCs w:val="20"/>
                <w:color w:val="auto"/>
              </w:rPr>
            </w:pPr>
            <w:r>
              <w:rPr>
                <w:rFonts w:ascii="Arial" w:cs="Arial" w:eastAsia="Arial" w:hAnsi="Arial"/>
                <w:sz w:val="14"/>
                <w:szCs w:val="14"/>
                <w:color w:val="auto"/>
              </w:rPr>
              <w:t>$41.167 billion</w:t>
            </w:r>
          </w:p>
        </w:tc>
        <w:tc>
          <w:tcPr>
            <w:tcW w:w="4000" w:type="dxa"/>
            <w:vAlign w:val="bottom"/>
            <w:gridSpan w:val="2"/>
          </w:tcPr>
          <w:p>
            <w:pPr>
              <w:jc w:val="right"/>
              <w:ind w:right="229"/>
              <w:spacing w:after="0"/>
              <w:rPr>
                <w:sz w:val="20"/>
                <w:szCs w:val="20"/>
                <w:color w:val="auto"/>
              </w:rPr>
            </w:pPr>
            <w:r>
              <w:rPr>
                <w:rFonts w:ascii="Arial" w:cs="Arial" w:eastAsia="Arial" w:hAnsi="Arial"/>
                <w:sz w:val="14"/>
                <w:szCs w:val="14"/>
                <w:color w:val="auto"/>
              </w:rPr>
              <w:t>102.8% Annual Goal set in February 2025 based</w:t>
            </w:r>
          </w:p>
        </w:tc>
        <w:tc>
          <w:tcPr>
            <w:tcW w:w="1360" w:type="dxa"/>
            <w:vAlign w:val="bottom"/>
          </w:tcPr>
          <w:p>
            <w:pPr>
              <w:jc w:val="right"/>
              <w:ind w:right="150"/>
              <w:spacing w:after="0"/>
              <w:rPr>
                <w:sz w:val="20"/>
                <w:szCs w:val="20"/>
                <w:color w:val="auto"/>
              </w:rPr>
            </w:pPr>
            <w:r>
              <w:rPr>
                <w:rFonts w:ascii="Arial" w:cs="Arial" w:eastAsia="Arial" w:hAnsi="Arial"/>
                <w:sz w:val="14"/>
                <w:szCs w:val="14"/>
                <w:color w:val="auto"/>
              </w:rPr>
              <w:t>113.8%</w:t>
            </w:r>
          </w:p>
        </w:tc>
        <w:tc>
          <w:tcPr>
            <w:tcW w:w="1100" w:type="dxa"/>
            <w:vAlign w:val="bottom"/>
          </w:tcPr>
          <w:p>
            <w:pPr>
              <w:jc w:val="right"/>
              <w:ind w:right="150"/>
              <w:spacing w:after="0"/>
              <w:rPr>
                <w:sz w:val="20"/>
                <w:szCs w:val="20"/>
                <w:color w:val="auto"/>
              </w:rPr>
            </w:pPr>
            <w:r>
              <w:rPr>
                <w:rFonts w:ascii="Arial" w:cs="Arial" w:eastAsia="Arial" w:hAnsi="Arial"/>
                <w:sz w:val="14"/>
                <w:szCs w:val="14"/>
                <w:color w:val="auto"/>
              </w:rPr>
              <w:t>20%</w:t>
            </w:r>
          </w:p>
        </w:tc>
        <w:tc>
          <w:tcPr>
            <w:tcW w:w="980" w:type="dxa"/>
            <w:vAlign w:val="bottom"/>
          </w:tcPr>
          <w:p>
            <w:pPr>
              <w:jc w:val="right"/>
              <w:spacing w:after="0"/>
              <w:rPr>
                <w:sz w:val="20"/>
                <w:szCs w:val="20"/>
                <w:color w:val="auto"/>
              </w:rPr>
            </w:pPr>
            <w:r>
              <w:rPr>
                <w:rFonts w:ascii="Arial" w:cs="Arial" w:eastAsia="Arial" w:hAnsi="Arial"/>
                <w:sz w:val="14"/>
                <w:szCs w:val="14"/>
                <w:color w:val="auto"/>
              </w:rPr>
              <w:t>22.8%</w:t>
            </w:r>
          </w:p>
        </w:tc>
      </w:tr>
      <w:tr>
        <w:trPr>
          <w:trHeight w:val="175"/>
        </w:trPr>
        <w:tc>
          <w:tcPr>
            <w:tcW w:w="1180" w:type="dxa"/>
            <w:vAlign w:val="bottom"/>
          </w:tcPr>
          <w:p>
            <w:pPr>
              <w:ind w:left="20"/>
              <w:spacing w:after="0"/>
              <w:rPr>
                <w:sz w:val="20"/>
                <w:szCs w:val="20"/>
                <w:color w:val="auto"/>
              </w:rPr>
            </w:pPr>
            <w:r>
              <w:rPr>
                <w:rFonts w:ascii="Arial" w:cs="Arial" w:eastAsia="Arial" w:hAnsi="Arial"/>
                <w:sz w:val="14"/>
                <w:szCs w:val="14"/>
                <w:b w:val="1"/>
                <w:bCs w:val="1"/>
                <w:color w:val="auto"/>
              </w:rPr>
              <w:t>Sales</w:t>
            </w:r>
          </w:p>
        </w:tc>
        <w:tc>
          <w:tcPr>
            <w:tcW w:w="1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900" w:type="dxa"/>
            <w:vAlign w:val="bottom"/>
          </w:tcPr>
          <w:p>
            <w:pPr>
              <w:ind w:left="20"/>
              <w:spacing w:after="0"/>
              <w:rPr>
                <w:sz w:val="20"/>
                <w:szCs w:val="20"/>
                <w:color w:val="auto"/>
              </w:rPr>
            </w:pPr>
            <w:r>
              <w:rPr>
                <w:rFonts w:ascii="Arial" w:cs="Arial" w:eastAsia="Arial" w:hAnsi="Arial"/>
                <w:sz w:val="14"/>
                <w:szCs w:val="14"/>
                <w:color w:val="auto"/>
              </w:rPr>
              <w:t>on midpoint of the Guidance Range.</w:t>
            </w:r>
          </w:p>
        </w:tc>
        <w:tc>
          <w:tcPr>
            <w:tcW w:w="1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90"/>
        </w:trPr>
        <w:tc>
          <w:tcPr>
            <w:tcW w:w="1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900" w:type="dxa"/>
            <w:vAlign w:val="bottom"/>
          </w:tcPr>
          <w:p>
            <w:pPr>
              <w:ind w:left="20"/>
              <w:spacing w:after="0"/>
              <w:rPr>
                <w:sz w:val="20"/>
                <w:szCs w:val="20"/>
                <w:color w:val="auto"/>
              </w:rPr>
            </w:pPr>
            <w:r>
              <w:rPr>
                <w:rFonts w:ascii="Arial" w:cs="Arial" w:eastAsia="Arial" w:hAnsi="Arial"/>
                <w:sz w:val="14"/>
                <w:szCs w:val="14"/>
                <w:color w:val="auto"/>
              </w:rPr>
              <w:t>Actual performance above target.</w:t>
            </w:r>
          </w:p>
        </w:tc>
        <w:tc>
          <w:tcPr>
            <w:tcW w:w="1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16"/>
        </w:trPr>
        <w:tc>
          <w:tcPr>
            <w:tcW w:w="1180" w:type="dxa"/>
            <w:vAlign w:val="bottom"/>
            <w:tcBorders>
              <w:bottom w:val="single" w:sz="8" w:color="939598"/>
            </w:tcBorders>
          </w:tcPr>
          <w:p>
            <w:pPr>
              <w:spacing w:after="0"/>
              <w:rPr>
                <w:sz w:val="10"/>
                <w:szCs w:val="10"/>
                <w:color w:val="auto"/>
              </w:rPr>
            </w:pPr>
          </w:p>
        </w:tc>
        <w:tc>
          <w:tcPr>
            <w:tcW w:w="1260" w:type="dxa"/>
            <w:vAlign w:val="bottom"/>
            <w:tcBorders>
              <w:bottom w:val="single" w:sz="8" w:color="939598"/>
            </w:tcBorders>
          </w:tcPr>
          <w:p>
            <w:pPr>
              <w:spacing w:after="0"/>
              <w:rPr>
                <w:sz w:val="10"/>
                <w:szCs w:val="10"/>
                <w:color w:val="auto"/>
              </w:rPr>
            </w:pPr>
          </w:p>
        </w:tc>
        <w:tc>
          <w:tcPr>
            <w:tcW w:w="1360" w:type="dxa"/>
            <w:vAlign w:val="bottom"/>
            <w:tcBorders>
              <w:bottom w:val="single" w:sz="8" w:color="939598"/>
            </w:tcBorders>
          </w:tcPr>
          <w:p>
            <w:pPr>
              <w:spacing w:after="0"/>
              <w:rPr>
                <w:sz w:val="10"/>
                <w:szCs w:val="10"/>
                <w:color w:val="auto"/>
              </w:rPr>
            </w:pPr>
          </w:p>
        </w:tc>
        <w:tc>
          <w:tcPr>
            <w:tcW w:w="4000" w:type="dxa"/>
            <w:vAlign w:val="bottom"/>
            <w:tcBorders>
              <w:bottom w:val="single" w:sz="8" w:color="939598"/>
            </w:tcBorders>
            <w:gridSpan w:val="2"/>
          </w:tcPr>
          <w:p>
            <w:pPr>
              <w:spacing w:after="0"/>
              <w:rPr>
                <w:sz w:val="10"/>
                <w:szCs w:val="10"/>
                <w:color w:val="auto"/>
              </w:rPr>
            </w:pPr>
          </w:p>
        </w:tc>
        <w:tc>
          <w:tcPr>
            <w:tcW w:w="1360" w:type="dxa"/>
            <w:vAlign w:val="bottom"/>
            <w:tcBorders>
              <w:bottom w:val="single" w:sz="8" w:color="939598"/>
            </w:tcBorders>
          </w:tcPr>
          <w:p>
            <w:pPr>
              <w:spacing w:after="0"/>
              <w:rPr>
                <w:sz w:val="10"/>
                <w:szCs w:val="10"/>
                <w:color w:val="auto"/>
              </w:rPr>
            </w:pPr>
          </w:p>
        </w:tc>
        <w:tc>
          <w:tcPr>
            <w:tcW w:w="1100" w:type="dxa"/>
            <w:vAlign w:val="bottom"/>
            <w:tcBorders>
              <w:bottom w:val="single" w:sz="8" w:color="939598"/>
            </w:tcBorders>
          </w:tcPr>
          <w:p>
            <w:pPr>
              <w:spacing w:after="0"/>
              <w:rPr>
                <w:sz w:val="10"/>
                <w:szCs w:val="10"/>
                <w:color w:val="auto"/>
              </w:rPr>
            </w:pPr>
          </w:p>
        </w:tc>
        <w:tc>
          <w:tcPr>
            <w:tcW w:w="980" w:type="dxa"/>
            <w:vAlign w:val="bottom"/>
            <w:tcBorders>
              <w:bottom w:val="single" w:sz="8" w:color="939598"/>
            </w:tcBorders>
          </w:tcPr>
          <w:p>
            <w:pPr>
              <w:spacing w:after="0"/>
              <w:rPr>
                <w:sz w:val="10"/>
                <w:szCs w:val="10"/>
                <w:color w:val="auto"/>
              </w:rPr>
            </w:pPr>
          </w:p>
        </w:tc>
      </w:tr>
      <w:tr>
        <w:trPr>
          <w:trHeight w:val="295"/>
        </w:trPr>
        <w:tc>
          <w:tcPr>
            <w:tcW w:w="1180" w:type="dxa"/>
            <w:vAlign w:val="bottom"/>
          </w:tcPr>
          <w:p>
            <w:pPr>
              <w:ind w:left="20"/>
              <w:spacing w:after="0"/>
              <w:rPr>
                <w:sz w:val="20"/>
                <w:szCs w:val="20"/>
                <w:color w:val="auto"/>
              </w:rPr>
            </w:pPr>
            <w:r>
              <w:rPr>
                <w:rFonts w:ascii="Arial" w:cs="Arial" w:eastAsia="Arial" w:hAnsi="Arial"/>
                <w:sz w:val="14"/>
                <w:szCs w:val="14"/>
                <w:b w:val="1"/>
                <w:bCs w:val="1"/>
                <w:color w:val="auto"/>
              </w:rPr>
              <w:t>Adjusted ICP</w:t>
            </w:r>
          </w:p>
        </w:tc>
        <w:tc>
          <w:tcPr>
            <w:tcW w:w="1260" w:type="dxa"/>
            <w:vAlign w:val="bottom"/>
          </w:tcPr>
          <w:p>
            <w:pPr>
              <w:jc w:val="right"/>
              <w:ind w:right="130"/>
              <w:spacing w:after="0"/>
              <w:rPr>
                <w:sz w:val="20"/>
                <w:szCs w:val="20"/>
                <w:color w:val="auto"/>
              </w:rPr>
            </w:pPr>
            <w:r>
              <w:rPr>
                <w:rFonts w:ascii="Arial" w:cs="Arial" w:eastAsia="Arial" w:hAnsi="Arial"/>
                <w:sz w:val="14"/>
                <w:szCs w:val="14"/>
                <w:color w:val="auto"/>
              </w:rPr>
              <w:t>$10.30</w:t>
            </w:r>
          </w:p>
        </w:tc>
        <w:tc>
          <w:tcPr>
            <w:tcW w:w="1360" w:type="dxa"/>
            <w:vAlign w:val="bottom"/>
          </w:tcPr>
          <w:p>
            <w:pPr>
              <w:jc w:val="right"/>
              <w:ind w:right="170"/>
              <w:spacing w:after="0"/>
              <w:rPr>
                <w:sz w:val="20"/>
                <w:szCs w:val="20"/>
                <w:color w:val="auto"/>
              </w:rPr>
            </w:pPr>
            <w:r>
              <w:rPr>
                <w:rFonts w:ascii="Arial" w:cs="Arial" w:eastAsia="Arial" w:hAnsi="Arial"/>
                <w:sz w:val="14"/>
                <w:szCs w:val="14"/>
                <w:color w:val="auto"/>
              </w:rPr>
              <w:t>$10.89</w:t>
            </w:r>
          </w:p>
        </w:tc>
        <w:tc>
          <w:tcPr>
            <w:tcW w:w="4000" w:type="dxa"/>
            <w:vAlign w:val="bottom"/>
            <w:gridSpan w:val="2"/>
          </w:tcPr>
          <w:p>
            <w:pPr>
              <w:jc w:val="right"/>
              <w:ind w:right="229"/>
              <w:spacing w:after="0"/>
              <w:rPr>
                <w:sz w:val="20"/>
                <w:szCs w:val="20"/>
                <w:color w:val="auto"/>
              </w:rPr>
            </w:pPr>
            <w:r>
              <w:rPr>
                <w:rFonts w:ascii="Arial" w:cs="Arial" w:eastAsia="Arial" w:hAnsi="Arial"/>
                <w:sz w:val="14"/>
                <w:szCs w:val="14"/>
                <w:color w:val="auto"/>
              </w:rPr>
              <w:t>105.7% Annual Goal set in February 2025 based</w:t>
            </w:r>
          </w:p>
        </w:tc>
        <w:tc>
          <w:tcPr>
            <w:tcW w:w="1360" w:type="dxa"/>
            <w:vAlign w:val="bottom"/>
          </w:tcPr>
          <w:p>
            <w:pPr>
              <w:jc w:val="right"/>
              <w:ind w:right="150"/>
              <w:spacing w:after="0"/>
              <w:rPr>
                <w:sz w:val="20"/>
                <w:szCs w:val="20"/>
                <w:color w:val="auto"/>
              </w:rPr>
            </w:pPr>
            <w:r>
              <w:rPr>
                <w:rFonts w:ascii="Arial" w:cs="Arial" w:eastAsia="Arial" w:hAnsi="Arial"/>
                <w:sz w:val="14"/>
                <w:szCs w:val="14"/>
                <w:color w:val="auto"/>
              </w:rPr>
              <w:t>128.4%</w:t>
            </w:r>
          </w:p>
        </w:tc>
        <w:tc>
          <w:tcPr>
            <w:tcW w:w="1100" w:type="dxa"/>
            <w:vAlign w:val="bottom"/>
          </w:tcPr>
          <w:p>
            <w:pPr>
              <w:jc w:val="right"/>
              <w:ind w:right="150"/>
              <w:spacing w:after="0"/>
              <w:rPr>
                <w:sz w:val="20"/>
                <w:szCs w:val="20"/>
                <w:color w:val="auto"/>
              </w:rPr>
            </w:pPr>
            <w:r>
              <w:rPr>
                <w:rFonts w:ascii="Arial" w:cs="Arial" w:eastAsia="Arial" w:hAnsi="Arial"/>
                <w:sz w:val="14"/>
                <w:szCs w:val="14"/>
                <w:color w:val="auto"/>
              </w:rPr>
              <w:t>40%</w:t>
            </w:r>
          </w:p>
        </w:tc>
        <w:tc>
          <w:tcPr>
            <w:tcW w:w="980" w:type="dxa"/>
            <w:vAlign w:val="bottom"/>
          </w:tcPr>
          <w:p>
            <w:pPr>
              <w:jc w:val="right"/>
              <w:spacing w:after="0"/>
              <w:rPr>
                <w:sz w:val="20"/>
                <w:szCs w:val="20"/>
                <w:color w:val="auto"/>
              </w:rPr>
            </w:pPr>
            <w:r>
              <w:rPr>
                <w:rFonts w:ascii="Arial" w:cs="Arial" w:eastAsia="Arial" w:hAnsi="Arial"/>
                <w:sz w:val="14"/>
                <w:szCs w:val="14"/>
                <w:color w:val="auto"/>
              </w:rPr>
              <w:t>51.4%</w:t>
            </w:r>
          </w:p>
        </w:tc>
      </w:tr>
      <w:tr>
        <w:trPr>
          <w:trHeight w:val="175"/>
        </w:trPr>
        <w:tc>
          <w:tcPr>
            <w:tcW w:w="1180" w:type="dxa"/>
            <w:vAlign w:val="bottom"/>
          </w:tcPr>
          <w:p>
            <w:pPr>
              <w:ind w:left="20"/>
              <w:spacing w:after="0"/>
              <w:rPr>
                <w:sz w:val="20"/>
                <w:szCs w:val="20"/>
                <w:color w:val="auto"/>
              </w:rPr>
            </w:pPr>
            <w:r>
              <w:rPr>
                <w:rFonts w:ascii="Arial" w:cs="Arial" w:eastAsia="Arial" w:hAnsi="Arial"/>
                <w:sz w:val="14"/>
                <w:szCs w:val="14"/>
                <w:b w:val="1"/>
                <w:bCs w:val="1"/>
                <w:color w:val="auto"/>
              </w:rPr>
              <w:t>EPS</w:t>
            </w:r>
          </w:p>
        </w:tc>
        <w:tc>
          <w:tcPr>
            <w:tcW w:w="1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900" w:type="dxa"/>
            <w:vAlign w:val="bottom"/>
          </w:tcPr>
          <w:p>
            <w:pPr>
              <w:ind w:left="20"/>
              <w:spacing w:after="0"/>
              <w:rPr>
                <w:sz w:val="20"/>
                <w:szCs w:val="20"/>
                <w:color w:val="auto"/>
              </w:rPr>
            </w:pPr>
            <w:r>
              <w:rPr>
                <w:rFonts w:ascii="Arial" w:cs="Arial" w:eastAsia="Arial" w:hAnsi="Arial"/>
                <w:sz w:val="14"/>
                <w:szCs w:val="14"/>
                <w:color w:val="auto"/>
              </w:rPr>
              <w:t>on midpoint of the Guidance Range.</w:t>
            </w:r>
          </w:p>
        </w:tc>
        <w:tc>
          <w:tcPr>
            <w:tcW w:w="1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90"/>
        </w:trPr>
        <w:tc>
          <w:tcPr>
            <w:tcW w:w="1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900" w:type="dxa"/>
            <w:vAlign w:val="bottom"/>
          </w:tcPr>
          <w:p>
            <w:pPr>
              <w:ind w:left="20"/>
              <w:spacing w:after="0"/>
              <w:rPr>
                <w:sz w:val="20"/>
                <w:szCs w:val="20"/>
                <w:color w:val="auto"/>
              </w:rPr>
            </w:pPr>
            <w:r>
              <w:rPr>
                <w:rFonts w:ascii="Arial" w:cs="Arial" w:eastAsia="Arial" w:hAnsi="Arial"/>
                <w:sz w:val="14"/>
                <w:szCs w:val="14"/>
                <w:color w:val="auto"/>
              </w:rPr>
              <w:t>Actual performance above target.</w:t>
            </w:r>
          </w:p>
        </w:tc>
        <w:tc>
          <w:tcPr>
            <w:tcW w:w="1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16"/>
        </w:trPr>
        <w:tc>
          <w:tcPr>
            <w:tcW w:w="1180" w:type="dxa"/>
            <w:vAlign w:val="bottom"/>
            <w:tcBorders>
              <w:bottom w:val="single" w:sz="8" w:color="939598"/>
            </w:tcBorders>
          </w:tcPr>
          <w:p>
            <w:pPr>
              <w:spacing w:after="0"/>
              <w:rPr>
                <w:sz w:val="10"/>
                <w:szCs w:val="10"/>
                <w:color w:val="auto"/>
              </w:rPr>
            </w:pPr>
          </w:p>
        </w:tc>
        <w:tc>
          <w:tcPr>
            <w:tcW w:w="1260" w:type="dxa"/>
            <w:vAlign w:val="bottom"/>
            <w:tcBorders>
              <w:bottom w:val="single" w:sz="8" w:color="939598"/>
            </w:tcBorders>
          </w:tcPr>
          <w:p>
            <w:pPr>
              <w:spacing w:after="0"/>
              <w:rPr>
                <w:sz w:val="10"/>
                <w:szCs w:val="10"/>
                <w:color w:val="auto"/>
              </w:rPr>
            </w:pPr>
          </w:p>
        </w:tc>
        <w:tc>
          <w:tcPr>
            <w:tcW w:w="1360" w:type="dxa"/>
            <w:vAlign w:val="bottom"/>
            <w:tcBorders>
              <w:bottom w:val="single" w:sz="8" w:color="939598"/>
            </w:tcBorders>
          </w:tcPr>
          <w:p>
            <w:pPr>
              <w:spacing w:after="0"/>
              <w:rPr>
                <w:sz w:val="10"/>
                <w:szCs w:val="10"/>
                <w:color w:val="auto"/>
              </w:rPr>
            </w:pPr>
          </w:p>
        </w:tc>
        <w:tc>
          <w:tcPr>
            <w:tcW w:w="4000" w:type="dxa"/>
            <w:vAlign w:val="bottom"/>
            <w:tcBorders>
              <w:bottom w:val="single" w:sz="8" w:color="939598"/>
            </w:tcBorders>
            <w:gridSpan w:val="2"/>
          </w:tcPr>
          <w:p>
            <w:pPr>
              <w:spacing w:after="0"/>
              <w:rPr>
                <w:sz w:val="10"/>
                <w:szCs w:val="10"/>
                <w:color w:val="auto"/>
              </w:rPr>
            </w:pPr>
          </w:p>
        </w:tc>
        <w:tc>
          <w:tcPr>
            <w:tcW w:w="1360" w:type="dxa"/>
            <w:vAlign w:val="bottom"/>
            <w:tcBorders>
              <w:bottom w:val="single" w:sz="8" w:color="939598"/>
            </w:tcBorders>
          </w:tcPr>
          <w:p>
            <w:pPr>
              <w:spacing w:after="0"/>
              <w:rPr>
                <w:sz w:val="10"/>
                <w:szCs w:val="10"/>
                <w:color w:val="auto"/>
              </w:rPr>
            </w:pPr>
          </w:p>
        </w:tc>
        <w:tc>
          <w:tcPr>
            <w:tcW w:w="1100" w:type="dxa"/>
            <w:vAlign w:val="bottom"/>
            <w:tcBorders>
              <w:bottom w:val="single" w:sz="8" w:color="939598"/>
            </w:tcBorders>
          </w:tcPr>
          <w:p>
            <w:pPr>
              <w:spacing w:after="0"/>
              <w:rPr>
                <w:sz w:val="10"/>
                <w:szCs w:val="10"/>
                <w:color w:val="auto"/>
              </w:rPr>
            </w:pPr>
          </w:p>
        </w:tc>
        <w:tc>
          <w:tcPr>
            <w:tcW w:w="980" w:type="dxa"/>
            <w:vAlign w:val="bottom"/>
            <w:tcBorders>
              <w:bottom w:val="single" w:sz="8" w:color="939598"/>
            </w:tcBorders>
          </w:tcPr>
          <w:p>
            <w:pPr>
              <w:spacing w:after="0"/>
              <w:rPr>
                <w:sz w:val="10"/>
                <w:szCs w:val="10"/>
                <w:color w:val="auto"/>
              </w:rPr>
            </w:pPr>
          </w:p>
        </w:tc>
      </w:tr>
      <w:tr>
        <w:trPr>
          <w:trHeight w:val="295"/>
        </w:trPr>
        <w:tc>
          <w:tcPr>
            <w:tcW w:w="1180" w:type="dxa"/>
            <w:vAlign w:val="bottom"/>
          </w:tcPr>
          <w:p>
            <w:pPr>
              <w:ind w:left="20"/>
              <w:spacing w:after="0"/>
              <w:rPr>
                <w:sz w:val="20"/>
                <w:szCs w:val="20"/>
                <w:color w:val="auto"/>
              </w:rPr>
            </w:pPr>
            <w:r>
              <w:rPr>
                <w:rFonts w:ascii="Arial" w:cs="Arial" w:eastAsia="Arial" w:hAnsi="Arial"/>
                <w:sz w:val="14"/>
                <w:szCs w:val="14"/>
                <w:b w:val="1"/>
                <w:bCs w:val="1"/>
                <w:color w:val="auto"/>
              </w:rPr>
              <w:t>Honeywell ICP</w:t>
            </w:r>
          </w:p>
        </w:tc>
        <w:tc>
          <w:tcPr>
            <w:tcW w:w="1260" w:type="dxa"/>
            <w:vAlign w:val="bottom"/>
          </w:tcPr>
          <w:p>
            <w:pPr>
              <w:jc w:val="right"/>
              <w:ind w:right="130"/>
              <w:spacing w:after="0"/>
              <w:rPr>
                <w:sz w:val="20"/>
                <w:szCs w:val="20"/>
                <w:color w:val="auto"/>
              </w:rPr>
            </w:pPr>
            <w:r>
              <w:rPr>
                <w:rFonts w:ascii="Arial" w:cs="Arial" w:eastAsia="Arial" w:hAnsi="Arial"/>
                <w:sz w:val="14"/>
                <w:szCs w:val="14"/>
                <w:color w:val="auto"/>
              </w:rPr>
              <w:t>$5.60 billion</w:t>
            </w:r>
          </w:p>
        </w:tc>
        <w:tc>
          <w:tcPr>
            <w:tcW w:w="1360" w:type="dxa"/>
            <w:vAlign w:val="bottom"/>
          </w:tcPr>
          <w:p>
            <w:pPr>
              <w:jc w:val="right"/>
              <w:ind w:right="170"/>
              <w:spacing w:after="0"/>
              <w:rPr>
                <w:sz w:val="20"/>
                <w:szCs w:val="20"/>
                <w:color w:val="auto"/>
              </w:rPr>
            </w:pPr>
            <w:r>
              <w:rPr>
                <w:rFonts w:ascii="Arial" w:cs="Arial" w:eastAsia="Arial" w:hAnsi="Arial"/>
                <w:sz w:val="14"/>
                <w:szCs w:val="14"/>
                <w:color w:val="auto"/>
              </w:rPr>
              <w:t>$5.193 billion</w:t>
            </w:r>
          </w:p>
        </w:tc>
        <w:tc>
          <w:tcPr>
            <w:tcW w:w="4000" w:type="dxa"/>
            <w:vAlign w:val="bottom"/>
            <w:gridSpan w:val="2"/>
          </w:tcPr>
          <w:p>
            <w:pPr>
              <w:jc w:val="right"/>
              <w:ind w:right="229"/>
              <w:spacing w:after="0"/>
              <w:rPr>
                <w:sz w:val="20"/>
                <w:szCs w:val="20"/>
                <w:color w:val="auto"/>
              </w:rPr>
            </w:pPr>
            <w:r>
              <w:rPr>
                <w:rFonts w:ascii="Arial" w:cs="Arial" w:eastAsia="Arial" w:hAnsi="Arial"/>
                <w:sz w:val="14"/>
                <w:szCs w:val="14"/>
                <w:color w:val="auto"/>
              </w:rPr>
              <w:t>92.7% Annual Goal set in February 2025 based</w:t>
            </w:r>
          </w:p>
        </w:tc>
        <w:tc>
          <w:tcPr>
            <w:tcW w:w="1360" w:type="dxa"/>
            <w:vAlign w:val="bottom"/>
          </w:tcPr>
          <w:p>
            <w:pPr>
              <w:jc w:val="right"/>
              <w:ind w:right="150"/>
              <w:spacing w:after="0"/>
              <w:rPr>
                <w:sz w:val="20"/>
                <w:szCs w:val="20"/>
                <w:color w:val="auto"/>
              </w:rPr>
            </w:pPr>
            <w:r>
              <w:rPr>
                <w:rFonts w:ascii="Arial" w:cs="Arial" w:eastAsia="Arial" w:hAnsi="Arial"/>
                <w:sz w:val="14"/>
                <w:szCs w:val="14"/>
                <w:color w:val="auto"/>
              </w:rPr>
              <w:t>81.8%</w:t>
            </w:r>
          </w:p>
        </w:tc>
        <w:tc>
          <w:tcPr>
            <w:tcW w:w="1100" w:type="dxa"/>
            <w:vAlign w:val="bottom"/>
          </w:tcPr>
          <w:p>
            <w:pPr>
              <w:jc w:val="right"/>
              <w:ind w:right="150"/>
              <w:spacing w:after="0"/>
              <w:rPr>
                <w:sz w:val="20"/>
                <w:szCs w:val="20"/>
                <w:color w:val="auto"/>
              </w:rPr>
            </w:pPr>
            <w:r>
              <w:rPr>
                <w:rFonts w:ascii="Arial" w:cs="Arial" w:eastAsia="Arial" w:hAnsi="Arial"/>
                <w:sz w:val="14"/>
                <w:szCs w:val="14"/>
                <w:color w:val="auto"/>
              </w:rPr>
              <w:t>40%</w:t>
            </w:r>
          </w:p>
        </w:tc>
        <w:tc>
          <w:tcPr>
            <w:tcW w:w="980" w:type="dxa"/>
            <w:vAlign w:val="bottom"/>
          </w:tcPr>
          <w:p>
            <w:pPr>
              <w:jc w:val="right"/>
              <w:spacing w:after="0"/>
              <w:rPr>
                <w:sz w:val="20"/>
                <w:szCs w:val="20"/>
                <w:color w:val="auto"/>
              </w:rPr>
            </w:pPr>
            <w:r>
              <w:rPr>
                <w:rFonts w:ascii="Arial" w:cs="Arial" w:eastAsia="Arial" w:hAnsi="Arial"/>
                <w:sz w:val="14"/>
                <w:szCs w:val="14"/>
                <w:color w:val="auto"/>
              </w:rPr>
              <w:t>32.7%</w:t>
            </w:r>
          </w:p>
        </w:tc>
      </w:tr>
      <w:tr>
        <w:trPr>
          <w:trHeight w:val="175"/>
        </w:trPr>
        <w:tc>
          <w:tcPr>
            <w:tcW w:w="1180" w:type="dxa"/>
            <w:vAlign w:val="bottom"/>
          </w:tcPr>
          <w:p>
            <w:pPr>
              <w:ind w:left="20"/>
              <w:spacing w:after="0"/>
              <w:rPr>
                <w:sz w:val="20"/>
                <w:szCs w:val="20"/>
                <w:color w:val="auto"/>
              </w:rPr>
            </w:pPr>
            <w:r>
              <w:rPr>
                <w:rFonts w:ascii="Arial" w:cs="Arial" w:eastAsia="Arial" w:hAnsi="Arial"/>
                <w:sz w:val="14"/>
                <w:szCs w:val="14"/>
                <w:b w:val="1"/>
                <w:bCs w:val="1"/>
                <w:color w:val="auto"/>
              </w:rPr>
              <w:t>Free Cash</w:t>
            </w:r>
          </w:p>
        </w:tc>
        <w:tc>
          <w:tcPr>
            <w:tcW w:w="1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900" w:type="dxa"/>
            <w:vAlign w:val="bottom"/>
          </w:tcPr>
          <w:p>
            <w:pPr>
              <w:ind w:left="20"/>
              <w:spacing w:after="0"/>
              <w:rPr>
                <w:sz w:val="20"/>
                <w:szCs w:val="20"/>
                <w:color w:val="auto"/>
              </w:rPr>
            </w:pPr>
            <w:r>
              <w:rPr>
                <w:rFonts w:ascii="Arial" w:cs="Arial" w:eastAsia="Arial" w:hAnsi="Arial"/>
                <w:sz w:val="14"/>
                <w:szCs w:val="14"/>
                <w:color w:val="auto"/>
              </w:rPr>
              <w:t>on midpoint of the Guidance Range.</w:t>
            </w:r>
          </w:p>
        </w:tc>
        <w:tc>
          <w:tcPr>
            <w:tcW w:w="1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96"/>
        </w:trPr>
        <w:tc>
          <w:tcPr>
            <w:tcW w:w="1180" w:type="dxa"/>
            <w:vAlign w:val="bottom"/>
          </w:tcPr>
          <w:p>
            <w:pPr>
              <w:ind w:left="20"/>
              <w:spacing w:after="0"/>
              <w:rPr>
                <w:sz w:val="20"/>
                <w:szCs w:val="20"/>
                <w:color w:val="auto"/>
              </w:rPr>
            </w:pPr>
            <w:r>
              <w:rPr>
                <w:rFonts w:ascii="Arial" w:cs="Arial" w:eastAsia="Arial" w:hAnsi="Arial"/>
                <w:sz w:val="14"/>
                <w:szCs w:val="14"/>
                <w:b w:val="1"/>
                <w:bCs w:val="1"/>
                <w:color w:val="auto"/>
              </w:rPr>
              <w:t>Flow</w:t>
            </w:r>
          </w:p>
        </w:tc>
        <w:tc>
          <w:tcPr>
            <w:tcW w:w="1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900" w:type="dxa"/>
            <w:vAlign w:val="bottom"/>
          </w:tcPr>
          <w:p>
            <w:pPr>
              <w:ind w:left="20"/>
              <w:spacing w:after="0"/>
              <w:rPr>
                <w:sz w:val="20"/>
                <w:szCs w:val="20"/>
                <w:color w:val="auto"/>
              </w:rPr>
            </w:pPr>
            <w:r>
              <w:rPr>
                <w:rFonts w:ascii="Arial" w:cs="Arial" w:eastAsia="Arial" w:hAnsi="Arial"/>
                <w:sz w:val="14"/>
                <w:szCs w:val="14"/>
                <w:color w:val="auto"/>
              </w:rPr>
              <w:t>Actual performance below target.</w:t>
            </w: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10"/>
        </w:trPr>
        <w:tc>
          <w:tcPr>
            <w:tcW w:w="1180" w:type="dxa"/>
            <w:vAlign w:val="bottom"/>
            <w:tcBorders>
              <w:bottom w:val="single" w:sz="8" w:color="D7282F"/>
            </w:tcBorders>
          </w:tcPr>
          <w:p>
            <w:pPr>
              <w:spacing w:after="0"/>
              <w:rPr>
                <w:sz w:val="9"/>
                <w:szCs w:val="9"/>
                <w:color w:val="auto"/>
              </w:rPr>
            </w:pPr>
          </w:p>
        </w:tc>
        <w:tc>
          <w:tcPr>
            <w:tcW w:w="1260" w:type="dxa"/>
            <w:vAlign w:val="bottom"/>
            <w:tcBorders>
              <w:bottom w:val="single" w:sz="8" w:color="D7282F"/>
            </w:tcBorders>
          </w:tcPr>
          <w:p>
            <w:pPr>
              <w:spacing w:after="0"/>
              <w:rPr>
                <w:sz w:val="9"/>
                <w:szCs w:val="9"/>
                <w:color w:val="auto"/>
              </w:rPr>
            </w:pPr>
          </w:p>
        </w:tc>
        <w:tc>
          <w:tcPr>
            <w:tcW w:w="1360" w:type="dxa"/>
            <w:vAlign w:val="bottom"/>
            <w:tcBorders>
              <w:bottom w:val="single" w:sz="8" w:color="D7282F"/>
            </w:tcBorders>
          </w:tcPr>
          <w:p>
            <w:pPr>
              <w:spacing w:after="0"/>
              <w:rPr>
                <w:sz w:val="9"/>
                <w:szCs w:val="9"/>
                <w:color w:val="auto"/>
              </w:rPr>
            </w:pPr>
          </w:p>
        </w:tc>
        <w:tc>
          <w:tcPr>
            <w:tcW w:w="6460" w:type="dxa"/>
            <w:vAlign w:val="bottom"/>
            <w:tcBorders>
              <w:bottom w:val="single" w:sz="8" w:color="D7282F"/>
            </w:tcBorders>
            <w:gridSpan w:val="4"/>
          </w:tcPr>
          <w:p>
            <w:pPr>
              <w:spacing w:after="0"/>
              <w:rPr>
                <w:sz w:val="9"/>
                <w:szCs w:val="9"/>
                <w:color w:val="auto"/>
              </w:rPr>
            </w:pPr>
          </w:p>
        </w:tc>
        <w:tc>
          <w:tcPr>
            <w:tcW w:w="980" w:type="dxa"/>
            <w:vAlign w:val="bottom"/>
            <w:tcBorders>
              <w:bottom w:val="single" w:sz="8" w:color="D7282F"/>
            </w:tcBorders>
          </w:tcPr>
          <w:p>
            <w:pPr>
              <w:spacing w:after="0"/>
              <w:rPr>
                <w:sz w:val="9"/>
                <w:szCs w:val="9"/>
                <w:color w:val="auto"/>
              </w:rPr>
            </w:pPr>
          </w:p>
        </w:tc>
      </w:tr>
      <w:tr>
        <w:trPr>
          <w:trHeight w:val="316"/>
        </w:trPr>
        <w:tc>
          <w:tcPr>
            <w:tcW w:w="1180" w:type="dxa"/>
            <w:vAlign w:val="bottom"/>
            <w:tcBorders>
              <w:left w:val="single" w:sz="8" w:color="D7282F"/>
            </w:tcBorders>
          </w:tcPr>
          <w:p>
            <w:pPr>
              <w:spacing w:after="0"/>
              <w:rPr>
                <w:sz w:val="24"/>
                <w:szCs w:val="24"/>
                <w:color w:val="auto"/>
              </w:rPr>
            </w:pP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460" w:type="dxa"/>
            <w:vAlign w:val="bottom"/>
            <w:gridSpan w:val="4"/>
          </w:tcPr>
          <w:p>
            <w:pPr>
              <w:jc w:val="right"/>
              <w:ind w:right="150"/>
              <w:spacing w:after="0"/>
              <w:rPr>
                <w:sz w:val="20"/>
                <w:szCs w:val="20"/>
                <w:color w:val="auto"/>
              </w:rPr>
            </w:pPr>
            <w:r>
              <w:rPr>
                <w:rFonts w:ascii="Arial" w:cs="Arial" w:eastAsia="Arial" w:hAnsi="Arial"/>
                <w:sz w:val="13"/>
                <w:szCs w:val="13"/>
                <w:b w:val="1"/>
                <w:bCs w:val="1"/>
                <w:color w:val="auto"/>
              </w:rPr>
              <w:t>Total Calculated (Formulaic) Payout: Corporate NEOs (Mr. Kapur, Mr. Stepniak, and Mr. Lewis)</w:t>
            </w:r>
          </w:p>
        </w:tc>
        <w:tc>
          <w:tcPr>
            <w:tcW w:w="980" w:type="dxa"/>
            <w:vAlign w:val="bottom"/>
            <w:tcBorders>
              <w:right w:val="single" w:sz="8" w:color="D7282F"/>
            </w:tcBorders>
          </w:tcPr>
          <w:p>
            <w:pPr>
              <w:jc w:val="right"/>
              <w:spacing w:after="0"/>
              <w:rPr>
                <w:sz w:val="20"/>
                <w:szCs w:val="20"/>
                <w:color w:val="auto"/>
              </w:rPr>
            </w:pPr>
            <w:r>
              <w:rPr>
                <w:rFonts w:ascii="Arial" w:cs="Arial" w:eastAsia="Arial" w:hAnsi="Arial"/>
                <w:sz w:val="14"/>
                <w:szCs w:val="14"/>
                <w:b w:val="1"/>
                <w:bCs w:val="1"/>
                <w:color w:val="auto"/>
              </w:rPr>
              <w:t>107%</w:t>
            </w:r>
          </w:p>
        </w:tc>
      </w:tr>
      <w:tr>
        <w:trPr>
          <w:trHeight w:val="123"/>
        </w:trPr>
        <w:tc>
          <w:tcPr>
            <w:tcW w:w="1180" w:type="dxa"/>
            <w:vAlign w:val="bottom"/>
            <w:tcBorders>
              <w:left w:val="single" w:sz="8" w:color="D7282F"/>
              <w:bottom w:val="single" w:sz="8" w:color="D7282F"/>
            </w:tcBorders>
          </w:tcPr>
          <w:p>
            <w:pPr>
              <w:spacing w:after="0"/>
              <w:rPr>
                <w:sz w:val="10"/>
                <w:szCs w:val="10"/>
                <w:color w:val="auto"/>
              </w:rPr>
            </w:pPr>
          </w:p>
        </w:tc>
        <w:tc>
          <w:tcPr>
            <w:tcW w:w="1260" w:type="dxa"/>
            <w:vAlign w:val="bottom"/>
            <w:tcBorders>
              <w:bottom w:val="single" w:sz="8" w:color="D7282F"/>
            </w:tcBorders>
          </w:tcPr>
          <w:p>
            <w:pPr>
              <w:spacing w:after="0"/>
              <w:rPr>
                <w:sz w:val="10"/>
                <w:szCs w:val="10"/>
                <w:color w:val="auto"/>
              </w:rPr>
            </w:pPr>
          </w:p>
        </w:tc>
        <w:tc>
          <w:tcPr>
            <w:tcW w:w="1360" w:type="dxa"/>
            <w:vAlign w:val="bottom"/>
            <w:tcBorders>
              <w:bottom w:val="single" w:sz="8" w:color="D7282F"/>
            </w:tcBorders>
          </w:tcPr>
          <w:p>
            <w:pPr>
              <w:spacing w:after="0"/>
              <w:rPr>
                <w:sz w:val="10"/>
                <w:szCs w:val="10"/>
                <w:color w:val="auto"/>
              </w:rPr>
            </w:pPr>
          </w:p>
        </w:tc>
        <w:tc>
          <w:tcPr>
            <w:tcW w:w="1100" w:type="dxa"/>
            <w:vAlign w:val="bottom"/>
            <w:tcBorders>
              <w:bottom w:val="single" w:sz="8" w:color="D7282F"/>
            </w:tcBorders>
          </w:tcPr>
          <w:p>
            <w:pPr>
              <w:spacing w:after="0"/>
              <w:rPr>
                <w:sz w:val="10"/>
                <w:szCs w:val="10"/>
                <w:color w:val="auto"/>
              </w:rPr>
            </w:pPr>
          </w:p>
        </w:tc>
        <w:tc>
          <w:tcPr>
            <w:tcW w:w="2900" w:type="dxa"/>
            <w:vAlign w:val="bottom"/>
            <w:tcBorders>
              <w:bottom w:val="single" w:sz="8" w:color="D7282F"/>
            </w:tcBorders>
          </w:tcPr>
          <w:p>
            <w:pPr>
              <w:spacing w:after="0"/>
              <w:rPr>
                <w:sz w:val="10"/>
                <w:szCs w:val="10"/>
                <w:color w:val="auto"/>
              </w:rPr>
            </w:pPr>
          </w:p>
        </w:tc>
        <w:tc>
          <w:tcPr>
            <w:tcW w:w="1360" w:type="dxa"/>
            <w:vAlign w:val="bottom"/>
            <w:tcBorders>
              <w:bottom w:val="single" w:sz="8" w:color="D7282F"/>
            </w:tcBorders>
          </w:tcPr>
          <w:p>
            <w:pPr>
              <w:spacing w:after="0"/>
              <w:rPr>
                <w:sz w:val="10"/>
                <w:szCs w:val="10"/>
                <w:color w:val="auto"/>
              </w:rPr>
            </w:pPr>
          </w:p>
        </w:tc>
        <w:tc>
          <w:tcPr>
            <w:tcW w:w="1100" w:type="dxa"/>
            <w:vAlign w:val="bottom"/>
            <w:tcBorders>
              <w:bottom w:val="single" w:sz="8" w:color="D7282F"/>
            </w:tcBorders>
          </w:tcPr>
          <w:p>
            <w:pPr>
              <w:spacing w:after="0"/>
              <w:rPr>
                <w:sz w:val="10"/>
                <w:szCs w:val="10"/>
                <w:color w:val="auto"/>
              </w:rPr>
            </w:pPr>
          </w:p>
        </w:tc>
        <w:tc>
          <w:tcPr>
            <w:tcW w:w="980" w:type="dxa"/>
            <w:vAlign w:val="bottom"/>
            <w:tcBorders>
              <w:bottom w:val="single" w:sz="8" w:color="D7282F"/>
              <w:right w:val="single" w:sz="8" w:color="D7282F"/>
            </w:tcBorders>
          </w:tcPr>
          <w:p>
            <w:pPr>
              <w:spacing w:after="0"/>
              <w:rPr>
                <w:sz w:val="10"/>
                <w:szCs w:val="10"/>
                <w:color w:val="auto"/>
              </w:rPr>
            </w:pPr>
          </w:p>
        </w:tc>
      </w:tr>
    </w:tbl>
    <w:p>
      <w:pPr>
        <w:spacing w:after="0" w:line="144" w:lineRule="exact"/>
        <w:rPr>
          <w:sz w:val="20"/>
          <w:szCs w:val="20"/>
          <w:color w:val="auto"/>
        </w:rPr>
      </w:pPr>
    </w:p>
    <w:p>
      <w:pPr>
        <w:ind w:left="200" w:right="40" w:hanging="192"/>
        <w:spacing w:after="0" w:line="221" w:lineRule="auto"/>
        <w:tabs>
          <w:tab w:leader="none" w:pos="200" w:val="left"/>
        </w:tabs>
        <w:numPr>
          <w:ilvl w:val="0"/>
          <w:numId w:val="147"/>
        </w:numPr>
        <w:rPr>
          <w:rFonts w:ascii="Arial" w:cs="Arial" w:eastAsia="Arial" w:hAnsi="Arial"/>
          <w:sz w:val="16"/>
          <w:szCs w:val="16"/>
          <w:color w:val="auto"/>
          <w:vertAlign w:val="superscript"/>
        </w:rPr>
      </w:pPr>
      <w:r>
        <w:rPr>
          <w:rFonts w:ascii="Arial" w:cs="Arial" w:eastAsia="Arial" w:hAnsi="Arial"/>
          <w:sz w:val="13"/>
          <w:szCs w:val="13"/>
          <w:color w:val="auto"/>
        </w:rPr>
        <w:t>Total Honeywell ICP Sales, Adjusted ICP EPS and Total Honeywell ICP Free Cash Flow exclude the impact of restructuring charges on business segment net income; material unusual, infrequent, and extraordinary items (including the resolution of certain commercial disputes); certain costs related to acquisitions, dispositions, and spin-offs; the impact of any accounting changes taking effect during the year; and the impact of corporate transactions (acquisitions and divestitures) during the period. Furthermore, with respect to Total Honeywell ICP Sales, the impact of fluctuations in foreign exchange rates are also excluded.</w:t>
      </w:r>
    </w:p>
    <w:p>
      <w:pPr>
        <w:spacing w:after="0" w:line="38" w:lineRule="exact"/>
        <w:rPr>
          <w:rFonts w:ascii="Arial" w:cs="Arial" w:eastAsia="Arial" w:hAnsi="Arial"/>
          <w:sz w:val="16"/>
          <w:szCs w:val="16"/>
          <w:color w:val="auto"/>
          <w:vertAlign w:val="superscript"/>
        </w:rPr>
      </w:pPr>
    </w:p>
    <w:p>
      <w:pPr>
        <w:jc w:val="both"/>
        <w:ind w:left="200" w:right="360" w:hanging="192"/>
        <w:spacing w:after="0" w:line="223" w:lineRule="auto"/>
        <w:tabs>
          <w:tab w:leader="none" w:pos="200" w:val="left"/>
        </w:tabs>
        <w:numPr>
          <w:ilvl w:val="0"/>
          <w:numId w:val="147"/>
        </w:numPr>
        <w:rPr>
          <w:rFonts w:ascii="Arial" w:cs="Arial" w:eastAsia="Arial" w:hAnsi="Arial"/>
          <w:sz w:val="16"/>
          <w:szCs w:val="16"/>
          <w:color w:val="auto"/>
          <w:vertAlign w:val="superscript"/>
        </w:rPr>
      </w:pPr>
      <w:r>
        <w:rPr>
          <w:rFonts w:ascii="Arial" w:cs="Arial" w:eastAsia="Arial" w:hAnsi="Arial"/>
          <w:sz w:val="13"/>
          <w:szCs w:val="13"/>
          <w:color w:val="auto"/>
        </w:rPr>
        <w:t>2025 Actual Performance excludes the impact of the spin-off of Solstice Advanced Materials, the acquisition of Sundyne, and the sales impact of fluctuations in foreign exchange rates, which in aggregate increased Total Honeywell ICP Sales by $3,413 million, increased Adjusted ICP EPS by $1.11 and increased Total Honeywell ICP Free Cash Flow by $91 million (relative to Adjusted Sales, Adjusted EPS and Free Cash Flow, respectively).</w:t>
      </w:r>
    </w:p>
    <w:p>
      <w:pPr>
        <w:spacing w:after="0" w:line="37" w:lineRule="exact"/>
        <w:rPr>
          <w:rFonts w:ascii="Arial" w:cs="Arial" w:eastAsia="Arial" w:hAnsi="Arial"/>
          <w:sz w:val="16"/>
          <w:szCs w:val="16"/>
          <w:color w:val="auto"/>
          <w:vertAlign w:val="superscript"/>
        </w:rPr>
      </w:pPr>
    </w:p>
    <w:p>
      <w:pPr>
        <w:ind w:left="200" w:right="600" w:hanging="192"/>
        <w:spacing w:after="0" w:line="226" w:lineRule="auto"/>
        <w:tabs>
          <w:tab w:leader="none" w:pos="200" w:val="left"/>
        </w:tabs>
        <w:numPr>
          <w:ilvl w:val="0"/>
          <w:numId w:val="147"/>
        </w:numPr>
        <w:rPr>
          <w:rFonts w:ascii="Arial" w:cs="Arial" w:eastAsia="Arial" w:hAnsi="Arial"/>
          <w:sz w:val="16"/>
          <w:szCs w:val="16"/>
          <w:color w:val="auto"/>
          <w:vertAlign w:val="superscript"/>
        </w:rPr>
      </w:pPr>
      <w:r>
        <w:rPr>
          <w:rFonts w:ascii="Arial" w:cs="Arial" w:eastAsia="Arial" w:hAnsi="Arial"/>
          <w:sz w:val="13"/>
          <w:szCs w:val="13"/>
          <w:color w:val="auto"/>
        </w:rPr>
        <w:t>Metric Payout Percentage based on ICP payout curve, which provides for a 5% increase in payout for each 1% of performance above target, and a 2.5% decrease in payout for each 1% of performance below target, with interpolation for intermediate points on the curve.</w:t>
      </w:r>
    </w:p>
    <w:p>
      <w:pPr>
        <w:spacing w:after="0" w:line="176" w:lineRule="exact"/>
        <w:rPr>
          <w:sz w:val="20"/>
          <w:szCs w:val="20"/>
          <w:color w:val="auto"/>
        </w:rPr>
      </w:pPr>
    </w:p>
    <w:p>
      <w:pPr>
        <w:ind w:right="160"/>
        <w:spacing w:after="0" w:line="268" w:lineRule="auto"/>
        <w:rPr>
          <w:sz w:val="20"/>
          <w:szCs w:val="20"/>
          <w:color w:val="auto"/>
        </w:rPr>
      </w:pPr>
      <w:r>
        <w:rPr>
          <w:rFonts w:ascii="Arial" w:cs="Arial" w:eastAsia="Arial" w:hAnsi="Arial"/>
          <w:sz w:val="16"/>
          <w:szCs w:val="16"/>
          <w:color w:val="auto"/>
        </w:rPr>
        <w:t>Mr. Currier's formulaic payout portion of ICP (80% of ICP) was based on actual 2025 performance against the 2025 ICP goals for both Total Honeywell and the AT business unit (each weighted equally), as follows:</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24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00" w:type="dxa"/>
            <w:vAlign w:val="bottom"/>
          </w:tcPr>
          <w:p>
            <w:pPr>
              <w:jc w:val="right"/>
              <w:ind w:right="250"/>
              <w:spacing w:after="0"/>
              <w:rPr>
                <w:sz w:val="20"/>
                <w:szCs w:val="20"/>
                <w:color w:val="auto"/>
              </w:rPr>
            </w:pPr>
            <w:r>
              <w:rPr>
                <w:rFonts w:ascii="Arial" w:cs="Arial" w:eastAsia="Arial" w:hAnsi="Arial"/>
                <w:sz w:val="13"/>
                <w:szCs w:val="13"/>
                <w:b w:val="1"/>
                <w:bCs w:val="1"/>
                <w:color w:val="auto"/>
              </w:rPr>
              <w:t>Metric</w:t>
            </w:r>
          </w:p>
        </w:tc>
        <w:tc>
          <w:tcPr>
            <w:tcW w:w="13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Calculated</w:t>
            </w:r>
          </w:p>
        </w:tc>
      </w:tr>
      <w:tr>
        <w:trPr>
          <w:trHeight w:val="162"/>
        </w:trPr>
        <w:tc>
          <w:tcPr>
            <w:tcW w:w="2400" w:type="dxa"/>
            <w:vAlign w:val="bottom"/>
          </w:tcPr>
          <w:p>
            <w:pPr>
              <w:spacing w:after="0"/>
              <w:rPr>
                <w:sz w:val="14"/>
                <w:szCs w:val="14"/>
                <w:color w:val="auto"/>
              </w:rPr>
            </w:pPr>
          </w:p>
        </w:tc>
        <w:tc>
          <w:tcPr>
            <w:tcW w:w="1680" w:type="dxa"/>
            <w:vAlign w:val="bottom"/>
          </w:tcPr>
          <w:p>
            <w:pPr>
              <w:jc w:val="right"/>
              <w:ind w:right="230"/>
              <w:spacing w:after="0"/>
              <w:rPr>
                <w:sz w:val="20"/>
                <w:szCs w:val="20"/>
                <w:color w:val="auto"/>
              </w:rPr>
            </w:pPr>
            <w:r>
              <w:rPr>
                <w:rFonts w:ascii="Arial" w:cs="Arial" w:eastAsia="Arial" w:hAnsi="Arial"/>
                <w:sz w:val="13"/>
                <w:szCs w:val="13"/>
                <w:b w:val="1"/>
                <w:bCs w:val="1"/>
                <w:color w:val="auto"/>
              </w:rPr>
              <w:t>2025 ICP Goal</w:t>
            </w:r>
          </w:p>
        </w:tc>
        <w:tc>
          <w:tcPr>
            <w:tcW w:w="1740" w:type="dxa"/>
            <w:vAlign w:val="bottom"/>
          </w:tcPr>
          <w:p>
            <w:pPr>
              <w:jc w:val="right"/>
              <w:ind w:right="290"/>
              <w:spacing w:after="0"/>
              <w:rPr>
                <w:sz w:val="20"/>
                <w:szCs w:val="20"/>
                <w:color w:val="auto"/>
              </w:rPr>
            </w:pPr>
            <w:r>
              <w:rPr>
                <w:rFonts w:ascii="Arial" w:cs="Arial" w:eastAsia="Arial" w:hAnsi="Arial"/>
                <w:sz w:val="13"/>
                <w:szCs w:val="13"/>
                <w:b w:val="1"/>
                <w:bCs w:val="1"/>
                <w:color w:val="auto"/>
              </w:rPr>
              <w:t>2025 Actual Plan</w:t>
            </w:r>
          </w:p>
        </w:tc>
        <w:tc>
          <w:tcPr>
            <w:tcW w:w="1520" w:type="dxa"/>
            <w:vAlign w:val="bottom"/>
          </w:tcPr>
          <w:p>
            <w:pPr>
              <w:jc w:val="right"/>
              <w:ind w:right="249"/>
              <w:spacing w:after="0"/>
              <w:rPr>
                <w:sz w:val="20"/>
                <w:szCs w:val="20"/>
                <w:color w:val="auto"/>
              </w:rPr>
            </w:pPr>
            <w:r>
              <w:rPr>
                <w:rFonts w:ascii="Arial" w:cs="Arial" w:eastAsia="Arial" w:hAnsi="Arial"/>
                <w:sz w:val="13"/>
                <w:szCs w:val="13"/>
                <w:b w:val="1"/>
                <w:bCs w:val="1"/>
                <w:color w:val="auto"/>
              </w:rPr>
              <w:t>Achievement</w:t>
            </w:r>
          </w:p>
        </w:tc>
        <w:tc>
          <w:tcPr>
            <w:tcW w:w="1500" w:type="dxa"/>
            <w:vAlign w:val="bottom"/>
          </w:tcPr>
          <w:p>
            <w:pPr>
              <w:jc w:val="right"/>
              <w:ind w:right="250"/>
              <w:spacing w:after="0"/>
              <w:rPr>
                <w:sz w:val="20"/>
                <w:szCs w:val="20"/>
                <w:color w:val="auto"/>
              </w:rPr>
            </w:pPr>
            <w:r>
              <w:rPr>
                <w:rFonts w:ascii="Arial" w:cs="Arial" w:eastAsia="Arial" w:hAnsi="Arial"/>
                <w:sz w:val="13"/>
                <w:szCs w:val="13"/>
                <w:b w:val="1"/>
                <w:bCs w:val="1"/>
                <w:color w:val="auto"/>
              </w:rPr>
              <w:t>Payout</w:t>
            </w:r>
          </w:p>
        </w:tc>
        <w:tc>
          <w:tcPr>
            <w:tcW w:w="13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Payout</w:t>
            </w:r>
          </w:p>
        </w:tc>
      </w:tr>
      <w:tr>
        <w:trPr>
          <w:trHeight w:val="204"/>
        </w:trPr>
        <w:tc>
          <w:tcPr>
            <w:tcW w:w="2400" w:type="dxa"/>
            <w:vAlign w:val="bottom"/>
            <w:tcBorders>
              <w:bottom w:val="single" w:sz="8" w:color="D7282F"/>
            </w:tcBorders>
          </w:tcPr>
          <w:p>
            <w:pPr>
              <w:ind w:left="20"/>
              <w:spacing w:after="0"/>
              <w:rPr>
                <w:sz w:val="20"/>
                <w:szCs w:val="20"/>
                <w:color w:val="auto"/>
              </w:rPr>
            </w:pPr>
            <w:r>
              <w:rPr>
                <w:rFonts w:ascii="Arial" w:cs="Arial" w:eastAsia="Arial" w:hAnsi="Arial"/>
                <w:sz w:val="13"/>
                <w:szCs w:val="13"/>
                <w:b w:val="1"/>
                <w:bCs w:val="1"/>
                <w:color w:val="auto"/>
              </w:rPr>
              <w:t>ICP Goal</w:t>
            </w:r>
          </w:p>
        </w:tc>
        <w:tc>
          <w:tcPr>
            <w:tcW w:w="1680" w:type="dxa"/>
            <w:vAlign w:val="bottom"/>
            <w:tcBorders>
              <w:bottom w:val="single" w:sz="8" w:color="D7282F"/>
            </w:tcBorders>
          </w:tcPr>
          <w:p>
            <w:pPr>
              <w:jc w:val="right"/>
              <w:ind w:right="230"/>
              <w:spacing w:after="0"/>
              <w:rPr>
                <w:sz w:val="20"/>
                <w:szCs w:val="20"/>
                <w:color w:val="auto"/>
              </w:rPr>
            </w:pPr>
            <w:r>
              <w:rPr>
                <w:rFonts w:ascii="Arial" w:cs="Arial" w:eastAsia="Arial" w:hAnsi="Arial"/>
                <w:sz w:val="13"/>
                <w:szCs w:val="13"/>
                <w:b w:val="1"/>
                <w:bCs w:val="1"/>
                <w:color w:val="auto"/>
              </w:rPr>
              <w:t>(Target)</w:t>
            </w:r>
          </w:p>
        </w:tc>
        <w:tc>
          <w:tcPr>
            <w:tcW w:w="1740" w:type="dxa"/>
            <w:vAlign w:val="bottom"/>
            <w:tcBorders>
              <w:bottom w:val="single" w:sz="8" w:color="D7282F"/>
            </w:tcBorders>
          </w:tcPr>
          <w:p>
            <w:pPr>
              <w:jc w:val="right"/>
              <w:ind w:right="290"/>
              <w:spacing w:after="0"/>
              <w:rPr>
                <w:sz w:val="20"/>
                <w:szCs w:val="20"/>
                <w:color w:val="auto"/>
              </w:rPr>
            </w:pPr>
            <w:r>
              <w:rPr>
                <w:rFonts w:ascii="Arial" w:cs="Arial" w:eastAsia="Arial" w:hAnsi="Arial"/>
                <w:sz w:val="13"/>
                <w:szCs w:val="13"/>
                <w:b w:val="1"/>
                <w:bCs w:val="1"/>
                <w:color w:val="auto"/>
              </w:rPr>
              <w:t>Performance</w:t>
            </w:r>
            <w:r>
              <w:rPr>
                <w:rFonts w:ascii="Arial" w:cs="Arial" w:eastAsia="Arial" w:hAnsi="Arial"/>
                <w:sz w:val="17"/>
                <w:szCs w:val="17"/>
                <w:b w:val="1"/>
                <w:bCs w:val="1"/>
                <w:color w:val="auto"/>
                <w:vertAlign w:val="superscript"/>
              </w:rPr>
              <w:t>(1)</w:t>
            </w:r>
          </w:p>
        </w:tc>
        <w:tc>
          <w:tcPr>
            <w:tcW w:w="1520" w:type="dxa"/>
            <w:vAlign w:val="bottom"/>
            <w:tcBorders>
              <w:bottom w:val="single" w:sz="8" w:color="D7282F"/>
            </w:tcBorders>
          </w:tcPr>
          <w:p>
            <w:pPr>
              <w:jc w:val="right"/>
              <w:ind w:right="249"/>
              <w:spacing w:after="0"/>
              <w:rPr>
                <w:sz w:val="20"/>
                <w:szCs w:val="20"/>
                <w:color w:val="auto"/>
              </w:rPr>
            </w:pPr>
            <w:r>
              <w:rPr>
                <w:rFonts w:ascii="Arial" w:cs="Arial" w:eastAsia="Arial" w:hAnsi="Arial"/>
                <w:sz w:val="13"/>
                <w:szCs w:val="13"/>
                <w:b w:val="1"/>
                <w:bCs w:val="1"/>
                <w:color w:val="auto"/>
              </w:rPr>
              <w:t>%</w:t>
            </w:r>
          </w:p>
        </w:tc>
        <w:tc>
          <w:tcPr>
            <w:tcW w:w="1500" w:type="dxa"/>
            <w:vAlign w:val="bottom"/>
            <w:tcBorders>
              <w:bottom w:val="single" w:sz="8" w:color="D7282F"/>
            </w:tcBorders>
          </w:tcPr>
          <w:p>
            <w:pPr>
              <w:jc w:val="right"/>
              <w:ind w:right="250"/>
              <w:spacing w:after="0"/>
              <w:rPr>
                <w:sz w:val="20"/>
                <w:szCs w:val="20"/>
                <w:color w:val="auto"/>
              </w:rPr>
            </w:pPr>
            <w:r>
              <w:rPr>
                <w:rFonts w:ascii="Arial" w:cs="Arial" w:eastAsia="Arial" w:hAnsi="Arial"/>
                <w:sz w:val="13"/>
                <w:szCs w:val="13"/>
                <w:b w:val="1"/>
                <w:bCs w:val="1"/>
                <w:color w:val="auto"/>
              </w:rPr>
              <w:t>Percentage</w:t>
            </w:r>
            <w:r>
              <w:rPr>
                <w:rFonts w:ascii="Arial" w:cs="Arial" w:eastAsia="Arial" w:hAnsi="Arial"/>
                <w:sz w:val="17"/>
                <w:szCs w:val="17"/>
                <w:b w:val="1"/>
                <w:bCs w:val="1"/>
                <w:color w:val="auto"/>
                <w:vertAlign w:val="superscript"/>
              </w:rPr>
              <w:t>(2)</w:t>
            </w:r>
          </w:p>
        </w:tc>
        <w:tc>
          <w:tcPr>
            <w:tcW w:w="1300" w:type="dxa"/>
            <w:vAlign w:val="bottom"/>
            <w:tcBorders>
              <w:bottom w:val="single" w:sz="8" w:color="D7282F"/>
            </w:tcBorders>
          </w:tcPr>
          <w:p>
            <w:pPr>
              <w:jc w:val="right"/>
              <w:ind w:right="249"/>
              <w:spacing w:after="0"/>
              <w:rPr>
                <w:sz w:val="20"/>
                <w:szCs w:val="20"/>
                <w:color w:val="auto"/>
              </w:rPr>
            </w:pPr>
            <w:r>
              <w:rPr>
                <w:rFonts w:ascii="Arial" w:cs="Arial" w:eastAsia="Arial" w:hAnsi="Arial"/>
                <w:sz w:val="13"/>
                <w:szCs w:val="13"/>
                <w:b w:val="1"/>
                <w:bCs w:val="1"/>
                <w:color w:val="auto"/>
              </w:rPr>
              <w:t>Weighting</w:t>
            </w:r>
          </w:p>
        </w:tc>
        <w:tc>
          <w:tcPr>
            <w:tcW w:w="1100" w:type="dxa"/>
            <w:vAlign w:val="bottom"/>
            <w:tcBorders>
              <w:bottom w:val="single" w:sz="8" w:color="D7282F"/>
            </w:tcBorders>
          </w:tcPr>
          <w:p>
            <w:pPr>
              <w:jc w:val="right"/>
              <w:spacing w:after="0"/>
              <w:rPr>
                <w:sz w:val="20"/>
                <w:szCs w:val="20"/>
                <w:color w:val="auto"/>
              </w:rPr>
            </w:pPr>
            <w:r>
              <w:rPr>
                <w:rFonts w:ascii="Arial" w:cs="Arial" w:eastAsia="Arial" w:hAnsi="Arial"/>
                <w:sz w:val="13"/>
                <w:szCs w:val="13"/>
                <w:b w:val="1"/>
                <w:bCs w:val="1"/>
                <w:color w:val="auto"/>
              </w:rPr>
              <w:t>Percentage</w:t>
            </w:r>
          </w:p>
        </w:tc>
      </w:tr>
      <w:tr>
        <w:trPr>
          <w:trHeight w:val="316"/>
        </w:trPr>
        <w:tc>
          <w:tcPr>
            <w:tcW w:w="2400" w:type="dxa"/>
            <w:vAlign w:val="bottom"/>
          </w:tcPr>
          <w:p>
            <w:pPr>
              <w:ind w:left="20"/>
              <w:spacing w:after="0"/>
              <w:rPr>
                <w:sz w:val="20"/>
                <w:szCs w:val="20"/>
                <w:color w:val="auto"/>
              </w:rPr>
            </w:pPr>
            <w:r>
              <w:rPr>
                <w:rFonts w:ascii="Arial" w:cs="Arial" w:eastAsia="Arial" w:hAnsi="Arial"/>
                <w:sz w:val="14"/>
                <w:szCs w:val="14"/>
                <w:b w:val="1"/>
                <w:bCs w:val="1"/>
                <w:color w:val="auto"/>
              </w:rPr>
              <w:t>Total Honeywell ICP</w:t>
            </w:r>
          </w:p>
        </w:tc>
        <w:tc>
          <w:tcPr>
            <w:tcW w:w="1680" w:type="dxa"/>
            <w:vAlign w:val="bottom"/>
          </w:tcPr>
          <w:p>
            <w:pPr>
              <w:jc w:val="right"/>
              <w:ind w:right="270"/>
              <w:spacing w:after="0"/>
              <w:rPr>
                <w:sz w:val="20"/>
                <w:szCs w:val="20"/>
                <w:color w:val="auto"/>
              </w:rPr>
            </w:pPr>
            <w:r>
              <w:rPr>
                <w:rFonts w:ascii="Arial" w:cs="Arial" w:eastAsia="Arial" w:hAnsi="Arial"/>
                <w:sz w:val="14"/>
                <w:szCs w:val="14"/>
                <w:color w:val="auto"/>
              </w:rPr>
              <w:t>—</w:t>
            </w:r>
          </w:p>
        </w:tc>
        <w:tc>
          <w:tcPr>
            <w:tcW w:w="1740" w:type="dxa"/>
            <w:vAlign w:val="bottom"/>
          </w:tcPr>
          <w:p>
            <w:pPr>
              <w:jc w:val="right"/>
              <w:ind w:right="350"/>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250"/>
              <w:spacing w:after="0"/>
              <w:rPr>
                <w:sz w:val="20"/>
                <w:szCs w:val="20"/>
                <w:color w:val="auto"/>
              </w:rPr>
            </w:pPr>
            <w:r>
              <w:rPr>
                <w:rFonts w:ascii="Arial" w:cs="Arial" w:eastAsia="Arial" w:hAnsi="Arial"/>
                <w:sz w:val="14"/>
                <w:szCs w:val="14"/>
                <w:color w:val="auto"/>
              </w:rPr>
              <w:t>106.9%</w:t>
            </w:r>
          </w:p>
        </w:tc>
        <w:tc>
          <w:tcPr>
            <w:tcW w:w="1300" w:type="dxa"/>
            <w:vAlign w:val="bottom"/>
          </w:tcPr>
          <w:p>
            <w:pPr>
              <w:jc w:val="right"/>
              <w:ind w:right="249"/>
              <w:spacing w:after="0"/>
              <w:rPr>
                <w:sz w:val="20"/>
                <w:szCs w:val="20"/>
                <w:color w:val="auto"/>
              </w:rPr>
            </w:pPr>
            <w:r>
              <w:rPr>
                <w:rFonts w:ascii="Arial" w:cs="Arial" w:eastAsia="Arial" w:hAnsi="Arial"/>
                <w:sz w:val="14"/>
                <w:szCs w:val="14"/>
                <w:color w:val="auto"/>
              </w:rPr>
              <w:t>50%</w:t>
            </w:r>
          </w:p>
        </w:tc>
        <w:tc>
          <w:tcPr>
            <w:tcW w:w="1100" w:type="dxa"/>
            <w:vAlign w:val="bottom"/>
          </w:tcPr>
          <w:p>
            <w:pPr>
              <w:jc w:val="right"/>
              <w:spacing w:after="0"/>
              <w:rPr>
                <w:sz w:val="20"/>
                <w:szCs w:val="20"/>
                <w:color w:val="auto"/>
              </w:rPr>
            </w:pPr>
            <w:r>
              <w:rPr>
                <w:rFonts w:ascii="Arial" w:cs="Arial" w:eastAsia="Arial" w:hAnsi="Arial"/>
                <w:sz w:val="14"/>
                <w:szCs w:val="14"/>
                <w:color w:val="auto"/>
              </w:rPr>
              <w:t>53.4%</w:t>
            </w:r>
          </w:p>
        </w:tc>
      </w:tr>
      <w:tr>
        <w:trPr>
          <w:trHeight w:val="123"/>
        </w:trPr>
        <w:tc>
          <w:tcPr>
            <w:tcW w:w="2400" w:type="dxa"/>
            <w:vAlign w:val="bottom"/>
            <w:tcBorders>
              <w:bottom w:val="single" w:sz="8" w:color="939598"/>
            </w:tcBorders>
          </w:tcPr>
          <w:p>
            <w:pPr>
              <w:spacing w:after="0"/>
              <w:rPr>
                <w:sz w:val="10"/>
                <w:szCs w:val="10"/>
                <w:color w:val="auto"/>
              </w:rPr>
            </w:pPr>
          </w:p>
        </w:tc>
        <w:tc>
          <w:tcPr>
            <w:tcW w:w="1680" w:type="dxa"/>
            <w:vAlign w:val="bottom"/>
            <w:tcBorders>
              <w:bottom w:val="single" w:sz="8" w:color="939598"/>
            </w:tcBorders>
          </w:tcPr>
          <w:p>
            <w:pPr>
              <w:spacing w:after="0"/>
              <w:rPr>
                <w:sz w:val="10"/>
                <w:szCs w:val="10"/>
                <w:color w:val="auto"/>
              </w:rPr>
            </w:pPr>
          </w:p>
        </w:tc>
        <w:tc>
          <w:tcPr>
            <w:tcW w:w="1740" w:type="dxa"/>
            <w:vAlign w:val="bottom"/>
            <w:tcBorders>
              <w:bottom w:val="single" w:sz="8" w:color="939598"/>
            </w:tcBorders>
          </w:tcPr>
          <w:p>
            <w:pPr>
              <w:spacing w:after="0"/>
              <w:rPr>
                <w:sz w:val="10"/>
                <w:szCs w:val="10"/>
                <w:color w:val="auto"/>
              </w:rPr>
            </w:pPr>
          </w:p>
        </w:tc>
        <w:tc>
          <w:tcPr>
            <w:tcW w:w="1520" w:type="dxa"/>
            <w:vAlign w:val="bottom"/>
            <w:tcBorders>
              <w:bottom w:val="single" w:sz="8" w:color="939598"/>
            </w:tcBorders>
          </w:tcPr>
          <w:p>
            <w:pPr>
              <w:spacing w:after="0"/>
              <w:rPr>
                <w:sz w:val="10"/>
                <w:szCs w:val="10"/>
                <w:color w:val="auto"/>
              </w:rPr>
            </w:pPr>
          </w:p>
        </w:tc>
        <w:tc>
          <w:tcPr>
            <w:tcW w:w="1500" w:type="dxa"/>
            <w:vAlign w:val="bottom"/>
            <w:tcBorders>
              <w:bottom w:val="single" w:sz="8" w:color="939598"/>
            </w:tcBorders>
          </w:tcPr>
          <w:p>
            <w:pPr>
              <w:spacing w:after="0"/>
              <w:rPr>
                <w:sz w:val="10"/>
                <w:szCs w:val="10"/>
                <w:color w:val="auto"/>
              </w:rPr>
            </w:pPr>
          </w:p>
        </w:tc>
        <w:tc>
          <w:tcPr>
            <w:tcW w:w="1300" w:type="dxa"/>
            <w:vAlign w:val="bottom"/>
            <w:tcBorders>
              <w:bottom w:val="single" w:sz="8" w:color="939598"/>
            </w:tcBorders>
          </w:tcPr>
          <w:p>
            <w:pPr>
              <w:spacing w:after="0"/>
              <w:rPr>
                <w:sz w:val="10"/>
                <w:szCs w:val="10"/>
                <w:color w:val="auto"/>
              </w:rPr>
            </w:pPr>
          </w:p>
        </w:tc>
        <w:tc>
          <w:tcPr>
            <w:tcW w:w="1100" w:type="dxa"/>
            <w:vAlign w:val="bottom"/>
            <w:tcBorders>
              <w:bottom w:val="single" w:sz="8" w:color="939598"/>
            </w:tcBorders>
          </w:tcPr>
          <w:p>
            <w:pPr>
              <w:spacing w:after="0"/>
              <w:rPr>
                <w:sz w:val="10"/>
                <w:szCs w:val="10"/>
                <w:color w:val="auto"/>
              </w:rPr>
            </w:pPr>
          </w:p>
        </w:tc>
      </w:tr>
      <w:tr>
        <w:trPr>
          <w:trHeight w:val="316"/>
        </w:trPr>
        <w:tc>
          <w:tcPr>
            <w:tcW w:w="2400" w:type="dxa"/>
            <w:vAlign w:val="bottom"/>
          </w:tcPr>
          <w:p>
            <w:pPr>
              <w:ind w:left="20"/>
              <w:spacing w:after="0"/>
              <w:rPr>
                <w:sz w:val="20"/>
                <w:szCs w:val="20"/>
                <w:color w:val="auto"/>
              </w:rPr>
            </w:pPr>
            <w:r>
              <w:rPr>
                <w:rFonts w:ascii="Arial" w:cs="Arial" w:eastAsia="Arial" w:hAnsi="Arial"/>
                <w:sz w:val="14"/>
                <w:szCs w:val="14"/>
                <w:b w:val="1"/>
                <w:bCs w:val="1"/>
                <w:color w:val="auto"/>
              </w:rPr>
              <w:t>AT ICP Sales</w:t>
            </w:r>
          </w:p>
        </w:tc>
        <w:tc>
          <w:tcPr>
            <w:tcW w:w="1680" w:type="dxa"/>
            <w:vAlign w:val="bottom"/>
          </w:tcPr>
          <w:p>
            <w:pPr>
              <w:jc w:val="right"/>
              <w:ind w:right="230"/>
              <w:spacing w:after="0"/>
              <w:rPr>
                <w:sz w:val="20"/>
                <w:szCs w:val="20"/>
                <w:color w:val="auto"/>
              </w:rPr>
            </w:pPr>
            <w:r>
              <w:rPr>
                <w:rFonts w:ascii="Arial" w:cs="Arial" w:eastAsia="Arial" w:hAnsi="Arial"/>
                <w:sz w:val="14"/>
                <w:szCs w:val="14"/>
                <w:color w:val="auto"/>
              </w:rPr>
              <w:t>$17.445 billion</w:t>
            </w:r>
          </w:p>
        </w:tc>
        <w:tc>
          <w:tcPr>
            <w:tcW w:w="1740" w:type="dxa"/>
            <w:vAlign w:val="bottom"/>
          </w:tcPr>
          <w:p>
            <w:pPr>
              <w:jc w:val="right"/>
              <w:ind w:right="290"/>
              <w:spacing w:after="0"/>
              <w:rPr>
                <w:sz w:val="20"/>
                <w:szCs w:val="20"/>
                <w:color w:val="auto"/>
              </w:rPr>
            </w:pPr>
            <w:r>
              <w:rPr>
                <w:rFonts w:ascii="Arial" w:cs="Arial" w:eastAsia="Arial" w:hAnsi="Arial"/>
                <w:sz w:val="14"/>
                <w:szCs w:val="14"/>
                <w:color w:val="auto"/>
              </w:rPr>
              <w:t>$17.823 billion</w:t>
            </w:r>
          </w:p>
        </w:tc>
        <w:tc>
          <w:tcPr>
            <w:tcW w:w="1520" w:type="dxa"/>
            <w:vAlign w:val="bottom"/>
          </w:tcPr>
          <w:p>
            <w:pPr>
              <w:jc w:val="right"/>
              <w:ind w:right="249"/>
              <w:spacing w:after="0"/>
              <w:rPr>
                <w:sz w:val="20"/>
                <w:szCs w:val="20"/>
                <w:color w:val="auto"/>
              </w:rPr>
            </w:pPr>
            <w:r>
              <w:rPr>
                <w:rFonts w:ascii="Arial" w:cs="Arial" w:eastAsia="Arial" w:hAnsi="Arial"/>
                <w:sz w:val="14"/>
                <w:szCs w:val="14"/>
                <w:color w:val="auto"/>
              </w:rPr>
              <w:t>102.2%</w:t>
            </w:r>
          </w:p>
        </w:tc>
        <w:tc>
          <w:tcPr>
            <w:tcW w:w="1500" w:type="dxa"/>
            <w:vAlign w:val="bottom"/>
          </w:tcPr>
          <w:p>
            <w:pPr>
              <w:jc w:val="right"/>
              <w:ind w:right="250"/>
              <w:spacing w:after="0"/>
              <w:rPr>
                <w:sz w:val="20"/>
                <w:szCs w:val="20"/>
                <w:color w:val="auto"/>
              </w:rPr>
            </w:pPr>
            <w:r>
              <w:rPr>
                <w:rFonts w:ascii="Arial" w:cs="Arial" w:eastAsia="Arial" w:hAnsi="Arial"/>
                <w:sz w:val="14"/>
                <w:szCs w:val="14"/>
                <w:color w:val="auto"/>
              </w:rPr>
              <w:t>110.8%</w:t>
            </w:r>
          </w:p>
        </w:tc>
        <w:tc>
          <w:tcPr>
            <w:tcW w:w="1300" w:type="dxa"/>
            <w:vAlign w:val="bottom"/>
          </w:tcPr>
          <w:p>
            <w:pPr>
              <w:jc w:val="right"/>
              <w:ind w:right="249"/>
              <w:spacing w:after="0"/>
              <w:rPr>
                <w:sz w:val="20"/>
                <w:szCs w:val="20"/>
                <w:color w:val="auto"/>
              </w:rPr>
            </w:pPr>
            <w:r>
              <w:rPr>
                <w:rFonts w:ascii="Arial" w:cs="Arial" w:eastAsia="Arial" w:hAnsi="Arial"/>
                <w:sz w:val="14"/>
                <w:szCs w:val="14"/>
                <w:color w:val="auto"/>
              </w:rPr>
              <w:t>20%</w:t>
            </w:r>
          </w:p>
        </w:tc>
        <w:tc>
          <w:tcPr>
            <w:tcW w:w="1100" w:type="dxa"/>
            <w:vAlign w:val="bottom"/>
          </w:tcPr>
          <w:p>
            <w:pPr>
              <w:jc w:val="right"/>
              <w:spacing w:after="0"/>
              <w:rPr>
                <w:sz w:val="20"/>
                <w:szCs w:val="20"/>
                <w:color w:val="auto"/>
              </w:rPr>
            </w:pPr>
            <w:r>
              <w:rPr>
                <w:rFonts w:ascii="Arial" w:cs="Arial" w:eastAsia="Arial" w:hAnsi="Arial"/>
                <w:sz w:val="14"/>
                <w:szCs w:val="14"/>
                <w:color w:val="auto"/>
              </w:rPr>
              <w:t>22.2%</w:t>
            </w:r>
          </w:p>
        </w:tc>
      </w:tr>
      <w:tr>
        <w:trPr>
          <w:trHeight w:val="123"/>
        </w:trPr>
        <w:tc>
          <w:tcPr>
            <w:tcW w:w="2400" w:type="dxa"/>
            <w:vAlign w:val="bottom"/>
            <w:tcBorders>
              <w:bottom w:val="single" w:sz="8" w:color="939598"/>
            </w:tcBorders>
          </w:tcPr>
          <w:p>
            <w:pPr>
              <w:spacing w:after="0"/>
              <w:rPr>
                <w:sz w:val="10"/>
                <w:szCs w:val="10"/>
                <w:color w:val="auto"/>
              </w:rPr>
            </w:pPr>
          </w:p>
        </w:tc>
        <w:tc>
          <w:tcPr>
            <w:tcW w:w="1680" w:type="dxa"/>
            <w:vAlign w:val="bottom"/>
            <w:tcBorders>
              <w:bottom w:val="single" w:sz="8" w:color="939598"/>
            </w:tcBorders>
          </w:tcPr>
          <w:p>
            <w:pPr>
              <w:spacing w:after="0"/>
              <w:rPr>
                <w:sz w:val="10"/>
                <w:szCs w:val="10"/>
                <w:color w:val="auto"/>
              </w:rPr>
            </w:pPr>
          </w:p>
        </w:tc>
        <w:tc>
          <w:tcPr>
            <w:tcW w:w="1740" w:type="dxa"/>
            <w:vAlign w:val="bottom"/>
            <w:tcBorders>
              <w:bottom w:val="single" w:sz="8" w:color="939598"/>
            </w:tcBorders>
          </w:tcPr>
          <w:p>
            <w:pPr>
              <w:spacing w:after="0"/>
              <w:rPr>
                <w:sz w:val="10"/>
                <w:szCs w:val="10"/>
                <w:color w:val="auto"/>
              </w:rPr>
            </w:pPr>
          </w:p>
        </w:tc>
        <w:tc>
          <w:tcPr>
            <w:tcW w:w="1520" w:type="dxa"/>
            <w:vAlign w:val="bottom"/>
            <w:tcBorders>
              <w:bottom w:val="single" w:sz="8" w:color="939598"/>
            </w:tcBorders>
          </w:tcPr>
          <w:p>
            <w:pPr>
              <w:spacing w:after="0"/>
              <w:rPr>
                <w:sz w:val="10"/>
                <w:szCs w:val="10"/>
                <w:color w:val="auto"/>
              </w:rPr>
            </w:pPr>
          </w:p>
        </w:tc>
        <w:tc>
          <w:tcPr>
            <w:tcW w:w="1500" w:type="dxa"/>
            <w:vAlign w:val="bottom"/>
            <w:tcBorders>
              <w:bottom w:val="single" w:sz="8" w:color="939598"/>
            </w:tcBorders>
          </w:tcPr>
          <w:p>
            <w:pPr>
              <w:spacing w:after="0"/>
              <w:rPr>
                <w:sz w:val="10"/>
                <w:szCs w:val="10"/>
                <w:color w:val="auto"/>
              </w:rPr>
            </w:pPr>
          </w:p>
        </w:tc>
        <w:tc>
          <w:tcPr>
            <w:tcW w:w="1300" w:type="dxa"/>
            <w:vAlign w:val="bottom"/>
            <w:tcBorders>
              <w:bottom w:val="single" w:sz="8" w:color="939598"/>
            </w:tcBorders>
          </w:tcPr>
          <w:p>
            <w:pPr>
              <w:spacing w:after="0"/>
              <w:rPr>
                <w:sz w:val="10"/>
                <w:szCs w:val="10"/>
                <w:color w:val="auto"/>
              </w:rPr>
            </w:pPr>
          </w:p>
        </w:tc>
        <w:tc>
          <w:tcPr>
            <w:tcW w:w="1100" w:type="dxa"/>
            <w:vAlign w:val="bottom"/>
            <w:tcBorders>
              <w:bottom w:val="single" w:sz="8" w:color="939598"/>
            </w:tcBorders>
          </w:tcPr>
          <w:p>
            <w:pPr>
              <w:spacing w:after="0"/>
              <w:rPr>
                <w:sz w:val="10"/>
                <w:szCs w:val="10"/>
                <w:color w:val="auto"/>
              </w:rPr>
            </w:pPr>
          </w:p>
        </w:tc>
      </w:tr>
      <w:tr>
        <w:trPr>
          <w:trHeight w:val="316"/>
        </w:trPr>
        <w:tc>
          <w:tcPr>
            <w:tcW w:w="2400" w:type="dxa"/>
            <w:vAlign w:val="bottom"/>
          </w:tcPr>
          <w:p>
            <w:pPr>
              <w:ind w:left="20"/>
              <w:spacing w:after="0"/>
              <w:rPr>
                <w:sz w:val="20"/>
                <w:szCs w:val="20"/>
                <w:color w:val="auto"/>
              </w:rPr>
            </w:pPr>
            <w:r>
              <w:rPr>
                <w:rFonts w:ascii="Arial" w:cs="Arial" w:eastAsia="Arial" w:hAnsi="Arial"/>
                <w:sz w:val="14"/>
                <w:szCs w:val="14"/>
                <w:b w:val="1"/>
                <w:bCs w:val="1"/>
                <w:color w:val="auto"/>
              </w:rPr>
              <w:t>AT ICP Income Contribution</w:t>
            </w:r>
          </w:p>
        </w:tc>
        <w:tc>
          <w:tcPr>
            <w:tcW w:w="1680" w:type="dxa"/>
            <w:vAlign w:val="bottom"/>
          </w:tcPr>
          <w:p>
            <w:pPr>
              <w:jc w:val="right"/>
              <w:ind w:right="230"/>
              <w:spacing w:after="0"/>
              <w:rPr>
                <w:sz w:val="20"/>
                <w:szCs w:val="20"/>
                <w:color w:val="auto"/>
              </w:rPr>
            </w:pPr>
            <w:r>
              <w:rPr>
                <w:rFonts w:ascii="Arial" w:cs="Arial" w:eastAsia="Arial" w:hAnsi="Arial"/>
                <w:sz w:val="14"/>
                <w:szCs w:val="14"/>
                <w:color w:val="auto"/>
              </w:rPr>
              <w:t>$3.768 billion</w:t>
            </w:r>
          </w:p>
        </w:tc>
        <w:tc>
          <w:tcPr>
            <w:tcW w:w="1740" w:type="dxa"/>
            <w:vAlign w:val="bottom"/>
          </w:tcPr>
          <w:p>
            <w:pPr>
              <w:jc w:val="right"/>
              <w:ind w:right="290"/>
              <w:spacing w:after="0"/>
              <w:rPr>
                <w:sz w:val="20"/>
                <w:szCs w:val="20"/>
                <w:color w:val="auto"/>
              </w:rPr>
            </w:pPr>
            <w:r>
              <w:rPr>
                <w:rFonts w:ascii="Arial" w:cs="Arial" w:eastAsia="Arial" w:hAnsi="Arial"/>
                <w:sz w:val="14"/>
                <w:szCs w:val="14"/>
                <w:color w:val="auto"/>
              </w:rPr>
              <w:t>$3.815 billion</w:t>
            </w:r>
          </w:p>
        </w:tc>
        <w:tc>
          <w:tcPr>
            <w:tcW w:w="1520" w:type="dxa"/>
            <w:vAlign w:val="bottom"/>
          </w:tcPr>
          <w:p>
            <w:pPr>
              <w:jc w:val="right"/>
              <w:ind w:right="249"/>
              <w:spacing w:after="0"/>
              <w:rPr>
                <w:sz w:val="20"/>
                <w:szCs w:val="20"/>
                <w:color w:val="auto"/>
              </w:rPr>
            </w:pPr>
            <w:r>
              <w:rPr>
                <w:rFonts w:ascii="Arial" w:cs="Arial" w:eastAsia="Arial" w:hAnsi="Arial"/>
                <w:sz w:val="14"/>
                <w:szCs w:val="14"/>
                <w:color w:val="auto"/>
              </w:rPr>
              <w:t>101.2%</w:t>
            </w:r>
          </w:p>
        </w:tc>
        <w:tc>
          <w:tcPr>
            <w:tcW w:w="1500" w:type="dxa"/>
            <w:vAlign w:val="bottom"/>
          </w:tcPr>
          <w:p>
            <w:pPr>
              <w:jc w:val="right"/>
              <w:ind w:right="250"/>
              <w:spacing w:after="0"/>
              <w:rPr>
                <w:sz w:val="20"/>
                <w:szCs w:val="20"/>
                <w:color w:val="auto"/>
              </w:rPr>
            </w:pPr>
            <w:r>
              <w:rPr>
                <w:rFonts w:ascii="Arial" w:cs="Arial" w:eastAsia="Arial" w:hAnsi="Arial"/>
                <w:sz w:val="14"/>
                <w:szCs w:val="14"/>
                <w:color w:val="auto"/>
              </w:rPr>
              <w:t>106.2%</w:t>
            </w:r>
          </w:p>
        </w:tc>
        <w:tc>
          <w:tcPr>
            <w:tcW w:w="1300" w:type="dxa"/>
            <w:vAlign w:val="bottom"/>
          </w:tcPr>
          <w:p>
            <w:pPr>
              <w:jc w:val="right"/>
              <w:ind w:right="249"/>
              <w:spacing w:after="0"/>
              <w:rPr>
                <w:sz w:val="20"/>
                <w:szCs w:val="20"/>
                <w:color w:val="auto"/>
              </w:rPr>
            </w:pPr>
            <w:r>
              <w:rPr>
                <w:rFonts w:ascii="Arial" w:cs="Arial" w:eastAsia="Arial" w:hAnsi="Arial"/>
                <w:sz w:val="14"/>
                <w:szCs w:val="14"/>
                <w:color w:val="auto"/>
              </w:rPr>
              <w:t>15%</w:t>
            </w:r>
          </w:p>
        </w:tc>
        <w:tc>
          <w:tcPr>
            <w:tcW w:w="1100" w:type="dxa"/>
            <w:vAlign w:val="bottom"/>
          </w:tcPr>
          <w:p>
            <w:pPr>
              <w:jc w:val="right"/>
              <w:spacing w:after="0"/>
              <w:rPr>
                <w:sz w:val="20"/>
                <w:szCs w:val="20"/>
                <w:color w:val="auto"/>
              </w:rPr>
            </w:pPr>
            <w:r>
              <w:rPr>
                <w:rFonts w:ascii="Arial" w:cs="Arial" w:eastAsia="Arial" w:hAnsi="Arial"/>
                <w:sz w:val="14"/>
                <w:szCs w:val="14"/>
                <w:color w:val="auto"/>
              </w:rPr>
              <w:t>15.9%</w:t>
            </w:r>
          </w:p>
        </w:tc>
      </w:tr>
      <w:tr>
        <w:trPr>
          <w:trHeight w:val="123"/>
        </w:trPr>
        <w:tc>
          <w:tcPr>
            <w:tcW w:w="2400" w:type="dxa"/>
            <w:vAlign w:val="bottom"/>
            <w:tcBorders>
              <w:bottom w:val="single" w:sz="8" w:color="939598"/>
            </w:tcBorders>
          </w:tcPr>
          <w:p>
            <w:pPr>
              <w:spacing w:after="0"/>
              <w:rPr>
                <w:sz w:val="10"/>
                <w:szCs w:val="10"/>
                <w:color w:val="auto"/>
              </w:rPr>
            </w:pPr>
          </w:p>
        </w:tc>
        <w:tc>
          <w:tcPr>
            <w:tcW w:w="1680" w:type="dxa"/>
            <w:vAlign w:val="bottom"/>
            <w:tcBorders>
              <w:bottom w:val="single" w:sz="8" w:color="939598"/>
            </w:tcBorders>
          </w:tcPr>
          <w:p>
            <w:pPr>
              <w:spacing w:after="0"/>
              <w:rPr>
                <w:sz w:val="10"/>
                <w:szCs w:val="10"/>
                <w:color w:val="auto"/>
              </w:rPr>
            </w:pPr>
          </w:p>
        </w:tc>
        <w:tc>
          <w:tcPr>
            <w:tcW w:w="1740" w:type="dxa"/>
            <w:vAlign w:val="bottom"/>
            <w:tcBorders>
              <w:bottom w:val="single" w:sz="8" w:color="939598"/>
            </w:tcBorders>
          </w:tcPr>
          <w:p>
            <w:pPr>
              <w:spacing w:after="0"/>
              <w:rPr>
                <w:sz w:val="10"/>
                <w:szCs w:val="10"/>
                <w:color w:val="auto"/>
              </w:rPr>
            </w:pPr>
          </w:p>
        </w:tc>
        <w:tc>
          <w:tcPr>
            <w:tcW w:w="1520" w:type="dxa"/>
            <w:vAlign w:val="bottom"/>
            <w:tcBorders>
              <w:bottom w:val="single" w:sz="8" w:color="939598"/>
            </w:tcBorders>
          </w:tcPr>
          <w:p>
            <w:pPr>
              <w:spacing w:after="0"/>
              <w:rPr>
                <w:sz w:val="10"/>
                <w:szCs w:val="10"/>
                <w:color w:val="auto"/>
              </w:rPr>
            </w:pPr>
          </w:p>
        </w:tc>
        <w:tc>
          <w:tcPr>
            <w:tcW w:w="1500" w:type="dxa"/>
            <w:vAlign w:val="bottom"/>
            <w:tcBorders>
              <w:bottom w:val="single" w:sz="8" w:color="939598"/>
            </w:tcBorders>
          </w:tcPr>
          <w:p>
            <w:pPr>
              <w:spacing w:after="0"/>
              <w:rPr>
                <w:sz w:val="10"/>
                <w:szCs w:val="10"/>
                <w:color w:val="auto"/>
              </w:rPr>
            </w:pPr>
          </w:p>
        </w:tc>
        <w:tc>
          <w:tcPr>
            <w:tcW w:w="1300" w:type="dxa"/>
            <w:vAlign w:val="bottom"/>
            <w:tcBorders>
              <w:bottom w:val="single" w:sz="8" w:color="939598"/>
            </w:tcBorders>
          </w:tcPr>
          <w:p>
            <w:pPr>
              <w:spacing w:after="0"/>
              <w:rPr>
                <w:sz w:val="10"/>
                <w:szCs w:val="10"/>
                <w:color w:val="auto"/>
              </w:rPr>
            </w:pPr>
          </w:p>
        </w:tc>
        <w:tc>
          <w:tcPr>
            <w:tcW w:w="1100" w:type="dxa"/>
            <w:vAlign w:val="bottom"/>
            <w:tcBorders>
              <w:bottom w:val="single" w:sz="8" w:color="939598"/>
            </w:tcBorders>
          </w:tcPr>
          <w:p>
            <w:pPr>
              <w:spacing w:after="0"/>
              <w:rPr>
                <w:sz w:val="10"/>
                <w:szCs w:val="10"/>
                <w:color w:val="auto"/>
              </w:rPr>
            </w:pPr>
          </w:p>
        </w:tc>
      </w:tr>
      <w:tr>
        <w:trPr>
          <w:trHeight w:val="316"/>
        </w:trPr>
        <w:tc>
          <w:tcPr>
            <w:tcW w:w="2400" w:type="dxa"/>
            <w:vAlign w:val="bottom"/>
          </w:tcPr>
          <w:p>
            <w:pPr>
              <w:ind w:left="20"/>
              <w:spacing w:after="0"/>
              <w:rPr>
                <w:sz w:val="20"/>
                <w:szCs w:val="20"/>
                <w:color w:val="auto"/>
              </w:rPr>
            </w:pPr>
            <w:r>
              <w:rPr>
                <w:rFonts w:ascii="Arial" w:cs="Arial" w:eastAsia="Arial" w:hAnsi="Arial"/>
                <w:sz w:val="14"/>
                <w:szCs w:val="14"/>
                <w:b w:val="1"/>
                <w:bCs w:val="1"/>
                <w:color w:val="auto"/>
              </w:rPr>
              <w:t>AT ICP Free Cash Flow</w:t>
            </w:r>
          </w:p>
        </w:tc>
        <w:tc>
          <w:tcPr>
            <w:tcW w:w="1680" w:type="dxa"/>
            <w:vAlign w:val="bottom"/>
          </w:tcPr>
          <w:p>
            <w:pPr>
              <w:jc w:val="right"/>
              <w:ind w:right="230"/>
              <w:spacing w:after="0"/>
              <w:rPr>
                <w:sz w:val="20"/>
                <w:szCs w:val="20"/>
                <w:color w:val="auto"/>
              </w:rPr>
            </w:pPr>
            <w:r>
              <w:rPr>
                <w:rFonts w:ascii="Arial" w:cs="Arial" w:eastAsia="Arial" w:hAnsi="Arial"/>
                <w:sz w:val="14"/>
                <w:szCs w:val="14"/>
                <w:color w:val="auto"/>
              </w:rPr>
              <w:t>$3.370 billion</w:t>
            </w:r>
          </w:p>
        </w:tc>
        <w:tc>
          <w:tcPr>
            <w:tcW w:w="1740" w:type="dxa"/>
            <w:vAlign w:val="bottom"/>
          </w:tcPr>
          <w:p>
            <w:pPr>
              <w:jc w:val="right"/>
              <w:ind w:right="290"/>
              <w:spacing w:after="0"/>
              <w:rPr>
                <w:sz w:val="20"/>
                <w:szCs w:val="20"/>
                <w:color w:val="auto"/>
              </w:rPr>
            </w:pPr>
            <w:r>
              <w:rPr>
                <w:rFonts w:ascii="Arial" w:cs="Arial" w:eastAsia="Arial" w:hAnsi="Arial"/>
                <w:sz w:val="14"/>
                <w:szCs w:val="14"/>
                <w:color w:val="auto"/>
              </w:rPr>
              <w:t>$3.327 billion</w:t>
            </w:r>
          </w:p>
        </w:tc>
        <w:tc>
          <w:tcPr>
            <w:tcW w:w="1520" w:type="dxa"/>
            <w:vAlign w:val="bottom"/>
          </w:tcPr>
          <w:p>
            <w:pPr>
              <w:jc w:val="right"/>
              <w:ind w:right="249"/>
              <w:spacing w:after="0"/>
              <w:rPr>
                <w:sz w:val="20"/>
                <w:szCs w:val="20"/>
                <w:color w:val="auto"/>
              </w:rPr>
            </w:pPr>
            <w:r>
              <w:rPr>
                <w:rFonts w:ascii="Arial" w:cs="Arial" w:eastAsia="Arial" w:hAnsi="Arial"/>
                <w:sz w:val="14"/>
                <w:szCs w:val="14"/>
                <w:color w:val="auto"/>
              </w:rPr>
              <w:t>98.7%</w:t>
            </w:r>
          </w:p>
        </w:tc>
        <w:tc>
          <w:tcPr>
            <w:tcW w:w="1500" w:type="dxa"/>
            <w:vAlign w:val="bottom"/>
          </w:tcPr>
          <w:p>
            <w:pPr>
              <w:jc w:val="right"/>
              <w:ind w:right="250"/>
              <w:spacing w:after="0"/>
              <w:rPr>
                <w:sz w:val="20"/>
                <w:szCs w:val="20"/>
                <w:color w:val="auto"/>
              </w:rPr>
            </w:pPr>
            <w:r>
              <w:rPr>
                <w:rFonts w:ascii="Arial" w:cs="Arial" w:eastAsia="Arial" w:hAnsi="Arial"/>
                <w:sz w:val="14"/>
                <w:szCs w:val="14"/>
                <w:color w:val="auto"/>
              </w:rPr>
              <w:t>96.8%</w:t>
            </w:r>
          </w:p>
        </w:tc>
        <w:tc>
          <w:tcPr>
            <w:tcW w:w="1300" w:type="dxa"/>
            <w:vAlign w:val="bottom"/>
          </w:tcPr>
          <w:p>
            <w:pPr>
              <w:jc w:val="right"/>
              <w:ind w:right="249"/>
              <w:spacing w:after="0"/>
              <w:rPr>
                <w:sz w:val="20"/>
                <w:szCs w:val="20"/>
                <w:color w:val="auto"/>
              </w:rPr>
            </w:pPr>
            <w:r>
              <w:rPr>
                <w:rFonts w:ascii="Arial" w:cs="Arial" w:eastAsia="Arial" w:hAnsi="Arial"/>
                <w:sz w:val="14"/>
                <w:szCs w:val="14"/>
                <w:color w:val="auto"/>
              </w:rPr>
              <w:t>15%</w:t>
            </w:r>
          </w:p>
        </w:tc>
        <w:tc>
          <w:tcPr>
            <w:tcW w:w="1100" w:type="dxa"/>
            <w:vAlign w:val="bottom"/>
          </w:tcPr>
          <w:p>
            <w:pPr>
              <w:jc w:val="right"/>
              <w:spacing w:after="0"/>
              <w:rPr>
                <w:sz w:val="20"/>
                <w:szCs w:val="20"/>
                <w:color w:val="auto"/>
              </w:rPr>
            </w:pPr>
            <w:r>
              <w:rPr>
                <w:rFonts w:ascii="Arial" w:cs="Arial" w:eastAsia="Arial" w:hAnsi="Arial"/>
                <w:sz w:val="14"/>
                <w:szCs w:val="14"/>
                <w:color w:val="auto"/>
              </w:rPr>
              <w:t>14.5%</w:t>
            </w:r>
          </w:p>
        </w:tc>
      </w:tr>
      <w:tr>
        <w:trPr>
          <w:trHeight w:val="123"/>
        </w:trPr>
        <w:tc>
          <w:tcPr>
            <w:tcW w:w="2400" w:type="dxa"/>
            <w:vAlign w:val="bottom"/>
            <w:tcBorders>
              <w:bottom w:val="single" w:sz="8" w:color="D7282F"/>
            </w:tcBorders>
          </w:tcPr>
          <w:p>
            <w:pPr>
              <w:spacing w:after="0"/>
              <w:rPr>
                <w:sz w:val="10"/>
                <w:szCs w:val="10"/>
                <w:color w:val="auto"/>
              </w:rPr>
            </w:pPr>
          </w:p>
        </w:tc>
        <w:tc>
          <w:tcPr>
            <w:tcW w:w="1680" w:type="dxa"/>
            <w:vAlign w:val="bottom"/>
            <w:tcBorders>
              <w:bottom w:val="single" w:sz="8" w:color="D7282F"/>
            </w:tcBorders>
          </w:tcPr>
          <w:p>
            <w:pPr>
              <w:spacing w:after="0"/>
              <w:rPr>
                <w:sz w:val="10"/>
                <w:szCs w:val="10"/>
                <w:color w:val="auto"/>
              </w:rPr>
            </w:pPr>
          </w:p>
        </w:tc>
        <w:tc>
          <w:tcPr>
            <w:tcW w:w="1740" w:type="dxa"/>
            <w:vAlign w:val="bottom"/>
            <w:tcBorders>
              <w:bottom w:val="single" w:sz="8" w:color="D7282F"/>
            </w:tcBorders>
          </w:tcPr>
          <w:p>
            <w:pPr>
              <w:spacing w:after="0"/>
              <w:rPr>
                <w:sz w:val="10"/>
                <w:szCs w:val="10"/>
                <w:color w:val="auto"/>
              </w:rPr>
            </w:pPr>
          </w:p>
        </w:tc>
        <w:tc>
          <w:tcPr>
            <w:tcW w:w="4320" w:type="dxa"/>
            <w:vAlign w:val="bottom"/>
            <w:tcBorders>
              <w:bottom w:val="single" w:sz="8" w:color="D7282F"/>
            </w:tcBorders>
            <w:gridSpan w:val="3"/>
          </w:tcPr>
          <w:p>
            <w:pPr>
              <w:spacing w:after="0"/>
              <w:rPr>
                <w:sz w:val="10"/>
                <w:szCs w:val="10"/>
                <w:color w:val="auto"/>
              </w:rPr>
            </w:pPr>
          </w:p>
        </w:tc>
        <w:tc>
          <w:tcPr>
            <w:tcW w:w="1100" w:type="dxa"/>
            <w:vAlign w:val="bottom"/>
            <w:tcBorders>
              <w:bottom w:val="single" w:sz="8" w:color="D7282F"/>
            </w:tcBorders>
          </w:tcPr>
          <w:p>
            <w:pPr>
              <w:spacing w:after="0"/>
              <w:rPr>
                <w:sz w:val="10"/>
                <w:szCs w:val="10"/>
                <w:color w:val="auto"/>
              </w:rPr>
            </w:pPr>
          </w:p>
        </w:tc>
      </w:tr>
      <w:tr>
        <w:trPr>
          <w:trHeight w:val="316"/>
        </w:trPr>
        <w:tc>
          <w:tcPr>
            <w:tcW w:w="2400" w:type="dxa"/>
            <w:vAlign w:val="bottom"/>
            <w:tcBorders>
              <w:left w:val="single" w:sz="8" w:color="D7282F"/>
            </w:tcBorders>
          </w:tcPr>
          <w:p>
            <w:pPr>
              <w:spacing w:after="0"/>
              <w:rPr>
                <w:sz w:val="24"/>
                <w:szCs w:val="24"/>
                <w:color w:val="auto"/>
              </w:rPr>
            </w:pPr>
          </w:p>
        </w:tc>
        <w:tc>
          <w:tcPr>
            <w:tcW w:w="16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320" w:type="dxa"/>
            <w:vAlign w:val="bottom"/>
            <w:gridSpan w:val="3"/>
          </w:tcPr>
          <w:p>
            <w:pPr>
              <w:jc w:val="right"/>
              <w:ind w:right="249"/>
              <w:spacing w:after="0"/>
              <w:rPr>
                <w:sz w:val="20"/>
                <w:szCs w:val="20"/>
                <w:color w:val="auto"/>
              </w:rPr>
            </w:pPr>
            <w:r>
              <w:rPr>
                <w:rFonts w:ascii="Arial" w:cs="Arial" w:eastAsia="Arial" w:hAnsi="Arial"/>
                <w:sz w:val="14"/>
                <w:szCs w:val="14"/>
                <w:b w:val="1"/>
                <w:bCs w:val="1"/>
                <w:color w:val="auto"/>
              </w:rPr>
              <w:t>Total Calculated (Formulaic) Payout: AT (Mr. Currier)</w:t>
            </w:r>
          </w:p>
        </w:tc>
        <w:tc>
          <w:tcPr>
            <w:tcW w:w="1100" w:type="dxa"/>
            <w:vAlign w:val="bottom"/>
            <w:tcBorders>
              <w:right w:val="single" w:sz="8" w:color="D7282F"/>
            </w:tcBorders>
          </w:tcPr>
          <w:p>
            <w:pPr>
              <w:jc w:val="right"/>
              <w:spacing w:after="0"/>
              <w:rPr>
                <w:sz w:val="20"/>
                <w:szCs w:val="20"/>
                <w:color w:val="auto"/>
              </w:rPr>
            </w:pPr>
            <w:r>
              <w:rPr>
                <w:rFonts w:ascii="Arial" w:cs="Arial" w:eastAsia="Arial" w:hAnsi="Arial"/>
                <w:sz w:val="14"/>
                <w:szCs w:val="14"/>
                <w:b w:val="1"/>
                <w:bCs w:val="1"/>
                <w:color w:val="auto"/>
              </w:rPr>
              <w:t>106%</w:t>
            </w:r>
          </w:p>
        </w:tc>
      </w:tr>
      <w:tr>
        <w:trPr>
          <w:trHeight w:val="123"/>
        </w:trPr>
        <w:tc>
          <w:tcPr>
            <w:tcW w:w="2400" w:type="dxa"/>
            <w:vAlign w:val="bottom"/>
            <w:tcBorders>
              <w:left w:val="single" w:sz="8" w:color="D7282F"/>
              <w:bottom w:val="single" w:sz="8" w:color="D7282F"/>
            </w:tcBorders>
          </w:tcPr>
          <w:p>
            <w:pPr>
              <w:spacing w:after="0"/>
              <w:rPr>
                <w:sz w:val="10"/>
                <w:szCs w:val="10"/>
                <w:color w:val="auto"/>
              </w:rPr>
            </w:pPr>
          </w:p>
        </w:tc>
        <w:tc>
          <w:tcPr>
            <w:tcW w:w="1680" w:type="dxa"/>
            <w:vAlign w:val="bottom"/>
            <w:tcBorders>
              <w:bottom w:val="single" w:sz="8" w:color="D7282F"/>
            </w:tcBorders>
          </w:tcPr>
          <w:p>
            <w:pPr>
              <w:spacing w:after="0"/>
              <w:rPr>
                <w:sz w:val="10"/>
                <w:szCs w:val="10"/>
                <w:color w:val="auto"/>
              </w:rPr>
            </w:pPr>
          </w:p>
        </w:tc>
        <w:tc>
          <w:tcPr>
            <w:tcW w:w="1740" w:type="dxa"/>
            <w:vAlign w:val="bottom"/>
            <w:tcBorders>
              <w:bottom w:val="single" w:sz="8" w:color="D7282F"/>
            </w:tcBorders>
          </w:tcPr>
          <w:p>
            <w:pPr>
              <w:spacing w:after="0"/>
              <w:rPr>
                <w:sz w:val="10"/>
                <w:szCs w:val="10"/>
                <w:color w:val="auto"/>
              </w:rPr>
            </w:pPr>
          </w:p>
        </w:tc>
        <w:tc>
          <w:tcPr>
            <w:tcW w:w="1520" w:type="dxa"/>
            <w:vAlign w:val="bottom"/>
            <w:tcBorders>
              <w:bottom w:val="single" w:sz="8" w:color="D7282F"/>
            </w:tcBorders>
          </w:tcPr>
          <w:p>
            <w:pPr>
              <w:spacing w:after="0"/>
              <w:rPr>
                <w:sz w:val="10"/>
                <w:szCs w:val="10"/>
                <w:color w:val="auto"/>
              </w:rPr>
            </w:pPr>
          </w:p>
        </w:tc>
        <w:tc>
          <w:tcPr>
            <w:tcW w:w="1500" w:type="dxa"/>
            <w:vAlign w:val="bottom"/>
            <w:tcBorders>
              <w:bottom w:val="single" w:sz="8" w:color="D7282F"/>
            </w:tcBorders>
          </w:tcPr>
          <w:p>
            <w:pPr>
              <w:spacing w:after="0"/>
              <w:rPr>
                <w:sz w:val="10"/>
                <w:szCs w:val="10"/>
                <w:color w:val="auto"/>
              </w:rPr>
            </w:pPr>
          </w:p>
        </w:tc>
        <w:tc>
          <w:tcPr>
            <w:tcW w:w="1300" w:type="dxa"/>
            <w:vAlign w:val="bottom"/>
            <w:tcBorders>
              <w:bottom w:val="single" w:sz="8" w:color="D7282F"/>
            </w:tcBorders>
          </w:tcPr>
          <w:p>
            <w:pPr>
              <w:spacing w:after="0"/>
              <w:rPr>
                <w:sz w:val="10"/>
                <w:szCs w:val="10"/>
                <w:color w:val="auto"/>
              </w:rPr>
            </w:pPr>
          </w:p>
        </w:tc>
        <w:tc>
          <w:tcPr>
            <w:tcW w:w="1100" w:type="dxa"/>
            <w:vAlign w:val="bottom"/>
            <w:tcBorders>
              <w:bottom w:val="single" w:sz="8" w:color="D7282F"/>
              <w:right w:val="single" w:sz="8" w:color="D7282F"/>
            </w:tcBorders>
          </w:tcPr>
          <w:p>
            <w:pPr>
              <w:spacing w:after="0"/>
              <w:rPr>
                <w:sz w:val="10"/>
                <w:szCs w:val="10"/>
                <w:color w:val="auto"/>
              </w:rPr>
            </w:pPr>
          </w:p>
        </w:tc>
      </w:tr>
    </w:tbl>
    <w:p>
      <w:pPr>
        <w:spacing w:after="0" w:line="144" w:lineRule="exact"/>
        <w:rPr>
          <w:sz w:val="20"/>
          <w:szCs w:val="20"/>
          <w:color w:val="auto"/>
        </w:rPr>
      </w:pPr>
    </w:p>
    <w:p>
      <w:pPr>
        <w:ind w:left="200" w:right="60" w:hanging="192"/>
        <w:spacing w:after="0" w:line="221" w:lineRule="auto"/>
        <w:tabs>
          <w:tab w:leader="none" w:pos="200" w:val="left"/>
        </w:tabs>
        <w:numPr>
          <w:ilvl w:val="0"/>
          <w:numId w:val="148"/>
        </w:numPr>
        <w:rPr>
          <w:rFonts w:ascii="Arial" w:cs="Arial" w:eastAsia="Arial" w:hAnsi="Arial"/>
          <w:sz w:val="16"/>
          <w:szCs w:val="16"/>
          <w:color w:val="auto"/>
          <w:vertAlign w:val="superscript"/>
        </w:rPr>
      </w:pPr>
      <w:r>
        <w:rPr>
          <w:rFonts w:ascii="Arial" w:cs="Arial" w:eastAsia="Arial" w:hAnsi="Arial"/>
          <w:sz w:val="13"/>
          <w:szCs w:val="13"/>
          <w:color w:val="auto"/>
        </w:rPr>
        <w:t>AT ICP Sales, AT ICP Income Contribution and AT ICP Free Cash Flow exclude the impact of restructuring charges on business segment net income; material unusual, infrequent, and extraordinary items (including the resolution of certain commercial disputes); certain costs related to acquisitions, dispositions, and spin-offs; the impact of any accounting changes taking effect during the year; and the impact of corporate transactions (acquisitions and divestitures) during the period. Furthermore, with respect to AT ICP Sales, the impact of fluctuations in foreign exchange rates are also excluded.</w:t>
      </w:r>
    </w:p>
    <w:p>
      <w:pPr>
        <w:spacing w:after="0" w:line="52" w:lineRule="exact"/>
        <w:rPr>
          <w:rFonts w:ascii="Arial" w:cs="Arial" w:eastAsia="Arial" w:hAnsi="Arial"/>
          <w:sz w:val="16"/>
          <w:szCs w:val="16"/>
          <w:color w:val="auto"/>
          <w:vertAlign w:val="superscript"/>
        </w:rPr>
      </w:pPr>
    </w:p>
    <w:p>
      <w:pPr>
        <w:ind w:left="200" w:right="600" w:hanging="192"/>
        <w:spacing w:after="0" w:line="216" w:lineRule="auto"/>
        <w:tabs>
          <w:tab w:leader="none" w:pos="200" w:val="left"/>
        </w:tabs>
        <w:numPr>
          <w:ilvl w:val="0"/>
          <w:numId w:val="148"/>
        </w:numPr>
        <w:rPr>
          <w:rFonts w:ascii="Arial" w:cs="Arial" w:eastAsia="Arial" w:hAnsi="Arial"/>
          <w:sz w:val="16"/>
          <w:szCs w:val="16"/>
          <w:color w:val="auto"/>
          <w:vertAlign w:val="superscript"/>
        </w:rPr>
      </w:pPr>
      <w:r>
        <w:rPr>
          <w:rFonts w:ascii="Arial" w:cs="Arial" w:eastAsia="Arial" w:hAnsi="Arial"/>
          <w:sz w:val="13"/>
          <w:szCs w:val="13"/>
          <w:color w:val="auto"/>
        </w:rPr>
        <w:t>Metric Payout Percentage based on ICP payout curve, which provides for a 5% increase in payout for each 1% of performance above target, and a 2.5% decrease in payout for each 1% of performance below target, with interpolation for intermediate points on the curve.</w:t>
      </w:r>
    </w:p>
    <w:p>
      <w:pPr>
        <w:spacing w:after="0" w:line="212" w:lineRule="exact"/>
        <w:rPr>
          <w:sz w:val="20"/>
          <w:szCs w:val="20"/>
          <w:color w:val="auto"/>
        </w:rPr>
      </w:pPr>
    </w:p>
    <w:tbl>
      <w:tblPr>
        <w:tblLayout w:type="fixed"/>
        <w:tblInd w:w="6840" w:type="dxa"/>
        <w:tblCellMar>
          <w:top w:w="0" w:type="dxa"/>
          <w:left w:w="0" w:type="dxa"/>
          <w:bottom w:w="0" w:type="dxa"/>
          <w:right w:w="0" w:type="dxa"/>
        </w:tblCellMar>
      </w:tblPr>
      <w:tr>
        <w:trPr>
          <w:trHeight w:val="247"/>
        </w:trPr>
        <w:tc>
          <w:tcPr>
            <w:tcW w:w="3460" w:type="dxa"/>
            <w:vAlign w:val="bottom"/>
          </w:tcPr>
          <w:p>
            <w:pPr>
              <w:spacing w:after="0"/>
              <w:rPr>
                <w:sz w:val="20"/>
                <w:szCs w:val="20"/>
                <w:color w:val="auto"/>
              </w:rPr>
            </w:pPr>
            <w:r>
              <w:rPr>
                <w:rFonts w:ascii="Arial" w:cs="Arial" w:eastAsia="Arial" w:hAnsi="Arial"/>
                <w:sz w:val="13"/>
                <w:szCs w:val="13"/>
                <w:b w:val="1"/>
                <w:bCs w:val="1"/>
                <w:color w:val="6D6E71"/>
              </w:rPr>
              <w:t>2026 NOTICE AND PROXY STATEMENT   |</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219710</wp:posOffset>
            </wp:positionV>
            <wp:extent cx="7157720"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-127000</wp:posOffset>
            </wp:positionV>
            <wp:extent cx="548640" cy="10287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232" w:gutter="0" w:footer="0" w:header="0"/>
          <w:type w:val="continuous"/>
        </w:sectPr>
      </w:pPr>
    </w:p>
    <w:bookmarkStart w:id="73" w:name="page74"/>
    <w:bookmarkEnd w:id="73"/>
    <w:p>
      <w:pPr>
        <w:spacing w:after="0"/>
        <w:rPr>
          <w:sz w:val="20"/>
          <w:szCs w:val="20"/>
          <w:color w:val="auto"/>
        </w:rPr>
      </w:pPr>
      <w:r>
        <w:rPr>
          <w:rFonts w:ascii="Arial" w:cs="Arial" w:eastAsia="Arial" w:hAnsi="Arial"/>
          <w:sz w:val="13"/>
          <w:szCs w:val="13"/>
          <w:b w:val="1"/>
          <w:bCs w:val="1"/>
          <w:color w:val="6D6E71"/>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Mr. Masso's formulaic payout portion of ICP (80% of ICP) was based on actual 2025 performance against the 2025 ICP goals for both Total Honeywell and the IA business unit (each weighted equally), as follows:</w:t>
      </w:r>
    </w:p>
    <w:p>
      <w:pPr>
        <w:spacing w:after="0" w:line="114"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0" w:type="dxa"/>
            <w:vAlign w:val="bottom"/>
          </w:tcPr>
          <w:p>
            <w:pPr>
              <w:jc w:val="right"/>
              <w:ind w:right="190"/>
              <w:spacing w:after="0"/>
              <w:rPr>
                <w:sz w:val="20"/>
                <w:szCs w:val="20"/>
                <w:color w:val="auto"/>
              </w:rPr>
            </w:pPr>
            <w:r>
              <w:rPr>
                <w:rFonts w:ascii="Arial" w:cs="Arial" w:eastAsia="Arial" w:hAnsi="Arial"/>
                <w:sz w:val="13"/>
                <w:szCs w:val="13"/>
                <w:b w:val="1"/>
                <w:bCs w:val="1"/>
                <w:color w:val="auto"/>
              </w:rPr>
              <w:t>Metric</w:t>
            </w:r>
          </w:p>
        </w:tc>
        <w:tc>
          <w:tcPr>
            <w:tcW w:w="1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Calculated</w:t>
            </w:r>
          </w:p>
        </w:tc>
      </w:tr>
      <w:tr>
        <w:trPr>
          <w:trHeight w:val="157"/>
        </w:trPr>
        <w:tc>
          <w:tcPr>
            <w:tcW w:w="2620" w:type="dxa"/>
            <w:vAlign w:val="bottom"/>
          </w:tcPr>
          <w:p>
            <w:pPr>
              <w:spacing w:after="0"/>
              <w:rPr>
                <w:sz w:val="13"/>
                <w:szCs w:val="13"/>
                <w:color w:val="auto"/>
              </w:rPr>
            </w:pPr>
          </w:p>
        </w:tc>
        <w:tc>
          <w:tcPr>
            <w:tcW w:w="1920" w:type="dxa"/>
            <w:vAlign w:val="bottom"/>
          </w:tcPr>
          <w:p>
            <w:pPr>
              <w:jc w:val="right"/>
              <w:ind w:right="230"/>
              <w:spacing w:after="0"/>
              <w:rPr>
                <w:sz w:val="20"/>
                <w:szCs w:val="20"/>
                <w:color w:val="auto"/>
              </w:rPr>
            </w:pPr>
            <w:r>
              <w:rPr>
                <w:rFonts w:ascii="Arial" w:cs="Arial" w:eastAsia="Arial" w:hAnsi="Arial"/>
                <w:sz w:val="13"/>
                <w:szCs w:val="13"/>
                <w:b w:val="1"/>
                <w:bCs w:val="1"/>
                <w:color w:val="auto"/>
              </w:rPr>
              <w:t>2025 ICP Goal</w:t>
            </w:r>
          </w:p>
        </w:tc>
        <w:tc>
          <w:tcPr>
            <w:tcW w:w="1640" w:type="dxa"/>
            <w:vAlign w:val="bottom"/>
          </w:tcPr>
          <w:p>
            <w:pPr>
              <w:jc w:val="right"/>
              <w:ind w:right="210"/>
              <w:spacing w:after="0"/>
              <w:rPr>
                <w:sz w:val="20"/>
                <w:szCs w:val="20"/>
                <w:color w:val="auto"/>
              </w:rPr>
            </w:pPr>
            <w:r>
              <w:rPr>
                <w:rFonts w:ascii="Arial" w:cs="Arial" w:eastAsia="Arial" w:hAnsi="Arial"/>
                <w:sz w:val="13"/>
                <w:szCs w:val="13"/>
                <w:b w:val="1"/>
                <w:bCs w:val="1"/>
                <w:color w:val="auto"/>
              </w:rPr>
              <w:t>2025 Actual Plan</w:t>
            </w:r>
          </w:p>
        </w:tc>
        <w:tc>
          <w:tcPr>
            <w:tcW w:w="1460" w:type="dxa"/>
            <w:vAlign w:val="bottom"/>
          </w:tcPr>
          <w:p>
            <w:pPr>
              <w:jc w:val="right"/>
              <w:ind w:right="229"/>
              <w:spacing w:after="0"/>
              <w:rPr>
                <w:sz w:val="20"/>
                <w:szCs w:val="20"/>
                <w:color w:val="auto"/>
              </w:rPr>
            </w:pPr>
            <w:r>
              <w:rPr>
                <w:rFonts w:ascii="Arial" w:cs="Arial" w:eastAsia="Arial" w:hAnsi="Arial"/>
                <w:sz w:val="13"/>
                <w:szCs w:val="13"/>
                <w:b w:val="1"/>
                <w:bCs w:val="1"/>
                <w:color w:val="auto"/>
              </w:rPr>
              <w:t>Achievement</w:t>
            </w:r>
          </w:p>
        </w:tc>
        <w:tc>
          <w:tcPr>
            <w:tcW w:w="1400" w:type="dxa"/>
            <w:vAlign w:val="bottom"/>
          </w:tcPr>
          <w:p>
            <w:pPr>
              <w:jc w:val="right"/>
              <w:ind w:right="190"/>
              <w:spacing w:after="0"/>
              <w:rPr>
                <w:sz w:val="20"/>
                <w:szCs w:val="20"/>
                <w:color w:val="auto"/>
              </w:rPr>
            </w:pPr>
            <w:r>
              <w:rPr>
                <w:rFonts w:ascii="Arial" w:cs="Arial" w:eastAsia="Arial" w:hAnsi="Arial"/>
                <w:sz w:val="13"/>
                <w:szCs w:val="13"/>
                <w:b w:val="1"/>
                <w:bCs w:val="1"/>
                <w:color w:val="auto"/>
              </w:rPr>
              <w:t>Payout</w:t>
            </w:r>
          </w:p>
        </w:tc>
        <w:tc>
          <w:tcPr>
            <w:tcW w:w="11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Payout</w:t>
            </w:r>
          </w:p>
        </w:tc>
      </w:tr>
      <w:tr>
        <w:trPr>
          <w:trHeight w:val="209"/>
        </w:trPr>
        <w:tc>
          <w:tcPr>
            <w:tcW w:w="2620" w:type="dxa"/>
            <w:vAlign w:val="bottom"/>
            <w:tcBorders>
              <w:bottom w:val="single" w:sz="8" w:color="D7282F"/>
            </w:tcBorders>
          </w:tcPr>
          <w:p>
            <w:pPr>
              <w:ind w:left="20"/>
              <w:spacing w:after="0"/>
              <w:rPr>
                <w:sz w:val="20"/>
                <w:szCs w:val="20"/>
                <w:color w:val="auto"/>
              </w:rPr>
            </w:pPr>
            <w:r>
              <w:rPr>
                <w:rFonts w:ascii="Arial" w:cs="Arial" w:eastAsia="Arial" w:hAnsi="Arial"/>
                <w:sz w:val="13"/>
                <w:szCs w:val="13"/>
                <w:b w:val="1"/>
                <w:bCs w:val="1"/>
                <w:color w:val="auto"/>
              </w:rPr>
              <w:t>ICP Goal</w:t>
            </w:r>
          </w:p>
        </w:tc>
        <w:tc>
          <w:tcPr>
            <w:tcW w:w="1920" w:type="dxa"/>
            <w:vAlign w:val="bottom"/>
            <w:tcBorders>
              <w:bottom w:val="single" w:sz="8" w:color="D7282F"/>
            </w:tcBorders>
          </w:tcPr>
          <w:p>
            <w:pPr>
              <w:jc w:val="right"/>
              <w:ind w:right="230"/>
              <w:spacing w:after="0"/>
              <w:rPr>
                <w:sz w:val="20"/>
                <w:szCs w:val="20"/>
                <w:color w:val="auto"/>
              </w:rPr>
            </w:pPr>
            <w:r>
              <w:rPr>
                <w:rFonts w:ascii="Arial" w:cs="Arial" w:eastAsia="Arial" w:hAnsi="Arial"/>
                <w:sz w:val="13"/>
                <w:szCs w:val="13"/>
                <w:b w:val="1"/>
                <w:bCs w:val="1"/>
                <w:color w:val="auto"/>
              </w:rPr>
              <w:t>(Target)</w:t>
            </w:r>
          </w:p>
        </w:tc>
        <w:tc>
          <w:tcPr>
            <w:tcW w:w="1640" w:type="dxa"/>
            <w:vAlign w:val="bottom"/>
            <w:tcBorders>
              <w:bottom w:val="single" w:sz="8" w:color="D7282F"/>
            </w:tcBorders>
          </w:tcPr>
          <w:p>
            <w:pPr>
              <w:jc w:val="right"/>
              <w:ind w:right="210"/>
              <w:spacing w:after="0"/>
              <w:rPr>
                <w:sz w:val="20"/>
                <w:szCs w:val="20"/>
                <w:color w:val="auto"/>
              </w:rPr>
            </w:pPr>
            <w:r>
              <w:rPr>
                <w:rFonts w:ascii="Arial" w:cs="Arial" w:eastAsia="Arial" w:hAnsi="Arial"/>
                <w:sz w:val="13"/>
                <w:szCs w:val="13"/>
                <w:b w:val="1"/>
                <w:bCs w:val="1"/>
                <w:color w:val="auto"/>
              </w:rPr>
              <w:t>Performance</w:t>
            </w:r>
            <w:r>
              <w:rPr>
                <w:rFonts w:ascii="Arial" w:cs="Arial" w:eastAsia="Arial" w:hAnsi="Arial"/>
                <w:sz w:val="17"/>
                <w:szCs w:val="17"/>
                <w:b w:val="1"/>
                <w:bCs w:val="1"/>
                <w:color w:val="auto"/>
                <w:vertAlign w:val="superscript"/>
              </w:rPr>
              <w:t>(1)</w:t>
            </w:r>
          </w:p>
        </w:tc>
        <w:tc>
          <w:tcPr>
            <w:tcW w:w="1460" w:type="dxa"/>
            <w:vAlign w:val="bottom"/>
            <w:tcBorders>
              <w:bottom w:val="single" w:sz="8" w:color="D7282F"/>
            </w:tcBorders>
          </w:tcPr>
          <w:p>
            <w:pPr>
              <w:jc w:val="right"/>
              <w:ind w:right="229"/>
              <w:spacing w:after="0"/>
              <w:rPr>
                <w:sz w:val="20"/>
                <w:szCs w:val="20"/>
                <w:color w:val="auto"/>
              </w:rPr>
            </w:pPr>
            <w:r>
              <w:rPr>
                <w:rFonts w:ascii="Arial" w:cs="Arial" w:eastAsia="Arial" w:hAnsi="Arial"/>
                <w:sz w:val="13"/>
                <w:szCs w:val="13"/>
                <w:b w:val="1"/>
                <w:bCs w:val="1"/>
                <w:color w:val="auto"/>
              </w:rPr>
              <w:t>%</w:t>
            </w:r>
          </w:p>
        </w:tc>
        <w:tc>
          <w:tcPr>
            <w:tcW w:w="1400" w:type="dxa"/>
            <w:vAlign w:val="bottom"/>
            <w:tcBorders>
              <w:bottom w:val="single" w:sz="8" w:color="D7282F"/>
            </w:tcBorders>
          </w:tcPr>
          <w:p>
            <w:pPr>
              <w:jc w:val="right"/>
              <w:ind w:right="190"/>
              <w:spacing w:after="0"/>
              <w:rPr>
                <w:sz w:val="20"/>
                <w:szCs w:val="20"/>
                <w:color w:val="auto"/>
              </w:rPr>
            </w:pPr>
            <w:r>
              <w:rPr>
                <w:rFonts w:ascii="Arial" w:cs="Arial" w:eastAsia="Arial" w:hAnsi="Arial"/>
                <w:sz w:val="13"/>
                <w:szCs w:val="13"/>
                <w:b w:val="1"/>
                <w:bCs w:val="1"/>
                <w:color w:val="auto"/>
              </w:rPr>
              <w:t>Percentage</w:t>
            </w:r>
            <w:r>
              <w:rPr>
                <w:rFonts w:ascii="Arial" w:cs="Arial" w:eastAsia="Arial" w:hAnsi="Arial"/>
                <w:sz w:val="17"/>
                <w:szCs w:val="17"/>
                <w:b w:val="1"/>
                <w:bCs w:val="1"/>
                <w:color w:val="auto"/>
                <w:vertAlign w:val="superscript"/>
              </w:rPr>
              <w:t>(2)</w:t>
            </w:r>
          </w:p>
        </w:tc>
        <w:tc>
          <w:tcPr>
            <w:tcW w:w="1180" w:type="dxa"/>
            <w:vAlign w:val="bottom"/>
            <w:tcBorders>
              <w:bottom w:val="single" w:sz="8" w:color="D7282F"/>
            </w:tcBorders>
          </w:tcPr>
          <w:p>
            <w:pPr>
              <w:jc w:val="right"/>
              <w:ind w:right="189"/>
              <w:spacing w:after="0"/>
              <w:rPr>
                <w:sz w:val="20"/>
                <w:szCs w:val="20"/>
                <w:color w:val="auto"/>
              </w:rPr>
            </w:pPr>
            <w:r>
              <w:rPr>
                <w:rFonts w:ascii="Arial" w:cs="Arial" w:eastAsia="Arial" w:hAnsi="Arial"/>
                <w:sz w:val="13"/>
                <w:szCs w:val="13"/>
                <w:b w:val="1"/>
                <w:bCs w:val="1"/>
                <w:color w:val="auto"/>
              </w:rPr>
              <w:t>Weighting</w:t>
            </w:r>
          </w:p>
        </w:tc>
        <w:tc>
          <w:tcPr>
            <w:tcW w:w="1020" w:type="dxa"/>
            <w:vAlign w:val="bottom"/>
            <w:tcBorders>
              <w:bottom w:val="single" w:sz="8" w:color="D7282F"/>
            </w:tcBorders>
          </w:tcPr>
          <w:p>
            <w:pPr>
              <w:jc w:val="right"/>
              <w:spacing w:after="0"/>
              <w:rPr>
                <w:sz w:val="20"/>
                <w:szCs w:val="20"/>
                <w:color w:val="auto"/>
              </w:rPr>
            </w:pPr>
            <w:r>
              <w:rPr>
                <w:rFonts w:ascii="Arial" w:cs="Arial" w:eastAsia="Arial" w:hAnsi="Arial"/>
                <w:sz w:val="13"/>
                <w:szCs w:val="13"/>
                <w:b w:val="1"/>
                <w:bCs w:val="1"/>
                <w:color w:val="auto"/>
              </w:rPr>
              <w:t>Percentage</w:t>
            </w:r>
          </w:p>
        </w:tc>
      </w:tr>
      <w:tr>
        <w:trPr>
          <w:trHeight w:val="316"/>
        </w:trPr>
        <w:tc>
          <w:tcPr>
            <w:tcW w:w="2620" w:type="dxa"/>
            <w:vAlign w:val="bottom"/>
          </w:tcPr>
          <w:p>
            <w:pPr>
              <w:ind w:left="20"/>
              <w:spacing w:after="0"/>
              <w:rPr>
                <w:sz w:val="20"/>
                <w:szCs w:val="20"/>
                <w:color w:val="auto"/>
              </w:rPr>
            </w:pPr>
            <w:r>
              <w:rPr>
                <w:rFonts w:ascii="Arial" w:cs="Arial" w:eastAsia="Arial" w:hAnsi="Arial"/>
                <w:sz w:val="14"/>
                <w:szCs w:val="14"/>
                <w:b w:val="1"/>
                <w:bCs w:val="1"/>
                <w:color w:val="auto"/>
              </w:rPr>
              <w:t>Total Honeywell ICP</w:t>
            </w:r>
          </w:p>
        </w:tc>
        <w:tc>
          <w:tcPr>
            <w:tcW w:w="1920" w:type="dxa"/>
            <w:vAlign w:val="bottom"/>
          </w:tcPr>
          <w:p>
            <w:pPr>
              <w:jc w:val="right"/>
              <w:ind w:right="270"/>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250"/>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190"/>
              <w:spacing w:after="0"/>
              <w:rPr>
                <w:sz w:val="20"/>
                <w:szCs w:val="20"/>
                <w:color w:val="auto"/>
              </w:rPr>
            </w:pPr>
            <w:r>
              <w:rPr>
                <w:rFonts w:ascii="Arial" w:cs="Arial" w:eastAsia="Arial" w:hAnsi="Arial"/>
                <w:sz w:val="14"/>
                <w:szCs w:val="14"/>
                <w:color w:val="auto"/>
              </w:rPr>
              <w:t>106.9%</w:t>
            </w:r>
          </w:p>
        </w:tc>
        <w:tc>
          <w:tcPr>
            <w:tcW w:w="1180" w:type="dxa"/>
            <w:vAlign w:val="bottom"/>
          </w:tcPr>
          <w:p>
            <w:pPr>
              <w:jc w:val="right"/>
              <w:ind w:right="189"/>
              <w:spacing w:after="0"/>
              <w:rPr>
                <w:sz w:val="20"/>
                <w:szCs w:val="20"/>
                <w:color w:val="auto"/>
              </w:rPr>
            </w:pPr>
            <w:r>
              <w:rPr>
                <w:rFonts w:ascii="Arial" w:cs="Arial" w:eastAsia="Arial" w:hAnsi="Arial"/>
                <w:sz w:val="14"/>
                <w:szCs w:val="14"/>
                <w:color w:val="auto"/>
              </w:rPr>
              <w:t>50%</w:t>
            </w:r>
          </w:p>
        </w:tc>
        <w:tc>
          <w:tcPr>
            <w:tcW w:w="1020" w:type="dxa"/>
            <w:vAlign w:val="bottom"/>
          </w:tcPr>
          <w:p>
            <w:pPr>
              <w:jc w:val="right"/>
              <w:spacing w:after="0"/>
              <w:rPr>
                <w:sz w:val="20"/>
                <w:szCs w:val="20"/>
                <w:color w:val="auto"/>
              </w:rPr>
            </w:pPr>
            <w:r>
              <w:rPr>
                <w:rFonts w:ascii="Arial" w:cs="Arial" w:eastAsia="Arial" w:hAnsi="Arial"/>
                <w:sz w:val="14"/>
                <w:szCs w:val="14"/>
                <w:color w:val="auto"/>
              </w:rPr>
              <w:t>53.4%</w:t>
            </w:r>
          </w:p>
        </w:tc>
      </w:tr>
      <w:tr>
        <w:trPr>
          <w:trHeight w:val="123"/>
        </w:trPr>
        <w:tc>
          <w:tcPr>
            <w:tcW w:w="2620" w:type="dxa"/>
            <w:vAlign w:val="bottom"/>
            <w:tcBorders>
              <w:bottom w:val="single" w:sz="8" w:color="939598"/>
            </w:tcBorders>
          </w:tcPr>
          <w:p>
            <w:pPr>
              <w:spacing w:after="0"/>
              <w:rPr>
                <w:sz w:val="10"/>
                <w:szCs w:val="10"/>
                <w:color w:val="auto"/>
              </w:rPr>
            </w:pPr>
          </w:p>
        </w:tc>
        <w:tc>
          <w:tcPr>
            <w:tcW w:w="1920" w:type="dxa"/>
            <w:vAlign w:val="bottom"/>
            <w:tcBorders>
              <w:bottom w:val="single" w:sz="8" w:color="939598"/>
            </w:tcBorders>
          </w:tcPr>
          <w:p>
            <w:pPr>
              <w:spacing w:after="0"/>
              <w:rPr>
                <w:sz w:val="10"/>
                <w:szCs w:val="10"/>
                <w:color w:val="auto"/>
              </w:rPr>
            </w:pPr>
          </w:p>
        </w:tc>
        <w:tc>
          <w:tcPr>
            <w:tcW w:w="1640" w:type="dxa"/>
            <w:vAlign w:val="bottom"/>
            <w:tcBorders>
              <w:bottom w:val="single" w:sz="8" w:color="939598"/>
            </w:tcBorders>
          </w:tcPr>
          <w:p>
            <w:pPr>
              <w:spacing w:after="0"/>
              <w:rPr>
                <w:sz w:val="10"/>
                <w:szCs w:val="10"/>
                <w:color w:val="auto"/>
              </w:rPr>
            </w:pPr>
          </w:p>
        </w:tc>
        <w:tc>
          <w:tcPr>
            <w:tcW w:w="1460" w:type="dxa"/>
            <w:vAlign w:val="bottom"/>
            <w:tcBorders>
              <w:bottom w:val="single" w:sz="8" w:color="939598"/>
            </w:tcBorders>
          </w:tcPr>
          <w:p>
            <w:pPr>
              <w:spacing w:after="0"/>
              <w:rPr>
                <w:sz w:val="10"/>
                <w:szCs w:val="10"/>
                <w:color w:val="auto"/>
              </w:rPr>
            </w:pPr>
          </w:p>
        </w:tc>
        <w:tc>
          <w:tcPr>
            <w:tcW w:w="1400" w:type="dxa"/>
            <w:vAlign w:val="bottom"/>
            <w:tcBorders>
              <w:bottom w:val="single" w:sz="8" w:color="939598"/>
            </w:tcBorders>
          </w:tcPr>
          <w:p>
            <w:pPr>
              <w:spacing w:after="0"/>
              <w:rPr>
                <w:sz w:val="10"/>
                <w:szCs w:val="10"/>
                <w:color w:val="auto"/>
              </w:rPr>
            </w:pPr>
          </w:p>
        </w:tc>
        <w:tc>
          <w:tcPr>
            <w:tcW w:w="1180" w:type="dxa"/>
            <w:vAlign w:val="bottom"/>
            <w:tcBorders>
              <w:bottom w:val="single" w:sz="8" w:color="939598"/>
            </w:tcBorders>
          </w:tcPr>
          <w:p>
            <w:pPr>
              <w:spacing w:after="0"/>
              <w:rPr>
                <w:sz w:val="10"/>
                <w:szCs w:val="10"/>
                <w:color w:val="auto"/>
              </w:rPr>
            </w:pPr>
          </w:p>
        </w:tc>
        <w:tc>
          <w:tcPr>
            <w:tcW w:w="1020" w:type="dxa"/>
            <w:vAlign w:val="bottom"/>
            <w:tcBorders>
              <w:bottom w:val="single" w:sz="8" w:color="939598"/>
            </w:tcBorders>
          </w:tcPr>
          <w:p>
            <w:pPr>
              <w:spacing w:after="0"/>
              <w:rPr>
                <w:sz w:val="10"/>
                <w:szCs w:val="10"/>
                <w:color w:val="auto"/>
              </w:rPr>
            </w:pPr>
          </w:p>
        </w:tc>
      </w:tr>
      <w:tr>
        <w:trPr>
          <w:trHeight w:val="315"/>
        </w:trPr>
        <w:tc>
          <w:tcPr>
            <w:tcW w:w="2620" w:type="dxa"/>
            <w:vAlign w:val="bottom"/>
          </w:tcPr>
          <w:p>
            <w:pPr>
              <w:ind w:left="20"/>
              <w:spacing w:after="0"/>
              <w:rPr>
                <w:sz w:val="20"/>
                <w:szCs w:val="20"/>
                <w:color w:val="auto"/>
              </w:rPr>
            </w:pPr>
            <w:r>
              <w:rPr>
                <w:rFonts w:ascii="Arial" w:cs="Arial" w:eastAsia="Arial" w:hAnsi="Arial"/>
                <w:sz w:val="14"/>
                <w:szCs w:val="14"/>
                <w:b w:val="1"/>
                <w:bCs w:val="1"/>
                <w:color w:val="auto"/>
              </w:rPr>
              <w:t>IA ICP Sales</w:t>
            </w:r>
          </w:p>
        </w:tc>
        <w:tc>
          <w:tcPr>
            <w:tcW w:w="1920" w:type="dxa"/>
            <w:vAlign w:val="bottom"/>
          </w:tcPr>
          <w:p>
            <w:pPr>
              <w:jc w:val="right"/>
              <w:ind w:right="230"/>
              <w:spacing w:after="0"/>
              <w:rPr>
                <w:sz w:val="20"/>
                <w:szCs w:val="20"/>
                <w:color w:val="auto"/>
              </w:rPr>
            </w:pPr>
            <w:r>
              <w:rPr>
                <w:rFonts w:ascii="Arial" w:cs="Arial" w:eastAsia="Arial" w:hAnsi="Arial"/>
                <w:sz w:val="14"/>
                <w:szCs w:val="14"/>
                <w:color w:val="auto"/>
              </w:rPr>
              <w:t>$9.013 billion</w:t>
            </w:r>
          </w:p>
        </w:tc>
        <w:tc>
          <w:tcPr>
            <w:tcW w:w="1640" w:type="dxa"/>
            <w:vAlign w:val="bottom"/>
          </w:tcPr>
          <w:p>
            <w:pPr>
              <w:jc w:val="right"/>
              <w:ind w:right="210"/>
              <w:spacing w:after="0"/>
              <w:rPr>
                <w:sz w:val="20"/>
                <w:szCs w:val="20"/>
                <w:color w:val="auto"/>
              </w:rPr>
            </w:pPr>
            <w:r>
              <w:rPr>
                <w:rFonts w:ascii="Arial" w:cs="Arial" w:eastAsia="Arial" w:hAnsi="Arial"/>
                <w:sz w:val="14"/>
                <w:szCs w:val="14"/>
                <w:color w:val="auto"/>
              </w:rPr>
              <w:t>$8.936 billion</w:t>
            </w:r>
          </w:p>
        </w:tc>
        <w:tc>
          <w:tcPr>
            <w:tcW w:w="1460" w:type="dxa"/>
            <w:vAlign w:val="bottom"/>
          </w:tcPr>
          <w:p>
            <w:pPr>
              <w:jc w:val="right"/>
              <w:ind w:right="229"/>
              <w:spacing w:after="0"/>
              <w:rPr>
                <w:sz w:val="20"/>
                <w:szCs w:val="20"/>
                <w:color w:val="auto"/>
              </w:rPr>
            </w:pPr>
            <w:r>
              <w:rPr>
                <w:rFonts w:ascii="Arial" w:cs="Arial" w:eastAsia="Arial" w:hAnsi="Arial"/>
                <w:sz w:val="14"/>
                <w:szCs w:val="14"/>
                <w:color w:val="auto"/>
              </w:rPr>
              <w:t>99.1%</w:t>
            </w:r>
          </w:p>
        </w:tc>
        <w:tc>
          <w:tcPr>
            <w:tcW w:w="1400" w:type="dxa"/>
            <w:vAlign w:val="bottom"/>
          </w:tcPr>
          <w:p>
            <w:pPr>
              <w:jc w:val="right"/>
              <w:ind w:right="190"/>
              <w:spacing w:after="0"/>
              <w:rPr>
                <w:sz w:val="20"/>
                <w:szCs w:val="20"/>
                <w:color w:val="auto"/>
              </w:rPr>
            </w:pPr>
            <w:r>
              <w:rPr>
                <w:rFonts w:ascii="Arial" w:cs="Arial" w:eastAsia="Arial" w:hAnsi="Arial"/>
                <w:sz w:val="14"/>
                <w:szCs w:val="14"/>
                <w:color w:val="auto"/>
              </w:rPr>
              <w:t>97.9%</w:t>
            </w:r>
          </w:p>
        </w:tc>
        <w:tc>
          <w:tcPr>
            <w:tcW w:w="1180" w:type="dxa"/>
            <w:vAlign w:val="bottom"/>
          </w:tcPr>
          <w:p>
            <w:pPr>
              <w:jc w:val="right"/>
              <w:ind w:right="189"/>
              <w:spacing w:after="0"/>
              <w:rPr>
                <w:sz w:val="20"/>
                <w:szCs w:val="20"/>
                <w:color w:val="auto"/>
              </w:rPr>
            </w:pPr>
            <w:r>
              <w:rPr>
                <w:rFonts w:ascii="Arial" w:cs="Arial" w:eastAsia="Arial" w:hAnsi="Arial"/>
                <w:sz w:val="14"/>
                <w:szCs w:val="14"/>
                <w:color w:val="auto"/>
              </w:rPr>
              <w:t>20%</w:t>
            </w:r>
          </w:p>
        </w:tc>
        <w:tc>
          <w:tcPr>
            <w:tcW w:w="1020" w:type="dxa"/>
            <w:vAlign w:val="bottom"/>
          </w:tcPr>
          <w:p>
            <w:pPr>
              <w:jc w:val="right"/>
              <w:spacing w:after="0"/>
              <w:rPr>
                <w:sz w:val="20"/>
                <w:szCs w:val="20"/>
                <w:color w:val="auto"/>
              </w:rPr>
            </w:pPr>
            <w:r>
              <w:rPr>
                <w:rFonts w:ascii="Arial" w:cs="Arial" w:eastAsia="Arial" w:hAnsi="Arial"/>
                <w:sz w:val="14"/>
                <w:szCs w:val="14"/>
                <w:color w:val="auto"/>
              </w:rPr>
              <w:t>19.6%</w:t>
            </w:r>
          </w:p>
        </w:tc>
      </w:tr>
      <w:tr>
        <w:trPr>
          <w:trHeight w:val="124"/>
        </w:trPr>
        <w:tc>
          <w:tcPr>
            <w:tcW w:w="2620" w:type="dxa"/>
            <w:vAlign w:val="bottom"/>
            <w:tcBorders>
              <w:bottom w:val="single" w:sz="8" w:color="939598"/>
            </w:tcBorders>
          </w:tcPr>
          <w:p>
            <w:pPr>
              <w:spacing w:after="0"/>
              <w:rPr>
                <w:sz w:val="10"/>
                <w:szCs w:val="10"/>
                <w:color w:val="auto"/>
              </w:rPr>
            </w:pPr>
          </w:p>
        </w:tc>
        <w:tc>
          <w:tcPr>
            <w:tcW w:w="1920" w:type="dxa"/>
            <w:vAlign w:val="bottom"/>
            <w:tcBorders>
              <w:bottom w:val="single" w:sz="8" w:color="939598"/>
            </w:tcBorders>
          </w:tcPr>
          <w:p>
            <w:pPr>
              <w:spacing w:after="0"/>
              <w:rPr>
                <w:sz w:val="10"/>
                <w:szCs w:val="10"/>
                <w:color w:val="auto"/>
              </w:rPr>
            </w:pPr>
          </w:p>
        </w:tc>
        <w:tc>
          <w:tcPr>
            <w:tcW w:w="1640" w:type="dxa"/>
            <w:vAlign w:val="bottom"/>
            <w:tcBorders>
              <w:bottom w:val="single" w:sz="8" w:color="939598"/>
            </w:tcBorders>
          </w:tcPr>
          <w:p>
            <w:pPr>
              <w:spacing w:after="0"/>
              <w:rPr>
                <w:sz w:val="10"/>
                <w:szCs w:val="10"/>
                <w:color w:val="auto"/>
              </w:rPr>
            </w:pPr>
          </w:p>
        </w:tc>
        <w:tc>
          <w:tcPr>
            <w:tcW w:w="1460" w:type="dxa"/>
            <w:vAlign w:val="bottom"/>
            <w:tcBorders>
              <w:bottom w:val="single" w:sz="8" w:color="939598"/>
            </w:tcBorders>
          </w:tcPr>
          <w:p>
            <w:pPr>
              <w:spacing w:after="0"/>
              <w:rPr>
                <w:sz w:val="10"/>
                <w:szCs w:val="10"/>
                <w:color w:val="auto"/>
              </w:rPr>
            </w:pPr>
          </w:p>
        </w:tc>
        <w:tc>
          <w:tcPr>
            <w:tcW w:w="1400" w:type="dxa"/>
            <w:vAlign w:val="bottom"/>
            <w:tcBorders>
              <w:bottom w:val="single" w:sz="8" w:color="939598"/>
            </w:tcBorders>
          </w:tcPr>
          <w:p>
            <w:pPr>
              <w:spacing w:after="0"/>
              <w:rPr>
                <w:sz w:val="10"/>
                <w:szCs w:val="10"/>
                <w:color w:val="auto"/>
              </w:rPr>
            </w:pPr>
          </w:p>
        </w:tc>
        <w:tc>
          <w:tcPr>
            <w:tcW w:w="1180" w:type="dxa"/>
            <w:vAlign w:val="bottom"/>
            <w:tcBorders>
              <w:bottom w:val="single" w:sz="8" w:color="939598"/>
            </w:tcBorders>
          </w:tcPr>
          <w:p>
            <w:pPr>
              <w:spacing w:after="0"/>
              <w:rPr>
                <w:sz w:val="10"/>
                <w:szCs w:val="10"/>
                <w:color w:val="auto"/>
              </w:rPr>
            </w:pPr>
          </w:p>
        </w:tc>
        <w:tc>
          <w:tcPr>
            <w:tcW w:w="1020" w:type="dxa"/>
            <w:vAlign w:val="bottom"/>
            <w:tcBorders>
              <w:bottom w:val="single" w:sz="8" w:color="939598"/>
            </w:tcBorders>
          </w:tcPr>
          <w:p>
            <w:pPr>
              <w:spacing w:after="0"/>
              <w:rPr>
                <w:sz w:val="10"/>
                <w:szCs w:val="10"/>
                <w:color w:val="auto"/>
              </w:rPr>
            </w:pPr>
          </w:p>
        </w:tc>
      </w:tr>
      <w:tr>
        <w:trPr>
          <w:trHeight w:val="315"/>
        </w:trPr>
        <w:tc>
          <w:tcPr>
            <w:tcW w:w="2620" w:type="dxa"/>
            <w:vAlign w:val="bottom"/>
          </w:tcPr>
          <w:p>
            <w:pPr>
              <w:ind w:left="20"/>
              <w:spacing w:after="0"/>
              <w:rPr>
                <w:sz w:val="20"/>
                <w:szCs w:val="20"/>
                <w:color w:val="auto"/>
              </w:rPr>
            </w:pPr>
            <w:r>
              <w:rPr>
                <w:rFonts w:ascii="Arial" w:cs="Arial" w:eastAsia="Arial" w:hAnsi="Arial"/>
                <w:sz w:val="14"/>
                <w:szCs w:val="14"/>
                <w:b w:val="1"/>
                <w:bCs w:val="1"/>
                <w:color w:val="auto"/>
              </w:rPr>
              <w:t>IA ICP Income Contribution</w:t>
            </w:r>
          </w:p>
        </w:tc>
        <w:tc>
          <w:tcPr>
            <w:tcW w:w="1920" w:type="dxa"/>
            <w:vAlign w:val="bottom"/>
          </w:tcPr>
          <w:p>
            <w:pPr>
              <w:jc w:val="right"/>
              <w:ind w:right="230"/>
              <w:spacing w:after="0"/>
              <w:rPr>
                <w:sz w:val="20"/>
                <w:szCs w:val="20"/>
                <w:color w:val="auto"/>
              </w:rPr>
            </w:pPr>
            <w:r>
              <w:rPr>
                <w:rFonts w:ascii="Arial" w:cs="Arial" w:eastAsia="Arial" w:hAnsi="Arial"/>
                <w:sz w:val="14"/>
                <w:szCs w:val="14"/>
                <w:color w:val="auto"/>
              </w:rPr>
              <w:t>$1.529 billion</w:t>
            </w:r>
          </w:p>
        </w:tc>
        <w:tc>
          <w:tcPr>
            <w:tcW w:w="1640" w:type="dxa"/>
            <w:vAlign w:val="bottom"/>
          </w:tcPr>
          <w:p>
            <w:pPr>
              <w:jc w:val="right"/>
              <w:ind w:right="210"/>
              <w:spacing w:after="0"/>
              <w:rPr>
                <w:sz w:val="20"/>
                <w:szCs w:val="20"/>
                <w:color w:val="auto"/>
              </w:rPr>
            </w:pPr>
            <w:r>
              <w:rPr>
                <w:rFonts w:ascii="Arial" w:cs="Arial" w:eastAsia="Arial" w:hAnsi="Arial"/>
                <w:sz w:val="14"/>
                <w:szCs w:val="14"/>
                <w:color w:val="auto"/>
              </w:rPr>
              <w:t>$1.294 billion</w:t>
            </w:r>
          </w:p>
        </w:tc>
        <w:tc>
          <w:tcPr>
            <w:tcW w:w="1460" w:type="dxa"/>
            <w:vAlign w:val="bottom"/>
          </w:tcPr>
          <w:p>
            <w:pPr>
              <w:jc w:val="right"/>
              <w:ind w:right="229"/>
              <w:spacing w:after="0"/>
              <w:rPr>
                <w:sz w:val="20"/>
                <w:szCs w:val="20"/>
                <w:color w:val="auto"/>
              </w:rPr>
            </w:pPr>
            <w:r>
              <w:rPr>
                <w:rFonts w:ascii="Arial" w:cs="Arial" w:eastAsia="Arial" w:hAnsi="Arial"/>
                <w:sz w:val="14"/>
                <w:szCs w:val="14"/>
                <w:color w:val="auto"/>
              </w:rPr>
              <w:t>84.6%</w:t>
            </w:r>
          </w:p>
        </w:tc>
        <w:tc>
          <w:tcPr>
            <w:tcW w:w="1400" w:type="dxa"/>
            <w:vAlign w:val="bottom"/>
          </w:tcPr>
          <w:p>
            <w:pPr>
              <w:jc w:val="right"/>
              <w:ind w:right="190"/>
              <w:spacing w:after="0"/>
              <w:rPr>
                <w:sz w:val="20"/>
                <w:szCs w:val="20"/>
                <w:color w:val="auto"/>
              </w:rPr>
            </w:pPr>
            <w:r>
              <w:rPr>
                <w:rFonts w:ascii="Arial" w:cs="Arial" w:eastAsia="Arial" w:hAnsi="Arial"/>
                <w:sz w:val="14"/>
                <w:szCs w:val="14"/>
                <w:color w:val="auto"/>
              </w:rPr>
              <w:t>61.5%</w:t>
            </w:r>
          </w:p>
        </w:tc>
        <w:tc>
          <w:tcPr>
            <w:tcW w:w="1180" w:type="dxa"/>
            <w:vAlign w:val="bottom"/>
          </w:tcPr>
          <w:p>
            <w:pPr>
              <w:jc w:val="right"/>
              <w:ind w:right="189"/>
              <w:spacing w:after="0"/>
              <w:rPr>
                <w:sz w:val="20"/>
                <w:szCs w:val="20"/>
                <w:color w:val="auto"/>
              </w:rPr>
            </w:pPr>
            <w:r>
              <w:rPr>
                <w:rFonts w:ascii="Arial" w:cs="Arial" w:eastAsia="Arial" w:hAnsi="Arial"/>
                <w:sz w:val="14"/>
                <w:szCs w:val="14"/>
                <w:color w:val="auto"/>
              </w:rPr>
              <w:t>15%</w:t>
            </w:r>
          </w:p>
        </w:tc>
        <w:tc>
          <w:tcPr>
            <w:tcW w:w="1020" w:type="dxa"/>
            <w:vAlign w:val="bottom"/>
          </w:tcPr>
          <w:p>
            <w:pPr>
              <w:jc w:val="right"/>
              <w:spacing w:after="0"/>
              <w:rPr>
                <w:sz w:val="20"/>
                <w:szCs w:val="20"/>
                <w:color w:val="auto"/>
              </w:rPr>
            </w:pPr>
            <w:r>
              <w:rPr>
                <w:rFonts w:ascii="Arial" w:cs="Arial" w:eastAsia="Arial" w:hAnsi="Arial"/>
                <w:sz w:val="14"/>
                <w:szCs w:val="14"/>
                <w:color w:val="auto"/>
              </w:rPr>
              <w:t>9.2%</w:t>
            </w:r>
          </w:p>
        </w:tc>
      </w:tr>
      <w:tr>
        <w:trPr>
          <w:trHeight w:val="124"/>
        </w:trPr>
        <w:tc>
          <w:tcPr>
            <w:tcW w:w="2620" w:type="dxa"/>
            <w:vAlign w:val="bottom"/>
            <w:tcBorders>
              <w:bottom w:val="single" w:sz="8" w:color="939598"/>
            </w:tcBorders>
          </w:tcPr>
          <w:p>
            <w:pPr>
              <w:spacing w:after="0"/>
              <w:rPr>
                <w:sz w:val="10"/>
                <w:szCs w:val="10"/>
                <w:color w:val="auto"/>
              </w:rPr>
            </w:pPr>
          </w:p>
        </w:tc>
        <w:tc>
          <w:tcPr>
            <w:tcW w:w="1920" w:type="dxa"/>
            <w:vAlign w:val="bottom"/>
            <w:tcBorders>
              <w:bottom w:val="single" w:sz="8" w:color="939598"/>
            </w:tcBorders>
          </w:tcPr>
          <w:p>
            <w:pPr>
              <w:spacing w:after="0"/>
              <w:rPr>
                <w:sz w:val="10"/>
                <w:szCs w:val="10"/>
                <w:color w:val="auto"/>
              </w:rPr>
            </w:pPr>
          </w:p>
        </w:tc>
        <w:tc>
          <w:tcPr>
            <w:tcW w:w="1640" w:type="dxa"/>
            <w:vAlign w:val="bottom"/>
            <w:tcBorders>
              <w:bottom w:val="single" w:sz="8" w:color="939598"/>
            </w:tcBorders>
          </w:tcPr>
          <w:p>
            <w:pPr>
              <w:spacing w:after="0"/>
              <w:rPr>
                <w:sz w:val="10"/>
                <w:szCs w:val="10"/>
                <w:color w:val="auto"/>
              </w:rPr>
            </w:pPr>
          </w:p>
        </w:tc>
        <w:tc>
          <w:tcPr>
            <w:tcW w:w="1460" w:type="dxa"/>
            <w:vAlign w:val="bottom"/>
            <w:tcBorders>
              <w:bottom w:val="single" w:sz="8" w:color="939598"/>
            </w:tcBorders>
          </w:tcPr>
          <w:p>
            <w:pPr>
              <w:spacing w:after="0"/>
              <w:rPr>
                <w:sz w:val="10"/>
                <w:szCs w:val="10"/>
                <w:color w:val="auto"/>
              </w:rPr>
            </w:pPr>
          </w:p>
        </w:tc>
        <w:tc>
          <w:tcPr>
            <w:tcW w:w="1400" w:type="dxa"/>
            <w:vAlign w:val="bottom"/>
            <w:tcBorders>
              <w:bottom w:val="single" w:sz="8" w:color="939598"/>
            </w:tcBorders>
          </w:tcPr>
          <w:p>
            <w:pPr>
              <w:spacing w:after="0"/>
              <w:rPr>
                <w:sz w:val="10"/>
                <w:szCs w:val="10"/>
                <w:color w:val="auto"/>
              </w:rPr>
            </w:pPr>
          </w:p>
        </w:tc>
        <w:tc>
          <w:tcPr>
            <w:tcW w:w="1180" w:type="dxa"/>
            <w:vAlign w:val="bottom"/>
            <w:tcBorders>
              <w:bottom w:val="single" w:sz="8" w:color="939598"/>
            </w:tcBorders>
          </w:tcPr>
          <w:p>
            <w:pPr>
              <w:spacing w:after="0"/>
              <w:rPr>
                <w:sz w:val="10"/>
                <w:szCs w:val="10"/>
                <w:color w:val="auto"/>
              </w:rPr>
            </w:pPr>
          </w:p>
        </w:tc>
        <w:tc>
          <w:tcPr>
            <w:tcW w:w="1020" w:type="dxa"/>
            <w:vAlign w:val="bottom"/>
            <w:tcBorders>
              <w:bottom w:val="single" w:sz="8" w:color="939598"/>
            </w:tcBorders>
          </w:tcPr>
          <w:p>
            <w:pPr>
              <w:spacing w:after="0"/>
              <w:rPr>
                <w:sz w:val="10"/>
                <w:szCs w:val="10"/>
                <w:color w:val="auto"/>
              </w:rPr>
            </w:pPr>
          </w:p>
        </w:tc>
      </w:tr>
      <w:tr>
        <w:trPr>
          <w:trHeight w:val="315"/>
        </w:trPr>
        <w:tc>
          <w:tcPr>
            <w:tcW w:w="2620" w:type="dxa"/>
            <w:vAlign w:val="bottom"/>
          </w:tcPr>
          <w:p>
            <w:pPr>
              <w:ind w:left="20"/>
              <w:spacing w:after="0"/>
              <w:rPr>
                <w:sz w:val="20"/>
                <w:szCs w:val="20"/>
                <w:color w:val="auto"/>
              </w:rPr>
            </w:pPr>
            <w:r>
              <w:rPr>
                <w:rFonts w:ascii="Arial" w:cs="Arial" w:eastAsia="Arial" w:hAnsi="Arial"/>
                <w:sz w:val="14"/>
                <w:szCs w:val="14"/>
                <w:b w:val="1"/>
                <w:bCs w:val="1"/>
                <w:color w:val="auto"/>
              </w:rPr>
              <w:t>IA ICP Free Cash Flow</w:t>
            </w:r>
          </w:p>
        </w:tc>
        <w:tc>
          <w:tcPr>
            <w:tcW w:w="1920" w:type="dxa"/>
            <w:vAlign w:val="bottom"/>
          </w:tcPr>
          <w:p>
            <w:pPr>
              <w:jc w:val="right"/>
              <w:ind w:right="230"/>
              <w:spacing w:after="0"/>
              <w:rPr>
                <w:sz w:val="20"/>
                <w:szCs w:val="20"/>
                <w:color w:val="auto"/>
              </w:rPr>
            </w:pPr>
            <w:r>
              <w:rPr>
                <w:rFonts w:ascii="Arial" w:cs="Arial" w:eastAsia="Arial" w:hAnsi="Arial"/>
                <w:sz w:val="14"/>
                <w:szCs w:val="14"/>
                <w:color w:val="auto"/>
              </w:rPr>
              <w:t>$1.651 billion</w:t>
            </w:r>
          </w:p>
        </w:tc>
        <w:tc>
          <w:tcPr>
            <w:tcW w:w="1640" w:type="dxa"/>
            <w:vAlign w:val="bottom"/>
          </w:tcPr>
          <w:p>
            <w:pPr>
              <w:jc w:val="right"/>
              <w:ind w:right="210"/>
              <w:spacing w:after="0"/>
              <w:rPr>
                <w:sz w:val="20"/>
                <w:szCs w:val="20"/>
                <w:color w:val="auto"/>
              </w:rPr>
            </w:pPr>
            <w:r>
              <w:rPr>
                <w:rFonts w:ascii="Arial" w:cs="Arial" w:eastAsia="Arial" w:hAnsi="Arial"/>
                <w:sz w:val="14"/>
                <w:szCs w:val="14"/>
                <w:color w:val="auto"/>
              </w:rPr>
              <w:t>$1.477 billion</w:t>
            </w:r>
          </w:p>
        </w:tc>
        <w:tc>
          <w:tcPr>
            <w:tcW w:w="1460" w:type="dxa"/>
            <w:vAlign w:val="bottom"/>
          </w:tcPr>
          <w:p>
            <w:pPr>
              <w:jc w:val="right"/>
              <w:ind w:right="229"/>
              <w:spacing w:after="0"/>
              <w:rPr>
                <w:sz w:val="20"/>
                <w:szCs w:val="20"/>
                <w:color w:val="auto"/>
              </w:rPr>
            </w:pPr>
            <w:r>
              <w:rPr>
                <w:rFonts w:ascii="Arial" w:cs="Arial" w:eastAsia="Arial" w:hAnsi="Arial"/>
                <w:sz w:val="14"/>
                <w:szCs w:val="14"/>
                <w:color w:val="auto"/>
              </w:rPr>
              <w:t>89.4%</w:t>
            </w:r>
          </w:p>
        </w:tc>
        <w:tc>
          <w:tcPr>
            <w:tcW w:w="1400" w:type="dxa"/>
            <w:vAlign w:val="bottom"/>
          </w:tcPr>
          <w:p>
            <w:pPr>
              <w:jc w:val="right"/>
              <w:ind w:right="190"/>
              <w:spacing w:after="0"/>
              <w:rPr>
                <w:sz w:val="20"/>
                <w:szCs w:val="20"/>
                <w:color w:val="auto"/>
              </w:rPr>
            </w:pPr>
            <w:r>
              <w:rPr>
                <w:rFonts w:ascii="Arial" w:cs="Arial" w:eastAsia="Arial" w:hAnsi="Arial"/>
                <w:sz w:val="14"/>
                <w:szCs w:val="14"/>
                <w:color w:val="auto"/>
              </w:rPr>
              <w:t>73.6%</w:t>
            </w:r>
          </w:p>
        </w:tc>
        <w:tc>
          <w:tcPr>
            <w:tcW w:w="1180" w:type="dxa"/>
            <w:vAlign w:val="bottom"/>
          </w:tcPr>
          <w:p>
            <w:pPr>
              <w:jc w:val="right"/>
              <w:ind w:right="189"/>
              <w:spacing w:after="0"/>
              <w:rPr>
                <w:sz w:val="20"/>
                <w:szCs w:val="20"/>
                <w:color w:val="auto"/>
              </w:rPr>
            </w:pPr>
            <w:r>
              <w:rPr>
                <w:rFonts w:ascii="Arial" w:cs="Arial" w:eastAsia="Arial" w:hAnsi="Arial"/>
                <w:sz w:val="14"/>
                <w:szCs w:val="14"/>
                <w:color w:val="auto"/>
              </w:rPr>
              <w:t>15%</w:t>
            </w:r>
          </w:p>
        </w:tc>
        <w:tc>
          <w:tcPr>
            <w:tcW w:w="1020" w:type="dxa"/>
            <w:vAlign w:val="bottom"/>
          </w:tcPr>
          <w:p>
            <w:pPr>
              <w:jc w:val="right"/>
              <w:spacing w:after="0"/>
              <w:rPr>
                <w:sz w:val="20"/>
                <w:szCs w:val="20"/>
                <w:color w:val="auto"/>
              </w:rPr>
            </w:pPr>
            <w:r>
              <w:rPr>
                <w:rFonts w:ascii="Arial" w:cs="Arial" w:eastAsia="Arial" w:hAnsi="Arial"/>
                <w:sz w:val="14"/>
                <w:szCs w:val="14"/>
                <w:color w:val="auto"/>
              </w:rPr>
              <w:t>11.0%</w:t>
            </w:r>
          </w:p>
        </w:tc>
      </w:tr>
      <w:tr>
        <w:trPr>
          <w:trHeight w:val="124"/>
        </w:trPr>
        <w:tc>
          <w:tcPr>
            <w:tcW w:w="2620" w:type="dxa"/>
            <w:vAlign w:val="bottom"/>
            <w:tcBorders>
              <w:bottom w:val="single" w:sz="8" w:color="D7282F"/>
            </w:tcBorders>
          </w:tcPr>
          <w:p>
            <w:pPr>
              <w:spacing w:after="0"/>
              <w:rPr>
                <w:sz w:val="10"/>
                <w:szCs w:val="10"/>
                <w:color w:val="auto"/>
              </w:rPr>
            </w:pPr>
          </w:p>
        </w:tc>
        <w:tc>
          <w:tcPr>
            <w:tcW w:w="1920" w:type="dxa"/>
            <w:vAlign w:val="bottom"/>
            <w:tcBorders>
              <w:bottom w:val="single" w:sz="8" w:color="D7282F"/>
            </w:tcBorders>
          </w:tcPr>
          <w:p>
            <w:pPr>
              <w:spacing w:after="0"/>
              <w:rPr>
                <w:sz w:val="10"/>
                <w:szCs w:val="10"/>
                <w:color w:val="auto"/>
              </w:rPr>
            </w:pPr>
          </w:p>
        </w:tc>
        <w:tc>
          <w:tcPr>
            <w:tcW w:w="1640" w:type="dxa"/>
            <w:vAlign w:val="bottom"/>
            <w:tcBorders>
              <w:bottom w:val="single" w:sz="8" w:color="D7282F"/>
            </w:tcBorders>
          </w:tcPr>
          <w:p>
            <w:pPr>
              <w:spacing w:after="0"/>
              <w:rPr>
                <w:sz w:val="10"/>
                <w:szCs w:val="10"/>
                <w:color w:val="auto"/>
              </w:rPr>
            </w:pPr>
          </w:p>
        </w:tc>
        <w:tc>
          <w:tcPr>
            <w:tcW w:w="4040" w:type="dxa"/>
            <w:vAlign w:val="bottom"/>
            <w:tcBorders>
              <w:bottom w:val="single" w:sz="8" w:color="D7282F"/>
            </w:tcBorders>
            <w:gridSpan w:val="3"/>
          </w:tcPr>
          <w:p>
            <w:pPr>
              <w:spacing w:after="0"/>
              <w:rPr>
                <w:sz w:val="10"/>
                <w:szCs w:val="10"/>
                <w:color w:val="auto"/>
              </w:rPr>
            </w:pPr>
          </w:p>
        </w:tc>
        <w:tc>
          <w:tcPr>
            <w:tcW w:w="1020" w:type="dxa"/>
            <w:vAlign w:val="bottom"/>
            <w:tcBorders>
              <w:bottom w:val="single" w:sz="8" w:color="D7282F"/>
            </w:tcBorders>
          </w:tcPr>
          <w:p>
            <w:pPr>
              <w:spacing w:after="0"/>
              <w:rPr>
                <w:sz w:val="10"/>
                <w:szCs w:val="10"/>
                <w:color w:val="auto"/>
              </w:rPr>
            </w:pPr>
          </w:p>
        </w:tc>
      </w:tr>
      <w:tr>
        <w:trPr>
          <w:trHeight w:val="315"/>
        </w:trPr>
        <w:tc>
          <w:tcPr>
            <w:tcW w:w="2620" w:type="dxa"/>
            <w:vAlign w:val="bottom"/>
            <w:tcBorders>
              <w:left w:val="single" w:sz="8" w:color="D7282F"/>
            </w:tcBorders>
          </w:tcPr>
          <w:p>
            <w:pPr>
              <w:spacing w:after="0"/>
              <w:rPr>
                <w:sz w:val="24"/>
                <w:szCs w:val="24"/>
                <w:color w:val="auto"/>
              </w:rPr>
            </w:pPr>
          </w:p>
        </w:tc>
        <w:tc>
          <w:tcPr>
            <w:tcW w:w="19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40" w:type="dxa"/>
            <w:vAlign w:val="bottom"/>
            <w:gridSpan w:val="3"/>
          </w:tcPr>
          <w:p>
            <w:pPr>
              <w:jc w:val="right"/>
              <w:ind w:right="189"/>
              <w:spacing w:after="0"/>
              <w:rPr>
                <w:sz w:val="20"/>
                <w:szCs w:val="20"/>
                <w:color w:val="auto"/>
              </w:rPr>
            </w:pPr>
            <w:r>
              <w:rPr>
                <w:rFonts w:ascii="Arial" w:cs="Arial" w:eastAsia="Arial" w:hAnsi="Arial"/>
                <w:sz w:val="14"/>
                <w:szCs w:val="14"/>
                <w:b w:val="1"/>
                <w:bCs w:val="1"/>
                <w:color w:val="auto"/>
              </w:rPr>
              <w:t>Total Calculated (Formulaic) Payout: IA (Mr. Masso)</w:t>
            </w:r>
          </w:p>
        </w:tc>
        <w:tc>
          <w:tcPr>
            <w:tcW w:w="1020" w:type="dxa"/>
            <w:vAlign w:val="bottom"/>
            <w:tcBorders>
              <w:right w:val="single" w:sz="8" w:color="D7282F"/>
            </w:tcBorders>
          </w:tcPr>
          <w:p>
            <w:pPr>
              <w:jc w:val="right"/>
              <w:spacing w:after="0"/>
              <w:rPr>
                <w:sz w:val="20"/>
                <w:szCs w:val="20"/>
                <w:color w:val="auto"/>
              </w:rPr>
            </w:pPr>
            <w:r>
              <w:rPr>
                <w:rFonts w:ascii="Arial" w:cs="Arial" w:eastAsia="Arial" w:hAnsi="Arial"/>
                <w:sz w:val="14"/>
                <w:szCs w:val="14"/>
                <w:b w:val="1"/>
                <w:bCs w:val="1"/>
                <w:color w:val="auto"/>
              </w:rPr>
              <w:t>93%</w:t>
            </w:r>
          </w:p>
        </w:tc>
      </w:tr>
      <w:tr>
        <w:trPr>
          <w:trHeight w:val="123"/>
        </w:trPr>
        <w:tc>
          <w:tcPr>
            <w:tcW w:w="2620" w:type="dxa"/>
            <w:vAlign w:val="bottom"/>
            <w:tcBorders>
              <w:left w:val="single" w:sz="8" w:color="D7282F"/>
              <w:bottom w:val="single" w:sz="8" w:color="D7282F"/>
            </w:tcBorders>
          </w:tcPr>
          <w:p>
            <w:pPr>
              <w:spacing w:after="0"/>
              <w:rPr>
                <w:sz w:val="10"/>
                <w:szCs w:val="10"/>
                <w:color w:val="auto"/>
              </w:rPr>
            </w:pPr>
          </w:p>
        </w:tc>
        <w:tc>
          <w:tcPr>
            <w:tcW w:w="1920" w:type="dxa"/>
            <w:vAlign w:val="bottom"/>
            <w:tcBorders>
              <w:bottom w:val="single" w:sz="8" w:color="D7282F"/>
            </w:tcBorders>
          </w:tcPr>
          <w:p>
            <w:pPr>
              <w:spacing w:after="0"/>
              <w:rPr>
                <w:sz w:val="10"/>
                <w:szCs w:val="10"/>
                <w:color w:val="auto"/>
              </w:rPr>
            </w:pPr>
          </w:p>
        </w:tc>
        <w:tc>
          <w:tcPr>
            <w:tcW w:w="1640" w:type="dxa"/>
            <w:vAlign w:val="bottom"/>
            <w:tcBorders>
              <w:bottom w:val="single" w:sz="8" w:color="D7282F"/>
            </w:tcBorders>
          </w:tcPr>
          <w:p>
            <w:pPr>
              <w:spacing w:after="0"/>
              <w:rPr>
                <w:sz w:val="10"/>
                <w:szCs w:val="10"/>
                <w:color w:val="auto"/>
              </w:rPr>
            </w:pPr>
          </w:p>
        </w:tc>
        <w:tc>
          <w:tcPr>
            <w:tcW w:w="1460" w:type="dxa"/>
            <w:vAlign w:val="bottom"/>
            <w:tcBorders>
              <w:bottom w:val="single" w:sz="8" w:color="D7282F"/>
            </w:tcBorders>
          </w:tcPr>
          <w:p>
            <w:pPr>
              <w:spacing w:after="0"/>
              <w:rPr>
                <w:sz w:val="10"/>
                <w:szCs w:val="10"/>
                <w:color w:val="auto"/>
              </w:rPr>
            </w:pPr>
          </w:p>
        </w:tc>
        <w:tc>
          <w:tcPr>
            <w:tcW w:w="1400" w:type="dxa"/>
            <w:vAlign w:val="bottom"/>
            <w:tcBorders>
              <w:bottom w:val="single" w:sz="8" w:color="D7282F"/>
            </w:tcBorders>
          </w:tcPr>
          <w:p>
            <w:pPr>
              <w:spacing w:after="0"/>
              <w:rPr>
                <w:sz w:val="10"/>
                <w:szCs w:val="10"/>
                <w:color w:val="auto"/>
              </w:rPr>
            </w:pPr>
          </w:p>
        </w:tc>
        <w:tc>
          <w:tcPr>
            <w:tcW w:w="1180" w:type="dxa"/>
            <w:vAlign w:val="bottom"/>
            <w:tcBorders>
              <w:bottom w:val="single" w:sz="8" w:color="D7282F"/>
            </w:tcBorders>
          </w:tcPr>
          <w:p>
            <w:pPr>
              <w:spacing w:after="0"/>
              <w:rPr>
                <w:sz w:val="10"/>
                <w:szCs w:val="10"/>
                <w:color w:val="auto"/>
              </w:rPr>
            </w:pPr>
          </w:p>
        </w:tc>
        <w:tc>
          <w:tcPr>
            <w:tcW w:w="1020" w:type="dxa"/>
            <w:vAlign w:val="bottom"/>
            <w:tcBorders>
              <w:bottom w:val="single" w:sz="8" w:color="D7282F"/>
              <w:right w:val="single" w:sz="8" w:color="D7282F"/>
            </w:tcBorders>
          </w:tcPr>
          <w:p>
            <w:pPr>
              <w:spacing w:after="0"/>
              <w:rPr>
                <w:sz w:val="10"/>
                <w:szCs w:val="10"/>
                <w:color w:val="auto"/>
              </w:rPr>
            </w:pPr>
          </w:p>
        </w:tc>
      </w:tr>
    </w:tbl>
    <w:p>
      <w:pPr>
        <w:spacing w:after="0" w:line="144" w:lineRule="exact"/>
        <w:rPr>
          <w:sz w:val="20"/>
          <w:szCs w:val="20"/>
          <w:color w:val="auto"/>
        </w:rPr>
      </w:pPr>
    </w:p>
    <w:p>
      <w:pPr>
        <w:ind w:left="200" w:right="160" w:hanging="192"/>
        <w:spacing w:after="0" w:line="232" w:lineRule="auto"/>
        <w:tabs>
          <w:tab w:leader="none" w:pos="200" w:val="left"/>
        </w:tabs>
        <w:numPr>
          <w:ilvl w:val="0"/>
          <w:numId w:val="149"/>
        </w:numPr>
        <w:rPr>
          <w:rFonts w:ascii="Arial" w:cs="Arial" w:eastAsia="Arial" w:hAnsi="Arial"/>
          <w:sz w:val="16"/>
          <w:szCs w:val="16"/>
          <w:color w:val="auto"/>
          <w:vertAlign w:val="superscript"/>
        </w:rPr>
      </w:pPr>
      <w:r>
        <w:rPr>
          <w:rFonts w:ascii="Arial" w:cs="Arial" w:eastAsia="Arial" w:hAnsi="Arial"/>
          <w:sz w:val="13"/>
          <w:szCs w:val="13"/>
          <w:color w:val="auto"/>
        </w:rPr>
        <w:t>IA ICP Sales, IA ICP Income Contribution and IA ICP Free Cash Flow exclude the impact of restructuring charges on business segment net income; material unusual, infrequent, and extraordinary items (including the resolution of certain commercial disputes); certain costs related to acquisitions, dispositions, and spin-offs; the impact of any accounting changes taking effect during the year; and the impact of corporate transactions (acquisitions and divestitures) during the period. Furthermore, with respect to IA ICP Sales, the impact of fluctuations in foreign exchange rates are also excluded.</w:t>
      </w:r>
    </w:p>
    <w:p>
      <w:pPr>
        <w:spacing w:after="0" w:line="63" w:lineRule="exact"/>
        <w:rPr>
          <w:rFonts w:ascii="Arial" w:cs="Arial" w:eastAsia="Arial" w:hAnsi="Arial"/>
          <w:sz w:val="16"/>
          <w:szCs w:val="16"/>
          <w:color w:val="auto"/>
          <w:vertAlign w:val="superscript"/>
        </w:rPr>
      </w:pPr>
    </w:p>
    <w:p>
      <w:pPr>
        <w:ind w:left="200" w:right="600" w:hanging="192"/>
        <w:spacing w:after="0" w:line="226" w:lineRule="auto"/>
        <w:tabs>
          <w:tab w:leader="none" w:pos="200" w:val="left"/>
        </w:tabs>
        <w:numPr>
          <w:ilvl w:val="0"/>
          <w:numId w:val="149"/>
        </w:numPr>
        <w:rPr>
          <w:rFonts w:ascii="Arial" w:cs="Arial" w:eastAsia="Arial" w:hAnsi="Arial"/>
          <w:sz w:val="16"/>
          <w:szCs w:val="16"/>
          <w:color w:val="auto"/>
          <w:vertAlign w:val="superscript"/>
        </w:rPr>
      </w:pPr>
      <w:r>
        <w:rPr>
          <w:rFonts w:ascii="Arial" w:cs="Arial" w:eastAsia="Arial" w:hAnsi="Arial"/>
          <w:sz w:val="13"/>
          <w:szCs w:val="13"/>
          <w:color w:val="auto"/>
        </w:rPr>
        <w:t>Metric Payout Percentage based on ICP payout curve, which provides for a 5% increase in payout for each 1% of performance above target, and a 2.5% decrease in payout for each 1% of performance below target, with interpolation for intermediate points on the curve.</w:t>
      </w:r>
    </w:p>
    <w:p>
      <w:pPr>
        <w:spacing w:after="0" w:line="203" w:lineRule="exact"/>
        <w:rPr>
          <w:sz w:val="20"/>
          <w:szCs w:val="20"/>
          <w:color w:val="auto"/>
        </w:rPr>
      </w:pPr>
    </w:p>
    <w:p>
      <w:pPr>
        <w:ind w:right="220"/>
        <w:spacing w:after="0" w:line="304" w:lineRule="auto"/>
        <w:rPr>
          <w:sz w:val="20"/>
          <w:szCs w:val="20"/>
          <w:color w:val="auto"/>
        </w:rPr>
      </w:pPr>
      <w:r>
        <w:rPr>
          <w:rFonts w:ascii="Arial" w:cs="Arial" w:eastAsia="Arial" w:hAnsi="Arial"/>
          <w:sz w:val="16"/>
          <w:szCs w:val="16"/>
          <w:color w:val="auto"/>
        </w:rPr>
        <w:t>Mr. Hammoud's formulaic payout portion of ICP (80% of ICP) was based on actual 2025 performance against the 2025 ICP goals for both Total Honeywell and the BA business unit (each weighted equally), as follows:</w:t>
      </w:r>
    </w:p>
    <w:p>
      <w:pPr>
        <w:spacing w:after="0" w:line="87"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2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00" w:type="dxa"/>
            <w:vAlign w:val="bottom"/>
          </w:tcPr>
          <w:p>
            <w:pPr>
              <w:jc w:val="right"/>
              <w:ind w:right="250"/>
              <w:spacing w:after="0"/>
              <w:rPr>
                <w:sz w:val="20"/>
                <w:szCs w:val="20"/>
                <w:color w:val="auto"/>
              </w:rPr>
            </w:pPr>
            <w:r>
              <w:rPr>
                <w:rFonts w:ascii="Arial" w:cs="Arial" w:eastAsia="Arial" w:hAnsi="Arial"/>
                <w:sz w:val="13"/>
                <w:szCs w:val="13"/>
                <w:b w:val="1"/>
                <w:bCs w:val="1"/>
                <w:color w:val="auto"/>
              </w:rPr>
              <w:t>Metric</w:t>
            </w:r>
          </w:p>
        </w:tc>
        <w:tc>
          <w:tcPr>
            <w:tcW w:w="13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Calculated</w:t>
            </w:r>
          </w:p>
        </w:tc>
      </w:tr>
      <w:tr>
        <w:trPr>
          <w:trHeight w:val="162"/>
        </w:trPr>
        <w:tc>
          <w:tcPr>
            <w:tcW w:w="2420" w:type="dxa"/>
            <w:vAlign w:val="bottom"/>
          </w:tcPr>
          <w:p>
            <w:pPr>
              <w:spacing w:after="0"/>
              <w:rPr>
                <w:sz w:val="14"/>
                <w:szCs w:val="14"/>
                <w:color w:val="auto"/>
              </w:rPr>
            </w:pPr>
          </w:p>
        </w:tc>
        <w:tc>
          <w:tcPr>
            <w:tcW w:w="1660" w:type="dxa"/>
            <w:vAlign w:val="bottom"/>
          </w:tcPr>
          <w:p>
            <w:pPr>
              <w:jc w:val="right"/>
              <w:ind w:right="230"/>
              <w:spacing w:after="0"/>
              <w:rPr>
                <w:sz w:val="20"/>
                <w:szCs w:val="20"/>
                <w:color w:val="auto"/>
              </w:rPr>
            </w:pPr>
            <w:r>
              <w:rPr>
                <w:rFonts w:ascii="Arial" w:cs="Arial" w:eastAsia="Arial" w:hAnsi="Arial"/>
                <w:sz w:val="13"/>
                <w:szCs w:val="13"/>
                <w:b w:val="1"/>
                <w:bCs w:val="1"/>
                <w:color w:val="auto"/>
              </w:rPr>
              <w:t>2025 ICP Goal</w:t>
            </w:r>
          </w:p>
        </w:tc>
        <w:tc>
          <w:tcPr>
            <w:tcW w:w="1640" w:type="dxa"/>
            <w:vAlign w:val="bottom"/>
          </w:tcPr>
          <w:p>
            <w:pPr>
              <w:jc w:val="right"/>
              <w:ind w:right="190"/>
              <w:spacing w:after="0"/>
              <w:rPr>
                <w:sz w:val="20"/>
                <w:szCs w:val="20"/>
                <w:color w:val="auto"/>
              </w:rPr>
            </w:pPr>
            <w:r>
              <w:rPr>
                <w:rFonts w:ascii="Arial" w:cs="Arial" w:eastAsia="Arial" w:hAnsi="Arial"/>
                <w:sz w:val="13"/>
                <w:szCs w:val="13"/>
                <w:b w:val="1"/>
                <w:bCs w:val="1"/>
                <w:color w:val="auto"/>
              </w:rPr>
              <w:t>2025 Actual Plan</w:t>
            </w:r>
          </w:p>
        </w:tc>
        <w:tc>
          <w:tcPr>
            <w:tcW w:w="1620" w:type="dxa"/>
            <w:vAlign w:val="bottom"/>
          </w:tcPr>
          <w:p>
            <w:pPr>
              <w:jc w:val="right"/>
              <w:ind w:right="249"/>
              <w:spacing w:after="0"/>
              <w:rPr>
                <w:sz w:val="20"/>
                <w:szCs w:val="20"/>
                <w:color w:val="auto"/>
              </w:rPr>
            </w:pPr>
            <w:r>
              <w:rPr>
                <w:rFonts w:ascii="Arial" w:cs="Arial" w:eastAsia="Arial" w:hAnsi="Arial"/>
                <w:sz w:val="13"/>
                <w:szCs w:val="13"/>
                <w:b w:val="1"/>
                <w:bCs w:val="1"/>
                <w:color w:val="auto"/>
              </w:rPr>
              <w:t>Achievement</w:t>
            </w:r>
          </w:p>
        </w:tc>
        <w:tc>
          <w:tcPr>
            <w:tcW w:w="1500" w:type="dxa"/>
            <w:vAlign w:val="bottom"/>
          </w:tcPr>
          <w:p>
            <w:pPr>
              <w:jc w:val="right"/>
              <w:ind w:right="250"/>
              <w:spacing w:after="0"/>
              <w:rPr>
                <w:sz w:val="20"/>
                <w:szCs w:val="20"/>
                <w:color w:val="auto"/>
              </w:rPr>
            </w:pPr>
            <w:r>
              <w:rPr>
                <w:rFonts w:ascii="Arial" w:cs="Arial" w:eastAsia="Arial" w:hAnsi="Arial"/>
                <w:sz w:val="13"/>
                <w:szCs w:val="13"/>
                <w:b w:val="1"/>
                <w:bCs w:val="1"/>
                <w:color w:val="auto"/>
              </w:rPr>
              <w:t>Payout</w:t>
            </w:r>
          </w:p>
        </w:tc>
        <w:tc>
          <w:tcPr>
            <w:tcW w:w="13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Payout</w:t>
            </w:r>
          </w:p>
        </w:tc>
      </w:tr>
      <w:tr>
        <w:trPr>
          <w:trHeight w:val="204"/>
        </w:trPr>
        <w:tc>
          <w:tcPr>
            <w:tcW w:w="2420" w:type="dxa"/>
            <w:vAlign w:val="bottom"/>
            <w:tcBorders>
              <w:bottom w:val="single" w:sz="8" w:color="D7282F"/>
            </w:tcBorders>
          </w:tcPr>
          <w:p>
            <w:pPr>
              <w:ind w:left="20"/>
              <w:spacing w:after="0"/>
              <w:rPr>
                <w:sz w:val="20"/>
                <w:szCs w:val="20"/>
                <w:color w:val="auto"/>
              </w:rPr>
            </w:pPr>
            <w:r>
              <w:rPr>
                <w:rFonts w:ascii="Arial" w:cs="Arial" w:eastAsia="Arial" w:hAnsi="Arial"/>
                <w:sz w:val="13"/>
                <w:szCs w:val="13"/>
                <w:b w:val="1"/>
                <w:bCs w:val="1"/>
                <w:color w:val="auto"/>
              </w:rPr>
              <w:t>ICP Goal</w:t>
            </w:r>
          </w:p>
        </w:tc>
        <w:tc>
          <w:tcPr>
            <w:tcW w:w="1660" w:type="dxa"/>
            <w:vAlign w:val="bottom"/>
            <w:tcBorders>
              <w:bottom w:val="single" w:sz="8" w:color="D7282F"/>
            </w:tcBorders>
          </w:tcPr>
          <w:p>
            <w:pPr>
              <w:jc w:val="right"/>
              <w:ind w:right="230"/>
              <w:spacing w:after="0"/>
              <w:rPr>
                <w:sz w:val="20"/>
                <w:szCs w:val="20"/>
                <w:color w:val="auto"/>
              </w:rPr>
            </w:pPr>
            <w:r>
              <w:rPr>
                <w:rFonts w:ascii="Arial" w:cs="Arial" w:eastAsia="Arial" w:hAnsi="Arial"/>
                <w:sz w:val="13"/>
                <w:szCs w:val="13"/>
                <w:b w:val="1"/>
                <w:bCs w:val="1"/>
                <w:color w:val="auto"/>
              </w:rPr>
              <w:t>(Target)</w:t>
            </w:r>
          </w:p>
        </w:tc>
        <w:tc>
          <w:tcPr>
            <w:tcW w:w="1640" w:type="dxa"/>
            <w:vAlign w:val="bottom"/>
            <w:tcBorders>
              <w:bottom w:val="single" w:sz="8" w:color="D7282F"/>
            </w:tcBorders>
          </w:tcPr>
          <w:p>
            <w:pPr>
              <w:jc w:val="right"/>
              <w:ind w:right="190"/>
              <w:spacing w:after="0"/>
              <w:rPr>
                <w:sz w:val="20"/>
                <w:szCs w:val="20"/>
                <w:color w:val="auto"/>
              </w:rPr>
            </w:pPr>
            <w:r>
              <w:rPr>
                <w:rFonts w:ascii="Arial" w:cs="Arial" w:eastAsia="Arial" w:hAnsi="Arial"/>
                <w:sz w:val="13"/>
                <w:szCs w:val="13"/>
                <w:b w:val="1"/>
                <w:bCs w:val="1"/>
                <w:color w:val="auto"/>
              </w:rPr>
              <w:t>Performance</w:t>
            </w:r>
            <w:r>
              <w:rPr>
                <w:rFonts w:ascii="Arial" w:cs="Arial" w:eastAsia="Arial" w:hAnsi="Arial"/>
                <w:sz w:val="17"/>
                <w:szCs w:val="17"/>
                <w:b w:val="1"/>
                <w:bCs w:val="1"/>
                <w:color w:val="auto"/>
                <w:vertAlign w:val="superscript"/>
              </w:rPr>
              <w:t>(1)</w:t>
            </w:r>
          </w:p>
        </w:tc>
        <w:tc>
          <w:tcPr>
            <w:tcW w:w="1620" w:type="dxa"/>
            <w:vAlign w:val="bottom"/>
            <w:tcBorders>
              <w:bottom w:val="single" w:sz="8" w:color="D7282F"/>
            </w:tcBorders>
          </w:tcPr>
          <w:p>
            <w:pPr>
              <w:jc w:val="right"/>
              <w:ind w:right="249"/>
              <w:spacing w:after="0"/>
              <w:rPr>
                <w:sz w:val="20"/>
                <w:szCs w:val="20"/>
                <w:color w:val="auto"/>
              </w:rPr>
            </w:pPr>
            <w:r>
              <w:rPr>
                <w:rFonts w:ascii="Arial" w:cs="Arial" w:eastAsia="Arial" w:hAnsi="Arial"/>
                <w:sz w:val="13"/>
                <w:szCs w:val="13"/>
                <w:b w:val="1"/>
                <w:bCs w:val="1"/>
                <w:color w:val="auto"/>
              </w:rPr>
              <w:t>%</w:t>
            </w:r>
          </w:p>
        </w:tc>
        <w:tc>
          <w:tcPr>
            <w:tcW w:w="1500" w:type="dxa"/>
            <w:vAlign w:val="bottom"/>
            <w:tcBorders>
              <w:bottom w:val="single" w:sz="8" w:color="D7282F"/>
            </w:tcBorders>
          </w:tcPr>
          <w:p>
            <w:pPr>
              <w:jc w:val="right"/>
              <w:ind w:right="250"/>
              <w:spacing w:after="0"/>
              <w:rPr>
                <w:sz w:val="20"/>
                <w:szCs w:val="20"/>
                <w:color w:val="auto"/>
              </w:rPr>
            </w:pPr>
            <w:r>
              <w:rPr>
                <w:rFonts w:ascii="Arial" w:cs="Arial" w:eastAsia="Arial" w:hAnsi="Arial"/>
                <w:sz w:val="13"/>
                <w:szCs w:val="13"/>
                <w:b w:val="1"/>
                <w:bCs w:val="1"/>
                <w:color w:val="auto"/>
              </w:rPr>
              <w:t>Percentage</w:t>
            </w:r>
            <w:r>
              <w:rPr>
                <w:rFonts w:ascii="Arial" w:cs="Arial" w:eastAsia="Arial" w:hAnsi="Arial"/>
                <w:sz w:val="17"/>
                <w:szCs w:val="17"/>
                <w:b w:val="1"/>
                <w:bCs w:val="1"/>
                <w:color w:val="auto"/>
                <w:vertAlign w:val="superscript"/>
              </w:rPr>
              <w:t>(2)</w:t>
            </w:r>
          </w:p>
        </w:tc>
        <w:tc>
          <w:tcPr>
            <w:tcW w:w="1300" w:type="dxa"/>
            <w:vAlign w:val="bottom"/>
            <w:tcBorders>
              <w:bottom w:val="single" w:sz="8" w:color="D7282F"/>
            </w:tcBorders>
          </w:tcPr>
          <w:p>
            <w:pPr>
              <w:jc w:val="right"/>
              <w:ind w:right="249"/>
              <w:spacing w:after="0"/>
              <w:rPr>
                <w:sz w:val="20"/>
                <w:szCs w:val="20"/>
                <w:color w:val="auto"/>
              </w:rPr>
            </w:pPr>
            <w:r>
              <w:rPr>
                <w:rFonts w:ascii="Arial" w:cs="Arial" w:eastAsia="Arial" w:hAnsi="Arial"/>
                <w:sz w:val="13"/>
                <w:szCs w:val="13"/>
                <w:b w:val="1"/>
                <w:bCs w:val="1"/>
                <w:color w:val="auto"/>
              </w:rPr>
              <w:t>Weighting</w:t>
            </w:r>
          </w:p>
        </w:tc>
        <w:tc>
          <w:tcPr>
            <w:tcW w:w="1100" w:type="dxa"/>
            <w:vAlign w:val="bottom"/>
            <w:tcBorders>
              <w:bottom w:val="single" w:sz="8" w:color="D7282F"/>
            </w:tcBorders>
          </w:tcPr>
          <w:p>
            <w:pPr>
              <w:jc w:val="right"/>
              <w:spacing w:after="0"/>
              <w:rPr>
                <w:sz w:val="20"/>
                <w:szCs w:val="20"/>
                <w:color w:val="auto"/>
              </w:rPr>
            </w:pPr>
            <w:r>
              <w:rPr>
                <w:rFonts w:ascii="Arial" w:cs="Arial" w:eastAsia="Arial" w:hAnsi="Arial"/>
                <w:sz w:val="13"/>
                <w:szCs w:val="13"/>
                <w:b w:val="1"/>
                <w:bCs w:val="1"/>
                <w:color w:val="auto"/>
              </w:rPr>
              <w:t>Percentage</w:t>
            </w:r>
          </w:p>
        </w:tc>
      </w:tr>
      <w:tr>
        <w:trPr>
          <w:trHeight w:val="217"/>
        </w:trPr>
        <w:tc>
          <w:tcPr>
            <w:tcW w:w="242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Total Honeywell ICP</w:t>
            </w:r>
          </w:p>
        </w:tc>
        <w:tc>
          <w:tcPr>
            <w:tcW w:w="1660" w:type="dxa"/>
            <w:vAlign w:val="bottom"/>
            <w:tcBorders>
              <w:bottom w:val="single" w:sz="8" w:color="939598"/>
            </w:tcBorders>
          </w:tcPr>
          <w:p>
            <w:pPr>
              <w:jc w:val="right"/>
              <w:ind w:right="230"/>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939598"/>
            </w:tcBorders>
          </w:tcPr>
          <w:p>
            <w:pPr>
              <w:jc w:val="right"/>
              <w:ind w:right="190"/>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939598"/>
            </w:tcBorders>
          </w:tcPr>
          <w:p>
            <w:pPr>
              <w:jc w:val="right"/>
              <w:ind w:right="269"/>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939598"/>
            </w:tcBorders>
          </w:tcPr>
          <w:p>
            <w:pPr>
              <w:jc w:val="right"/>
              <w:ind w:right="250"/>
              <w:spacing w:after="0"/>
              <w:rPr>
                <w:sz w:val="20"/>
                <w:szCs w:val="20"/>
                <w:color w:val="auto"/>
              </w:rPr>
            </w:pPr>
            <w:r>
              <w:rPr>
                <w:rFonts w:ascii="Arial" w:cs="Arial" w:eastAsia="Arial" w:hAnsi="Arial"/>
                <w:sz w:val="14"/>
                <w:szCs w:val="14"/>
                <w:color w:val="auto"/>
              </w:rPr>
              <w:t>106.9%</w:t>
            </w:r>
          </w:p>
        </w:tc>
        <w:tc>
          <w:tcPr>
            <w:tcW w:w="1300" w:type="dxa"/>
            <w:vAlign w:val="bottom"/>
            <w:tcBorders>
              <w:bottom w:val="single" w:sz="8" w:color="939598"/>
            </w:tcBorders>
          </w:tcPr>
          <w:p>
            <w:pPr>
              <w:jc w:val="right"/>
              <w:ind w:right="249"/>
              <w:spacing w:after="0"/>
              <w:rPr>
                <w:sz w:val="20"/>
                <w:szCs w:val="20"/>
                <w:color w:val="auto"/>
              </w:rPr>
            </w:pPr>
            <w:r>
              <w:rPr>
                <w:rFonts w:ascii="Arial" w:cs="Arial" w:eastAsia="Arial" w:hAnsi="Arial"/>
                <w:sz w:val="14"/>
                <w:szCs w:val="14"/>
                <w:color w:val="auto"/>
              </w:rPr>
              <w:t>50%</w:t>
            </w:r>
          </w:p>
        </w:tc>
        <w:tc>
          <w:tcPr>
            <w:tcW w:w="11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53.4%</w:t>
            </w:r>
          </w:p>
        </w:tc>
      </w:tr>
      <w:tr>
        <w:trPr>
          <w:trHeight w:val="223"/>
        </w:trPr>
        <w:tc>
          <w:tcPr>
            <w:tcW w:w="242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BA ICP Sales</w:t>
            </w:r>
          </w:p>
        </w:tc>
        <w:tc>
          <w:tcPr>
            <w:tcW w:w="1660" w:type="dxa"/>
            <w:vAlign w:val="bottom"/>
            <w:tcBorders>
              <w:bottom w:val="single" w:sz="8" w:color="939598"/>
            </w:tcBorders>
          </w:tcPr>
          <w:p>
            <w:pPr>
              <w:jc w:val="right"/>
              <w:ind w:right="230"/>
              <w:spacing w:after="0"/>
              <w:rPr>
                <w:sz w:val="20"/>
                <w:szCs w:val="20"/>
                <w:color w:val="auto"/>
              </w:rPr>
            </w:pPr>
            <w:r>
              <w:rPr>
                <w:rFonts w:ascii="Arial" w:cs="Arial" w:eastAsia="Arial" w:hAnsi="Arial"/>
                <w:sz w:val="14"/>
                <w:szCs w:val="14"/>
                <w:color w:val="auto"/>
              </w:rPr>
              <w:t>$7.042 billion</w:t>
            </w:r>
          </w:p>
        </w:tc>
        <w:tc>
          <w:tcPr>
            <w:tcW w:w="1640" w:type="dxa"/>
            <w:vAlign w:val="bottom"/>
            <w:tcBorders>
              <w:bottom w:val="single" w:sz="8" w:color="939598"/>
            </w:tcBorders>
          </w:tcPr>
          <w:p>
            <w:pPr>
              <w:jc w:val="right"/>
              <w:ind w:right="190"/>
              <w:spacing w:after="0"/>
              <w:rPr>
                <w:sz w:val="20"/>
                <w:szCs w:val="20"/>
                <w:color w:val="auto"/>
              </w:rPr>
            </w:pPr>
            <w:r>
              <w:rPr>
                <w:rFonts w:ascii="Arial" w:cs="Arial" w:eastAsia="Arial" w:hAnsi="Arial"/>
                <w:sz w:val="14"/>
                <w:szCs w:val="14"/>
                <w:color w:val="auto"/>
              </w:rPr>
              <w:t>$7.318 billion</w:t>
            </w:r>
          </w:p>
        </w:tc>
        <w:tc>
          <w:tcPr>
            <w:tcW w:w="1620" w:type="dxa"/>
            <w:vAlign w:val="bottom"/>
            <w:tcBorders>
              <w:bottom w:val="single" w:sz="8" w:color="939598"/>
            </w:tcBorders>
          </w:tcPr>
          <w:p>
            <w:pPr>
              <w:jc w:val="right"/>
              <w:ind w:right="269"/>
              <w:spacing w:after="0"/>
              <w:rPr>
                <w:sz w:val="20"/>
                <w:szCs w:val="20"/>
                <w:color w:val="auto"/>
              </w:rPr>
            </w:pPr>
            <w:r>
              <w:rPr>
                <w:rFonts w:ascii="Arial" w:cs="Arial" w:eastAsia="Arial" w:hAnsi="Arial"/>
                <w:sz w:val="14"/>
                <w:szCs w:val="14"/>
                <w:color w:val="auto"/>
              </w:rPr>
              <w:t>103.9%</w:t>
            </w:r>
          </w:p>
        </w:tc>
        <w:tc>
          <w:tcPr>
            <w:tcW w:w="1500" w:type="dxa"/>
            <w:vAlign w:val="bottom"/>
            <w:tcBorders>
              <w:bottom w:val="single" w:sz="8" w:color="939598"/>
            </w:tcBorders>
          </w:tcPr>
          <w:p>
            <w:pPr>
              <w:jc w:val="right"/>
              <w:ind w:right="250"/>
              <w:spacing w:after="0"/>
              <w:rPr>
                <w:sz w:val="20"/>
                <w:szCs w:val="20"/>
                <w:color w:val="auto"/>
              </w:rPr>
            </w:pPr>
            <w:r>
              <w:rPr>
                <w:rFonts w:ascii="Arial" w:cs="Arial" w:eastAsia="Arial" w:hAnsi="Arial"/>
                <w:sz w:val="14"/>
                <w:szCs w:val="14"/>
                <w:color w:val="auto"/>
              </w:rPr>
              <w:t>119.6%</w:t>
            </w:r>
          </w:p>
        </w:tc>
        <w:tc>
          <w:tcPr>
            <w:tcW w:w="1300" w:type="dxa"/>
            <w:vAlign w:val="bottom"/>
            <w:tcBorders>
              <w:bottom w:val="single" w:sz="8" w:color="939598"/>
            </w:tcBorders>
          </w:tcPr>
          <w:p>
            <w:pPr>
              <w:jc w:val="right"/>
              <w:ind w:right="249"/>
              <w:spacing w:after="0"/>
              <w:rPr>
                <w:sz w:val="20"/>
                <w:szCs w:val="20"/>
                <w:color w:val="auto"/>
              </w:rPr>
            </w:pPr>
            <w:r>
              <w:rPr>
                <w:rFonts w:ascii="Arial" w:cs="Arial" w:eastAsia="Arial" w:hAnsi="Arial"/>
                <w:sz w:val="14"/>
                <w:szCs w:val="14"/>
                <w:color w:val="auto"/>
              </w:rPr>
              <w:t>20%</w:t>
            </w:r>
          </w:p>
        </w:tc>
        <w:tc>
          <w:tcPr>
            <w:tcW w:w="11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23.9%</w:t>
            </w:r>
          </w:p>
        </w:tc>
      </w:tr>
      <w:tr>
        <w:trPr>
          <w:trHeight w:val="223"/>
        </w:trPr>
        <w:tc>
          <w:tcPr>
            <w:tcW w:w="242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BA ICP Income Contribution</w:t>
            </w:r>
          </w:p>
        </w:tc>
        <w:tc>
          <w:tcPr>
            <w:tcW w:w="1660" w:type="dxa"/>
            <w:vAlign w:val="bottom"/>
            <w:tcBorders>
              <w:bottom w:val="single" w:sz="8" w:color="939598"/>
            </w:tcBorders>
          </w:tcPr>
          <w:p>
            <w:pPr>
              <w:jc w:val="right"/>
              <w:ind w:right="230"/>
              <w:spacing w:after="0"/>
              <w:rPr>
                <w:sz w:val="20"/>
                <w:szCs w:val="20"/>
                <w:color w:val="auto"/>
              </w:rPr>
            </w:pPr>
            <w:r>
              <w:rPr>
                <w:rFonts w:ascii="Arial" w:cs="Arial" w:eastAsia="Arial" w:hAnsi="Arial"/>
                <w:sz w:val="14"/>
                <w:szCs w:val="14"/>
                <w:color w:val="auto"/>
              </w:rPr>
              <w:t>$1.441 billion</w:t>
            </w:r>
          </w:p>
        </w:tc>
        <w:tc>
          <w:tcPr>
            <w:tcW w:w="1640" w:type="dxa"/>
            <w:vAlign w:val="bottom"/>
            <w:tcBorders>
              <w:bottom w:val="single" w:sz="8" w:color="939598"/>
            </w:tcBorders>
          </w:tcPr>
          <w:p>
            <w:pPr>
              <w:jc w:val="right"/>
              <w:ind w:right="190"/>
              <w:spacing w:after="0"/>
              <w:rPr>
                <w:sz w:val="20"/>
                <w:szCs w:val="20"/>
                <w:color w:val="auto"/>
              </w:rPr>
            </w:pPr>
            <w:r>
              <w:rPr>
                <w:rFonts w:ascii="Arial" w:cs="Arial" w:eastAsia="Arial" w:hAnsi="Arial"/>
                <w:sz w:val="14"/>
                <w:szCs w:val="14"/>
                <w:color w:val="auto"/>
              </w:rPr>
              <w:t>$1.485 billion</w:t>
            </w:r>
          </w:p>
        </w:tc>
        <w:tc>
          <w:tcPr>
            <w:tcW w:w="1620" w:type="dxa"/>
            <w:vAlign w:val="bottom"/>
            <w:tcBorders>
              <w:bottom w:val="single" w:sz="8" w:color="939598"/>
            </w:tcBorders>
          </w:tcPr>
          <w:p>
            <w:pPr>
              <w:jc w:val="right"/>
              <w:ind w:right="269"/>
              <w:spacing w:after="0"/>
              <w:rPr>
                <w:sz w:val="20"/>
                <w:szCs w:val="20"/>
                <w:color w:val="auto"/>
              </w:rPr>
            </w:pPr>
            <w:r>
              <w:rPr>
                <w:rFonts w:ascii="Arial" w:cs="Arial" w:eastAsia="Arial" w:hAnsi="Arial"/>
                <w:sz w:val="14"/>
                <w:szCs w:val="14"/>
                <w:color w:val="auto"/>
              </w:rPr>
              <w:t>103.1%</w:t>
            </w:r>
          </w:p>
        </w:tc>
        <w:tc>
          <w:tcPr>
            <w:tcW w:w="1500" w:type="dxa"/>
            <w:vAlign w:val="bottom"/>
            <w:tcBorders>
              <w:bottom w:val="single" w:sz="8" w:color="939598"/>
            </w:tcBorders>
          </w:tcPr>
          <w:p>
            <w:pPr>
              <w:jc w:val="right"/>
              <w:ind w:right="250"/>
              <w:spacing w:after="0"/>
              <w:rPr>
                <w:sz w:val="20"/>
                <w:szCs w:val="20"/>
                <w:color w:val="auto"/>
              </w:rPr>
            </w:pPr>
            <w:r>
              <w:rPr>
                <w:rFonts w:ascii="Arial" w:cs="Arial" w:eastAsia="Arial" w:hAnsi="Arial"/>
                <w:sz w:val="14"/>
                <w:szCs w:val="14"/>
                <w:color w:val="auto"/>
              </w:rPr>
              <w:t>115.3%</w:t>
            </w:r>
          </w:p>
        </w:tc>
        <w:tc>
          <w:tcPr>
            <w:tcW w:w="1300" w:type="dxa"/>
            <w:vAlign w:val="bottom"/>
            <w:tcBorders>
              <w:bottom w:val="single" w:sz="8" w:color="939598"/>
            </w:tcBorders>
          </w:tcPr>
          <w:p>
            <w:pPr>
              <w:jc w:val="right"/>
              <w:ind w:right="249"/>
              <w:spacing w:after="0"/>
              <w:rPr>
                <w:sz w:val="20"/>
                <w:szCs w:val="20"/>
                <w:color w:val="auto"/>
              </w:rPr>
            </w:pPr>
            <w:r>
              <w:rPr>
                <w:rFonts w:ascii="Arial" w:cs="Arial" w:eastAsia="Arial" w:hAnsi="Arial"/>
                <w:sz w:val="14"/>
                <w:szCs w:val="14"/>
                <w:color w:val="auto"/>
              </w:rPr>
              <w:t>15%</w:t>
            </w:r>
          </w:p>
        </w:tc>
        <w:tc>
          <w:tcPr>
            <w:tcW w:w="11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17.3%</w:t>
            </w:r>
          </w:p>
        </w:tc>
      </w:tr>
      <w:tr>
        <w:trPr>
          <w:trHeight w:val="223"/>
        </w:trPr>
        <w:tc>
          <w:tcPr>
            <w:tcW w:w="24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 ICP Free Cash Flow</w:t>
            </w:r>
          </w:p>
        </w:tc>
        <w:tc>
          <w:tcPr>
            <w:tcW w:w="1660" w:type="dxa"/>
            <w:vAlign w:val="bottom"/>
            <w:tcBorders>
              <w:bottom w:val="single" w:sz="8" w:color="D7282F"/>
            </w:tcBorders>
          </w:tcPr>
          <w:p>
            <w:pPr>
              <w:jc w:val="right"/>
              <w:ind w:right="230"/>
              <w:spacing w:after="0"/>
              <w:rPr>
                <w:sz w:val="20"/>
                <w:szCs w:val="20"/>
                <w:color w:val="auto"/>
              </w:rPr>
            </w:pPr>
            <w:r>
              <w:rPr>
                <w:rFonts w:ascii="Arial" w:cs="Arial" w:eastAsia="Arial" w:hAnsi="Arial"/>
                <w:sz w:val="14"/>
                <w:szCs w:val="14"/>
                <w:color w:val="auto"/>
              </w:rPr>
              <w:t>$1.544 billion</w:t>
            </w:r>
          </w:p>
        </w:tc>
        <w:tc>
          <w:tcPr>
            <w:tcW w:w="1640" w:type="dxa"/>
            <w:vAlign w:val="bottom"/>
            <w:tcBorders>
              <w:bottom w:val="single" w:sz="8" w:color="D7282F"/>
            </w:tcBorders>
          </w:tcPr>
          <w:p>
            <w:pPr>
              <w:jc w:val="right"/>
              <w:ind w:right="190"/>
              <w:spacing w:after="0"/>
              <w:rPr>
                <w:sz w:val="20"/>
                <w:szCs w:val="20"/>
                <w:color w:val="auto"/>
              </w:rPr>
            </w:pPr>
            <w:r>
              <w:rPr>
                <w:rFonts w:ascii="Arial" w:cs="Arial" w:eastAsia="Arial" w:hAnsi="Arial"/>
                <w:sz w:val="14"/>
                <w:szCs w:val="14"/>
                <w:color w:val="auto"/>
              </w:rPr>
              <w:t>$1.482 billion</w:t>
            </w:r>
          </w:p>
        </w:tc>
        <w:tc>
          <w:tcPr>
            <w:tcW w:w="1620" w:type="dxa"/>
            <w:vAlign w:val="bottom"/>
            <w:tcBorders>
              <w:bottom w:val="single" w:sz="8" w:color="D7282F"/>
            </w:tcBorders>
          </w:tcPr>
          <w:p>
            <w:pPr>
              <w:jc w:val="right"/>
              <w:ind w:right="269"/>
              <w:spacing w:after="0"/>
              <w:rPr>
                <w:sz w:val="20"/>
                <w:szCs w:val="20"/>
                <w:color w:val="auto"/>
              </w:rPr>
            </w:pPr>
            <w:r>
              <w:rPr>
                <w:rFonts w:ascii="Arial" w:cs="Arial" w:eastAsia="Arial" w:hAnsi="Arial"/>
                <w:sz w:val="14"/>
                <w:szCs w:val="14"/>
                <w:color w:val="auto"/>
              </w:rPr>
              <w:t>96.0%</w:t>
            </w:r>
          </w:p>
        </w:tc>
        <w:tc>
          <w:tcPr>
            <w:tcW w:w="1500" w:type="dxa"/>
            <w:vAlign w:val="bottom"/>
            <w:tcBorders>
              <w:bottom w:val="single" w:sz="8" w:color="D7282F"/>
            </w:tcBorders>
          </w:tcPr>
          <w:p>
            <w:pPr>
              <w:jc w:val="right"/>
              <w:ind w:right="250"/>
              <w:spacing w:after="0"/>
              <w:rPr>
                <w:sz w:val="20"/>
                <w:szCs w:val="20"/>
                <w:color w:val="auto"/>
              </w:rPr>
            </w:pPr>
            <w:r>
              <w:rPr>
                <w:rFonts w:ascii="Arial" w:cs="Arial" w:eastAsia="Arial" w:hAnsi="Arial"/>
                <w:sz w:val="14"/>
                <w:szCs w:val="14"/>
                <w:color w:val="auto"/>
              </w:rPr>
              <w:t>89.9%</w:t>
            </w:r>
          </w:p>
        </w:tc>
        <w:tc>
          <w:tcPr>
            <w:tcW w:w="1300" w:type="dxa"/>
            <w:vAlign w:val="bottom"/>
            <w:tcBorders>
              <w:bottom w:val="single" w:sz="8" w:color="D7282F"/>
            </w:tcBorders>
          </w:tcPr>
          <w:p>
            <w:pPr>
              <w:jc w:val="right"/>
              <w:ind w:right="249"/>
              <w:spacing w:after="0"/>
              <w:rPr>
                <w:sz w:val="20"/>
                <w:szCs w:val="20"/>
                <w:color w:val="auto"/>
              </w:rPr>
            </w:pPr>
            <w:r>
              <w:rPr>
                <w:rFonts w:ascii="Arial" w:cs="Arial" w:eastAsia="Arial" w:hAnsi="Arial"/>
                <w:sz w:val="14"/>
                <w:szCs w:val="14"/>
                <w:color w:val="auto"/>
              </w:rPr>
              <w:t>15%</w:t>
            </w:r>
          </w:p>
        </w:tc>
        <w:tc>
          <w:tcPr>
            <w:tcW w:w="11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13.5%</w:t>
            </w:r>
          </w:p>
        </w:tc>
      </w:tr>
      <w:tr>
        <w:trPr>
          <w:trHeight w:val="322"/>
        </w:trPr>
        <w:tc>
          <w:tcPr>
            <w:tcW w:w="2420" w:type="dxa"/>
            <w:vAlign w:val="bottom"/>
            <w:tcBorders>
              <w:left w:val="single" w:sz="8" w:color="D7282F"/>
            </w:tcBorders>
          </w:tcPr>
          <w:p>
            <w:pPr>
              <w:spacing w:after="0"/>
              <w:rPr>
                <w:sz w:val="24"/>
                <w:szCs w:val="24"/>
                <w:color w:val="auto"/>
              </w:rPr>
            </w:pPr>
          </w:p>
        </w:tc>
        <w:tc>
          <w:tcPr>
            <w:tcW w:w="16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420" w:type="dxa"/>
            <w:vAlign w:val="bottom"/>
            <w:gridSpan w:val="3"/>
          </w:tcPr>
          <w:p>
            <w:pPr>
              <w:jc w:val="right"/>
              <w:ind w:right="249"/>
              <w:spacing w:after="0"/>
              <w:rPr>
                <w:sz w:val="20"/>
                <w:szCs w:val="20"/>
                <w:color w:val="auto"/>
              </w:rPr>
            </w:pPr>
            <w:r>
              <w:rPr>
                <w:rFonts w:ascii="Arial" w:cs="Arial" w:eastAsia="Arial" w:hAnsi="Arial"/>
                <w:sz w:val="14"/>
                <w:szCs w:val="14"/>
                <w:b w:val="1"/>
                <w:bCs w:val="1"/>
                <w:color w:val="auto"/>
              </w:rPr>
              <w:t>Total Calculated (Formulaic) Payout: BA (Mr. Hammoud)</w:t>
            </w:r>
          </w:p>
        </w:tc>
        <w:tc>
          <w:tcPr>
            <w:tcW w:w="1100" w:type="dxa"/>
            <w:vAlign w:val="bottom"/>
            <w:tcBorders>
              <w:right w:val="single" w:sz="8" w:color="D7282F"/>
            </w:tcBorders>
          </w:tcPr>
          <w:p>
            <w:pPr>
              <w:jc w:val="right"/>
              <w:spacing w:after="0"/>
              <w:rPr>
                <w:sz w:val="20"/>
                <w:szCs w:val="20"/>
                <w:color w:val="auto"/>
              </w:rPr>
            </w:pPr>
            <w:r>
              <w:rPr>
                <w:rFonts w:ascii="Arial" w:cs="Arial" w:eastAsia="Arial" w:hAnsi="Arial"/>
                <w:sz w:val="14"/>
                <w:szCs w:val="14"/>
                <w:b w:val="1"/>
                <w:bCs w:val="1"/>
                <w:color w:val="auto"/>
              </w:rPr>
              <w:t>108%</w:t>
            </w:r>
          </w:p>
        </w:tc>
      </w:tr>
      <w:tr>
        <w:trPr>
          <w:trHeight w:val="123"/>
        </w:trPr>
        <w:tc>
          <w:tcPr>
            <w:tcW w:w="2420" w:type="dxa"/>
            <w:vAlign w:val="bottom"/>
            <w:tcBorders>
              <w:left w:val="single" w:sz="8" w:color="D7282F"/>
              <w:bottom w:val="single" w:sz="8" w:color="D7282F"/>
            </w:tcBorders>
          </w:tcPr>
          <w:p>
            <w:pPr>
              <w:spacing w:after="0"/>
              <w:rPr>
                <w:sz w:val="10"/>
                <w:szCs w:val="10"/>
                <w:color w:val="auto"/>
              </w:rPr>
            </w:pPr>
          </w:p>
        </w:tc>
        <w:tc>
          <w:tcPr>
            <w:tcW w:w="1660" w:type="dxa"/>
            <w:vAlign w:val="bottom"/>
            <w:tcBorders>
              <w:bottom w:val="single" w:sz="8" w:color="D7282F"/>
            </w:tcBorders>
          </w:tcPr>
          <w:p>
            <w:pPr>
              <w:spacing w:after="0"/>
              <w:rPr>
                <w:sz w:val="10"/>
                <w:szCs w:val="10"/>
                <w:color w:val="auto"/>
              </w:rPr>
            </w:pPr>
          </w:p>
        </w:tc>
        <w:tc>
          <w:tcPr>
            <w:tcW w:w="1640" w:type="dxa"/>
            <w:vAlign w:val="bottom"/>
            <w:tcBorders>
              <w:bottom w:val="single" w:sz="8" w:color="D7282F"/>
            </w:tcBorders>
          </w:tcPr>
          <w:p>
            <w:pPr>
              <w:spacing w:after="0"/>
              <w:rPr>
                <w:sz w:val="10"/>
                <w:szCs w:val="10"/>
                <w:color w:val="auto"/>
              </w:rPr>
            </w:pPr>
          </w:p>
        </w:tc>
        <w:tc>
          <w:tcPr>
            <w:tcW w:w="1620" w:type="dxa"/>
            <w:vAlign w:val="bottom"/>
            <w:tcBorders>
              <w:bottom w:val="single" w:sz="8" w:color="D7282F"/>
            </w:tcBorders>
          </w:tcPr>
          <w:p>
            <w:pPr>
              <w:spacing w:after="0"/>
              <w:rPr>
                <w:sz w:val="10"/>
                <w:szCs w:val="10"/>
                <w:color w:val="auto"/>
              </w:rPr>
            </w:pPr>
          </w:p>
        </w:tc>
        <w:tc>
          <w:tcPr>
            <w:tcW w:w="1500" w:type="dxa"/>
            <w:vAlign w:val="bottom"/>
            <w:tcBorders>
              <w:bottom w:val="single" w:sz="8" w:color="D7282F"/>
            </w:tcBorders>
          </w:tcPr>
          <w:p>
            <w:pPr>
              <w:spacing w:after="0"/>
              <w:rPr>
                <w:sz w:val="10"/>
                <w:szCs w:val="10"/>
                <w:color w:val="auto"/>
              </w:rPr>
            </w:pPr>
          </w:p>
        </w:tc>
        <w:tc>
          <w:tcPr>
            <w:tcW w:w="1300" w:type="dxa"/>
            <w:vAlign w:val="bottom"/>
            <w:tcBorders>
              <w:bottom w:val="single" w:sz="8" w:color="D7282F"/>
            </w:tcBorders>
          </w:tcPr>
          <w:p>
            <w:pPr>
              <w:spacing w:after="0"/>
              <w:rPr>
                <w:sz w:val="10"/>
                <w:szCs w:val="10"/>
                <w:color w:val="auto"/>
              </w:rPr>
            </w:pPr>
          </w:p>
        </w:tc>
        <w:tc>
          <w:tcPr>
            <w:tcW w:w="1100" w:type="dxa"/>
            <w:vAlign w:val="bottom"/>
            <w:tcBorders>
              <w:bottom w:val="single" w:sz="8" w:color="D7282F"/>
              <w:right w:val="single" w:sz="8" w:color="D7282F"/>
            </w:tcBorders>
          </w:tcPr>
          <w:p>
            <w:pPr>
              <w:spacing w:after="0"/>
              <w:rPr>
                <w:sz w:val="10"/>
                <w:szCs w:val="10"/>
                <w:color w:val="auto"/>
              </w:rPr>
            </w:pPr>
          </w:p>
        </w:tc>
      </w:tr>
    </w:tbl>
    <w:p>
      <w:pPr>
        <w:spacing w:after="0" w:line="144" w:lineRule="exact"/>
        <w:rPr>
          <w:sz w:val="20"/>
          <w:szCs w:val="20"/>
          <w:color w:val="auto"/>
        </w:rPr>
      </w:pPr>
    </w:p>
    <w:p>
      <w:pPr>
        <w:ind w:left="200" w:right="20" w:hanging="192"/>
        <w:spacing w:after="0" w:line="237" w:lineRule="auto"/>
        <w:tabs>
          <w:tab w:leader="none" w:pos="200" w:val="left"/>
        </w:tabs>
        <w:numPr>
          <w:ilvl w:val="0"/>
          <w:numId w:val="150"/>
        </w:numPr>
        <w:rPr>
          <w:rFonts w:ascii="Arial" w:cs="Arial" w:eastAsia="Arial" w:hAnsi="Arial"/>
          <w:sz w:val="16"/>
          <w:szCs w:val="16"/>
          <w:color w:val="auto"/>
          <w:vertAlign w:val="superscript"/>
        </w:rPr>
      </w:pPr>
      <w:r>
        <w:rPr>
          <w:rFonts w:ascii="Arial" w:cs="Arial" w:eastAsia="Arial" w:hAnsi="Arial"/>
          <w:sz w:val="13"/>
          <w:szCs w:val="13"/>
          <w:color w:val="auto"/>
        </w:rPr>
        <w:t>BA ICP Sales, BA ICP Income Contribution and BA ICP Free Cash Flow exclude the impact of restructuring charges on business segment net income; material unusual, infrequent, and extraordinary items (including the resolution of certain commercial disputes); certain costs related to acquisitions, dispositions, and spin-offs; the impact of any accounting changes taking effect during the year; and the impact of corporate transactions (acquisitions and divestitures) during the period. Furthermore, with respect to BA ICP Sales, the impact of fluctuations in foreign exchange rates are also excluded.</w:t>
      </w:r>
    </w:p>
    <w:p>
      <w:pPr>
        <w:spacing w:after="0" w:line="50" w:lineRule="exact"/>
        <w:rPr>
          <w:rFonts w:ascii="Arial" w:cs="Arial" w:eastAsia="Arial" w:hAnsi="Arial"/>
          <w:sz w:val="16"/>
          <w:szCs w:val="16"/>
          <w:color w:val="auto"/>
          <w:vertAlign w:val="superscript"/>
        </w:rPr>
      </w:pPr>
    </w:p>
    <w:p>
      <w:pPr>
        <w:ind w:left="200" w:right="600" w:hanging="192"/>
        <w:spacing w:after="0" w:line="226" w:lineRule="auto"/>
        <w:tabs>
          <w:tab w:leader="none" w:pos="200" w:val="left"/>
        </w:tabs>
        <w:numPr>
          <w:ilvl w:val="0"/>
          <w:numId w:val="150"/>
        </w:numPr>
        <w:rPr>
          <w:rFonts w:ascii="Arial" w:cs="Arial" w:eastAsia="Arial" w:hAnsi="Arial"/>
          <w:sz w:val="16"/>
          <w:szCs w:val="16"/>
          <w:color w:val="auto"/>
          <w:vertAlign w:val="superscript"/>
        </w:rPr>
      </w:pPr>
      <w:r>
        <w:rPr>
          <w:rFonts w:ascii="Arial" w:cs="Arial" w:eastAsia="Arial" w:hAnsi="Arial"/>
          <w:sz w:val="13"/>
          <w:szCs w:val="13"/>
          <w:color w:val="auto"/>
        </w:rPr>
        <w:t>Metric Payout Percentage based on ICP payout curve, which provides for a 5% increase in payout for each 1% of performance above target, and a 2.5% decrease in payout for each 1% of performance below target, with interpolation for intermediate points on the curve.</w:t>
      </w:r>
    </w:p>
    <w:p>
      <w:pPr>
        <w:spacing w:after="0" w:line="23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ICP INDIVIDUAL QUALITATIVE PORTION (15% OF TARGET AWARD)</w:t>
      </w:r>
    </w:p>
    <w:p>
      <w:pPr>
        <w:spacing w:after="0" w:line="128"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The MDCC conducted a qualitative assessment to determine the individual qualitative portion of the ICP award payout, which accounted for 15% of the target award for each NEO in 2025. The MDCC first reviewed a scorecard of key performance indicators and business results against annual operating plan goals set at the beginning of 2025, and considered the impact changes in macroeconomic conditions throughout the year had on such results and how management responded to these challenges. The MDCC also reviewed Company performance against the Compensation Peer Group companies and other indices on key business metrics typically used to inform the ICP qualitative assessment.</w:t>
      </w:r>
    </w:p>
    <w:p>
      <w:pPr>
        <w:spacing w:after="0" w:line="64" w:lineRule="exact"/>
        <w:rPr>
          <w:sz w:val="20"/>
          <w:szCs w:val="20"/>
          <w:color w:val="auto"/>
        </w:rPr>
      </w:pPr>
    </w:p>
    <w:p>
      <w:pPr>
        <w:ind w:right="480"/>
        <w:spacing w:after="0" w:line="304" w:lineRule="auto"/>
        <w:rPr>
          <w:sz w:val="20"/>
          <w:szCs w:val="20"/>
          <w:color w:val="auto"/>
        </w:rPr>
      </w:pPr>
      <w:r>
        <w:rPr>
          <w:rFonts w:ascii="Arial" w:cs="Arial" w:eastAsia="Arial" w:hAnsi="Arial"/>
          <w:sz w:val="16"/>
          <w:szCs w:val="16"/>
          <w:color w:val="auto"/>
        </w:rPr>
        <w:t>The MDCC then reviewed and considered the key 2025 activities and accomplishments for Mr. Kapur and each of the Other NEOs, some of which are summarized below.</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Mr. Boldea did not receive an ICP award for 2025 performance given his separation from Honeywell on September 1, 2025.</w:t>
      </w:r>
    </w:p>
    <w:p>
      <w:pPr>
        <w:spacing w:after="0" w:line="263"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68</w:t>
      </w:r>
      <w:r>
        <w:rPr>
          <w:sz w:val="20"/>
          <w:szCs w:val="20"/>
          <w:color w:val="auto"/>
        </w:rPr>
        <w:tab/>
      </w:r>
      <w:r>
        <w:rPr>
          <w:sz w:val="1"/>
          <w:szCs w:val="1"/>
          <w:color w:val="auto"/>
        </w:rPr>
        <w:drawing>
          <wp:inline distT="0" distB="0" distL="0" distR="0">
            <wp:extent cx="548640" cy="102870"/>
            <wp:effectExtent l="0" t="0" r="0" b="0"/>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2026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74" w:name="page75"/>
    <w:bookmarkEnd w:id="74"/>
    <w:p>
      <w:pPr>
        <w:ind w:left="8440"/>
        <w:spacing w:after="0"/>
        <w:rPr>
          <w:sz w:val="20"/>
          <w:szCs w:val="20"/>
          <w:color w:val="auto"/>
        </w:rPr>
      </w:pPr>
      <w:r>
        <w:rPr>
          <w:rFonts w:ascii="Arial" w:cs="Arial" w:eastAsia="Arial" w:hAnsi="Arial"/>
          <w:sz w:val="12"/>
          <w:szCs w:val="12"/>
          <w:b w:val="1"/>
          <w:bCs w:val="1"/>
          <w:color w:val="6D6E71"/>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626745</wp:posOffset>
            </wp:positionV>
            <wp:extent cx="7123430" cy="606933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23430" cy="606933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D7282F"/>
        </w:rPr>
        <w:t>VIMAL KAPUR</w:t>
      </w:r>
    </w:p>
    <w:p>
      <w:pPr>
        <w:spacing w:after="0" w:line="39" w:lineRule="exact"/>
        <w:rPr>
          <w:sz w:val="20"/>
          <w:szCs w:val="20"/>
          <w:color w:val="auto"/>
        </w:rPr>
      </w:pPr>
    </w:p>
    <w:p>
      <w:pPr>
        <w:ind w:left="20"/>
        <w:spacing w:after="0" w:line="293" w:lineRule="auto"/>
        <w:rPr>
          <w:sz w:val="20"/>
          <w:szCs w:val="20"/>
          <w:color w:val="auto"/>
        </w:rPr>
      </w:pPr>
      <w:r>
        <w:rPr>
          <w:rFonts w:ascii="Arial" w:cs="Arial" w:eastAsia="Arial" w:hAnsi="Arial"/>
          <w:sz w:val="14"/>
          <w:szCs w:val="14"/>
          <w:b w:val="1"/>
          <w:bCs w:val="1"/>
          <w:color w:val="auto"/>
        </w:rPr>
        <w:t>CHAIRMAN AND 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D7282F"/>
        </w:rPr>
        <w:t>MR. KAPUR — QUALITATIVE CONSIDERATIONS</w:t>
      </w:r>
    </w:p>
    <w:p>
      <w:pPr>
        <w:spacing w:after="0" w:line="86" w:lineRule="exact"/>
        <w:rPr>
          <w:sz w:val="20"/>
          <w:szCs w:val="20"/>
          <w:color w:val="auto"/>
        </w:rPr>
      </w:pPr>
    </w:p>
    <w:p>
      <w:pPr>
        <w:ind w:left="200" w:right="180" w:hanging="191"/>
        <w:spacing w:after="0" w:line="275" w:lineRule="auto"/>
        <w:tabs>
          <w:tab w:leader="none" w:pos="191" w:val="left"/>
        </w:tabs>
        <w:numPr>
          <w:ilvl w:val="0"/>
          <w:numId w:val="151"/>
        </w:numPr>
        <w:rPr>
          <w:rFonts w:ascii="Arial" w:cs="Arial" w:eastAsia="Arial" w:hAnsi="Arial"/>
          <w:sz w:val="14"/>
          <w:szCs w:val="14"/>
          <w:b w:val="1"/>
          <w:bCs w:val="1"/>
          <w:color w:val="D7282F"/>
        </w:rPr>
      </w:pPr>
      <w:r>
        <w:rPr>
          <w:rFonts w:ascii="Arial" w:cs="Arial" w:eastAsia="Arial" w:hAnsi="Arial"/>
          <w:sz w:val="16"/>
          <w:szCs w:val="16"/>
          <w:color w:val="auto"/>
        </w:rPr>
        <w:t>Delivered another year of strong financial performance despite continued geopolitical and tariff-related uncertainty, exceeding that of the Compensation Peer Group median in sales growth, adjusted segment margin, and free cash flow margin.</w:t>
      </w:r>
    </w:p>
    <w:p>
      <w:pPr>
        <w:spacing w:after="0" w:line="15" w:lineRule="exact"/>
        <w:rPr>
          <w:rFonts w:ascii="Arial" w:cs="Arial" w:eastAsia="Arial" w:hAnsi="Arial"/>
          <w:sz w:val="14"/>
          <w:szCs w:val="14"/>
          <w:b w:val="1"/>
          <w:bCs w:val="1"/>
          <w:color w:val="D7282F"/>
        </w:rPr>
      </w:pPr>
    </w:p>
    <w:p>
      <w:pPr>
        <w:ind w:left="200" w:right="460" w:hanging="191"/>
        <w:spacing w:after="0" w:line="299" w:lineRule="auto"/>
        <w:tabs>
          <w:tab w:leader="none" w:pos="191" w:val="left"/>
        </w:tabs>
        <w:numPr>
          <w:ilvl w:val="0"/>
          <w:numId w:val="151"/>
        </w:numPr>
        <w:rPr>
          <w:rFonts w:ascii="Arial" w:cs="Arial" w:eastAsia="Arial" w:hAnsi="Arial"/>
          <w:sz w:val="14"/>
          <w:szCs w:val="14"/>
          <w:b w:val="1"/>
          <w:bCs w:val="1"/>
          <w:color w:val="D7282F"/>
        </w:rPr>
      </w:pPr>
      <w:r>
        <w:rPr>
          <w:rFonts w:ascii="Arial" w:cs="Arial" w:eastAsia="Arial" w:hAnsi="Arial"/>
          <w:sz w:val="16"/>
          <w:szCs w:val="16"/>
          <w:color w:val="auto"/>
        </w:rPr>
        <w:t>Delivered 7% organic sales growth, highlighted by significant acceleration in Building Automation, continued momentum in Aerospace Technologies, and a meaningful recovery in Industrial Automation.</w:t>
      </w:r>
    </w:p>
    <w:p>
      <w:pPr>
        <w:ind w:left="200" w:right="580" w:hanging="191"/>
        <w:spacing w:after="0" w:line="299" w:lineRule="auto"/>
        <w:tabs>
          <w:tab w:leader="none" w:pos="197" w:val="left"/>
        </w:tabs>
        <w:numPr>
          <w:ilvl w:val="0"/>
          <w:numId w:val="151"/>
        </w:numPr>
        <w:rPr>
          <w:rFonts w:ascii="Arial" w:cs="Arial" w:eastAsia="Arial" w:hAnsi="Arial"/>
          <w:sz w:val="16"/>
          <w:szCs w:val="16"/>
          <w:b w:val="1"/>
          <w:bCs w:val="1"/>
          <w:color w:val="D7282F"/>
        </w:rPr>
      </w:pPr>
      <w:r>
        <w:rPr>
          <w:rFonts w:ascii="Arial" w:cs="Arial" w:eastAsia="Arial" w:hAnsi="Arial"/>
          <w:sz w:val="16"/>
          <w:szCs w:val="16"/>
          <w:color w:val="auto"/>
        </w:rPr>
        <w:t>Leveraged Honeywell’s robust innovation playbook to incubate new technologies and expand new product offerings across a broad range of markets, which was a meaningful contributor to organic growth in 2025.</w:t>
      </w:r>
    </w:p>
    <w:p>
      <w:pPr>
        <w:ind w:left="200" w:right="500" w:hanging="191"/>
        <w:spacing w:after="0" w:line="304" w:lineRule="auto"/>
        <w:tabs>
          <w:tab w:leader="none" w:pos="197" w:val="left"/>
        </w:tabs>
        <w:numPr>
          <w:ilvl w:val="0"/>
          <w:numId w:val="151"/>
        </w:numPr>
        <w:rPr>
          <w:rFonts w:ascii="Arial" w:cs="Arial" w:eastAsia="Arial" w:hAnsi="Arial"/>
          <w:sz w:val="16"/>
          <w:szCs w:val="16"/>
          <w:b w:val="1"/>
          <w:bCs w:val="1"/>
          <w:color w:val="D7282F"/>
        </w:rPr>
      </w:pPr>
      <w:r>
        <w:rPr>
          <w:rFonts w:ascii="Arial" w:cs="Arial" w:eastAsia="Arial" w:hAnsi="Arial"/>
          <w:sz w:val="16"/>
          <w:szCs w:val="16"/>
          <w:color w:val="auto"/>
        </w:rPr>
        <w:t>Increased adjusted segment profit by 11% and adjusted EPS by 12% through accelerated sales growth and operational improvements to drive margin expansion, including supply chain improvements.</w:t>
      </w:r>
    </w:p>
    <w:p>
      <w:pPr>
        <w:spacing w:after="0" w:line="6" w:lineRule="exact"/>
        <w:rPr>
          <w:rFonts w:ascii="Arial" w:cs="Arial" w:eastAsia="Arial" w:hAnsi="Arial"/>
          <w:sz w:val="16"/>
          <w:szCs w:val="16"/>
          <w:b w:val="1"/>
          <w:bCs w:val="1"/>
          <w:color w:val="D7282F"/>
        </w:rPr>
      </w:pPr>
    </w:p>
    <w:p>
      <w:pPr>
        <w:ind w:left="200" w:right="60" w:hanging="191"/>
        <w:spacing w:after="0" w:line="266" w:lineRule="auto"/>
        <w:tabs>
          <w:tab w:leader="none" w:pos="197" w:val="left"/>
        </w:tabs>
        <w:numPr>
          <w:ilvl w:val="0"/>
          <w:numId w:val="151"/>
        </w:numPr>
        <w:rPr>
          <w:rFonts w:ascii="Arial" w:cs="Arial" w:eastAsia="Arial" w:hAnsi="Arial"/>
          <w:sz w:val="16"/>
          <w:szCs w:val="16"/>
          <w:b w:val="1"/>
          <w:bCs w:val="1"/>
          <w:color w:val="D7282F"/>
        </w:rPr>
      </w:pPr>
      <w:r>
        <w:rPr>
          <w:rFonts w:ascii="Arial" w:cs="Arial" w:eastAsia="Arial" w:hAnsi="Arial"/>
          <w:sz w:val="16"/>
          <w:szCs w:val="16"/>
          <w:color w:val="auto"/>
        </w:rPr>
        <w:t>Effectively deployed $10.0 billion to enhance Honeywell’s portfolio and shareowner returns through a combination of M&amp;A, capital investments, share repurchases, and dividends, including the Company’s 16th dividend increase over 15 consecutive years.</w:t>
      </w:r>
    </w:p>
    <w:p>
      <w:pPr>
        <w:spacing w:after="0" w:line="36" w:lineRule="exact"/>
        <w:rPr>
          <w:rFonts w:ascii="Arial" w:cs="Arial" w:eastAsia="Arial" w:hAnsi="Arial"/>
          <w:sz w:val="16"/>
          <w:szCs w:val="16"/>
          <w:b w:val="1"/>
          <w:bCs w:val="1"/>
          <w:color w:val="D7282F"/>
        </w:rPr>
      </w:pPr>
    </w:p>
    <w:p>
      <w:pPr>
        <w:ind w:left="200" w:right="120" w:hanging="191"/>
        <w:spacing w:after="0" w:line="265" w:lineRule="auto"/>
        <w:tabs>
          <w:tab w:leader="none" w:pos="197" w:val="left"/>
        </w:tabs>
        <w:numPr>
          <w:ilvl w:val="0"/>
          <w:numId w:val="151"/>
        </w:numPr>
        <w:rPr>
          <w:rFonts w:ascii="Arial" w:cs="Arial" w:eastAsia="Arial" w:hAnsi="Arial"/>
          <w:sz w:val="16"/>
          <w:szCs w:val="16"/>
          <w:b w:val="1"/>
          <w:bCs w:val="1"/>
          <w:color w:val="D7282F"/>
        </w:rPr>
      </w:pPr>
      <w:r>
        <w:rPr>
          <w:rFonts w:ascii="Arial" w:cs="Arial" w:eastAsia="Arial" w:hAnsi="Arial"/>
          <w:sz w:val="16"/>
          <w:szCs w:val="16"/>
          <w:color w:val="auto"/>
        </w:rPr>
        <w:t>Announced the intent to pursue a full separation of Honeywell and Honeywell Aerospace, further simplifying Honeywell’s portfolio and unlocking incremental shareowner value. As part of this, announced the realignment of Honeywell segments into a simplified structure of three reporting segments (post spin of Honeywell Aerospace expected in the third quarter of 2026) aligned to our strategy aimed at delivering the future of automation through high-ROI, outcomes-based solutions. The new reporting structure took effect in the first quarter of 2026.</w:t>
      </w:r>
    </w:p>
    <w:p>
      <w:pPr>
        <w:spacing w:after="0" w:line="23" w:lineRule="exact"/>
        <w:rPr>
          <w:rFonts w:ascii="Arial" w:cs="Arial" w:eastAsia="Arial" w:hAnsi="Arial"/>
          <w:sz w:val="16"/>
          <w:szCs w:val="16"/>
          <w:b w:val="1"/>
          <w:bCs w:val="1"/>
          <w:color w:val="D7282F"/>
        </w:rPr>
      </w:pPr>
    </w:p>
    <w:p>
      <w:pPr>
        <w:ind w:left="200" w:right="40" w:hanging="191"/>
        <w:spacing w:after="0" w:line="275" w:lineRule="auto"/>
        <w:tabs>
          <w:tab w:leader="none" w:pos="197" w:val="left"/>
        </w:tabs>
        <w:numPr>
          <w:ilvl w:val="0"/>
          <w:numId w:val="151"/>
        </w:numPr>
        <w:rPr>
          <w:rFonts w:ascii="Arial" w:cs="Arial" w:eastAsia="Arial" w:hAnsi="Arial"/>
          <w:sz w:val="16"/>
          <w:szCs w:val="16"/>
          <w:b w:val="1"/>
          <w:bCs w:val="1"/>
          <w:color w:val="D7282F"/>
        </w:rPr>
      </w:pPr>
      <w:r>
        <w:rPr>
          <w:rFonts w:ascii="Arial" w:cs="Arial" w:eastAsia="Arial" w:hAnsi="Arial"/>
          <w:sz w:val="16"/>
          <w:szCs w:val="16"/>
          <w:color w:val="auto"/>
        </w:rPr>
        <w:t>Successfully completed the spin-off of Solstice Advanced Materials into an independent, publicly traded company, marking another step towards a simplified portfolio capable of generating stronger organic growth with less cyclicality and capital intensity.</w:t>
      </w:r>
    </w:p>
    <w:p>
      <w:pPr>
        <w:spacing w:after="0" w:line="29" w:lineRule="exact"/>
        <w:rPr>
          <w:rFonts w:ascii="Arial" w:cs="Arial" w:eastAsia="Arial" w:hAnsi="Arial"/>
          <w:sz w:val="16"/>
          <w:szCs w:val="16"/>
          <w:b w:val="1"/>
          <w:bCs w:val="1"/>
          <w:color w:val="D7282F"/>
        </w:rPr>
      </w:pPr>
    </w:p>
    <w:p>
      <w:pPr>
        <w:ind w:left="200" w:right="420" w:hanging="191"/>
        <w:spacing w:after="0" w:line="265" w:lineRule="auto"/>
        <w:tabs>
          <w:tab w:leader="none" w:pos="197" w:val="left"/>
        </w:tabs>
        <w:numPr>
          <w:ilvl w:val="0"/>
          <w:numId w:val="151"/>
        </w:numPr>
        <w:rPr>
          <w:rFonts w:ascii="Arial" w:cs="Arial" w:eastAsia="Arial" w:hAnsi="Arial"/>
          <w:sz w:val="16"/>
          <w:szCs w:val="16"/>
          <w:b w:val="1"/>
          <w:bCs w:val="1"/>
          <w:color w:val="D7282F"/>
        </w:rPr>
      </w:pPr>
      <w:r>
        <w:rPr>
          <w:rFonts w:ascii="Arial" w:cs="Arial" w:eastAsia="Arial" w:hAnsi="Arial"/>
          <w:sz w:val="16"/>
          <w:szCs w:val="16"/>
          <w:color w:val="auto"/>
        </w:rPr>
        <w:t>Announced the planned divestiture of our Productivity Solutions and Services (“PSS”) and Warehouse and Workflow Solutions (“WWS”) businesses, expected be announced in the first half of 2026, enabling a deeper focus on accelerating value creation as a pure-play automation business in conjunction with our planned Honeywell Aerospace separation next year.</w:t>
      </w:r>
    </w:p>
    <w:p>
      <w:pPr>
        <w:spacing w:after="0" w:line="37" w:lineRule="exact"/>
        <w:rPr>
          <w:rFonts w:ascii="Arial" w:cs="Arial" w:eastAsia="Arial" w:hAnsi="Arial"/>
          <w:sz w:val="16"/>
          <w:szCs w:val="16"/>
          <w:b w:val="1"/>
          <w:bCs w:val="1"/>
          <w:color w:val="D7282F"/>
        </w:rPr>
      </w:pPr>
    </w:p>
    <w:p>
      <w:pPr>
        <w:ind w:left="200" w:right="440" w:hanging="191"/>
        <w:spacing w:after="0" w:line="286" w:lineRule="auto"/>
        <w:tabs>
          <w:tab w:leader="none" w:pos="197" w:val="left"/>
        </w:tabs>
        <w:numPr>
          <w:ilvl w:val="0"/>
          <w:numId w:val="151"/>
        </w:numPr>
        <w:rPr>
          <w:rFonts w:ascii="Arial" w:cs="Arial" w:eastAsia="Arial" w:hAnsi="Arial"/>
          <w:sz w:val="16"/>
          <w:szCs w:val="16"/>
          <w:b w:val="1"/>
          <w:bCs w:val="1"/>
          <w:color w:val="D7282F"/>
        </w:rPr>
      </w:pPr>
      <w:r>
        <w:rPr>
          <w:rFonts w:ascii="Arial" w:cs="Arial" w:eastAsia="Arial" w:hAnsi="Arial"/>
          <w:sz w:val="16"/>
          <w:szCs w:val="16"/>
          <w:color w:val="auto"/>
        </w:rPr>
        <w:t>Successfully divested Honeywell's legacy Bendix asbestos liabilities, as well as certain non-Bendix asbestos liabilities, in October, allowing Honeywell to focus on redeploying capital toward core growth priorities.</w:t>
      </w:r>
    </w:p>
    <w:p>
      <w:pPr>
        <w:spacing w:after="0" w:line="20" w:lineRule="exact"/>
        <w:rPr>
          <w:rFonts w:ascii="Arial" w:cs="Arial" w:eastAsia="Arial" w:hAnsi="Arial"/>
          <w:sz w:val="16"/>
          <w:szCs w:val="16"/>
          <w:b w:val="1"/>
          <w:bCs w:val="1"/>
          <w:color w:val="D7282F"/>
        </w:rPr>
      </w:pPr>
    </w:p>
    <w:p>
      <w:pPr>
        <w:ind w:left="200" w:right="260" w:hanging="191"/>
        <w:spacing w:after="0" w:line="286" w:lineRule="auto"/>
        <w:tabs>
          <w:tab w:leader="none" w:pos="197" w:val="left"/>
        </w:tabs>
        <w:numPr>
          <w:ilvl w:val="0"/>
          <w:numId w:val="151"/>
        </w:numPr>
        <w:rPr>
          <w:rFonts w:ascii="Arial" w:cs="Arial" w:eastAsia="Arial" w:hAnsi="Arial"/>
          <w:sz w:val="16"/>
          <w:szCs w:val="16"/>
          <w:b w:val="1"/>
          <w:bCs w:val="1"/>
          <w:color w:val="D7282F"/>
        </w:rPr>
      </w:pPr>
      <w:r>
        <w:rPr>
          <w:rFonts w:ascii="Arial" w:cs="Arial" w:eastAsia="Arial" w:hAnsi="Arial"/>
          <w:sz w:val="16"/>
          <w:szCs w:val="16"/>
          <w:color w:val="auto"/>
        </w:rPr>
        <w:t>Terminated the indemnification and reimbursement agreement with Resideo in exchange for the receipt of $1.6 billion.</w:t>
      </w:r>
    </w:p>
    <w:p>
      <w:pPr>
        <w:spacing w:after="0" w:line="20" w:lineRule="exact"/>
        <w:rPr>
          <w:rFonts w:ascii="Arial" w:cs="Arial" w:eastAsia="Arial" w:hAnsi="Arial"/>
          <w:sz w:val="16"/>
          <w:szCs w:val="16"/>
          <w:b w:val="1"/>
          <w:bCs w:val="1"/>
          <w:color w:val="D7282F"/>
        </w:rPr>
      </w:pPr>
    </w:p>
    <w:p>
      <w:pPr>
        <w:ind w:left="200" w:right="60" w:hanging="191"/>
        <w:spacing w:after="0" w:line="261" w:lineRule="auto"/>
        <w:tabs>
          <w:tab w:leader="none" w:pos="197" w:val="left"/>
        </w:tabs>
        <w:numPr>
          <w:ilvl w:val="0"/>
          <w:numId w:val="151"/>
        </w:numPr>
        <w:rPr>
          <w:rFonts w:ascii="Arial" w:cs="Arial" w:eastAsia="Arial" w:hAnsi="Arial"/>
          <w:sz w:val="16"/>
          <w:szCs w:val="16"/>
          <w:b w:val="1"/>
          <w:bCs w:val="1"/>
          <w:color w:val="D7282F"/>
        </w:rPr>
      </w:pPr>
      <w:r>
        <w:rPr>
          <w:rFonts w:ascii="Arial" w:cs="Arial" w:eastAsia="Arial" w:hAnsi="Arial"/>
          <w:sz w:val="16"/>
          <w:szCs w:val="16"/>
          <w:color w:val="auto"/>
        </w:rPr>
        <w:t>Continued to lead and drive Corporate Social Responsibility across Honeywell, including: Voice of Employee (VOE) survey achieved 91% participation rate and more than 183,000 comments during the 2025 cycle, while engagement score increased five points since inception (2021); surpassed two-year volunteer hour goal with over 105,000 hours completed by Futureshapers in 2024 and 2025, including over 50,000 hours in 2025; and continued support of multiple STEM organizations focused on getting youth interested in STEM, helping students successfully complete their university degrees, and supporting professional development.</w:t>
      </w:r>
    </w:p>
    <w:p>
      <w:pPr>
        <w:spacing w:after="0" w:line="200" w:lineRule="exact"/>
        <w:rPr>
          <w:sz w:val="20"/>
          <w:szCs w:val="20"/>
          <w:color w:val="auto"/>
        </w:rPr>
      </w:pPr>
    </w:p>
    <w:p>
      <w:pPr>
        <w:sectPr>
          <w:pgSz w:w="11900" w:h="16838" w:orient="portrait"/>
          <w:cols w:equalWidth="0" w:num="2">
            <w:col w:w="2480" w:space="380"/>
            <w:col w:w="8380"/>
          </w:cols>
          <w:pgMar w:left="320" w:top="2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2026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69</w:t>
            </w:r>
          </w:p>
        </w:tc>
      </w:tr>
      <w:tr>
        <w:trPr>
          <w:trHeight w:val="373"/>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2"/>
          <w:szCs w:val="12"/>
          <w:b w:val="1"/>
          <w:bCs w:val="1"/>
          <w:color w:val="6D6E71"/>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695325</wp:posOffset>
            </wp:positionV>
            <wp:extent cx="7123430" cy="558038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23430" cy="5580380"/>
                    </a:xfrm>
                    <a:prstGeom prst="rect">
                      <a:avLst/>
                    </a:prstGeom>
                    <a:noFill/>
                  </pic:spPr>
                </pic:pic>
              </a:graphicData>
            </a:graphic>
          </wp:anchor>
        </w:drawing>
      </w:r>
    </w:p>
    <w:p>
      <w:pPr>
        <w:sectPr>
          <w:pgSz w:w="11900" w:h="16838" w:orient="portrait"/>
          <w:cols w:equalWidth="0" w:num="1">
            <w:col w:w="11180"/>
          </w:cols>
          <w:pgMar w:left="320" w:top="23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D7282F"/>
        </w:rPr>
        <w:t>MICHAL STEPNIAK</w:t>
      </w:r>
    </w:p>
    <w:p>
      <w:pPr>
        <w:spacing w:after="0" w:line="39" w:lineRule="exact"/>
        <w:rPr>
          <w:sz w:val="20"/>
          <w:szCs w:val="20"/>
          <w:color w:val="auto"/>
        </w:rPr>
      </w:pPr>
    </w:p>
    <w:p>
      <w:pPr>
        <w:ind w:left="20" w:right="180"/>
        <w:spacing w:after="0" w:line="293" w:lineRule="auto"/>
        <w:rPr>
          <w:sz w:val="20"/>
          <w:szCs w:val="20"/>
          <w:color w:val="auto"/>
        </w:rPr>
      </w:pPr>
      <w:r>
        <w:rPr>
          <w:rFonts w:ascii="Arial" w:cs="Arial" w:eastAsia="Arial" w:hAnsi="Arial"/>
          <w:sz w:val="14"/>
          <w:szCs w:val="14"/>
          <w:b w:val="1"/>
          <w:bCs w:val="1"/>
          <w:color w:val="auto"/>
        </w:rPr>
        <w:t>SENIOR VICE PRESIDENT AND CHIEF FINANCIAL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color w:val="D7282F"/>
        </w:rPr>
        <w:t>MR. STEPNIAK — QUALITATIVE CONSIDERATIONS</w:t>
      </w:r>
    </w:p>
    <w:p>
      <w:pPr>
        <w:spacing w:after="0" w:line="86" w:lineRule="exact"/>
        <w:rPr>
          <w:sz w:val="20"/>
          <w:szCs w:val="20"/>
          <w:color w:val="auto"/>
        </w:rPr>
      </w:pPr>
    </w:p>
    <w:p>
      <w:pPr>
        <w:ind w:left="200" w:hanging="191"/>
        <w:spacing w:after="0" w:line="275" w:lineRule="auto"/>
        <w:tabs>
          <w:tab w:leader="none" w:pos="197" w:val="left"/>
        </w:tabs>
        <w:numPr>
          <w:ilvl w:val="0"/>
          <w:numId w:val="152"/>
        </w:numPr>
        <w:rPr>
          <w:rFonts w:ascii="Arial" w:cs="Arial" w:eastAsia="Arial" w:hAnsi="Arial"/>
          <w:sz w:val="16"/>
          <w:szCs w:val="16"/>
          <w:b w:val="1"/>
          <w:bCs w:val="1"/>
          <w:color w:val="D7282F"/>
        </w:rPr>
      </w:pPr>
      <w:r>
        <w:rPr>
          <w:rFonts w:ascii="Arial" w:cs="Arial" w:eastAsia="Arial" w:hAnsi="Arial"/>
          <w:sz w:val="16"/>
          <w:szCs w:val="16"/>
          <w:color w:val="auto"/>
        </w:rPr>
        <w:t>Led Honeywell’s financial planning and execution through a dynamic macroeconomic environment and significant portfolio changes at the Company, achieving 7% organic sales growth and 12% adjusted earnings per share growth.</w:t>
      </w:r>
    </w:p>
    <w:p>
      <w:pPr>
        <w:spacing w:after="0" w:line="15" w:lineRule="exact"/>
        <w:rPr>
          <w:rFonts w:ascii="Arial" w:cs="Arial" w:eastAsia="Arial" w:hAnsi="Arial"/>
          <w:sz w:val="16"/>
          <w:szCs w:val="16"/>
          <w:b w:val="1"/>
          <w:bCs w:val="1"/>
          <w:color w:val="D7282F"/>
        </w:rPr>
      </w:pPr>
    </w:p>
    <w:p>
      <w:pPr>
        <w:ind w:left="200" w:right="160" w:hanging="191"/>
        <w:spacing w:after="0" w:line="275" w:lineRule="auto"/>
        <w:tabs>
          <w:tab w:leader="none" w:pos="191" w:val="left"/>
        </w:tabs>
        <w:numPr>
          <w:ilvl w:val="0"/>
          <w:numId w:val="152"/>
        </w:numPr>
        <w:rPr>
          <w:rFonts w:ascii="Arial" w:cs="Arial" w:eastAsia="Arial" w:hAnsi="Arial"/>
          <w:sz w:val="14"/>
          <w:szCs w:val="14"/>
          <w:b w:val="1"/>
          <w:bCs w:val="1"/>
          <w:color w:val="D7282F"/>
        </w:rPr>
      </w:pPr>
      <w:r>
        <w:rPr>
          <w:rFonts w:ascii="Arial" w:cs="Arial" w:eastAsia="Arial" w:hAnsi="Arial"/>
          <w:sz w:val="16"/>
          <w:szCs w:val="16"/>
          <w:color w:val="auto"/>
        </w:rPr>
        <w:t>Enabled the announced plan to pursue a full separation of Honeywell from Honeywell Aerospace into two independent, publicly traded companies to continue optimizing the portfolio and unlock incremental shareowner value.</w:t>
      </w:r>
    </w:p>
    <w:p>
      <w:pPr>
        <w:spacing w:after="0" w:line="29" w:lineRule="exact"/>
        <w:rPr>
          <w:rFonts w:ascii="Arial" w:cs="Arial" w:eastAsia="Arial" w:hAnsi="Arial"/>
          <w:sz w:val="14"/>
          <w:szCs w:val="14"/>
          <w:b w:val="1"/>
          <w:bCs w:val="1"/>
          <w:color w:val="D7282F"/>
        </w:rPr>
      </w:pPr>
    </w:p>
    <w:p>
      <w:pPr>
        <w:jc w:val="both"/>
        <w:ind w:left="200" w:right="400" w:hanging="191"/>
        <w:spacing w:after="0" w:line="275" w:lineRule="auto"/>
        <w:tabs>
          <w:tab w:leader="none" w:pos="191" w:val="left"/>
        </w:tabs>
        <w:numPr>
          <w:ilvl w:val="0"/>
          <w:numId w:val="152"/>
        </w:numPr>
        <w:rPr>
          <w:rFonts w:ascii="Arial" w:cs="Arial" w:eastAsia="Arial" w:hAnsi="Arial"/>
          <w:sz w:val="14"/>
          <w:szCs w:val="14"/>
          <w:b w:val="1"/>
          <w:bCs w:val="1"/>
          <w:color w:val="D7282F"/>
        </w:rPr>
      </w:pPr>
      <w:r>
        <w:rPr>
          <w:rFonts w:ascii="Arial" w:cs="Arial" w:eastAsia="Arial" w:hAnsi="Arial"/>
          <w:sz w:val="16"/>
          <w:szCs w:val="16"/>
          <w:color w:val="auto"/>
        </w:rPr>
        <w:t>Effectively executed the spin-off of Solstice Advanced Materials into a standalone, publicly-traded company, significantly ahead of original plan, resulting in a simplified portfolio with increased operational focus to drive stronger organic growth.</w:t>
      </w:r>
    </w:p>
    <w:p>
      <w:pPr>
        <w:spacing w:after="0" w:line="15" w:lineRule="exact"/>
        <w:rPr>
          <w:rFonts w:ascii="Arial" w:cs="Arial" w:eastAsia="Arial" w:hAnsi="Arial"/>
          <w:sz w:val="14"/>
          <w:szCs w:val="14"/>
          <w:b w:val="1"/>
          <w:bCs w:val="1"/>
          <w:color w:val="D7282F"/>
        </w:rPr>
      </w:pPr>
    </w:p>
    <w:p>
      <w:pPr>
        <w:ind w:left="200" w:right="60" w:hanging="191"/>
        <w:spacing w:after="0" w:line="299" w:lineRule="auto"/>
        <w:tabs>
          <w:tab w:leader="none" w:pos="191" w:val="left"/>
        </w:tabs>
        <w:numPr>
          <w:ilvl w:val="0"/>
          <w:numId w:val="152"/>
        </w:numPr>
        <w:rPr>
          <w:rFonts w:ascii="Arial" w:cs="Arial" w:eastAsia="Arial" w:hAnsi="Arial"/>
          <w:sz w:val="14"/>
          <w:szCs w:val="14"/>
          <w:b w:val="1"/>
          <w:bCs w:val="1"/>
          <w:color w:val="D7282F"/>
        </w:rPr>
      </w:pPr>
      <w:r>
        <w:rPr>
          <w:rFonts w:ascii="Arial" w:cs="Arial" w:eastAsia="Arial" w:hAnsi="Arial"/>
          <w:sz w:val="16"/>
          <w:szCs w:val="16"/>
          <w:color w:val="auto"/>
        </w:rPr>
        <w:t>Deployed $10.0 billion of capital in 2025, including $3.8 billion to share repurchases and $3.0 billion to dividends, while increasing Honeywell's dividend for the 16th time in 15 consecutive years.</w:t>
      </w:r>
    </w:p>
    <w:p>
      <w:pPr>
        <w:ind w:left="200" w:right="240" w:hanging="191"/>
        <w:spacing w:after="0" w:line="275" w:lineRule="auto"/>
        <w:tabs>
          <w:tab w:leader="none" w:pos="191" w:val="left"/>
        </w:tabs>
        <w:numPr>
          <w:ilvl w:val="0"/>
          <w:numId w:val="152"/>
        </w:numPr>
        <w:rPr>
          <w:rFonts w:ascii="Arial" w:cs="Arial" w:eastAsia="Arial" w:hAnsi="Arial"/>
          <w:sz w:val="14"/>
          <w:szCs w:val="14"/>
          <w:b w:val="1"/>
          <w:bCs w:val="1"/>
          <w:color w:val="D7282F"/>
        </w:rPr>
      </w:pPr>
      <w:r>
        <w:rPr>
          <w:rFonts w:ascii="Arial" w:cs="Arial" w:eastAsia="Arial" w:hAnsi="Arial"/>
          <w:sz w:val="16"/>
          <w:szCs w:val="16"/>
          <w:color w:val="auto"/>
        </w:rPr>
        <w:t>Enabled execution of Honeywell’s M&amp;A playbook to close $2.2 billion in acquisitions across key portions of the portfolio, enabling improved value proposition to customers and future growth acceleration, with transactions including Sundyne, Li-ion Tamer, and SparkMeter’s data platform and software technologies.</w:t>
      </w:r>
    </w:p>
    <w:p>
      <w:pPr>
        <w:spacing w:after="0" w:line="29" w:lineRule="exact"/>
        <w:rPr>
          <w:rFonts w:ascii="Arial" w:cs="Arial" w:eastAsia="Arial" w:hAnsi="Arial"/>
          <w:sz w:val="14"/>
          <w:szCs w:val="14"/>
          <w:b w:val="1"/>
          <w:bCs w:val="1"/>
          <w:color w:val="D7282F"/>
        </w:rPr>
      </w:pPr>
    </w:p>
    <w:p>
      <w:pPr>
        <w:ind w:left="200" w:right="380" w:hanging="191"/>
        <w:spacing w:after="0" w:line="286" w:lineRule="auto"/>
        <w:tabs>
          <w:tab w:leader="none" w:pos="191" w:val="left"/>
        </w:tabs>
        <w:numPr>
          <w:ilvl w:val="0"/>
          <w:numId w:val="152"/>
        </w:numPr>
        <w:rPr>
          <w:rFonts w:ascii="Arial" w:cs="Arial" w:eastAsia="Arial" w:hAnsi="Arial"/>
          <w:sz w:val="14"/>
          <w:szCs w:val="14"/>
          <w:b w:val="1"/>
          <w:bCs w:val="1"/>
          <w:color w:val="D7282F"/>
        </w:rPr>
      </w:pPr>
      <w:r>
        <w:rPr>
          <w:rFonts w:ascii="Arial" w:cs="Arial" w:eastAsia="Arial" w:hAnsi="Arial"/>
          <w:sz w:val="16"/>
          <w:szCs w:val="16"/>
          <w:color w:val="auto"/>
        </w:rPr>
        <w:t>Successfully divested Honeywell's legacy Bendix asbestos liabilities, as well as certain non-Bendix asbestos liabilities, in October, allowing Honeywell to focus on redeploying capital toward core growth priorities.</w:t>
      </w:r>
    </w:p>
    <w:p>
      <w:pPr>
        <w:spacing w:after="0" w:line="20" w:lineRule="exact"/>
        <w:rPr>
          <w:rFonts w:ascii="Arial" w:cs="Arial" w:eastAsia="Arial" w:hAnsi="Arial"/>
          <w:sz w:val="14"/>
          <w:szCs w:val="14"/>
          <w:b w:val="1"/>
          <w:bCs w:val="1"/>
          <w:color w:val="D7282F"/>
        </w:rPr>
      </w:pPr>
    </w:p>
    <w:p>
      <w:pPr>
        <w:ind w:left="200" w:right="200" w:hanging="191"/>
        <w:spacing w:after="0" w:line="286" w:lineRule="auto"/>
        <w:tabs>
          <w:tab w:leader="none" w:pos="191" w:val="left"/>
        </w:tabs>
        <w:numPr>
          <w:ilvl w:val="0"/>
          <w:numId w:val="152"/>
        </w:numPr>
        <w:rPr>
          <w:rFonts w:ascii="Arial" w:cs="Arial" w:eastAsia="Arial" w:hAnsi="Arial"/>
          <w:sz w:val="14"/>
          <w:szCs w:val="14"/>
          <w:b w:val="1"/>
          <w:bCs w:val="1"/>
          <w:color w:val="D7282F"/>
        </w:rPr>
      </w:pPr>
      <w:r>
        <w:rPr>
          <w:rFonts w:ascii="Arial" w:cs="Arial" w:eastAsia="Arial" w:hAnsi="Arial"/>
          <w:sz w:val="16"/>
          <w:szCs w:val="16"/>
          <w:color w:val="auto"/>
        </w:rPr>
        <w:t>Terminated the indemnification and reimbursement agreement with Resideo in exchange for the receipt of $1.6 billion.</w:t>
      </w:r>
    </w:p>
    <w:p>
      <w:pPr>
        <w:spacing w:after="0" w:line="20" w:lineRule="exact"/>
        <w:rPr>
          <w:rFonts w:ascii="Arial" w:cs="Arial" w:eastAsia="Arial" w:hAnsi="Arial"/>
          <w:sz w:val="14"/>
          <w:szCs w:val="14"/>
          <w:b w:val="1"/>
          <w:bCs w:val="1"/>
          <w:color w:val="D7282F"/>
        </w:rPr>
      </w:pPr>
    </w:p>
    <w:p>
      <w:pPr>
        <w:ind w:left="200" w:right="20" w:hanging="191"/>
        <w:spacing w:after="0" w:line="275" w:lineRule="auto"/>
        <w:tabs>
          <w:tab w:leader="none" w:pos="191" w:val="left"/>
        </w:tabs>
        <w:numPr>
          <w:ilvl w:val="0"/>
          <w:numId w:val="152"/>
        </w:numPr>
        <w:rPr>
          <w:rFonts w:ascii="Arial" w:cs="Arial" w:eastAsia="Arial" w:hAnsi="Arial"/>
          <w:sz w:val="14"/>
          <w:szCs w:val="14"/>
          <w:b w:val="1"/>
          <w:bCs w:val="1"/>
          <w:color w:val="D7282F"/>
        </w:rPr>
      </w:pPr>
      <w:r>
        <w:rPr>
          <w:rFonts w:ascii="Arial" w:cs="Arial" w:eastAsia="Arial" w:hAnsi="Arial"/>
          <w:sz w:val="16"/>
          <w:szCs w:val="16"/>
          <w:color w:val="auto"/>
        </w:rPr>
        <w:t>Successfully closed the sale of the PPE business to Protective Industrial Products, Inc. for $1.325 billion, marking the completion of our exit from the PPE space and further optimizing our portfolio for growth in our core businesses.</w:t>
      </w:r>
    </w:p>
    <w:p>
      <w:pPr>
        <w:spacing w:after="0" w:line="29" w:lineRule="exact"/>
        <w:rPr>
          <w:rFonts w:ascii="Arial" w:cs="Arial" w:eastAsia="Arial" w:hAnsi="Arial"/>
          <w:sz w:val="14"/>
          <w:szCs w:val="14"/>
          <w:b w:val="1"/>
          <w:bCs w:val="1"/>
          <w:color w:val="D7282F"/>
        </w:rPr>
      </w:pPr>
    </w:p>
    <w:p>
      <w:pPr>
        <w:ind w:left="200" w:right="120" w:hanging="191"/>
        <w:spacing w:after="0" w:line="286" w:lineRule="auto"/>
        <w:tabs>
          <w:tab w:leader="none" w:pos="191" w:val="left"/>
        </w:tabs>
        <w:numPr>
          <w:ilvl w:val="0"/>
          <w:numId w:val="152"/>
        </w:numPr>
        <w:rPr>
          <w:rFonts w:ascii="Arial" w:cs="Arial" w:eastAsia="Arial" w:hAnsi="Arial"/>
          <w:sz w:val="14"/>
          <w:szCs w:val="14"/>
          <w:b w:val="1"/>
          <w:bCs w:val="1"/>
          <w:color w:val="D7282F"/>
        </w:rPr>
      </w:pPr>
      <w:r>
        <w:rPr>
          <w:rFonts w:ascii="Arial" w:cs="Arial" w:eastAsia="Arial" w:hAnsi="Arial"/>
          <w:sz w:val="16"/>
          <w:szCs w:val="16"/>
          <w:color w:val="auto"/>
        </w:rPr>
        <w:t>Drove operational performance that consistently exceeded expectations, resulting in three increases in the 2025 adjusted earnings per share guidance midpoint from $10.30 to $10.65.</w:t>
      </w:r>
    </w:p>
    <w:p>
      <w:pPr>
        <w:spacing w:after="0" w:line="20" w:lineRule="exact"/>
        <w:rPr>
          <w:rFonts w:ascii="Arial" w:cs="Arial" w:eastAsia="Arial" w:hAnsi="Arial"/>
          <w:sz w:val="14"/>
          <w:szCs w:val="14"/>
          <w:b w:val="1"/>
          <w:bCs w:val="1"/>
          <w:color w:val="D7282F"/>
        </w:rPr>
      </w:pPr>
    </w:p>
    <w:p>
      <w:pPr>
        <w:ind w:left="200" w:right="440" w:hanging="191"/>
        <w:spacing w:after="0" w:line="286" w:lineRule="auto"/>
        <w:tabs>
          <w:tab w:leader="none" w:pos="191" w:val="left"/>
        </w:tabs>
        <w:numPr>
          <w:ilvl w:val="0"/>
          <w:numId w:val="152"/>
        </w:numPr>
        <w:rPr>
          <w:rFonts w:ascii="Arial" w:cs="Arial" w:eastAsia="Arial" w:hAnsi="Arial"/>
          <w:sz w:val="14"/>
          <w:szCs w:val="14"/>
          <w:b w:val="1"/>
          <w:bCs w:val="1"/>
          <w:color w:val="D7282F"/>
        </w:rPr>
      </w:pPr>
      <w:r>
        <w:rPr>
          <w:rFonts w:ascii="Arial" w:cs="Arial" w:eastAsia="Arial" w:hAnsi="Arial"/>
          <w:sz w:val="16"/>
          <w:szCs w:val="16"/>
          <w:color w:val="auto"/>
        </w:rPr>
        <w:t>Proactively drove the establishment of plan to right-size Honeywell’s cost structure ahead of the announced separation of Honeywell from Honeywell Aerospace.</w:t>
      </w:r>
    </w:p>
    <w:p>
      <w:pPr>
        <w:spacing w:after="0" w:line="20" w:lineRule="exact"/>
        <w:rPr>
          <w:rFonts w:ascii="Arial" w:cs="Arial" w:eastAsia="Arial" w:hAnsi="Arial"/>
          <w:sz w:val="14"/>
          <w:szCs w:val="14"/>
          <w:b w:val="1"/>
          <w:bCs w:val="1"/>
          <w:color w:val="D7282F"/>
        </w:rPr>
      </w:pPr>
    </w:p>
    <w:p>
      <w:pPr>
        <w:ind w:left="200" w:right="20" w:hanging="191"/>
        <w:spacing w:after="0" w:line="265" w:lineRule="auto"/>
        <w:tabs>
          <w:tab w:leader="none" w:pos="191" w:val="left"/>
        </w:tabs>
        <w:numPr>
          <w:ilvl w:val="0"/>
          <w:numId w:val="152"/>
        </w:numPr>
        <w:rPr>
          <w:rFonts w:ascii="Arial" w:cs="Arial" w:eastAsia="Arial" w:hAnsi="Arial"/>
          <w:sz w:val="14"/>
          <w:szCs w:val="14"/>
          <w:b w:val="1"/>
          <w:bCs w:val="1"/>
          <w:color w:val="D7282F"/>
        </w:rPr>
      </w:pPr>
      <w:r>
        <w:rPr>
          <w:rFonts w:ascii="Arial" w:cs="Arial" w:eastAsia="Arial" w:hAnsi="Arial"/>
          <w:sz w:val="16"/>
          <w:szCs w:val="16"/>
          <w:color w:val="auto"/>
        </w:rPr>
        <w:t>Advanced transformation initiatives, while diligently managing separation and stranded costs, resulting in Solstice Advanced Materials becoming a standalone organization ahead of the externally committed timeline as well as the separation of Honeywell from Honeywell Aerospace remaining on track to be completed in the third quarter of 2026.</w:t>
      </w:r>
    </w:p>
    <w:p>
      <w:pPr>
        <w:spacing w:after="0" w:line="37" w:lineRule="exact"/>
        <w:rPr>
          <w:rFonts w:ascii="Arial" w:cs="Arial" w:eastAsia="Arial" w:hAnsi="Arial"/>
          <w:sz w:val="14"/>
          <w:szCs w:val="14"/>
          <w:b w:val="1"/>
          <w:bCs w:val="1"/>
          <w:color w:val="D7282F"/>
        </w:rPr>
      </w:pPr>
    </w:p>
    <w:p>
      <w:pPr>
        <w:ind w:left="200" w:right="80" w:hanging="191"/>
        <w:spacing w:after="0" w:line="265" w:lineRule="auto"/>
        <w:tabs>
          <w:tab w:leader="none" w:pos="191" w:val="left"/>
        </w:tabs>
        <w:numPr>
          <w:ilvl w:val="0"/>
          <w:numId w:val="152"/>
        </w:numPr>
        <w:rPr>
          <w:rFonts w:ascii="Arial" w:cs="Arial" w:eastAsia="Arial" w:hAnsi="Arial"/>
          <w:sz w:val="14"/>
          <w:szCs w:val="14"/>
          <w:b w:val="1"/>
          <w:bCs w:val="1"/>
          <w:color w:val="D7282F"/>
        </w:rPr>
      </w:pPr>
      <w:r>
        <w:rPr>
          <w:rFonts w:ascii="Arial" w:cs="Arial" w:eastAsia="Arial" w:hAnsi="Arial"/>
          <w:sz w:val="16"/>
          <w:szCs w:val="16"/>
          <w:color w:val="auto"/>
        </w:rPr>
        <w:t>Executive sponsor for the All Abilities Employee Network, aimed at enabling a disability-inclusive culture and driving disability-inclusive innovation. Accomplishments in 2025 included a 15.8% increase in membership and a doubling of the number of submissions for Ideathon, with three quarters of the submissions outside the U.S., demonstrating global reach and participation.</w:t>
      </w:r>
    </w:p>
    <w:p>
      <w:pPr>
        <w:spacing w:after="0" w:line="200" w:lineRule="exact"/>
        <w:rPr>
          <w:sz w:val="20"/>
          <w:szCs w:val="20"/>
          <w:color w:val="auto"/>
        </w:rPr>
      </w:pPr>
    </w:p>
    <w:p>
      <w:pPr>
        <w:sectPr>
          <w:pgSz w:w="11900" w:h="16838" w:orient="portrait"/>
          <w:cols w:equalWidth="0" w:num="2">
            <w:col w:w="2340" w:space="520"/>
            <w:col w:w="8320"/>
          </w:cols>
          <w:pgMar w:left="320" w:top="230"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70</w:t>
      </w:r>
      <w:r>
        <w:rPr>
          <w:sz w:val="20"/>
          <w:szCs w:val="20"/>
          <w:color w:val="auto"/>
        </w:rPr>
        <w:tab/>
      </w:r>
      <w:r>
        <w:rPr>
          <w:sz w:val="1"/>
          <w:szCs w:val="1"/>
          <w:color w:val="auto"/>
        </w:rPr>
        <w:drawing>
          <wp:inline distT="0" distB="0" distL="0" distR="0">
            <wp:extent cx="548640" cy="102870"/>
            <wp:effectExtent l="0" t="0" r="0" b="0"/>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2026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247015</wp:posOffset>
            </wp:positionV>
            <wp:extent cx="715772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30" w:right="399" w:bottom="1440" w:gutter="0" w:footer="0" w:header="0"/>
          <w:type w:val="continuous"/>
        </w:sectPr>
      </w:pPr>
    </w:p>
    <w:bookmarkStart w:id="76" w:name="page77"/>
    <w:bookmarkEnd w:id="76"/>
    <w:p>
      <w:pPr>
        <w:ind w:left="8440"/>
        <w:spacing w:after="0"/>
        <w:rPr>
          <w:sz w:val="20"/>
          <w:szCs w:val="20"/>
          <w:color w:val="auto"/>
        </w:rPr>
      </w:pPr>
      <w:r>
        <w:rPr>
          <w:rFonts w:ascii="Arial" w:cs="Arial" w:eastAsia="Arial" w:hAnsi="Arial"/>
          <w:sz w:val="12"/>
          <w:szCs w:val="12"/>
          <w:b w:val="1"/>
          <w:bCs w:val="1"/>
          <w:color w:val="6D6E71"/>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626745</wp:posOffset>
            </wp:positionV>
            <wp:extent cx="7123430" cy="4072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23430" cy="407225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D7282F"/>
        </w:rPr>
        <w:t>JAMES CURRIER</w:t>
      </w:r>
    </w:p>
    <w:p>
      <w:pPr>
        <w:spacing w:after="0" w:line="39" w:lineRule="exact"/>
        <w:rPr>
          <w:sz w:val="20"/>
          <w:szCs w:val="20"/>
          <w:color w:val="auto"/>
        </w:rPr>
      </w:pPr>
    </w:p>
    <w:p>
      <w:pPr>
        <w:ind w:left="20"/>
        <w:spacing w:after="0" w:line="293" w:lineRule="auto"/>
        <w:rPr>
          <w:sz w:val="20"/>
          <w:szCs w:val="20"/>
          <w:color w:val="auto"/>
        </w:rPr>
      </w:pPr>
      <w:r>
        <w:rPr>
          <w:rFonts w:ascii="Arial" w:cs="Arial" w:eastAsia="Arial" w:hAnsi="Arial"/>
          <w:sz w:val="14"/>
          <w:szCs w:val="14"/>
          <w:b w:val="1"/>
          <w:bCs w:val="1"/>
          <w:color w:val="auto"/>
        </w:rPr>
        <w:t>PRESIDENT AND CEO, AEROSPACE TECHNOLOGIES (AT)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D7282F"/>
        </w:rPr>
        <w:t>MR. CURRIER — QUALITATIVE CONSIDERATIONS</w:t>
      </w:r>
    </w:p>
    <w:p>
      <w:pPr>
        <w:spacing w:after="0" w:line="86" w:lineRule="exact"/>
        <w:rPr>
          <w:sz w:val="20"/>
          <w:szCs w:val="20"/>
          <w:color w:val="auto"/>
        </w:rPr>
      </w:pPr>
    </w:p>
    <w:p>
      <w:pPr>
        <w:ind w:left="200" w:right="320" w:hanging="191"/>
        <w:spacing w:after="0" w:line="286" w:lineRule="auto"/>
        <w:tabs>
          <w:tab w:leader="none" w:pos="197" w:val="left"/>
        </w:tabs>
        <w:numPr>
          <w:ilvl w:val="0"/>
          <w:numId w:val="153"/>
        </w:numPr>
        <w:rPr>
          <w:rFonts w:ascii="Arial" w:cs="Arial" w:eastAsia="Arial" w:hAnsi="Arial"/>
          <w:sz w:val="16"/>
          <w:szCs w:val="16"/>
          <w:b w:val="1"/>
          <w:bCs w:val="1"/>
          <w:color w:val="D7282F"/>
        </w:rPr>
      </w:pPr>
      <w:r>
        <w:rPr>
          <w:rFonts w:ascii="Arial" w:cs="Arial" w:eastAsia="Arial" w:hAnsi="Arial"/>
          <w:sz w:val="16"/>
          <w:szCs w:val="16"/>
          <w:color w:val="auto"/>
        </w:rPr>
        <w:t>Led Aerospace Technologies to record revenue of $17.5 billion, or $17.8 billion adjusted, delivering 13% year-over-year reported growth and 12% organic growth.</w:t>
      </w:r>
    </w:p>
    <w:p>
      <w:pPr>
        <w:spacing w:after="0" w:line="20" w:lineRule="exact"/>
        <w:rPr>
          <w:rFonts w:ascii="Arial" w:cs="Arial" w:eastAsia="Arial" w:hAnsi="Arial"/>
          <w:sz w:val="16"/>
          <w:szCs w:val="16"/>
          <w:b w:val="1"/>
          <w:bCs w:val="1"/>
          <w:color w:val="D7282F"/>
        </w:rPr>
      </w:pPr>
    </w:p>
    <w:p>
      <w:pPr>
        <w:ind w:left="200" w:right="320" w:hanging="191"/>
        <w:spacing w:after="0" w:line="286" w:lineRule="auto"/>
        <w:tabs>
          <w:tab w:leader="none" w:pos="197" w:val="left"/>
        </w:tabs>
        <w:numPr>
          <w:ilvl w:val="0"/>
          <w:numId w:val="153"/>
        </w:numPr>
        <w:rPr>
          <w:rFonts w:ascii="Arial" w:cs="Arial" w:eastAsia="Arial" w:hAnsi="Arial"/>
          <w:sz w:val="16"/>
          <w:szCs w:val="16"/>
          <w:b w:val="1"/>
          <w:bCs w:val="1"/>
          <w:color w:val="D7282F"/>
        </w:rPr>
      </w:pPr>
      <w:r>
        <w:rPr>
          <w:rFonts w:ascii="Arial" w:cs="Arial" w:eastAsia="Arial" w:hAnsi="Arial"/>
          <w:sz w:val="16"/>
          <w:szCs w:val="16"/>
          <w:color w:val="auto"/>
        </w:rPr>
        <w:t>Steered the organization to 13 consecutive quarters of double-digit production output growth, with high-impact new product introductions and continued expansion of our services portfolio.</w:t>
      </w:r>
    </w:p>
    <w:p>
      <w:pPr>
        <w:spacing w:after="0" w:line="20" w:lineRule="exact"/>
        <w:rPr>
          <w:rFonts w:ascii="Arial" w:cs="Arial" w:eastAsia="Arial" w:hAnsi="Arial"/>
          <w:sz w:val="16"/>
          <w:szCs w:val="16"/>
          <w:b w:val="1"/>
          <w:bCs w:val="1"/>
          <w:color w:val="D7282F"/>
        </w:rPr>
      </w:pPr>
    </w:p>
    <w:p>
      <w:pPr>
        <w:ind w:left="200" w:right="380" w:hanging="191"/>
        <w:spacing w:after="0" w:line="265" w:lineRule="auto"/>
        <w:tabs>
          <w:tab w:leader="none" w:pos="197" w:val="left"/>
        </w:tabs>
        <w:numPr>
          <w:ilvl w:val="0"/>
          <w:numId w:val="153"/>
        </w:numPr>
        <w:rPr>
          <w:rFonts w:ascii="Arial" w:cs="Arial" w:eastAsia="Arial" w:hAnsi="Arial"/>
          <w:sz w:val="16"/>
          <w:szCs w:val="16"/>
          <w:b w:val="1"/>
          <w:bCs w:val="1"/>
          <w:color w:val="D7282F"/>
        </w:rPr>
      </w:pPr>
      <w:r>
        <w:rPr>
          <w:rFonts w:ascii="Arial" w:cs="Arial" w:eastAsia="Arial" w:hAnsi="Arial"/>
          <w:sz w:val="16"/>
          <w:szCs w:val="16"/>
          <w:color w:val="auto"/>
        </w:rPr>
        <w:t>Achieved numerous, high-impact strategic wins including five incremental customer deals across Honeywell Attune™ (high-density cooling), Honeywell Assure™ (electric actuation), and Honeywell Anthem (integrated avionics). These awards increased the total estimated lifetime value for these platforms to approximately $26 billion.</w:t>
      </w:r>
    </w:p>
    <w:p>
      <w:pPr>
        <w:spacing w:after="0" w:line="37" w:lineRule="exact"/>
        <w:rPr>
          <w:rFonts w:ascii="Arial" w:cs="Arial" w:eastAsia="Arial" w:hAnsi="Arial"/>
          <w:sz w:val="16"/>
          <w:szCs w:val="16"/>
          <w:b w:val="1"/>
          <w:bCs w:val="1"/>
          <w:color w:val="D7282F"/>
        </w:rPr>
      </w:pPr>
    </w:p>
    <w:p>
      <w:pPr>
        <w:ind w:left="200" w:right="660" w:hanging="191"/>
        <w:spacing w:after="0" w:line="286" w:lineRule="auto"/>
        <w:tabs>
          <w:tab w:leader="none" w:pos="197" w:val="left"/>
        </w:tabs>
        <w:numPr>
          <w:ilvl w:val="0"/>
          <w:numId w:val="153"/>
        </w:numPr>
        <w:rPr>
          <w:rFonts w:ascii="Arial" w:cs="Arial" w:eastAsia="Arial" w:hAnsi="Arial"/>
          <w:sz w:val="16"/>
          <w:szCs w:val="16"/>
          <w:b w:val="1"/>
          <w:bCs w:val="1"/>
          <w:color w:val="D7282F"/>
        </w:rPr>
      </w:pPr>
      <w:r>
        <w:rPr>
          <w:rFonts w:ascii="Arial" w:cs="Arial" w:eastAsia="Arial" w:hAnsi="Arial"/>
          <w:sz w:val="16"/>
          <w:szCs w:val="16"/>
          <w:color w:val="auto"/>
        </w:rPr>
        <w:t>Grew defense and space business to $7.2 billion of revenue, marking another year of double-digit growth supported by expanded deployment of commercial technologies to meet defense requirements.</w:t>
      </w:r>
    </w:p>
    <w:p>
      <w:pPr>
        <w:spacing w:after="0" w:line="20" w:lineRule="exact"/>
        <w:rPr>
          <w:rFonts w:ascii="Arial" w:cs="Arial" w:eastAsia="Arial" w:hAnsi="Arial"/>
          <w:sz w:val="16"/>
          <w:szCs w:val="16"/>
          <w:b w:val="1"/>
          <w:bCs w:val="1"/>
          <w:color w:val="D7282F"/>
        </w:rPr>
      </w:pPr>
    </w:p>
    <w:p>
      <w:pPr>
        <w:ind w:left="200" w:right="300" w:hanging="191"/>
        <w:spacing w:after="0" w:line="286" w:lineRule="auto"/>
        <w:tabs>
          <w:tab w:leader="none" w:pos="197" w:val="left"/>
        </w:tabs>
        <w:numPr>
          <w:ilvl w:val="0"/>
          <w:numId w:val="153"/>
        </w:numPr>
        <w:rPr>
          <w:rFonts w:ascii="Arial" w:cs="Arial" w:eastAsia="Arial" w:hAnsi="Arial"/>
          <w:sz w:val="16"/>
          <w:szCs w:val="16"/>
          <w:b w:val="1"/>
          <w:bCs w:val="1"/>
          <w:color w:val="D7282F"/>
        </w:rPr>
      </w:pPr>
      <w:r>
        <w:rPr>
          <w:rFonts w:ascii="Arial" w:cs="Arial" w:eastAsia="Arial" w:hAnsi="Arial"/>
          <w:sz w:val="16"/>
          <w:szCs w:val="16"/>
          <w:color w:val="auto"/>
        </w:rPr>
        <w:t>Expanded the commercial aftermarket services business, delivering more than 13% organic growth year-over-year, with continued strength in repairs, spares, and RMUs (retrofits, modifications, and upgrades).</w:t>
      </w:r>
    </w:p>
    <w:p>
      <w:pPr>
        <w:spacing w:after="0" w:line="20" w:lineRule="exact"/>
        <w:rPr>
          <w:rFonts w:ascii="Arial" w:cs="Arial" w:eastAsia="Arial" w:hAnsi="Arial"/>
          <w:sz w:val="16"/>
          <w:szCs w:val="16"/>
          <w:b w:val="1"/>
          <w:bCs w:val="1"/>
          <w:color w:val="D7282F"/>
        </w:rPr>
      </w:pPr>
    </w:p>
    <w:p>
      <w:pPr>
        <w:ind w:left="200" w:right="40" w:hanging="191"/>
        <w:spacing w:after="0" w:line="265" w:lineRule="auto"/>
        <w:tabs>
          <w:tab w:leader="none" w:pos="197" w:val="left"/>
        </w:tabs>
        <w:numPr>
          <w:ilvl w:val="0"/>
          <w:numId w:val="153"/>
        </w:numPr>
        <w:rPr>
          <w:rFonts w:ascii="Arial" w:cs="Arial" w:eastAsia="Arial" w:hAnsi="Arial"/>
          <w:sz w:val="16"/>
          <w:szCs w:val="16"/>
          <w:b w:val="1"/>
          <w:bCs w:val="1"/>
          <w:color w:val="D7282F"/>
        </w:rPr>
      </w:pPr>
      <w:r>
        <w:rPr>
          <w:rFonts w:ascii="Arial" w:cs="Arial" w:eastAsia="Arial" w:hAnsi="Arial"/>
          <w:sz w:val="16"/>
          <w:szCs w:val="16"/>
          <w:color w:val="auto"/>
        </w:rPr>
        <w:t>Drove significant progress integrating the CAES and Civitanavi acquisitions, meeting key integration milestones in their first full year within the Company’s portfolio, with new technology capabilities in radio frequency, electromagnetic defense, and precision navigation already exceeding revenue synergy targets and expanding Honeywell’s addressable market.</w:t>
      </w:r>
    </w:p>
    <w:p>
      <w:pPr>
        <w:spacing w:after="0" w:line="37" w:lineRule="exact"/>
        <w:rPr>
          <w:rFonts w:ascii="Arial" w:cs="Arial" w:eastAsia="Arial" w:hAnsi="Arial"/>
          <w:sz w:val="16"/>
          <w:szCs w:val="16"/>
          <w:b w:val="1"/>
          <w:bCs w:val="1"/>
          <w:color w:val="D7282F"/>
        </w:rPr>
      </w:pPr>
    </w:p>
    <w:p>
      <w:pPr>
        <w:ind w:left="200" w:right="340" w:hanging="191"/>
        <w:spacing w:after="0" w:line="286" w:lineRule="auto"/>
        <w:tabs>
          <w:tab w:leader="none" w:pos="197" w:val="left"/>
        </w:tabs>
        <w:numPr>
          <w:ilvl w:val="0"/>
          <w:numId w:val="153"/>
        </w:numPr>
        <w:rPr>
          <w:rFonts w:ascii="Arial" w:cs="Arial" w:eastAsia="Arial" w:hAnsi="Arial"/>
          <w:sz w:val="16"/>
          <w:szCs w:val="16"/>
          <w:b w:val="1"/>
          <w:bCs w:val="1"/>
          <w:color w:val="D7282F"/>
        </w:rPr>
      </w:pPr>
      <w:r>
        <w:rPr>
          <w:rFonts w:ascii="Arial" w:cs="Arial" w:eastAsia="Arial" w:hAnsi="Arial"/>
          <w:sz w:val="16"/>
          <w:szCs w:val="16"/>
          <w:color w:val="auto"/>
        </w:rPr>
        <w:t>Enabled multiple high-profile industry recognitions for Aerospace Technologies, including Arizona Chamber of Commerce’s “Hottest Product Made in Arizona” for the 131-9 APU supporting Airbus and Boeing programs.</w:t>
      </w:r>
    </w:p>
    <w:p>
      <w:pPr>
        <w:spacing w:after="0" w:line="20" w:lineRule="exact"/>
        <w:rPr>
          <w:rFonts w:ascii="Arial" w:cs="Arial" w:eastAsia="Arial" w:hAnsi="Arial"/>
          <w:sz w:val="16"/>
          <w:szCs w:val="16"/>
          <w:b w:val="1"/>
          <w:bCs w:val="1"/>
          <w:color w:val="D7282F"/>
        </w:rPr>
      </w:pPr>
    </w:p>
    <w:p>
      <w:pPr>
        <w:jc w:val="both"/>
        <w:ind w:left="200" w:right="480" w:hanging="191"/>
        <w:spacing w:after="0" w:line="275" w:lineRule="auto"/>
        <w:tabs>
          <w:tab w:leader="none" w:pos="197" w:val="left"/>
        </w:tabs>
        <w:numPr>
          <w:ilvl w:val="0"/>
          <w:numId w:val="153"/>
        </w:numPr>
        <w:rPr>
          <w:rFonts w:ascii="Arial" w:cs="Arial" w:eastAsia="Arial" w:hAnsi="Arial"/>
          <w:sz w:val="16"/>
          <w:szCs w:val="16"/>
          <w:b w:val="1"/>
          <w:bCs w:val="1"/>
          <w:color w:val="D7282F"/>
        </w:rPr>
      </w:pPr>
      <w:r>
        <w:rPr>
          <w:rFonts w:ascii="Arial" w:cs="Arial" w:eastAsia="Arial" w:hAnsi="Arial"/>
          <w:sz w:val="16"/>
          <w:szCs w:val="16"/>
          <w:color w:val="auto"/>
        </w:rPr>
        <w:t>Provided STEM learning opportunities to thousands of students within Arizona and worldwide, supported by flagship partnerships with the Arizona Diamondbacks, Player 15 Group (owner and manager of the Phoenix Mercury and Phoenix Suns), and Arizona Cardinals.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-1810385</wp:posOffset>
            </wp:positionH>
            <wp:positionV relativeFrom="paragraph">
              <wp:posOffset>1133475</wp:posOffset>
            </wp:positionV>
            <wp:extent cx="7123430" cy="290639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23430" cy="29063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40" w:space="320"/>
            <w:col w:w="8380"/>
          </w:cols>
          <w:pgMar w:left="320" w:top="2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D7282F"/>
        </w:rPr>
        <w:t>JAMES MASSO</w:t>
      </w:r>
    </w:p>
    <w:p>
      <w:pPr>
        <w:spacing w:after="0" w:line="39" w:lineRule="exact"/>
        <w:rPr>
          <w:sz w:val="20"/>
          <w:szCs w:val="20"/>
          <w:color w:val="auto"/>
        </w:rPr>
      </w:pPr>
    </w:p>
    <w:p>
      <w:pPr>
        <w:ind w:left="20"/>
        <w:spacing w:after="0" w:line="293" w:lineRule="auto"/>
        <w:rPr>
          <w:sz w:val="20"/>
          <w:szCs w:val="20"/>
          <w:color w:val="auto"/>
        </w:rPr>
      </w:pPr>
      <w:r>
        <w:rPr>
          <w:rFonts w:ascii="Arial" w:cs="Arial" w:eastAsia="Arial" w:hAnsi="Arial"/>
          <w:sz w:val="14"/>
          <w:szCs w:val="14"/>
          <w:b w:val="1"/>
          <w:bCs w:val="1"/>
          <w:color w:val="auto"/>
        </w:rPr>
        <w:t>PRESIDENT AND CEO, PROCESS AUTOMATION (PA)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D7282F"/>
        </w:rPr>
        <w:t>MR. MASSO — QUALITATIVE CONSIDERATIONS</w:t>
      </w:r>
    </w:p>
    <w:p>
      <w:pPr>
        <w:spacing w:after="0" w:line="73" w:lineRule="exact"/>
        <w:rPr>
          <w:sz w:val="20"/>
          <w:szCs w:val="20"/>
          <w:color w:val="auto"/>
        </w:rPr>
      </w:pPr>
    </w:p>
    <w:p>
      <w:pPr>
        <w:ind w:left="200" w:right="160" w:hanging="191"/>
        <w:spacing w:after="0" w:line="299" w:lineRule="auto"/>
        <w:tabs>
          <w:tab w:leader="none" w:pos="197" w:val="left"/>
        </w:tabs>
        <w:numPr>
          <w:ilvl w:val="0"/>
          <w:numId w:val="154"/>
        </w:numPr>
        <w:rPr>
          <w:rFonts w:ascii="Arial" w:cs="Arial" w:eastAsia="Arial" w:hAnsi="Arial"/>
          <w:sz w:val="16"/>
          <w:szCs w:val="16"/>
          <w:b w:val="1"/>
          <w:bCs w:val="1"/>
          <w:color w:val="D7282F"/>
        </w:rPr>
      </w:pPr>
      <w:r>
        <w:rPr>
          <w:rFonts w:ascii="Arial" w:cs="Arial" w:eastAsia="Arial" w:hAnsi="Arial"/>
          <w:sz w:val="16"/>
          <w:szCs w:val="16"/>
          <w:color w:val="auto"/>
        </w:rPr>
        <w:t>Executed strong pricing and productivity actions, driving more than $100M of commercial excellence benefit and 120 basis points improvement in fixed cost as a percentage of sales.</w:t>
      </w:r>
    </w:p>
    <w:p>
      <w:pPr>
        <w:ind w:left="200" w:right="220" w:hanging="191"/>
        <w:spacing w:after="0" w:line="304" w:lineRule="auto"/>
        <w:tabs>
          <w:tab w:leader="none" w:pos="197" w:val="left"/>
        </w:tabs>
        <w:numPr>
          <w:ilvl w:val="0"/>
          <w:numId w:val="154"/>
        </w:numPr>
        <w:rPr>
          <w:rFonts w:ascii="Arial" w:cs="Arial" w:eastAsia="Arial" w:hAnsi="Arial"/>
          <w:sz w:val="16"/>
          <w:szCs w:val="16"/>
          <w:b w:val="1"/>
          <w:bCs w:val="1"/>
          <w:color w:val="D7282F"/>
        </w:rPr>
      </w:pPr>
      <w:r>
        <w:rPr>
          <w:rFonts w:ascii="Arial" w:cs="Arial" w:eastAsia="Arial" w:hAnsi="Arial"/>
          <w:sz w:val="16"/>
          <w:szCs w:val="16"/>
          <w:color w:val="auto"/>
        </w:rPr>
        <w:t>Pivoted R&amp;D investments towards high-impact decoupled software and annual recurring revenue (ARR) growth opportunities, enabling over $800 million of ARR in 2025.</w:t>
      </w:r>
    </w:p>
    <w:p>
      <w:pPr>
        <w:spacing w:after="0" w:line="6" w:lineRule="exact"/>
        <w:rPr>
          <w:rFonts w:ascii="Arial" w:cs="Arial" w:eastAsia="Arial" w:hAnsi="Arial"/>
          <w:sz w:val="16"/>
          <w:szCs w:val="16"/>
          <w:b w:val="1"/>
          <w:bCs w:val="1"/>
          <w:color w:val="D7282F"/>
        </w:rPr>
      </w:pPr>
    </w:p>
    <w:p>
      <w:pPr>
        <w:ind w:left="200" w:right="260" w:hanging="191"/>
        <w:spacing w:after="0" w:line="286" w:lineRule="auto"/>
        <w:tabs>
          <w:tab w:leader="none" w:pos="197" w:val="left"/>
        </w:tabs>
        <w:numPr>
          <w:ilvl w:val="0"/>
          <w:numId w:val="154"/>
        </w:numPr>
        <w:rPr>
          <w:rFonts w:ascii="Arial" w:cs="Arial" w:eastAsia="Arial" w:hAnsi="Arial"/>
          <w:sz w:val="16"/>
          <w:szCs w:val="16"/>
          <w:b w:val="1"/>
          <w:bCs w:val="1"/>
          <w:color w:val="D7282F"/>
        </w:rPr>
      </w:pPr>
      <w:r>
        <w:rPr>
          <w:rFonts w:ascii="Arial" w:cs="Arial" w:eastAsia="Arial" w:hAnsi="Arial"/>
          <w:sz w:val="16"/>
          <w:szCs w:val="16"/>
          <w:color w:val="auto"/>
        </w:rPr>
        <w:t>Led the transformation of Process Automation’s Life Sciences business, resulting in orders growing ~15% on a year-over-year basis.</w:t>
      </w:r>
    </w:p>
    <w:p>
      <w:pPr>
        <w:spacing w:after="0" w:line="20" w:lineRule="exact"/>
        <w:rPr>
          <w:rFonts w:ascii="Arial" w:cs="Arial" w:eastAsia="Arial" w:hAnsi="Arial"/>
          <w:sz w:val="16"/>
          <w:szCs w:val="16"/>
          <w:b w:val="1"/>
          <w:bCs w:val="1"/>
          <w:color w:val="D7282F"/>
        </w:rPr>
      </w:pPr>
    </w:p>
    <w:p>
      <w:pPr>
        <w:ind w:left="200" w:right="140" w:hanging="191"/>
        <w:spacing w:after="0" w:line="286" w:lineRule="auto"/>
        <w:tabs>
          <w:tab w:leader="none" w:pos="197" w:val="left"/>
        </w:tabs>
        <w:numPr>
          <w:ilvl w:val="0"/>
          <w:numId w:val="154"/>
        </w:numPr>
        <w:rPr>
          <w:rFonts w:ascii="Arial" w:cs="Arial" w:eastAsia="Arial" w:hAnsi="Arial"/>
          <w:sz w:val="16"/>
          <w:szCs w:val="16"/>
          <w:b w:val="1"/>
          <w:bCs w:val="1"/>
          <w:color w:val="D7282F"/>
        </w:rPr>
      </w:pPr>
      <w:r>
        <w:rPr>
          <w:rFonts w:ascii="Arial" w:cs="Arial" w:eastAsia="Arial" w:hAnsi="Arial"/>
          <w:sz w:val="16"/>
          <w:szCs w:val="16"/>
          <w:color w:val="auto"/>
        </w:rPr>
        <w:t>Achieved more than $400 million in strategic wins across numerous core customers, including significant awards from Exxon and Aramco.</w:t>
      </w:r>
    </w:p>
    <w:p>
      <w:pPr>
        <w:spacing w:after="0" w:line="20" w:lineRule="exact"/>
        <w:rPr>
          <w:rFonts w:ascii="Arial" w:cs="Arial" w:eastAsia="Arial" w:hAnsi="Arial"/>
          <w:sz w:val="16"/>
          <w:szCs w:val="16"/>
          <w:b w:val="1"/>
          <w:bCs w:val="1"/>
          <w:color w:val="D7282F"/>
        </w:rPr>
      </w:pPr>
    </w:p>
    <w:p>
      <w:pPr>
        <w:ind w:left="200" w:right="120" w:hanging="191"/>
        <w:spacing w:after="0" w:line="286" w:lineRule="auto"/>
        <w:tabs>
          <w:tab w:leader="none" w:pos="197" w:val="left"/>
        </w:tabs>
        <w:numPr>
          <w:ilvl w:val="0"/>
          <w:numId w:val="154"/>
        </w:numPr>
        <w:rPr>
          <w:rFonts w:ascii="Arial" w:cs="Arial" w:eastAsia="Arial" w:hAnsi="Arial"/>
          <w:sz w:val="16"/>
          <w:szCs w:val="16"/>
          <w:b w:val="1"/>
          <w:bCs w:val="1"/>
          <w:color w:val="D7282F"/>
        </w:rPr>
      </w:pPr>
      <w:r>
        <w:rPr>
          <w:rFonts w:ascii="Arial" w:cs="Arial" w:eastAsia="Arial" w:hAnsi="Arial"/>
          <w:sz w:val="16"/>
          <w:szCs w:val="16"/>
          <w:color w:val="auto"/>
        </w:rPr>
        <w:t>Built the industry’s largest ecosystem of connected control systems, now a platform enabled by Honeywell Forge poised for significant ARR growth.</w:t>
      </w:r>
    </w:p>
    <w:p>
      <w:pPr>
        <w:spacing w:after="0" w:line="20" w:lineRule="exact"/>
        <w:rPr>
          <w:rFonts w:ascii="Arial" w:cs="Arial" w:eastAsia="Arial" w:hAnsi="Arial"/>
          <w:sz w:val="16"/>
          <w:szCs w:val="16"/>
          <w:b w:val="1"/>
          <w:bCs w:val="1"/>
          <w:color w:val="D7282F"/>
        </w:rPr>
      </w:pPr>
    </w:p>
    <w:p>
      <w:pPr>
        <w:ind w:left="200" w:right="660" w:hanging="191"/>
        <w:spacing w:after="0" w:line="286" w:lineRule="auto"/>
        <w:tabs>
          <w:tab w:leader="none" w:pos="197" w:val="left"/>
        </w:tabs>
        <w:numPr>
          <w:ilvl w:val="0"/>
          <w:numId w:val="154"/>
        </w:numPr>
        <w:rPr>
          <w:rFonts w:ascii="Arial" w:cs="Arial" w:eastAsia="Arial" w:hAnsi="Arial"/>
          <w:sz w:val="16"/>
          <w:szCs w:val="16"/>
          <w:b w:val="1"/>
          <w:bCs w:val="1"/>
          <w:color w:val="D7282F"/>
        </w:rPr>
      </w:pPr>
      <w:r>
        <w:rPr>
          <w:rFonts w:ascii="Arial" w:cs="Arial" w:eastAsia="Arial" w:hAnsi="Arial"/>
          <w:sz w:val="16"/>
          <w:szCs w:val="16"/>
          <w:color w:val="auto"/>
        </w:rPr>
        <w:t>Finalized a strategic collaboration with ADNOC to support the industry-first autonomous operations of the Borouge Ethylene Plant.</w:t>
      </w:r>
    </w:p>
    <w:p>
      <w:pPr>
        <w:spacing w:after="0" w:line="20" w:lineRule="exact"/>
        <w:rPr>
          <w:rFonts w:ascii="Arial" w:cs="Arial" w:eastAsia="Arial" w:hAnsi="Arial"/>
          <w:sz w:val="16"/>
          <w:szCs w:val="16"/>
          <w:b w:val="1"/>
          <w:bCs w:val="1"/>
          <w:color w:val="D7282F"/>
        </w:rPr>
      </w:pPr>
    </w:p>
    <w:p>
      <w:pPr>
        <w:ind w:left="200" w:right="100" w:hanging="191"/>
        <w:spacing w:after="0" w:line="286" w:lineRule="auto"/>
        <w:tabs>
          <w:tab w:leader="none" w:pos="197" w:val="left"/>
        </w:tabs>
        <w:numPr>
          <w:ilvl w:val="0"/>
          <w:numId w:val="154"/>
        </w:numPr>
        <w:rPr>
          <w:rFonts w:ascii="Arial" w:cs="Arial" w:eastAsia="Arial" w:hAnsi="Arial"/>
          <w:sz w:val="16"/>
          <w:szCs w:val="16"/>
          <w:b w:val="1"/>
          <w:bCs w:val="1"/>
          <w:color w:val="D7282F"/>
        </w:rPr>
      </w:pPr>
      <w:r>
        <w:rPr>
          <w:rFonts w:ascii="Arial" w:cs="Arial" w:eastAsia="Arial" w:hAnsi="Arial"/>
          <w:sz w:val="16"/>
          <w:szCs w:val="16"/>
          <w:color w:val="auto"/>
        </w:rPr>
        <w:t>Established a structured approach to collaborative pursuits with Process Technologies, driving close coordination between the businesses and resulting in significant orders growth in the LNG vertical.</w:t>
      </w:r>
    </w:p>
    <w:p>
      <w:pPr>
        <w:spacing w:after="0" w:line="20" w:lineRule="exact"/>
        <w:rPr>
          <w:rFonts w:ascii="Arial" w:cs="Arial" w:eastAsia="Arial" w:hAnsi="Arial"/>
          <w:sz w:val="16"/>
          <w:szCs w:val="16"/>
          <w:b w:val="1"/>
          <w:bCs w:val="1"/>
          <w:color w:val="D7282F"/>
        </w:rPr>
      </w:pPr>
    </w:p>
    <w:p>
      <w:pPr>
        <w:ind w:left="200" w:right="320" w:hanging="191"/>
        <w:spacing w:after="0" w:line="304" w:lineRule="auto"/>
        <w:tabs>
          <w:tab w:leader="none" w:pos="197" w:val="left"/>
        </w:tabs>
        <w:numPr>
          <w:ilvl w:val="0"/>
          <w:numId w:val="154"/>
        </w:numPr>
        <w:rPr>
          <w:rFonts w:ascii="Arial" w:cs="Arial" w:eastAsia="Arial" w:hAnsi="Arial"/>
          <w:sz w:val="16"/>
          <w:szCs w:val="16"/>
          <w:b w:val="1"/>
          <w:bCs w:val="1"/>
          <w:color w:val="D7282F"/>
        </w:rPr>
      </w:pPr>
      <w:r>
        <w:rPr>
          <w:rFonts w:ascii="Arial" w:cs="Arial" w:eastAsia="Arial" w:hAnsi="Arial"/>
          <w:sz w:val="16"/>
          <w:szCs w:val="16"/>
          <w:color w:val="auto"/>
        </w:rPr>
        <w:t>Achieved an 18% decrease in working capital requirements and Company-best free cash flow conversion well above 100%.</w:t>
      </w:r>
    </w:p>
    <w:p>
      <w:pPr>
        <w:spacing w:after="0" w:line="200" w:lineRule="exact"/>
        <w:rPr>
          <w:sz w:val="20"/>
          <w:szCs w:val="20"/>
          <w:color w:val="auto"/>
        </w:rPr>
      </w:pPr>
    </w:p>
    <w:p>
      <w:pPr>
        <w:sectPr>
          <w:pgSz w:w="11900" w:h="16838" w:orient="portrait"/>
          <w:cols w:equalWidth="0" w:num="2">
            <w:col w:w="2340" w:space="520"/>
            <w:col w:w="8380"/>
          </w:cols>
          <w:pgMar w:left="320" w:top="2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2026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71</w:t>
            </w:r>
          </w:p>
        </w:tc>
      </w:tr>
      <w:tr>
        <w:trPr>
          <w:trHeight w:val="359"/>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-368300</wp:posOffset>
            </wp:positionV>
            <wp:extent cx="548640" cy="10287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12"/>
          <w:szCs w:val="12"/>
          <w:b w:val="1"/>
          <w:bCs w:val="1"/>
          <w:color w:val="6D6E71"/>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695325</wp:posOffset>
            </wp:positionV>
            <wp:extent cx="7123430" cy="394335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23430" cy="3943350"/>
                    </a:xfrm>
                    <a:prstGeom prst="rect">
                      <a:avLst/>
                    </a:prstGeom>
                    <a:noFill/>
                  </pic:spPr>
                </pic:pic>
              </a:graphicData>
            </a:graphic>
          </wp:anchor>
        </w:drawing>
      </w:r>
    </w:p>
    <w:p>
      <w:pPr>
        <w:sectPr>
          <w:pgSz w:w="11900" w:h="16838" w:orient="portrait"/>
          <w:cols w:equalWidth="0" w:num="1">
            <w:col w:w="11200"/>
          </w:cols>
          <w:pgMar w:left="320" w:top="23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D7282F"/>
        </w:rPr>
        <w:t>BILLAL HAMMOUD</w:t>
      </w:r>
    </w:p>
    <w:p>
      <w:pPr>
        <w:spacing w:after="0" w:line="39" w:lineRule="exact"/>
        <w:rPr>
          <w:sz w:val="20"/>
          <w:szCs w:val="20"/>
          <w:color w:val="auto"/>
        </w:rPr>
      </w:pPr>
    </w:p>
    <w:p>
      <w:pPr>
        <w:ind w:left="20" w:right="20"/>
        <w:spacing w:after="0" w:line="293" w:lineRule="auto"/>
        <w:rPr>
          <w:sz w:val="20"/>
          <w:szCs w:val="20"/>
          <w:color w:val="auto"/>
        </w:rPr>
      </w:pPr>
      <w:r>
        <w:rPr>
          <w:rFonts w:ascii="Arial" w:cs="Arial" w:eastAsia="Arial" w:hAnsi="Arial"/>
          <w:sz w:val="14"/>
          <w:szCs w:val="14"/>
          <w:b w:val="1"/>
          <w:bCs w:val="1"/>
          <w:color w:val="auto"/>
        </w:rPr>
        <w:t>PRESIDENT AND CEO, BUILDING AUTOMATION (BA)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color w:val="D7282F"/>
        </w:rPr>
        <w:t>MR. HAMMOUD — QUALITATIVE CONSIDERATIONS</w:t>
      </w:r>
    </w:p>
    <w:p>
      <w:pPr>
        <w:spacing w:after="0" w:line="86" w:lineRule="exact"/>
        <w:rPr>
          <w:sz w:val="20"/>
          <w:szCs w:val="20"/>
          <w:color w:val="auto"/>
        </w:rPr>
      </w:pPr>
    </w:p>
    <w:p>
      <w:pPr>
        <w:ind w:left="200" w:right="320" w:hanging="191"/>
        <w:spacing w:after="0" w:line="286" w:lineRule="auto"/>
        <w:tabs>
          <w:tab w:leader="none" w:pos="197" w:val="left"/>
        </w:tabs>
        <w:numPr>
          <w:ilvl w:val="0"/>
          <w:numId w:val="155"/>
        </w:numPr>
        <w:rPr>
          <w:rFonts w:ascii="Arial" w:cs="Arial" w:eastAsia="Arial" w:hAnsi="Arial"/>
          <w:sz w:val="16"/>
          <w:szCs w:val="16"/>
          <w:b w:val="1"/>
          <w:bCs w:val="1"/>
          <w:color w:val="D7282F"/>
        </w:rPr>
      </w:pPr>
      <w:r>
        <w:rPr>
          <w:rFonts w:ascii="Arial" w:cs="Arial" w:eastAsia="Arial" w:hAnsi="Arial"/>
          <w:sz w:val="16"/>
          <w:szCs w:val="16"/>
          <w:color w:val="auto"/>
        </w:rPr>
        <w:t>Created and deployed a strategy that transformed Building Automation, resulting in five quarters of consistent high-single-digit organic revenue growth starting in the fourth quarter of 2024.</w:t>
      </w:r>
    </w:p>
    <w:p>
      <w:pPr>
        <w:spacing w:after="0" w:line="20" w:lineRule="exact"/>
        <w:rPr>
          <w:rFonts w:ascii="Arial" w:cs="Arial" w:eastAsia="Arial" w:hAnsi="Arial"/>
          <w:sz w:val="16"/>
          <w:szCs w:val="16"/>
          <w:b w:val="1"/>
          <w:bCs w:val="1"/>
          <w:color w:val="D7282F"/>
        </w:rPr>
      </w:pPr>
    </w:p>
    <w:p>
      <w:pPr>
        <w:ind w:left="200" w:right="40" w:hanging="191"/>
        <w:spacing w:after="0" w:line="286" w:lineRule="auto"/>
        <w:tabs>
          <w:tab w:leader="none" w:pos="197" w:val="left"/>
        </w:tabs>
        <w:numPr>
          <w:ilvl w:val="0"/>
          <w:numId w:val="155"/>
        </w:numPr>
        <w:rPr>
          <w:rFonts w:ascii="Arial" w:cs="Arial" w:eastAsia="Arial" w:hAnsi="Arial"/>
          <w:sz w:val="16"/>
          <w:szCs w:val="16"/>
          <w:b w:val="1"/>
          <w:bCs w:val="1"/>
          <w:color w:val="D7282F"/>
        </w:rPr>
      </w:pPr>
      <w:r>
        <w:rPr>
          <w:rFonts w:ascii="Arial" w:cs="Arial" w:eastAsia="Arial" w:hAnsi="Arial"/>
          <w:sz w:val="16"/>
          <w:szCs w:val="16"/>
          <w:color w:val="auto"/>
        </w:rPr>
        <w:t>Enabled the business to grow and expand its presence in high growth verticals including data centers, hospitality, healthcare, and clean tech, with these sectors now growing at a strong double-digit rate.</w:t>
      </w:r>
    </w:p>
    <w:p>
      <w:pPr>
        <w:spacing w:after="0" w:line="20" w:lineRule="exact"/>
        <w:rPr>
          <w:rFonts w:ascii="Arial" w:cs="Arial" w:eastAsia="Arial" w:hAnsi="Arial"/>
          <w:sz w:val="16"/>
          <w:szCs w:val="16"/>
          <w:b w:val="1"/>
          <w:bCs w:val="1"/>
          <w:color w:val="D7282F"/>
        </w:rPr>
      </w:pPr>
    </w:p>
    <w:p>
      <w:pPr>
        <w:ind w:left="200" w:right="360" w:hanging="191"/>
        <w:spacing w:after="0" w:line="275" w:lineRule="auto"/>
        <w:tabs>
          <w:tab w:leader="none" w:pos="197" w:val="left"/>
        </w:tabs>
        <w:numPr>
          <w:ilvl w:val="0"/>
          <w:numId w:val="155"/>
        </w:numPr>
        <w:rPr>
          <w:rFonts w:ascii="Arial" w:cs="Arial" w:eastAsia="Arial" w:hAnsi="Arial"/>
          <w:sz w:val="16"/>
          <w:szCs w:val="16"/>
          <w:b w:val="1"/>
          <w:bCs w:val="1"/>
          <w:color w:val="D7282F"/>
        </w:rPr>
      </w:pPr>
      <w:r>
        <w:rPr>
          <w:rFonts w:ascii="Arial" w:cs="Arial" w:eastAsia="Arial" w:hAnsi="Arial"/>
          <w:sz w:val="16"/>
          <w:szCs w:val="16"/>
          <w:color w:val="auto"/>
        </w:rPr>
        <w:t>Introduced Forge Connected Building Solution, an AI-powered platform that autonomously onboards building assets in a few hours, digitizing the building, enabling remote operations, and addressing the skilled-labor shortage.</w:t>
      </w:r>
    </w:p>
    <w:p>
      <w:pPr>
        <w:spacing w:after="0" w:line="15" w:lineRule="exact"/>
        <w:rPr>
          <w:rFonts w:ascii="Arial" w:cs="Arial" w:eastAsia="Arial" w:hAnsi="Arial"/>
          <w:sz w:val="16"/>
          <w:szCs w:val="16"/>
          <w:b w:val="1"/>
          <w:bCs w:val="1"/>
          <w:color w:val="D7282F"/>
        </w:rPr>
      </w:pPr>
    </w:p>
    <w:p>
      <w:pPr>
        <w:ind w:left="200" w:right="80" w:hanging="191"/>
        <w:spacing w:after="0" w:line="304" w:lineRule="auto"/>
        <w:tabs>
          <w:tab w:leader="none" w:pos="197" w:val="left"/>
        </w:tabs>
        <w:numPr>
          <w:ilvl w:val="0"/>
          <w:numId w:val="155"/>
        </w:numPr>
        <w:rPr>
          <w:rFonts w:ascii="Arial" w:cs="Arial" w:eastAsia="Arial" w:hAnsi="Arial"/>
          <w:sz w:val="16"/>
          <w:szCs w:val="16"/>
          <w:b w:val="1"/>
          <w:bCs w:val="1"/>
          <w:color w:val="D7282F"/>
        </w:rPr>
      </w:pPr>
      <w:r>
        <w:rPr>
          <w:rFonts w:ascii="Arial" w:cs="Arial" w:eastAsia="Arial" w:hAnsi="Arial"/>
          <w:sz w:val="16"/>
          <w:szCs w:val="16"/>
          <w:color w:val="auto"/>
        </w:rPr>
        <w:t>Fostered a focus on innovation by increasing R&amp;D investment by double-digits on a year-over-year basis, fueling more than 4% organic growth for BA from new products.</w:t>
      </w:r>
    </w:p>
    <w:p>
      <w:pPr>
        <w:spacing w:after="0" w:line="6" w:lineRule="exact"/>
        <w:rPr>
          <w:rFonts w:ascii="Arial" w:cs="Arial" w:eastAsia="Arial" w:hAnsi="Arial"/>
          <w:sz w:val="16"/>
          <w:szCs w:val="16"/>
          <w:b w:val="1"/>
          <w:bCs w:val="1"/>
          <w:color w:val="D7282F"/>
        </w:rPr>
      </w:pPr>
    </w:p>
    <w:p>
      <w:pPr>
        <w:ind w:left="200" w:right="200" w:hanging="191"/>
        <w:spacing w:after="0" w:line="286" w:lineRule="auto"/>
        <w:tabs>
          <w:tab w:leader="none" w:pos="197" w:val="left"/>
        </w:tabs>
        <w:numPr>
          <w:ilvl w:val="0"/>
          <w:numId w:val="155"/>
        </w:numPr>
        <w:rPr>
          <w:rFonts w:ascii="Arial" w:cs="Arial" w:eastAsia="Arial" w:hAnsi="Arial"/>
          <w:sz w:val="16"/>
          <w:szCs w:val="16"/>
          <w:b w:val="1"/>
          <w:bCs w:val="1"/>
          <w:color w:val="D7282F"/>
        </w:rPr>
      </w:pPr>
      <w:r>
        <w:rPr>
          <w:rFonts w:ascii="Arial" w:cs="Arial" w:eastAsia="Arial" w:hAnsi="Arial"/>
          <w:sz w:val="16"/>
          <w:szCs w:val="16"/>
          <w:color w:val="auto"/>
        </w:rPr>
        <w:t>Reorganized the business into regional structure for Americas, Europe, and high-growth regions contributing to strong growth in the U.S. and incremental momentum in Europe and China.</w:t>
      </w:r>
    </w:p>
    <w:p>
      <w:pPr>
        <w:spacing w:after="0" w:line="20" w:lineRule="exact"/>
        <w:rPr>
          <w:rFonts w:ascii="Arial" w:cs="Arial" w:eastAsia="Arial" w:hAnsi="Arial"/>
          <w:sz w:val="16"/>
          <w:szCs w:val="16"/>
          <w:b w:val="1"/>
          <w:bCs w:val="1"/>
          <w:color w:val="D7282F"/>
        </w:rPr>
      </w:pPr>
    </w:p>
    <w:p>
      <w:pPr>
        <w:ind w:left="200" w:right="240" w:hanging="191"/>
        <w:spacing w:after="0" w:line="286" w:lineRule="auto"/>
        <w:tabs>
          <w:tab w:leader="none" w:pos="197" w:val="left"/>
        </w:tabs>
        <w:numPr>
          <w:ilvl w:val="0"/>
          <w:numId w:val="155"/>
        </w:numPr>
        <w:rPr>
          <w:rFonts w:ascii="Arial" w:cs="Arial" w:eastAsia="Arial" w:hAnsi="Arial"/>
          <w:sz w:val="16"/>
          <w:szCs w:val="16"/>
          <w:b w:val="1"/>
          <w:bCs w:val="1"/>
          <w:color w:val="D7282F"/>
        </w:rPr>
      </w:pPr>
      <w:r>
        <w:rPr>
          <w:rFonts w:ascii="Arial" w:cs="Arial" w:eastAsia="Arial" w:hAnsi="Arial"/>
          <w:sz w:val="16"/>
          <w:szCs w:val="16"/>
          <w:color w:val="auto"/>
        </w:rPr>
        <w:t>Announced a global strategic partnership with LS Electric to jointly develop and market hardware and software solutions that simplify power management and distribution for data centers and other buildings.</w:t>
      </w:r>
    </w:p>
    <w:p>
      <w:pPr>
        <w:spacing w:after="0" w:line="20" w:lineRule="exact"/>
        <w:rPr>
          <w:rFonts w:ascii="Arial" w:cs="Arial" w:eastAsia="Arial" w:hAnsi="Arial"/>
          <w:sz w:val="16"/>
          <w:szCs w:val="16"/>
          <w:b w:val="1"/>
          <w:bCs w:val="1"/>
          <w:color w:val="D7282F"/>
        </w:rPr>
      </w:pPr>
    </w:p>
    <w:p>
      <w:pPr>
        <w:ind w:left="200" w:right="60" w:hanging="191"/>
        <w:spacing w:after="0" w:line="286" w:lineRule="auto"/>
        <w:tabs>
          <w:tab w:leader="none" w:pos="197" w:val="left"/>
        </w:tabs>
        <w:numPr>
          <w:ilvl w:val="0"/>
          <w:numId w:val="155"/>
        </w:numPr>
        <w:rPr>
          <w:rFonts w:ascii="Arial" w:cs="Arial" w:eastAsia="Arial" w:hAnsi="Arial"/>
          <w:sz w:val="16"/>
          <w:szCs w:val="16"/>
          <w:b w:val="1"/>
          <w:bCs w:val="1"/>
          <w:color w:val="D7282F"/>
        </w:rPr>
      </w:pPr>
      <w:r>
        <w:rPr>
          <w:rFonts w:ascii="Arial" w:cs="Arial" w:eastAsia="Arial" w:hAnsi="Arial"/>
          <w:sz w:val="16"/>
          <w:szCs w:val="16"/>
          <w:color w:val="auto"/>
        </w:rPr>
        <w:t>Closed the acquisition of Li-ion Tamer in July, further strengthening fire life safety technologies with mission-critical li-ion battery safety solutions serving high-growth sectors such as cloud computing and renewable energy.</w:t>
      </w:r>
    </w:p>
    <w:p>
      <w:pPr>
        <w:spacing w:after="0" w:line="20" w:lineRule="exact"/>
        <w:rPr>
          <w:rFonts w:ascii="Arial" w:cs="Arial" w:eastAsia="Arial" w:hAnsi="Arial"/>
          <w:sz w:val="16"/>
          <w:szCs w:val="16"/>
          <w:b w:val="1"/>
          <w:bCs w:val="1"/>
          <w:color w:val="D7282F"/>
        </w:rPr>
      </w:pPr>
    </w:p>
    <w:p>
      <w:pPr>
        <w:ind w:left="200" w:right="400" w:hanging="191"/>
        <w:spacing w:after="0" w:line="286" w:lineRule="auto"/>
        <w:tabs>
          <w:tab w:leader="none" w:pos="197" w:val="left"/>
        </w:tabs>
        <w:numPr>
          <w:ilvl w:val="0"/>
          <w:numId w:val="155"/>
        </w:numPr>
        <w:rPr>
          <w:rFonts w:ascii="Arial" w:cs="Arial" w:eastAsia="Arial" w:hAnsi="Arial"/>
          <w:sz w:val="16"/>
          <w:szCs w:val="16"/>
          <w:b w:val="1"/>
          <w:bCs w:val="1"/>
          <w:color w:val="D7282F"/>
        </w:rPr>
      </w:pPr>
      <w:r>
        <w:rPr>
          <w:rFonts w:ascii="Arial" w:cs="Arial" w:eastAsia="Arial" w:hAnsi="Arial"/>
          <w:sz w:val="16"/>
          <w:szCs w:val="16"/>
          <w:color w:val="auto"/>
        </w:rPr>
        <w:t>Successfully integrated the $4.95 billion acquisition of Carrier Global Corporation’s Global Access Solutions, representing one of the largest acquisitions in Honeywell history.</w:t>
      </w:r>
    </w:p>
    <w:p>
      <w:pPr>
        <w:spacing w:after="0" w:line="20" w:lineRule="exact"/>
        <w:rPr>
          <w:rFonts w:ascii="Arial" w:cs="Arial" w:eastAsia="Arial" w:hAnsi="Arial"/>
          <w:sz w:val="16"/>
          <w:szCs w:val="16"/>
          <w:b w:val="1"/>
          <w:bCs w:val="1"/>
          <w:color w:val="D7282F"/>
        </w:rPr>
      </w:pPr>
    </w:p>
    <w:p>
      <w:pPr>
        <w:ind w:left="200" w:right="220" w:hanging="191"/>
        <w:spacing w:after="0" w:line="275" w:lineRule="auto"/>
        <w:tabs>
          <w:tab w:leader="none" w:pos="197" w:val="left"/>
        </w:tabs>
        <w:numPr>
          <w:ilvl w:val="0"/>
          <w:numId w:val="155"/>
        </w:numPr>
        <w:rPr>
          <w:rFonts w:ascii="Arial" w:cs="Arial" w:eastAsia="Arial" w:hAnsi="Arial"/>
          <w:sz w:val="16"/>
          <w:szCs w:val="16"/>
          <w:b w:val="1"/>
          <w:bCs w:val="1"/>
          <w:color w:val="D7282F"/>
        </w:rPr>
      </w:pPr>
      <w:r>
        <w:rPr>
          <w:rFonts w:ascii="Arial" w:cs="Arial" w:eastAsia="Arial" w:hAnsi="Arial"/>
          <w:sz w:val="16"/>
          <w:szCs w:val="16"/>
          <w:color w:val="auto"/>
        </w:rPr>
        <w:t>Built a culture of strong employee engagement, talent development, innovation, collaboration, and continuous improvement, highlighted by the highest Voice of Employee (VOE) survey score ever achieved for a Honeywell business and his role as the Enterprise Executive Sponsor of the Honeywell Black Employee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-1810385</wp:posOffset>
            </wp:positionH>
            <wp:positionV relativeFrom="paragraph">
              <wp:posOffset>1082040</wp:posOffset>
            </wp:positionV>
            <wp:extent cx="7123430" cy="201422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23430" cy="20142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40" w:space="520"/>
            <w:col w:w="8340"/>
          </w:cols>
          <w:pgMar w:left="320" w:top="23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D7282F"/>
        </w:rPr>
        <w:t>GREGORY P. LEWIS</w:t>
      </w:r>
    </w:p>
    <w:p>
      <w:pPr>
        <w:spacing w:after="0" w:line="39" w:lineRule="exact"/>
        <w:rPr>
          <w:sz w:val="20"/>
          <w:szCs w:val="20"/>
          <w:color w:val="auto"/>
        </w:rPr>
      </w:pPr>
    </w:p>
    <w:p>
      <w:pPr>
        <w:ind w:left="20"/>
        <w:spacing w:after="0" w:line="293" w:lineRule="auto"/>
        <w:rPr>
          <w:sz w:val="20"/>
          <w:szCs w:val="20"/>
          <w:color w:val="auto"/>
        </w:rPr>
      </w:pPr>
      <w:r>
        <w:rPr>
          <w:rFonts w:ascii="Arial" w:cs="Arial" w:eastAsia="Arial" w:hAnsi="Arial"/>
          <w:sz w:val="14"/>
          <w:szCs w:val="14"/>
          <w:b w:val="1"/>
          <w:bCs w:val="1"/>
          <w:color w:val="auto"/>
        </w:rPr>
        <w:t>FORMER SENIOR VICE PRESIDENT AND CHIEF FINANCIAL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b w:val="1"/>
          <w:bCs w:val="1"/>
          <w:color w:val="D7282F"/>
        </w:rPr>
        <w:t>MR. LEWIS — QUALITATIVE CONSIDERATIONS</w:t>
      </w:r>
    </w:p>
    <w:p>
      <w:pPr>
        <w:spacing w:after="0" w:line="73" w:lineRule="exact"/>
        <w:rPr>
          <w:sz w:val="20"/>
          <w:szCs w:val="20"/>
          <w:color w:val="auto"/>
        </w:rPr>
      </w:pPr>
    </w:p>
    <w:p>
      <w:pPr>
        <w:ind w:left="200" w:right="180" w:hanging="191"/>
        <w:spacing w:after="0" w:line="299" w:lineRule="auto"/>
        <w:tabs>
          <w:tab w:leader="none" w:pos="197" w:val="left"/>
        </w:tabs>
        <w:numPr>
          <w:ilvl w:val="0"/>
          <w:numId w:val="156"/>
        </w:numPr>
        <w:rPr>
          <w:rFonts w:ascii="Arial" w:cs="Arial" w:eastAsia="Arial" w:hAnsi="Arial"/>
          <w:sz w:val="16"/>
          <w:szCs w:val="16"/>
          <w:b w:val="1"/>
          <w:bCs w:val="1"/>
          <w:color w:val="D7282F"/>
        </w:rPr>
      </w:pPr>
      <w:r>
        <w:rPr>
          <w:rFonts w:ascii="Arial" w:cs="Arial" w:eastAsia="Arial" w:hAnsi="Arial"/>
          <w:sz w:val="16"/>
          <w:szCs w:val="16"/>
          <w:color w:val="auto"/>
        </w:rPr>
        <w:t>Ensured a seamless transition to Michal Stepniak as Senior VP and CFO in February, and provided mentorship and guidance as needed through 2025.</w:t>
      </w:r>
    </w:p>
    <w:p>
      <w:pPr>
        <w:ind w:left="200" w:hanging="191"/>
        <w:spacing w:after="0" w:line="304" w:lineRule="auto"/>
        <w:tabs>
          <w:tab w:leader="none" w:pos="197" w:val="left"/>
        </w:tabs>
        <w:numPr>
          <w:ilvl w:val="0"/>
          <w:numId w:val="156"/>
        </w:numPr>
        <w:rPr>
          <w:rFonts w:ascii="Arial" w:cs="Arial" w:eastAsia="Arial" w:hAnsi="Arial"/>
          <w:sz w:val="16"/>
          <w:szCs w:val="16"/>
          <w:b w:val="1"/>
          <w:bCs w:val="1"/>
          <w:color w:val="D7282F"/>
        </w:rPr>
      </w:pPr>
      <w:r>
        <w:rPr>
          <w:rFonts w:ascii="Arial" w:cs="Arial" w:eastAsia="Arial" w:hAnsi="Arial"/>
          <w:sz w:val="16"/>
          <w:szCs w:val="16"/>
          <w:color w:val="auto"/>
        </w:rPr>
        <w:t>Provided leadership for the early-stage planning and execution of the spins of the Company’s Advanced Materials and Aerospace businesses into standalone, publicly traded companies by the end of 2026.</w:t>
      </w:r>
    </w:p>
    <w:p>
      <w:pPr>
        <w:spacing w:after="0" w:line="6" w:lineRule="exact"/>
        <w:rPr>
          <w:rFonts w:ascii="Arial" w:cs="Arial" w:eastAsia="Arial" w:hAnsi="Arial"/>
          <w:sz w:val="16"/>
          <w:szCs w:val="16"/>
          <w:b w:val="1"/>
          <w:bCs w:val="1"/>
          <w:color w:val="D7282F"/>
        </w:rPr>
      </w:pPr>
    </w:p>
    <w:p>
      <w:pPr>
        <w:ind w:left="200" w:right="460" w:hanging="191"/>
        <w:spacing w:after="0" w:line="266" w:lineRule="auto"/>
        <w:tabs>
          <w:tab w:leader="none" w:pos="197" w:val="left"/>
        </w:tabs>
        <w:numPr>
          <w:ilvl w:val="0"/>
          <w:numId w:val="156"/>
        </w:numPr>
        <w:rPr>
          <w:rFonts w:ascii="Arial" w:cs="Arial" w:eastAsia="Arial" w:hAnsi="Arial"/>
          <w:sz w:val="16"/>
          <w:szCs w:val="16"/>
          <w:b w:val="1"/>
          <w:bCs w:val="1"/>
          <w:color w:val="D7282F"/>
        </w:rPr>
      </w:pPr>
      <w:r>
        <w:rPr>
          <w:rFonts w:ascii="Arial" w:cs="Arial" w:eastAsia="Arial" w:hAnsi="Arial"/>
          <w:sz w:val="16"/>
          <w:szCs w:val="16"/>
          <w:color w:val="auto"/>
        </w:rPr>
        <w:t>Provided oversight and strategic input as a member of the Board of Directors of Quantinuum, Honeywell’s majority-owned quantum company. Partnered closely with Quantinuum’s Senior Management in a thorough strategy update.</w:t>
      </w:r>
    </w:p>
    <w:p>
      <w:pPr>
        <w:spacing w:after="0" w:line="36" w:lineRule="exact"/>
        <w:rPr>
          <w:rFonts w:ascii="Arial" w:cs="Arial" w:eastAsia="Arial" w:hAnsi="Arial"/>
          <w:sz w:val="16"/>
          <w:szCs w:val="16"/>
          <w:b w:val="1"/>
          <w:bCs w:val="1"/>
          <w:color w:val="D7282F"/>
        </w:rPr>
      </w:pPr>
    </w:p>
    <w:p>
      <w:pPr>
        <w:ind w:left="200" w:hanging="191"/>
        <w:spacing w:after="0" w:line="275" w:lineRule="auto"/>
        <w:tabs>
          <w:tab w:leader="none" w:pos="197" w:val="left"/>
        </w:tabs>
        <w:numPr>
          <w:ilvl w:val="0"/>
          <w:numId w:val="156"/>
        </w:numPr>
        <w:rPr>
          <w:rFonts w:ascii="Arial" w:cs="Arial" w:eastAsia="Arial" w:hAnsi="Arial"/>
          <w:sz w:val="16"/>
          <w:szCs w:val="16"/>
          <w:b w:val="1"/>
          <w:bCs w:val="1"/>
          <w:color w:val="D7282F"/>
        </w:rPr>
      </w:pPr>
      <w:r>
        <w:rPr>
          <w:rFonts w:ascii="Arial" w:cs="Arial" w:eastAsia="Arial" w:hAnsi="Arial"/>
          <w:sz w:val="16"/>
          <w:szCs w:val="16"/>
          <w:color w:val="auto"/>
        </w:rPr>
        <w:t>Served as a Board Member of Roof Above, a comprehensive homeless service provider serving 1,400 people per day through a spectrum of services ranging from street outreach, day services, emergency shelter, and permanent supportive housing.</w:t>
      </w:r>
    </w:p>
    <w:p>
      <w:pPr>
        <w:spacing w:after="0" w:line="276" w:lineRule="exact"/>
        <w:rPr>
          <w:sz w:val="20"/>
          <w:szCs w:val="20"/>
          <w:color w:val="auto"/>
        </w:rPr>
      </w:pPr>
    </w:p>
    <w:p>
      <w:pPr>
        <w:sectPr>
          <w:pgSz w:w="11900" w:h="16838" w:orient="portrait"/>
          <w:cols w:equalWidth="0" w:num="2">
            <w:col w:w="2480" w:space="380"/>
            <w:col w:w="8340"/>
          </w:cols>
          <w:pgMar w:left="320" w:top="23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sz w:val="1"/>
          <w:szCs w:val="1"/>
          <w:color w:val="auto"/>
        </w:rPr>
        <w:drawing>
          <wp:inline distT="0" distB="0" distL="0" distR="0">
            <wp:extent cx="548640" cy="102870"/>
            <wp:effectExtent l="0" t="0" r="0" b="0"/>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2026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247015</wp:posOffset>
            </wp:positionV>
            <wp:extent cx="7157720"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0" w:right="379" w:bottom="1440" w:gutter="0" w:footer="0" w:header="0"/>
          <w:type w:val="continuous"/>
        </w:sectPr>
      </w:pPr>
    </w:p>
    <w:bookmarkStart w:id="78" w:name="page79"/>
    <w:bookmarkEnd w:id="78"/>
    <w:p>
      <w:pPr>
        <w:jc w:val="right"/>
        <w:spacing w:after="0"/>
        <w:rPr>
          <w:sz w:val="20"/>
          <w:szCs w:val="20"/>
          <w:color w:val="auto"/>
        </w:rPr>
      </w:pPr>
      <w:r>
        <w:rPr>
          <w:rFonts w:ascii="Arial" w:cs="Arial" w:eastAsia="Arial" w:hAnsi="Arial"/>
          <w:sz w:val="13"/>
          <w:szCs w:val="13"/>
          <w:b w:val="1"/>
          <w:bCs w:val="1"/>
          <w:color w:val="6D6E71"/>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ICP CORPORATE RESPONSIBILITY PORTION (5% OF TARGET AWARD)</w:t>
      </w:r>
    </w:p>
    <w:p>
      <w:pPr>
        <w:spacing w:after="0" w:line="128"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Honeywell takes seriously its commitment to corporate social responsibility, protection of the environment, and maintenance of sound and effective governance practices. This commitment starts at the top with our executive officers, and is demonstrated through collective progress toward achieving our publicly disclosed carbon reduction goals, visible contributions to society, and overall progress in our internal goals related to good governance. In order to emphasize the Company's commitment and need for the leadership team to work collectively to achieve business-critical corporate responsibility objectives, 5% of the ICP awards for the NEOs is based on the MDCC's assessment of performance against certain pre-established goals, the results of which were applied collectively to all the NEOs.</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Performance against 2025 Corporate Responsibility KPIs #1, #2, and #3 was tracked and reported as (i) Exceeded, (ii) Achieved, or (iii) Not Achieved.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Performance against KPI #4 was reported as (i) Achieved or (ii) Not Achieved.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0" w:type="dxa"/>
            <w:vAlign w:val="bottom"/>
          </w:tcPr>
          <w:p>
            <w:pPr>
              <w:spacing w:after="0"/>
              <w:rPr>
                <w:sz w:val="17"/>
                <w:szCs w:val="17"/>
                <w:color w:val="auto"/>
              </w:rPr>
            </w:pPr>
          </w:p>
        </w:tc>
        <w:tc>
          <w:tcPr>
            <w:tcW w:w="4180" w:type="dxa"/>
            <w:vAlign w:val="bottom"/>
          </w:tcPr>
          <w:p>
            <w:pPr>
              <w:ind w:left="240"/>
              <w:spacing w:after="0"/>
              <w:rPr>
                <w:sz w:val="20"/>
                <w:szCs w:val="20"/>
                <w:color w:val="auto"/>
              </w:rPr>
            </w:pPr>
            <w:r>
              <w:rPr>
                <w:rFonts w:ascii="Arial" w:cs="Arial" w:eastAsia="Arial" w:hAnsi="Arial"/>
                <w:sz w:val="14"/>
                <w:szCs w:val="14"/>
                <w:b w:val="1"/>
                <w:bCs w:val="1"/>
                <w:color w:val="auto"/>
              </w:rPr>
              <w:t>2025 KPI Description</w:t>
            </w:r>
          </w:p>
        </w:tc>
        <w:tc>
          <w:tcPr>
            <w:tcW w:w="5100" w:type="dxa"/>
            <w:vAlign w:val="bottom"/>
          </w:tcPr>
          <w:p>
            <w:pPr>
              <w:ind w:left="100"/>
              <w:spacing w:after="0"/>
              <w:rPr>
                <w:sz w:val="20"/>
                <w:szCs w:val="20"/>
                <w:color w:val="auto"/>
              </w:rPr>
            </w:pPr>
            <w:r>
              <w:rPr>
                <w:rFonts w:ascii="Arial" w:cs="Arial" w:eastAsia="Arial" w:hAnsi="Arial"/>
                <w:sz w:val="14"/>
                <w:szCs w:val="14"/>
                <w:b w:val="1"/>
                <w:bCs w:val="1"/>
                <w:color w:val="auto"/>
              </w:rPr>
              <w:t>Strategic Rationale</w:t>
            </w:r>
          </w:p>
        </w:tc>
        <w:tc>
          <w:tcPr>
            <w:tcW w:w="1240" w:type="dxa"/>
            <w:vAlign w:val="bottom"/>
          </w:tcPr>
          <w:p>
            <w:pPr>
              <w:ind w:left="140"/>
              <w:spacing w:after="0"/>
              <w:rPr>
                <w:sz w:val="20"/>
                <w:szCs w:val="20"/>
                <w:color w:val="auto"/>
              </w:rPr>
            </w:pPr>
            <w:r>
              <w:rPr>
                <w:rFonts w:ascii="Arial" w:cs="Arial" w:eastAsia="Arial" w:hAnsi="Arial"/>
                <w:sz w:val="14"/>
                <w:szCs w:val="14"/>
                <w:b w:val="1"/>
                <w:bCs w:val="1"/>
                <w:color w:val="auto"/>
              </w:rPr>
              <w:t>Result</w:t>
            </w:r>
          </w:p>
        </w:tc>
        <w:tc>
          <w:tcPr>
            <w:tcW w:w="0" w:type="dxa"/>
            <w:vAlign w:val="bottom"/>
          </w:tcPr>
          <w:p>
            <w:pPr>
              <w:spacing w:after="0"/>
              <w:rPr>
                <w:sz w:val="1"/>
                <w:szCs w:val="1"/>
                <w:color w:val="auto"/>
              </w:rPr>
            </w:pPr>
          </w:p>
        </w:tc>
      </w:tr>
      <w:tr>
        <w:trPr>
          <w:trHeight w:val="69"/>
        </w:trPr>
        <w:tc>
          <w:tcPr>
            <w:tcW w:w="700" w:type="dxa"/>
            <w:vAlign w:val="bottom"/>
            <w:tcBorders>
              <w:bottom w:val="single" w:sz="8" w:color="D7282F"/>
            </w:tcBorders>
          </w:tcPr>
          <w:p>
            <w:pPr>
              <w:spacing w:after="0"/>
              <w:rPr>
                <w:sz w:val="6"/>
                <w:szCs w:val="6"/>
                <w:color w:val="auto"/>
              </w:rPr>
            </w:pPr>
          </w:p>
        </w:tc>
        <w:tc>
          <w:tcPr>
            <w:tcW w:w="4180" w:type="dxa"/>
            <w:vAlign w:val="bottom"/>
            <w:tcBorders>
              <w:bottom w:val="single" w:sz="8" w:color="D7282F"/>
            </w:tcBorders>
          </w:tcPr>
          <w:p>
            <w:pPr>
              <w:spacing w:after="0"/>
              <w:rPr>
                <w:sz w:val="6"/>
                <w:szCs w:val="6"/>
                <w:color w:val="auto"/>
              </w:rPr>
            </w:pPr>
          </w:p>
        </w:tc>
        <w:tc>
          <w:tcPr>
            <w:tcW w:w="5100" w:type="dxa"/>
            <w:vAlign w:val="bottom"/>
            <w:tcBorders>
              <w:bottom w:val="single" w:sz="8" w:color="D7282F"/>
            </w:tcBorders>
          </w:tcPr>
          <w:p>
            <w:pPr>
              <w:spacing w:after="0"/>
              <w:rPr>
                <w:sz w:val="6"/>
                <w:szCs w:val="6"/>
                <w:color w:val="auto"/>
              </w:rPr>
            </w:pPr>
          </w:p>
        </w:tc>
        <w:tc>
          <w:tcPr>
            <w:tcW w:w="1240" w:type="dxa"/>
            <w:vAlign w:val="bottom"/>
            <w:tcBorders>
              <w:bottom w:val="single" w:sz="8" w:color="D7282F"/>
            </w:tcBorders>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700" w:type="dxa"/>
            <w:vAlign w:val="bottom"/>
          </w:tcPr>
          <w:p>
            <w:pPr>
              <w:ind w:left="20"/>
              <w:spacing w:after="0"/>
              <w:rPr>
                <w:sz w:val="20"/>
                <w:szCs w:val="20"/>
                <w:color w:val="auto"/>
              </w:rPr>
            </w:pPr>
            <w:r>
              <w:rPr>
                <w:rFonts w:ascii="Arial" w:cs="Arial" w:eastAsia="Arial" w:hAnsi="Arial"/>
                <w:sz w:val="14"/>
                <w:szCs w:val="14"/>
                <w:color w:val="auto"/>
              </w:rPr>
              <w:t>KPI #1</w:t>
            </w:r>
          </w:p>
        </w:tc>
        <w:tc>
          <w:tcPr>
            <w:tcW w:w="4180" w:type="dxa"/>
            <w:vAlign w:val="bottom"/>
          </w:tcPr>
          <w:p>
            <w:pPr>
              <w:ind w:left="240"/>
              <w:spacing w:after="0"/>
              <w:rPr>
                <w:sz w:val="20"/>
                <w:szCs w:val="20"/>
                <w:color w:val="auto"/>
              </w:rPr>
            </w:pPr>
            <w:r>
              <w:rPr>
                <w:rFonts w:ascii="Arial" w:cs="Arial" w:eastAsia="Arial" w:hAnsi="Arial"/>
                <w:sz w:val="14"/>
                <w:szCs w:val="14"/>
                <w:color w:val="auto"/>
              </w:rPr>
              <w:t>Complete 70 projects that, together, reduce greenhouse gas</w:t>
            </w:r>
          </w:p>
        </w:tc>
        <w:tc>
          <w:tcPr>
            <w:tcW w:w="5100" w:type="dxa"/>
            <w:vAlign w:val="bottom"/>
          </w:tcPr>
          <w:p>
            <w:pPr>
              <w:ind w:left="10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4"/>
                <w:szCs w:val="14"/>
                <w:color w:val="000000"/>
              </w:rPr>
              <w:t>Leadership in the energy transition is an important enabler of Honeywell's</w:t>
            </w:r>
          </w:p>
        </w:tc>
        <w:tc>
          <w:tcPr>
            <w:tcW w:w="1240" w:type="dxa"/>
            <w:vAlign w:val="bottom"/>
          </w:tcPr>
          <w:p>
            <w:pPr>
              <w:ind w:left="140"/>
              <w:spacing w:after="0"/>
              <w:rPr>
                <w:sz w:val="20"/>
                <w:szCs w:val="20"/>
                <w:color w:val="auto"/>
              </w:rPr>
            </w:pPr>
            <w:r>
              <w:rPr>
                <w:rFonts w:ascii="Arial" w:cs="Arial" w:eastAsia="Arial" w:hAnsi="Arial"/>
                <w:sz w:val="14"/>
                <w:szCs w:val="14"/>
                <w:color w:val="auto"/>
              </w:rPr>
              <w:t>Exceeded</w:t>
            </w: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4180" w:type="dxa"/>
            <w:vAlign w:val="bottom"/>
          </w:tcPr>
          <w:p>
            <w:pPr>
              <w:ind w:left="240"/>
              <w:spacing w:after="0"/>
              <w:rPr>
                <w:sz w:val="20"/>
                <w:szCs w:val="20"/>
                <w:color w:val="auto"/>
              </w:rPr>
            </w:pPr>
            <w:r>
              <w:rPr>
                <w:rFonts w:ascii="Arial" w:cs="Arial" w:eastAsia="Arial" w:hAnsi="Arial"/>
                <w:sz w:val="14"/>
                <w:szCs w:val="14"/>
                <w:color w:val="auto"/>
              </w:rPr>
              <w:t>emissions by 100,000 metric tons within 2025</w:t>
            </w:r>
          </w:p>
        </w:tc>
        <w:tc>
          <w:tcPr>
            <w:tcW w:w="5100" w:type="dxa"/>
            <w:vAlign w:val="bottom"/>
          </w:tcPr>
          <w:p>
            <w:pPr>
              <w:ind w:left="300"/>
              <w:spacing w:after="0"/>
              <w:rPr>
                <w:sz w:val="20"/>
                <w:szCs w:val="20"/>
                <w:color w:val="auto"/>
              </w:rPr>
            </w:pPr>
            <w:r>
              <w:rPr>
                <w:rFonts w:ascii="Arial" w:cs="Arial" w:eastAsia="Arial" w:hAnsi="Arial"/>
                <w:sz w:val="14"/>
                <w:szCs w:val="14"/>
                <w:color w:val="auto"/>
              </w:rPr>
              <w:t>long-term growth.</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700" w:type="dxa"/>
            <w:vAlign w:val="bottom"/>
            <w:vMerge w:val="restart"/>
          </w:tcPr>
          <w:p>
            <w:pPr>
              <w:ind w:left="20"/>
              <w:spacing w:after="0"/>
              <w:rPr>
                <w:sz w:val="20"/>
                <w:szCs w:val="20"/>
                <w:color w:val="auto"/>
              </w:rPr>
            </w:pPr>
            <w:r>
              <w:rPr>
                <w:rFonts w:ascii="Arial" w:cs="Arial" w:eastAsia="Arial" w:hAnsi="Arial"/>
                <w:sz w:val="14"/>
                <w:szCs w:val="14"/>
                <w:color w:val="auto"/>
              </w:rPr>
              <w:t>KPI #2</w:t>
            </w:r>
          </w:p>
        </w:tc>
        <w:tc>
          <w:tcPr>
            <w:tcW w:w="4180" w:type="dxa"/>
            <w:vAlign w:val="bottom"/>
            <w:vMerge w:val="restart"/>
          </w:tcPr>
          <w:p>
            <w:pPr>
              <w:ind w:left="240"/>
              <w:spacing w:after="0"/>
              <w:rPr>
                <w:sz w:val="20"/>
                <w:szCs w:val="20"/>
                <w:color w:val="auto"/>
              </w:rPr>
            </w:pPr>
            <w:r>
              <w:rPr>
                <w:rFonts w:ascii="Arial" w:cs="Arial" w:eastAsia="Arial" w:hAnsi="Arial"/>
                <w:sz w:val="14"/>
                <w:szCs w:val="14"/>
                <w:color w:val="auto"/>
              </w:rPr>
              <w:t>Complete conceptual engineering (FEL0) on projects to</w:t>
            </w:r>
          </w:p>
        </w:tc>
        <w:tc>
          <w:tcPr>
            <w:tcW w:w="5100" w:type="dxa"/>
            <w:vAlign w:val="bottom"/>
          </w:tcPr>
          <w:p>
            <w:pPr>
              <w:ind w:left="10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4"/>
                <w:szCs w:val="14"/>
                <w:color w:val="000000"/>
              </w:rPr>
              <w:t>Since 2004, Honeywell has been a leader in establishing and exceeding</w:t>
            </w:r>
          </w:p>
        </w:tc>
        <w:tc>
          <w:tcPr>
            <w:tcW w:w="1240" w:type="dxa"/>
            <w:vAlign w:val="bottom"/>
            <w:vMerge w:val="restart"/>
          </w:tcPr>
          <w:p>
            <w:pPr>
              <w:ind w:left="140"/>
              <w:spacing w:after="0"/>
              <w:rPr>
                <w:sz w:val="20"/>
                <w:szCs w:val="20"/>
                <w:color w:val="auto"/>
              </w:rPr>
            </w:pPr>
            <w:r>
              <w:rPr>
                <w:rFonts w:ascii="Arial" w:cs="Arial" w:eastAsia="Arial" w:hAnsi="Arial"/>
                <w:sz w:val="14"/>
                <w:szCs w:val="14"/>
                <w:color w:val="auto"/>
              </w:rPr>
              <w:t>Exceeded</w:t>
            </w:r>
          </w:p>
        </w:tc>
        <w:tc>
          <w:tcPr>
            <w:tcW w:w="0" w:type="dxa"/>
            <w:vAlign w:val="bottom"/>
          </w:tcPr>
          <w:p>
            <w:pPr>
              <w:spacing w:after="0"/>
              <w:rPr>
                <w:sz w:val="1"/>
                <w:szCs w:val="1"/>
                <w:color w:val="auto"/>
              </w:rPr>
            </w:pPr>
          </w:p>
        </w:tc>
      </w:tr>
      <w:tr>
        <w:trPr>
          <w:trHeight w:val="81"/>
        </w:trPr>
        <w:tc>
          <w:tcPr>
            <w:tcW w:w="700" w:type="dxa"/>
            <w:vAlign w:val="bottom"/>
            <w:vMerge w:val="continue"/>
          </w:tcPr>
          <w:p>
            <w:pPr>
              <w:spacing w:after="0"/>
              <w:rPr>
                <w:sz w:val="7"/>
                <w:szCs w:val="7"/>
                <w:color w:val="auto"/>
              </w:rPr>
            </w:pPr>
          </w:p>
        </w:tc>
        <w:tc>
          <w:tcPr>
            <w:tcW w:w="4180" w:type="dxa"/>
            <w:vAlign w:val="bottom"/>
            <w:vMerge w:val="continue"/>
          </w:tcPr>
          <w:p>
            <w:pPr>
              <w:spacing w:after="0"/>
              <w:rPr>
                <w:sz w:val="7"/>
                <w:szCs w:val="7"/>
                <w:color w:val="auto"/>
              </w:rPr>
            </w:pPr>
          </w:p>
        </w:tc>
        <w:tc>
          <w:tcPr>
            <w:tcW w:w="5100" w:type="dxa"/>
            <w:vAlign w:val="bottom"/>
            <w:vMerge w:val="restart"/>
          </w:tcPr>
          <w:p>
            <w:pPr>
              <w:ind w:left="300"/>
              <w:spacing w:after="0"/>
              <w:rPr>
                <w:sz w:val="20"/>
                <w:szCs w:val="20"/>
                <w:color w:val="auto"/>
              </w:rPr>
            </w:pPr>
            <w:r>
              <w:rPr>
                <w:rFonts w:ascii="Arial" w:cs="Arial" w:eastAsia="Arial" w:hAnsi="Arial"/>
                <w:sz w:val="14"/>
                <w:szCs w:val="14"/>
                <w:color w:val="auto"/>
              </w:rPr>
              <w:t>ambitious sustainability targets.</w:t>
            </w:r>
          </w:p>
        </w:tc>
        <w:tc>
          <w:tcPr>
            <w:tcW w:w="1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700" w:type="dxa"/>
            <w:vAlign w:val="bottom"/>
          </w:tcPr>
          <w:p>
            <w:pPr>
              <w:spacing w:after="0"/>
              <w:rPr>
                <w:sz w:val="9"/>
                <w:szCs w:val="9"/>
                <w:color w:val="auto"/>
              </w:rPr>
            </w:pPr>
          </w:p>
        </w:tc>
        <w:tc>
          <w:tcPr>
            <w:tcW w:w="4180" w:type="dxa"/>
            <w:vAlign w:val="bottom"/>
            <w:vMerge w:val="restart"/>
          </w:tcPr>
          <w:p>
            <w:pPr>
              <w:ind w:left="240"/>
              <w:spacing w:after="0"/>
              <w:rPr>
                <w:sz w:val="20"/>
                <w:szCs w:val="20"/>
                <w:color w:val="auto"/>
              </w:rPr>
            </w:pPr>
            <w:r>
              <w:rPr>
                <w:rFonts w:ascii="Arial" w:cs="Arial" w:eastAsia="Arial" w:hAnsi="Arial"/>
                <w:sz w:val="14"/>
                <w:szCs w:val="14"/>
                <w:color w:val="auto"/>
              </w:rPr>
              <w:t>address 70% of Scope 1 emissions based on 2024 baseline</w:t>
            </w:r>
          </w:p>
        </w:tc>
        <w:tc>
          <w:tcPr>
            <w:tcW w:w="510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700" w:type="dxa"/>
            <w:vAlign w:val="bottom"/>
          </w:tcPr>
          <w:p>
            <w:pPr>
              <w:spacing w:after="0"/>
              <w:rPr>
                <w:sz w:val="7"/>
                <w:szCs w:val="7"/>
                <w:color w:val="auto"/>
              </w:rPr>
            </w:pPr>
          </w:p>
        </w:tc>
        <w:tc>
          <w:tcPr>
            <w:tcW w:w="4180" w:type="dxa"/>
            <w:vAlign w:val="bottom"/>
            <w:vMerge w:val="continue"/>
          </w:tcPr>
          <w:p>
            <w:pPr>
              <w:spacing w:after="0"/>
              <w:rPr>
                <w:sz w:val="7"/>
                <w:szCs w:val="7"/>
                <w:color w:val="auto"/>
              </w:rPr>
            </w:pPr>
          </w:p>
        </w:tc>
        <w:tc>
          <w:tcPr>
            <w:tcW w:w="5100" w:type="dxa"/>
            <w:vAlign w:val="bottom"/>
            <w:vMerge w:val="restart"/>
          </w:tcPr>
          <w:p>
            <w:pPr>
              <w:ind w:left="10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4"/>
                <w:szCs w:val="14"/>
                <w:color w:val="000000"/>
              </w:rPr>
              <w:t>Continuing to do so is a critical growth enabler.</w:t>
            </w: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5100" w:type="dxa"/>
            <w:vAlign w:val="bottom"/>
            <w:vMerge w:val="continue"/>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2343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p>
      <w:pPr>
        <w:spacing w:after="0" w:line="147" w:lineRule="exact"/>
        <w:rPr>
          <w:sz w:val="20"/>
          <w:szCs w:val="20"/>
          <w:color w:val="auto"/>
        </w:rPr>
      </w:pPr>
    </w:p>
    <w:p>
      <w:pPr>
        <w:jc w:val="both"/>
        <w:ind w:left="940" w:hanging="917"/>
        <w:spacing w:after="0" w:line="273" w:lineRule="auto"/>
        <w:tabs>
          <w:tab w:leader="none" w:pos="920" w:val="left"/>
        </w:tabs>
        <w:rPr>
          <w:sz w:val="20"/>
          <w:szCs w:val="20"/>
          <w:color w:val="auto"/>
        </w:rPr>
      </w:pPr>
      <w:r>
        <w:rPr>
          <w:rFonts w:ascii="Arial" w:cs="Arial" w:eastAsia="Arial" w:hAnsi="Arial"/>
          <w:sz w:val="14"/>
          <w:szCs w:val="14"/>
          <w:color w:val="auto"/>
        </w:rPr>
        <w:t>KPI #3</w:t>
      </w:r>
      <w:r>
        <w:rPr>
          <w:sz w:val="20"/>
          <w:szCs w:val="20"/>
          <w:color w:val="auto"/>
        </w:rPr>
        <w:tab/>
      </w:r>
      <w:r>
        <w:rPr>
          <w:rFonts w:ascii="Arial" w:cs="Arial" w:eastAsia="Arial" w:hAnsi="Arial"/>
          <w:sz w:val="14"/>
          <w:szCs w:val="14"/>
          <w:color w:val="auto"/>
        </w:rPr>
        <w:t>Maintain or improve the overall "Voice of the Employee" (VOE) survey score. Maintain or improve the inclusion score from the VOE survey score</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200" w:right="480" w:hanging="193"/>
        <w:spacing w:after="0" w:line="261" w:lineRule="auto"/>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4"/>
          <w:szCs w:val="14"/>
          <w:color w:val="000000"/>
        </w:rPr>
        <w:t>Honeywell is a global enterprise serving customers from all backgrounds, in Exceeded</w:t>
      </w:r>
      <w:r>
        <w:rPr>
          <w:rFonts w:ascii="Arial" w:cs="Arial" w:eastAsia="Arial" w:hAnsi="Arial"/>
          <w:sz w:val="16"/>
          <w:szCs w:val="16"/>
          <w:b w:val="1"/>
          <w:bCs w:val="1"/>
          <w:color w:val="D7282F"/>
        </w:rPr>
        <w:t xml:space="preserve"> </w:t>
      </w:r>
      <w:r>
        <w:rPr>
          <w:rFonts w:ascii="Arial" w:cs="Arial" w:eastAsia="Arial" w:hAnsi="Arial"/>
          <w:sz w:val="14"/>
          <w:szCs w:val="14"/>
          <w:color w:val="000000"/>
        </w:rPr>
        <w:t>almost every geography, and in a wide array of end markets.</w:t>
      </w:r>
    </w:p>
    <w:p>
      <w:pPr>
        <w:spacing w:after="0" w:line="50" w:lineRule="exact"/>
        <w:rPr>
          <w:sz w:val="20"/>
          <w:szCs w:val="20"/>
          <w:color w:val="auto"/>
        </w:rPr>
      </w:pPr>
    </w:p>
    <w:p>
      <w:pPr>
        <w:ind w:left="200" w:hanging="200"/>
        <w:spacing w:after="0"/>
        <w:tabs>
          <w:tab w:leader="none" w:pos="200" w:val="left"/>
        </w:tabs>
        <w:numPr>
          <w:ilvl w:val="0"/>
          <w:numId w:val="157"/>
        </w:numPr>
        <w:rPr>
          <w:rFonts w:ascii="Arial" w:cs="Arial" w:eastAsia="Arial" w:hAnsi="Arial"/>
          <w:sz w:val="16"/>
          <w:szCs w:val="16"/>
          <w:b w:val="1"/>
          <w:bCs w:val="1"/>
          <w:color w:val="D7282F"/>
        </w:rPr>
      </w:pPr>
      <w:r>
        <w:rPr>
          <w:rFonts w:ascii="Arial" w:cs="Arial" w:eastAsia="Arial" w:hAnsi="Arial"/>
          <w:sz w:val="14"/>
          <w:szCs w:val="14"/>
          <w:color w:val="auto"/>
        </w:rPr>
        <w:t>An inclusive workforce represents our customers and communities around</w:t>
      </w:r>
    </w:p>
    <w:p>
      <w:pPr>
        <w:spacing w:after="0" w:line="1" w:lineRule="exact"/>
        <w:rPr>
          <w:sz w:val="20"/>
          <w:szCs w:val="20"/>
          <w:color w:val="auto"/>
        </w:rPr>
      </w:pPr>
    </w:p>
    <w:p>
      <w:pPr>
        <w:sectPr>
          <w:pgSz w:w="11900" w:h="16838" w:orient="portrait"/>
          <w:cols w:equalWidth="0" w:num="2">
            <w:col w:w="4920" w:space="60"/>
            <w:col w:w="6260"/>
          </w:cols>
          <w:pgMar w:left="320" w:top="230" w:right="339" w:bottom="1440" w:gutter="0" w:footer="0" w:header="0"/>
          <w:type w:val="continuous"/>
        </w:sectPr>
      </w:pPr>
    </w:p>
    <w:tbl>
      <w:tblPr>
        <w:tblLayout w:type="fixed"/>
        <w:tblInd w:w="0" w:type="dxa"/>
        <w:tblCellMar>
          <w:top w:w="0" w:type="dxa"/>
          <w:left w:w="0" w:type="dxa"/>
          <w:bottom w:w="0" w:type="dxa"/>
          <w:right w:w="0" w:type="dxa"/>
        </w:tblCellMar>
      </w:tblPr>
      <w:tr>
        <w:trPr>
          <w:trHeight w:val="154"/>
        </w:trPr>
        <w:tc>
          <w:tcPr>
            <w:tcW w:w="70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6440" w:type="dxa"/>
            <w:vAlign w:val="bottom"/>
          </w:tcPr>
          <w:p>
            <w:pPr>
              <w:ind w:left="400"/>
              <w:spacing w:after="0" w:line="153" w:lineRule="exact"/>
              <w:rPr>
                <w:sz w:val="20"/>
                <w:szCs w:val="20"/>
                <w:color w:val="auto"/>
              </w:rPr>
            </w:pPr>
            <w:r>
              <w:rPr>
                <w:rFonts w:ascii="Arial" w:cs="Arial" w:eastAsia="Arial" w:hAnsi="Arial"/>
                <w:sz w:val="14"/>
                <w:szCs w:val="14"/>
                <w:color w:val="auto"/>
              </w:rPr>
              <w:t>the world, enables better decision-making and innovation, helps build</w:t>
            </w:r>
          </w:p>
        </w:tc>
        <w:tc>
          <w:tcPr>
            <w:tcW w:w="0" w:type="dxa"/>
            <w:vAlign w:val="bottom"/>
          </w:tcPr>
          <w:p>
            <w:pPr>
              <w:spacing w:after="0"/>
              <w:rPr>
                <w:sz w:val="1"/>
                <w:szCs w:val="1"/>
                <w:color w:val="auto"/>
              </w:rPr>
            </w:pPr>
          </w:p>
        </w:tc>
      </w:tr>
      <w:tr>
        <w:trPr>
          <w:trHeight w:val="190"/>
        </w:trPr>
        <w:tc>
          <w:tcPr>
            <w:tcW w:w="70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6440" w:type="dxa"/>
            <w:vAlign w:val="bottom"/>
          </w:tcPr>
          <w:p>
            <w:pPr>
              <w:ind w:left="400"/>
              <w:spacing w:after="0"/>
              <w:rPr>
                <w:sz w:val="20"/>
                <w:szCs w:val="20"/>
                <w:color w:val="auto"/>
              </w:rPr>
            </w:pPr>
            <w:r>
              <w:rPr>
                <w:rFonts w:ascii="Arial" w:cs="Arial" w:eastAsia="Arial" w:hAnsi="Arial"/>
                <w:sz w:val="14"/>
                <w:szCs w:val="14"/>
                <w:color w:val="auto"/>
              </w:rPr>
              <w:t>competitive advantage, and furthers our long-term success.</w:t>
            </w:r>
          </w:p>
        </w:tc>
        <w:tc>
          <w:tcPr>
            <w:tcW w:w="0" w:type="dxa"/>
            <w:vAlign w:val="bottom"/>
          </w:tcPr>
          <w:p>
            <w:pPr>
              <w:spacing w:after="0"/>
              <w:rPr>
                <w:sz w:val="1"/>
                <w:szCs w:val="1"/>
                <w:color w:val="auto"/>
              </w:rPr>
            </w:pPr>
          </w:p>
        </w:tc>
      </w:tr>
      <w:tr>
        <w:trPr>
          <w:trHeight w:val="76"/>
        </w:trPr>
        <w:tc>
          <w:tcPr>
            <w:tcW w:w="700" w:type="dxa"/>
            <w:vAlign w:val="bottom"/>
            <w:tcBorders>
              <w:bottom w:val="single" w:sz="8" w:color="939598"/>
            </w:tcBorders>
          </w:tcPr>
          <w:p>
            <w:pPr>
              <w:spacing w:after="0"/>
              <w:rPr>
                <w:sz w:val="6"/>
                <w:szCs w:val="6"/>
                <w:color w:val="auto"/>
              </w:rPr>
            </w:pPr>
          </w:p>
        </w:tc>
        <w:tc>
          <w:tcPr>
            <w:tcW w:w="4080" w:type="dxa"/>
            <w:vAlign w:val="bottom"/>
            <w:tcBorders>
              <w:bottom w:val="single" w:sz="8" w:color="939598"/>
            </w:tcBorders>
          </w:tcPr>
          <w:p>
            <w:pPr>
              <w:spacing w:after="0"/>
              <w:rPr>
                <w:sz w:val="6"/>
                <w:szCs w:val="6"/>
                <w:color w:val="auto"/>
              </w:rPr>
            </w:pPr>
          </w:p>
        </w:tc>
        <w:tc>
          <w:tcPr>
            <w:tcW w:w="6440" w:type="dxa"/>
            <w:vAlign w:val="bottom"/>
            <w:tcBorders>
              <w:bottom w:val="single" w:sz="8" w:color="939598"/>
            </w:tcBorders>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700" w:type="dxa"/>
            <w:vAlign w:val="bottom"/>
          </w:tcPr>
          <w:p>
            <w:pPr>
              <w:ind w:left="20"/>
              <w:spacing w:after="0"/>
              <w:rPr>
                <w:sz w:val="20"/>
                <w:szCs w:val="20"/>
                <w:color w:val="auto"/>
              </w:rPr>
            </w:pPr>
            <w:r>
              <w:rPr>
                <w:rFonts w:ascii="Arial" w:cs="Arial" w:eastAsia="Arial" w:hAnsi="Arial"/>
                <w:sz w:val="14"/>
                <w:szCs w:val="14"/>
                <w:color w:val="auto"/>
              </w:rPr>
              <w:t>KPI #4</w:t>
            </w:r>
          </w:p>
        </w:tc>
        <w:tc>
          <w:tcPr>
            <w:tcW w:w="4080" w:type="dxa"/>
            <w:vAlign w:val="bottom"/>
          </w:tcPr>
          <w:p>
            <w:pPr>
              <w:ind w:left="240"/>
              <w:spacing w:after="0"/>
              <w:rPr>
                <w:sz w:val="20"/>
                <w:szCs w:val="20"/>
                <w:color w:val="auto"/>
              </w:rPr>
            </w:pPr>
            <w:r>
              <w:rPr>
                <w:rFonts w:ascii="Arial" w:cs="Arial" w:eastAsia="Arial" w:hAnsi="Arial"/>
                <w:sz w:val="14"/>
                <w:szCs w:val="14"/>
                <w:color w:val="auto"/>
              </w:rPr>
              <w:t>Ensure 100% of eligible employees complete Code of</w:t>
            </w:r>
          </w:p>
        </w:tc>
        <w:tc>
          <w:tcPr>
            <w:tcW w:w="6440" w:type="dxa"/>
            <w:vAlign w:val="bottom"/>
          </w:tcPr>
          <w:p>
            <w:pPr>
              <w:ind w:left="20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4"/>
                <w:szCs w:val="14"/>
                <w:color w:val="000000"/>
              </w:rPr>
              <w:t>The Code of Business Conduct establishes the Foundational Principles and  Achieved</w:t>
            </w:r>
          </w:p>
        </w:tc>
        <w:tc>
          <w:tcPr>
            <w:tcW w:w="0" w:type="dxa"/>
            <w:vAlign w:val="bottom"/>
          </w:tcPr>
          <w:p>
            <w:pPr>
              <w:spacing w:after="0"/>
              <w:rPr>
                <w:sz w:val="1"/>
                <w:szCs w:val="1"/>
                <w:color w:val="auto"/>
              </w:rPr>
            </w:pPr>
          </w:p>
        </w:tc>
      </w:tr>
      <w:tr>
        <w:trPr>
          <w:trHeight w:val="176"/>
        </w:trPr>
        <w:tc>
          <w:tcPr>
            <w:tcW w:w="700" w:type="dxa"/>
            <w:vAlign w:val="bottom"/>
          </w:tcPr>
          <w:p>
            <w:pPr>
              <w:spacing w:after="0"/>
              <w:rPr>
                <w:sz w:val="15"/>
                <w:szCs w:val="15"/>
                <w:color w:val="auto"/>
              </w:rPr>
            </w:pPr>
          </w:p>
        </w:tc>
        <w:tc>
          <w:tcPr>
            <w:tcW w:w="4080" w:type="dxa"/>
            <w:vAlign w:val="bottom"/>
          </w:tcPr>
          <w:p>
            <w:pPr>
              <w:ind w:left="240"/>
              <w:spacing w:after="0"/>
              <w:rPr>
                <w:sz w:val="20"/>
                <w:szCs w:val="20"/>
                <w:color w:val="auto"/>
              </w:rPr>
            </w:pPr>
            <w:r>
              <w:rPr>
                <w:rFonts w:ascii="Arial" w:cs="Arial" w:eastAsia="Arial" w:hAnsi="Arial"/>
                <w:sz w:val="14"/>
                <w:szCs w:val="14"/>
                <w:color w:val="auto"/>
              </w:rPr>
              <w:t>Business Conduct certification and related training where</w:t>
            </w:r>
          </w:p>
        </w:tc>
        <w:tc>
          <w:tcPr>
            <w:tcW w:w="6440" w:type="dxa"/>
            <w:vAlign w:val="bottom"/>
          </w:tcPr>
          <w:p>
            <w:pPr>
              <w:ind w:left="400"/>
              <w:spacing w:after="0"/>
              <w:rPr>
                <w:sz w:val="20"/>
                <w:szCs w:val="20"/>
                <w:color w:val="auto"/>
              </w:rPr>
            </w:pPr>
            <w:r>
              <w:rPr>
                <w:rFonts w:ascii="Arial" w:cs="Arial" w:eastAsia="Arial" w:hAnsi="Arial"/>
                <w:sz w:val="14"/>
                <w:szCs w:val="14"/>
                <w:color w:val="auto"/>
              </w:rPr>
              <w:t>ethical conduct expectations for our global workforce.</w:t>
            </w:r>
          </w:p>
        </w:tc>
        <w:tc>
          <w:tcPr>
            <w:tcW w:w="0" w:type="dxa"/>
            <w:vAlign w:val="bottom"/>
          </w:tcPr>
          <w:p>
            <w:pPr>
              <w:spacing w:after="0"/>
              <w:rPr>
                <w:sz w:val="1"/>
                <w:szCs w:val="1"/>
                <w:color w:val="auto"/>
              </w:rPr>
            </w:pPr>
          </w:p>
        </w:tc>
      </w:tr>
      <w:tr>
        <w:trPr>
          <w:trHeight w:val="190"/>
        </w:trPr>
        <w:tc>
          <w:tcPr>
            <w:tcW w:w="700" w:type="dxa"/>
            <w:vAlign w:val="bottom"/>
          </w:tcPr>
          <w:p>
            <w:pPr>
              <w:spacing w:after="0"/>
              <w:rPr>
                <w:sz w:val="16"/>
                <w:szCs w:val="16"/>
                <w:color w:val="auto"/>
              </w:rPr>
            </w:pPr>
          </w:p>
        </w:tc>
        <w:tc>
          <w:tcPr>
            <w:tcW w:w="4080" w:type="dxa"/>
            <w:vAlign w:val="bottom"/>
          </w:tcPr>
          <w:p>
            <w:pPr>
              <w:ind w:left="240"/>
              <w:spacing w:after="0"/>
              <w:rPr>
                <w:sz w:val="20"/>
                <w:szCs w:val="20"/>
                <w:color w:val="auto"/>
              </w:rPr>
            </w:pPr>
            <w:r>
              <w:rPr>
                <w:rFonts w:ascii="Arial" w:cs="Arial" w:eastAsia="Arial" w:hAnsi="Arial"/>
                <w:sz w:val="14"/>
                <w:szCs w:val="14"/>
                <w:color w:val="auto"/>
              </w:rPr>
              <w:t>permitted by law</w:t>
            </w:r>
          </w:p>
        </w:tc>
        <w:tc>
          <w:tcPr>
            <w:tcW w:w="6440" w:type="dxa"/>
            <w:vAlign w:val="bottom"/>
            <w:vMerge w:val="restart"/>
          </w:tcPr>
          <w:p>
            <w:pPr>
              <w:ind w:left="20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4"/>
                <w:szCs w:val="14"/>
                <w:color w:val="000000"/>
              </w:rPr>
              <w:t>Achieving 100% certification throughout the organization helps mitigate the</w:t>
            </w:r>
          </w:p>
        </w:tc>
        <w:tc>
          <w:tcPr>
            <w:tcW w:w="0" w:type="dxa"/>
            <w:vAlign w:val="bottom"/>
          </w:tcPr>
          <w:p>
            <w:pPr>
              <w:spacing w:after="0"/>
              <w:rPr>
                <w:sz w:val="1"/>
                <w:szCs w:val="1"/>
                <w:color w:val="auto"/>
              </w:rPr>
            </w:pPr>
          </w:p>
        </w:tc>
      </w:tr>
      <w:tr>
        <w:trPr>
          <w:trHeight w:val="93"/>
        </w:trPr>
        <w:tc>
          <w:tcPr>
            <w:tcW w:w="700" w:type="dxa"/>
            <w:vAlign w:val="bottom"/>
          </w:tcPr>
          <w:p>
            <w:pPr>
              <w:spacing w:after="0"/>
              <w:rPr>
                <w:sz w:val="8"/>
                <w:szCs w:val="8"/>
                <w:color w:val="auto"/>
              </w:rPr>
            </w:pPr>
          </w:p>
        </w:tc>
        <w:tc>
          <w:tcPr>
            <w:tcW w:w="4080" w:type="dxa"/>
            <w:vAlign w:val="bottom"/>
          </w:tcPr>
          <w:p>
            <w:pPr>
              <w:spacing w:after="0"/>
              <w:rPr>
                <w:sz w:val="8"/>
                <w:szCs w:val="8"/>
                <w:color w:val="auto"/>
              </w:rPr>
            </w:pPr>
          </w:p>
        </w:tc>
        <w:tc>
          <w:tcPr>
            <w:tcW w:w="6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6440" w:type="dxa"/>
            <w:vAlign w:val="bottom"/>
          </w:tcPr>
          <w:p>
            <w:pPr>
              <w:ind w:left="400"/>
              <w:spacing w:after="0"/>
              <w:rPr>
                <w:sz w:val="20"/>
                <w:szCs w:val="20"/>
                <w:color w:val="auto"/>
              </w:rPr>
            </w:pPr>
            <w:r>
              <w:rPr>
                <w:rFonts w:ascii="Arial" w:cs="Arial" w:eastAsia="Arial" w:hAnsi="Arial"/>
                <w:sz w:val="14"/>
                <w:szCs w:val="14"/>
                <w:color w:val="auto"/>
              </w:rPr>
              <w:t>risk of reputational and financial harm and encourages employees to report</w:t>
            </w:r>
          </w:p>
        </w:tc>
        <w:tc>
          <w:tcPr>
            <w:tcW w:w="0" w:type="dxa"/>
            <w:vAlign w:val="bottom"/>
          </w:tcPr>
          <w:p>
            <w:pPr>
              <w:spacing w:after="0"/>
              <w:rPr>
                <w:sz w:val="1"/>
                <w:szCs w:val="1"/>
                <w:color w:val="auto"/>
              </w:rPr>
            </w:pPr>
          </w:p>
        </w:tc>
      </w:tr>
      <w:tr>
        <w:trPr>
          <w:trHeight w:val="190"/>
        </w:trPr>
        <w:tc>
          <w:tcPr>
            <w:tcW w:w="70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6440" w:type="dxa"/>
            <w:vAlign w:val="bottom"/>
          </w:tcPr>
          <w:p>
            <w:pPr>
              <w:ind w:left="400"/>
              <w:spacing w:after="0"/>
              <w:rPr>
                <w:sz w:val="20"/>
                <w:szCs w:val="20"/>
                <w:color w:val="auto"/>
              </w:rPr>
            </w:pPr>
            <w:r>
              <w:rPr>
                <w:rFonts w:ascii="Arial" w:cs="Arial" w:eastAsia="Arial" w:hAnsi="Arial"/>
                <w:sz w:val="14"/>
                <w:szCs w:val="14"/>
                <w:color w:val="auto"/>
              </w:rPr>
              <w:t>their concerns.</w:t>
            </w:r>
          </w:p>
        </w:tc>
        <w:tc>
          <w:tcPr>
            <w:tcW w:w="0" w:type="dxa"/>
            <w:vAlign w:val="bottom"/>
          </w:tcPr>
          <w:p>
            <w:pPr>
              <w:spacing w:after="0"/>
              <w:rPr>
                <w:sz w:val="1"/>
                <w:szCs w:val="1"/>
                <w:color w:val="auto"/>
              </w:rPr>
            </w:pPr>
          </w:p>
        </w:tc>
      </w:tr>
      <w:tr>
        <w:trPr>
          <w:trHeight w:val="75"/>
        </w:trPr>
        <w:tc>
          <w:tcPr>
            <w:tcW w:w="700" w:type="dxa"/>
            <w:vAlign w:val="bottom"/>
            <w:tcBorders>
              <w:bottom w:val="single" w:sz="8" w:color="D7282F"/>
            </w:tcBorders>
          </w:tcPr>
          <w:p>
            <w:pPr>
              <w:spacing w:after="0"/>
              <w:rPr>
                <w:sz w:val="6"/>
                <w:szCs w:val="6"/>
                <w:color w:val="auto"/>
              </w:rPr>
            </w:pPr>
          </w:p>
        </w:tc>
        <w:tc>
          <w:tcPr>
            <w:tcW w:w="4080" w:type="dxa"/>
            <w:vAlign w:val="bottom"/>
            <w:tcBorders>
              <w:bottom w:val="single" w:sz="8" w:color="D7282F"/>
            </w:tcBorders>
          </w:tcPr>
          <w:p>
            <w:pPr>
              <w:spacing w:after="0"/>
              <w:rPr>
                <w:sz w:val="6"/>
                <w:szCs w:val="6"/>
                <w:color w:val="auto"/>
              </w:rPr>
            </w:pPr>
          </w:p>
        </w:tc>
        <w:tc>
          <w:tcPr>
            <w:tcW w:w="6440" w:type="dxa"/>
            <w:vAlign w:val="bottom"/>
            <w:tcBorders>
              <w:bottom w:val="single" w:sz="8" w:color="D7282F"/>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Following a comprehensive review and discussion of CEO staff performance against the 2025 Corporate Responsibility KPIs, and broadly considering the success that leadership has had in advancing the Company's sustainability commitments, the MDCC approved an overall attainment percentage of 200% of target for the Corporate Responsibility portion (5%) of the 2025 ICP awards to the NEOs.</w:t>
      </w:r>
    </w:p>
    <w:p>
      <w:pPr>
        <w:spacing w:after="0" w:line="18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APPROVED ICP PAYOUT AMOUNTS</w:t>
      </w:r>
    </w:p>
    <w:p>
      <w:pPr>
        <w:spacing w:after="0" w:line="141"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After applying the formulaic payout percentages described on page 66 (80% weight), deciding individual qualitative attainment percentages for each NEO based on their assessment of individual performance in 2025 (15% weight), and deciding the appropriate Corporate Responsibility portion payout percentage (5% weight), the MDCC approved 2025 ICP payments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60" w:type="dxa"/>
            <w:vAlign w:val="bottom"/>
          </w:tcPr>
          <w:p>
            <w:pPr>
              <w:jc w:val="right"/>
              <w:ind w:right="88"/>
              <w:spacing w:after="0"/>
              <w:rPr>
                <w:sz w:val="20"/>
                <w:szCs w:val="20"/>
                <w:color w:val="auto"/>
              </w:rPr>
            </w:pPr>
            <w:r>
              <w:rPr>
                <w:rFonts w:ascii="Arial" w:cs="Arial" w:eastAsia="Arial" w:hAnsi="Arial"/>
                <w:sz w:val="7"/>
                <w:szCs w:val="7"/>
                <w:b w:val="1"/>
                <w:bCs w:val="1"/>
                <w:color w:val="auto"/>
              </w:rPr>
              <w:t>(1)</w:t>
            </w:r>
          </w:p>
        </w:tc>
        <w:tc>
          <w:tcPr>
            <w:tcW w:w="500" w:type="dxa"/>
            <w:vAlign w:val="bottom"/>
          </w:tcPr>
          <w:p>
            <w:pPr>
              <w:spacing w:after="0"/>
              <w:rPr>
                <w:sz w:val="10"/>
                <w:szCs w:val="10"/>
                <w:color w:val="auto"/>
              </w:rPr>
            </w:pPr>
          </w:p>
        </w:tc>
        <w:tc>
          <w:tcPr>
            <w:tcW w:w="200" w:type="dxa"/>
            <w:vAlign w:val="bottom"/>
            <w:vMerge w:val="restart"/>
          </w:tcPr>
          <w:p>
            <w:pPr>
              <w:jc w:val="right"/>
              <w:ind w:right="66"/>
              <w:spacing w:after="0"/>
              <w:rPr>
                <w:sz w:val="20"/>
                <w:szCs w:val="20"/>
                <w:color w:val="auto"/>
              </w:rPr>
            </w:pPr>
            <w:r>
              <w:rPr>
                <w:rFonts w:ascii="Arial" w:cs="Arial" w:eastAsia="Arial" w:hAnsi="Arial"/>
                <w:sz w:val="11"/>
                <w:szCs w:val="11"/>
                <w:b w:val="1"/>
                <w:bCs w:val="1"/>
                <w:color w:val="auto"/>
                <w:w w:val="92"/>
              </w:rPr>
              <w:t>+</w:t>
            </w:r>
          </w:p>
        </w:tc>
        <w:tc>
          <w:tcPr>
            <w:tcW w:w="1160" w:type="dxa"/>
            <w:vAlign w:val="bottom"/>
          </w:tcPr>
          <w:p>
            <w:pPr>
              <w:spacing w:after="0"/>
              <w:rPr>
                <w:sz w:val="10"/>
                <w:szCs w:val="10"/>
                <w:color w:val="auto"/>
              </w:rPr>
            </w:pPr>
          </w:p>
        </w:tc>
        <w:tc>
          <w:tcPr>
            <w:tcW w:w="640" w:type="dxa"/>
            <w:vAlign w:val="bottom"/>
          </w:tcPr>
          <w:p>
            <w:pPr>
              <w:jc w:val="right"/>
              <w:ind w:right="68"/>
              <w:spacing w:after="0"/>
              <w:rPr>
                <w:sz w:val="20"/>
                <w:szCs w:val="20"/>
                <w:color w:val="auto"/>
              </w:rPr>
            </w:pPr>
            <w:r>
              <w:rPr>
                <w:rFonts w:ascii="Arial" w:cs="Arial" w:eastAsia="Arial" w:hAnsi="Arial"/>
                <w:sz w:val="7"/>
                <w:szCs w:val="7"/>
                <w:b w:val="1"/>
                <w:bCs w:val="1"/>
                <w:color w:val="auto"/>
              </w:rPr>
              <w:t>(2)</w:t>
            </w:r>
          </w:p>
        </w:tc>
        <w:tc>
          <w:tcPr>
            <w:tcW w:w="500" w:type="dxa"/>
            <w:vAlign w:val="bottom"/>
          </w:tcPr>
          <w:p>
            <w:pPr>
              <w:spacing w:after="0"/>
              <w:rPr>
                <w:sz w:val="10"/>
                <w:szCs w:val="10"/>
                <w:color w:val="auto"/>
              </w:rPr>
            </w:pPr>
          </w:p>
        </w:tc>
        <w:tc>
          <w:tcPr>
            <w:tcW w:w="200" w:type="dxa"/>
            <w:vAlign w:val="bottom"/>
            <w:vMerge w:val="restart"/>
          </w:tcPr>
          <w:p>
            <w:pPr>
              <w:jc w:val="right"/>
              <w:ind w:right="66"/>
              <w:spacing w:after="0"/>
              <w:rPr>
                <w:sz w:val="20"/>
                <w:szCs w:val="20"/>
                <w:color w:val="auto"/>
              </w:rPr>
            </w:pPr>
            <w:r>
              <w:rPr>
                <w:rFonts w:ascii="Arial" w:cs="Arial" w:eastAsia="Arial" w:hAnsi="Arial"/>
                <w:sz w:val="11"/>
                <w:szCs w:val="11"/>
                <w:b w:val="1"/>
                <w:bCs w:val="1"/>
                <w:color w:val="auto"/>
                <w:w w:val="92"/>
              </w:rPr>
              <w:t>+</w:t>
            </w:r>
          </w:p>
        </w:tc>
        <w:tc>
          <w:tcPr>
            <w:tcW w:w="1920" w:type="dxa"/>
            <w:vAlign w:val="bottom"/>
            <w:gridSpan w:val="3"/>
            <w:vMerge w:val="restart"/>
          </w:tcPr>
          <w:p>
            <w:pPr>
              <w:ind w:left="240"/>
              <w:spacing w:after="0"/>
              <w:rPr>
                <w:sz w:val="20"/>
                <w:szCs w:val="20"/>
                <w:color w:val="auto"/>
              </w:rPr>
            </w:pPr>
            <w:r>
              <w:rPr>
                <w:rFonts w:ascii="Arial" w:cs="Arial" w:eastAsia="Arial" w:hAnsi="Arial"/>
                <w:sz w:val="11"/>
                <w:szCs w:val="11"/>
                <w:b w:val="1"/>
                <w:bCs w:val="1"/>
                <w:color w:val="auto"/>
                <w:w w:val="96"/>
              </w:rPr>
              <w:t>Corporate Responsibility Portion</w:t>
            </w:r>
          </w:p>
        </w:tc>
        <w:tc>
          <w:tcPr>
            <w:tcW w:w="340" w:type="dxa"/>
            <w:vAlign w:val="bottom"/>
          </w:tcPr>
          <w:p>
            <w:pPr>
              <w:jc w:val="right"/>
              <w:ind w:right="188"/>
              <w:spacing w:after="0"/>
              <w:rPr>
                <w:sz w:val="20"/>
                <w:szCs w:val="20"/>
                <w:color w:val="auto"/>
              </w:rPr>
            </w:pPr>
            <w:r>
              <w:rPr>
                <w:rFonts w:ascii="Arial" w:cs="Arial" w:eastAsia="Arial" w:hAnsi="Arial"/>
                <w:sz w:val="7"/>
                <w:szCs w:val="7"/>
                <w:b w:val="1"/>
                <w:bCs w:val="1"/>
                <w:color w:val="auto"/>
                <w:w w:val="92"/>
              </w:rPr>
              <w:t>(3)</w:t>
            </w:r>
          </w:p>
        </w:tc>
        <w:tc>
          <w:tcPr>
            <w:tcW w:w="26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w:t>
            </w:r>
          </w:p>
        </w:tc>
        <w:tc>
          <w:tcPr>
            <w:tcW w:w="760" w:type="dxa"/>
            <w:vAlign w:val="bottom"/>
          </w:tcPr>
          <w:p>
            <w:pPr>
              <w:jc w:val="right"/>
              <w:spacing w:after="0"/>
              <w:rPr>
                <w:sz w:val="20"/>
                <w:szCs w:val="20"/>
                <w:color w:val="auto"/>
              </w:rPr>
            </w:pPr>
            <w:r>
              <w:rPr>
                <w:rFonts w:ascii="Arial" w:cs="Arial" w:eastAsia="Arial" w:hAnsi="Arial"/>
                <w:sz w:val="11"/>
                <w:szCs w:val="11"/>
                <w:b w:val="1"/>
                <w:bCs w:val="1"/>
                <w:color w:val="auto"/>
              </w:rPr>
              <w:t>Total</w:t>
            </w:r>
          </w:p>
        </w:tc>
        <w:tc>
          <w:tcPr>
            <w:tcW w:w="2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x</w:t>
            </w:r>
          </w:p>
        </w:tc>
        <w:tc>
          <w:tcPr>
            <w:tcW w:w="9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780" w:type="dxa"/>
            <w:vAlign w:val="bottom"/>
            <w:tcBorders>
              <w:bottom w:val="single" w:sz="8" w:color="D7282F"/>
            </w:tcBorders>
            <w:gridSpan w:val="2"/>
          </w:tcPr>
          <w:p>
            <w:pPr>
              <w:jc w:val="right"/>
              <w:ind w:right="168"/>
              <w:spacing w:after="0" w:line="88" w:lineRule="exact"/>
              <w:rPr>
                <w:sz w:val="20"/>
                <w:szCs w:val="20"/>
                <w:color w:val="auto"/>
              </w:rPr>
            </w:pPr>
            <w:r>
              <w:rPr>
                <w:rFonts w:ascii="Arial" w:cs="Arial" w:eastAsia="Arial" w:hAnsi="Arial"/>
                <w:sz w:val="10"/>
                <w:szCs w:val="10"/>
                <w:b w:val="1"/>
                <w:bCs w:val="1"/>
                <w:color w:val="auto"/>
              </w:rPr>
              <w:t>Formulaic Portion</w:t>
            </w:r>
          </w:p>
        </w:tc>
        <w:tc>
          <w:tcPr>
            <w:tcW w:w="500" w:type="dxa"/>
            <w:vAlign w:val="bottom"/>
            <w:tcBorders>
              <w:bottom w:val="single" w:sz="8" w:color="D7282F"/>
            </w:tcBorders>
          </w:tcPr>
          <w:p>
            <w:pPr>
              <w:spacing w:after="0"/>
              <w:rPr>
                <w:sz w:val="9"/>
                <w:szCs w:val="9"/>
                <w:color w:val="auto"/>
              </w:rPr>
            </w:pPr>
          </w:p>
        </w:tc>
        <w:tc>
          <w:tcPr>
            <w:tcW w:w="200" w:type="dxa"/>
            <w:vAlign w:val="bottom"/>
            <w:vMerge w:val="continue"/>
          </w:tcPr>
          <w:p>
            <w:pPr>
              <w:spacing w:after="0"/>
              <w:rPr>
                <w:sz w:val="9"/>
                <w:szCs w:val="9"/>
                <w:color w:val="auto"/>
              </w:rPr>
            </w:pPr>
          </w:p>
        </w:tc>
        <w:tc>
          <w:tcPr>
            <w:tcW w:w="1800" w:type="dxa"/>
            <w:vAlign w:val="bottom"/>
            <w:tcBorders>
              <w:bottom w:val="single" w:sz="8" w:color="D7282F"/>
            </w:tcBorders>
            <w:gridSpan w:val="2"/>
          </w:tcPr>
          <w:p>
            <w:pPr>
              <w:jc w:val="right"/>
              <w:ind w:right="168"/>
              <w:spacing w:after="0" w:line="88" w:lineRule="exact"/>
              <w:rPr>
                <w:sz w:val="20"/>
                <w:szCs w:val="20"/>
                <w:color w:val="auto"/>
              </w:rPr>
            </w:pPr>
            <w:r>
              <w:rPr>
                <w:rFonts w:ascii="Arial" w:cs="Arial" w:eastAsia="Arial" w:hAnsi="Arial"/>
                <w:sz w:val="10"/>
                <w:szCs w:val="10"/>
                <w:b w:val="1"/>
                <w:bCs w:val="1"/>
                <w:color w:val="auto"/>
              </w:rPr>
              <w:t>Qualitative Portion</w:t>
            </w:r>
          </w:p>
        </w:tc>
        <w:tc>
          <w:tcPr>
            <w:tcW w:w="500" w:type="dxa"/>
            <w:vAlign w:val="bottom"/>
            <w:tcBorders>
              <w:bottom w:val="single" w:sz="8" w:color="D7282F"/>
            </w:tcBorders>
          </w:tcPr>
          <w:p>
            <w:pPr>
              <w:spacing w:after="0"/>
              <w:rPr>
                <w:sz w:val="9"/>
                <w:szCs w:val="9"/>
                <w:color w:val="auto"/>
              </w:rPr>
            </w:pPr>
          </w:p>
        </w:tc>
        <w:tc>
          <w:tcPr>
            <w:tcW w:w="200" w:type="dxa"/>
            <w:vAlign w:val="bottom"/>
            <w:vMerge w:val="continue"/>
          </w:tcPr>
          <w:p>
            <w:pPr>
              <w:spacing w:after="0"/>
              <w:rPr>
                <w:sz w:val="9"/>
                <w:szCs w:val="9"/>
                <w:color w:val="auto"/>
              </w:rPr>
            </w:pPr>
          </w:p>
        </w:tc>
        <w:tc>
          <w:tcPr>
            <w:tcW w:w="1920" w:type="dxa"/>
            <w:vAlign w:val="bottom"/>
            <w:tcBorders>
              <w:bottom w:val="single" w:sz="8" w:color="D7282F"/>
            </w:tcBorders>
            <w:gridSpan w:val="3"/>
            <w:vMerge w:val="continue"/>
          </w:tcPr>
          <w:p>
            <w:pPr>
              <w:spacing w:after="0"/>
              <w:rPr>
                <w:sz w:val="9"/>
                <w:szCs w:val="9"/>
                <w:color w:val="auto"/>
              </w:rPr>
            </w:pPr>
          </w:p>
        </w:tc>
        <w:tc>
          <w:tcPr>
            <w:tcW w:w="340" w:type="dxa"/>
            <w:vAlign w:val="bottom"/>
            <w:tcBorders>
              <w:bottom w:val="single" w:sz="8" w:color="D7282F"/>
            </w:tcBorders>
          </w:tcPr>
          <w:p>
            <w:pPr>
              <w:spacing w:after="0"/>
              <w:rPr>
                <w:sz w:val="9"/>
                <w:szCs w:val="9"/>
                <w:color w:val="auto"/>
              </w:rPr>
            </w:pPr>
          </w:p>
        </w:tc>
        <w:tc>
          <w:tcPr>
            <w:tcW w:w="260" w:type="dxa"/>
            <w:vAlign w:val="bottom"/>
            <w:vMerge w:val="continue"/>
          </w:tcPr>
          <w:p>
            <w:pPr>
              <w:spacing w:after="0"/>
              <w:rPr>
                <w:sz w:val="9"/>
                <w:szCs w:val="9"/>
                <w:color w:val="auto"/>
              </w:rPr>
            </w:pPr>
          </w:p>
        </w:tc>
        <w:tc>
          <w:tcPr>
            <w:tcW w:w="76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Individual</w:t>
            </w:r>
          </w:p>
        </w:tc>
        <w:tc>
          <w:tcPr>
            <w:tcW w:w="200" w:type="dxa"/>
            <w:vAlign w:val="bottom"/>
            <w:vMerge w:val="continue"/>
          </w:tcPr>
          <w:p>
            <w:pPr>
              <w:spacing w:after="0"/>
              <w:rPr>
                <w:sz w:val="9"/>
                <w:szCs w:val="9"/>
                <w:color w:val="auto"/>
              </w:rPr>
            </w:pPr>
          </w:p>
        </w:tc>
        <w:tc>
          <w:tcPr>
            <w:tcW w:w="980" w:type="dxa"/>
            <w:vAlign w:val="bottom"/>
          </w:tcPr>
          <w:p>
            <w:pPr>
              <w:jc w:val="right"/>
              <w:ind w:right="28"/>
              <w:spacing w:after="0" w:line="102" w:lineRule="exact"/>
              <w:rPr>
                <w:sz w:val="20"/>
                <w:szCs w:val="20"/>
                <w:color w:val="auto"/>
              </w:rPr>
            </w:pPr>
            <w:r>
              <w:rPr>
                <w:rFonts w:ascii="Arial" w:cs="Arial" w:eastAsia="Arial" w:hAnsi="Arial"/>
                <w:sz w:val="7"/>
                <w:szCs w:val="7"/>
                <w:b w:val="1"/>
                <w:bCs w:val="1"/>
                <w:color w:val="auto"/>
              </w:rPr>
              <w:t xml:space="preserve">Target 2025 </w:t>
            </w:r>
            <w:r>
              <w:rPr>
                <w:rFonts w:ascii="Arial" w:cs="Arial" w:eastAsia="Arial" w:hAnsi="Arial"/>
                <w:sz w:val="11"/>
                <w:szCs w:val="11"/>
                <w:b w:val="1"/>
                <w:bCs w:val="1"/>
                <w:color w:val="auto"/>
                <w:vertAlign w:val="superscript"/>
              </w:rPr>
              <w:t>=</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b w:val="1"/>
                <w:bCs w:val="1"/>
                <w:color w:val="auto"/>
              </w:rPr>
              <w:t>Payout</w:t>
            </w: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40" w:type="dxa"/>
            <w:vAlign w:val="bottom"/>
          </w:tcPr>
          <w:p>
            <w:pPr>
              <w:jc w:val="right"/>
              <w:ind w:right="88"/>
              <w:spacing w:after="0"/>
              <w:rPr>
                <w:sz w:val="20"/>
                <w:szCs w:val="20"/>
                <w:color w:val="auto"/>
              </w:rPr>
            </w:pPr>
            <w:r>
              <w:rPr>
                <w:rFonts w:ascii="Arial" w:cs="Arial" w:eastAsia="Arial" w:hAnsi="Arial"/>
                <w:sz w:val="11"/>
                <w:szCs w:val="11"/>
                <w:b w:val="1"/>
                <w:bCs w:val="1"/>
                <w:color w:val="auto"/>
              </w:rPr>
              <w:t>Weight</w:t>
            </w:r>
          </w:p>
        </w:tc>
        <w:tc>
          <w:tcPr>
            <w:tcW w:w="500" w:type="dxa"/>
            <w:vAlign w:val="bottom"/>
          </w:tcPr>
          <w:p>
            <w:pPr>
              <w:jc w:val="right"/>
              <w:spacing w:after="0"/>
              <w:rPr>
                <w:sz w:val="20"/>
                <w:szCs w:val="20"/>
                <w:color w:val="auto"/>
              </w:rPr>
            </w:pPr>
            <w:r>
              <w:rPr>
                <w:rFonts w:ascii="Arial" w:cs="Arial" w:eastAsia="Arial" w:hAnsi="Arial"/>
                <w:sz w:val="11"/>
                <w:szCs w:val="11"/>
                <w:b w:val="1"/>
                <w:bCs w:val="1"/>
                <w:color w:val="auto"/>
              </w:rPr>
              <w:t>Payout</w:t>
            </w: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b w:val="1"/>
                <w:bCs w:val="1"/>
                <w:color w:val="auto"/>
              </w:rPr>
              <w:t>Weight</w:t>
            </w:r>
          </w:p>
        </w:tc>
        <w:tc>
          <w:tcPr>
            <w:tcW w:w="520" w:type="dxa"/>
            <w:vAlign w:val="bottom"/>
            <w:gridSpan w:val="2"/>
          </w:tcPr>
          <w:p>
            <w:pPr>
              <w:jc w:val="right"/>
              <w:spacing w:after="0"/>
              <w:rPr>
                <w:sz w:val="20"/>
                <w:szCs w:val="20"/>
                <w:color w:val="auto"/>
              </w:rPr>
            </w:pPr>
            <w:r>
              <w:rPr>
                <w:rFonts w:ascii="Arial" w:cs="Arial" w:eastAsia="Arial" w:hAnsi="Arial"/>
                <w:sz w:val="11"/>
                <w:szCs w:val="11"/>
                <w:b w:val="1"/>
                <w:bCs w:val="1"/>
                <w:color w:val="auto"/>
              </w:rPr>
              <w:t>Payout</w:t>
            </w:r>
          </w:p>
        </w:tc>
        <w:tc>
          <w:tcPr>
            <w:tcW w:w="2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b w:val="1"/>
                <w:bCs w:val="1"/>
                <w:color w:val="auto"/>
              </w:rPr>
              <w:t>ICP Payout</w:t>
            </w:r>
          </w:p>
        </w:tc>
        <w:tc>
          <w:tcPr>
            <w:tcW w:w="200" w:type="dxa"/>
            <w:vAlign w:val="bottom"/>
          </w:tcPr>
          <w:p>
            <w:pPr>
              <w:spacing w:after="0"/>
              <w:rPr>
                <w:sz w:val="11"/>
                <w:szCs w:val="11"/>
                <w:color w:val="auto"/>
              </w:rPr>
            </w:pPr>
          </w:p>
        </w:tc>
        <w:tc>
          <w:tcPr>
            <w:tcW w:w="980" w:type="dxa"/>
            <w:vAlign w:val="bottom"/>
          </w:tcPr>
          <w:p>
            <w:pPr>
              <w:jc w:val="right"/>
              <w:ind w:right="148"/>
              <w:spacing w:after="0"/>
              <w:rPr>
                <w:sz w:val="20"/>
                <w:szCs w:val="20"/>
                <w:color w:val="auto"/>
              </w:rPr>
            </w:pPr>
            <w:r>
              <w:rPr>
                <w:rFonts w:ascii="Arial" w:cs="Arial" w:eastAsia="Arial" w:hAnsi="Arial"/>
                <w:sz w:val="11"/>
                <w:szCs w:val="11"/>
                <w:b w:val="1"/>
                <w:bCs w:val="1"/>
                <w:color w:val="auto"/>
              </w:rPr>
              <w:t>ICP Award</w:t>
            </w:r>
          </w:p>
        </w:tc>
        <w:tc>
          <w:tcPr>
            <w:tcW w:w="800" w:type="dxa"/>
            <w:vAlign w:val="bottom"/>
          </w:tcPr>
          <w:p>
            <w:pPr>
              <w:jc w:val="right"/>
              <w:ind w:right="6"/>
              <w:spacing w:after="0"/>
              <w:rPr>
                <w:sz w:val="20"/>
                <w:szCs w:val="20"/>
                <w:color w:val="auto"/>
              </w:rPr>
            </w:pPr>
            <w:r>
              <w:rPr>
                <w:rFonts w:ascii="Arial" w:cs="Arial" w:eastAsia="Arial" w:hAnsi="Arial"/>
                <w:sz w:val="11"/>
                <w:szCs w:val="11"/>
                <w:b w:val="1"/>
                <w:bCs w:val="1"/>
                <w:color w:val="auto"/>
              </w:rPr>
              <w:t>Actual 2025</w:t>
            </w:r>
          </w:p>
        </w:tc>
        <w:tc>
          <w:tcPr>
            <w:tcW w:w="0" w:type="dxa"/>
            <w:vAlign w:val="bottom"/>
          </w:tcPr>
          <w:p>
            <w:pPr>
              <w:spacing w:after="0"/>
              <w:rPr>
                <w:sz w:val="1"/>
                <w:szCs w:val="1"/>
                <w:color w:val="auto"/>
              </w:rPr>
            </w:pPr>
          </w:p>
        </w:tc>
      </w:tr>
      <w:tr>
        <w:trPr>
          <w:trHeight w:val="169"/>
        </w:trPr>
        <w:tc>
          <w:tcPr>
            <w:tcW w:w="800" w:type="dxa"/>
            <w:vAlign w:val="bottom"/>
            <w:tcBorders>
              <w:bottom w:val="single" w:sz="8" w:color="D7282F"/>
            </w:tcBorders>
          </w:tcPr>
          <w:p>
            <w:pPr>
              <w:spacing w:after="0"/>
              <w:rPr>
                <w:sz w:val="14"/>
                <w:szCs w:val="14"/>
                <w:color w:val="auto"/>
              </w:rPr>
            </w:pPr>
          </w:p>
        </w:tc>
        <w:tc>
          <w:tcPr>
            <w:tcW w:w="1120" w:type="dxa"/>
            <w:vAlign w:val="bottom"/>
            <w:tcBorders>
              <w:bottom w:val="single" w:sz="8" w:color="D7282F"/>
            </w:tcBorders>
          </w:tcPr>
          <w:p>
            <w:pPr>
              <w:jc w:val="right"/>
              <w:ind w:right="67"/>
              <w:spacing w:after="0"/>
              <w:rPr>
                <w:sz w:val="20"/>
                <w:szCs w:val="20"/>
                <w:color w:val="auto"/>
              </w:rPr>
            </w:pPr>
            <w:r>
              <w:rPr>
                <w:rFonts w:ascii="Arial" w:cs="Arial" w:eastAsia="Arial" w:hAnsi="Arial"/>
                <w:sz w:val="11"/>
                <w:szCs w:val="11"/>
                <w:b w:val="1"/>
                <w:bCs w:val="1"/>
                <w:color w:val="auto"/>
              </w:rPr>
              <w:t>Attainment  x</w:t>
            </w:r>
          </w:p>
        </w:tc>
        <w:tc>
          <w:tcPr>
            <w:tcW w:w="660" w:type="dxa"/>
            <w:vAlign w:val="bottom"/>
            <w:tcBorders>
              <w:bottom w:val="single" w:sz="8" w:color="D7282F"/>
            </w:tcBorders>
          </w:tcPr>
          <w:p>
            <w:pPr>
              <w:jc w:val="right"/>
              <w:ind w:right="128"/>
              <w:spacing w:after="0"/>
              <w:rPr>
                <w:sz w:val="20"/>
                <w:szCs w:val="20"/>
                <w:color w:val="auto"/>
              </w:rPr>
            </w:pPr>
            <w:r>
              <w:rPr>
                <w:rFonts w:ascii="Arial" w:cs="Arial" w:eastAsia="Arial" w:hAnsi="Arial"/>
                <w:sz w:val="11"/>
                <w:szCs w:val="11"/>
                <w:b w:val="1"/>
                <w:bCs w:val="1"/>
                <w:color w:val="auto"/>
              </w:rPr>
              <w:t>Weight</w:t>
            </w:r>
          </w:p>
        </w:tc>
        <w:tc>
          <w:tcPr>
            <w:tcW w:w="500" w:type="dxa"/>
            <w:vAlign w:val="bottom"/>
            <w:tcBorders>
              <w:bottom w:val="single" w:sz="8" w:color="D7282F"/>
            </w:tcBorders>
          </w:tcPr>
          <w:p>
            <w:pPr>
              <w:jc w:val="right"/>
              <w:spacing w:after="0"/>
              <w:rPr>
                <w:sz w:val="20"/>
                <w:szCs w:val="20"/>
                <w:color w:val="auto"/>
              </w:rPr>
            </w:pPr>
            <w:r>
              <w:rPr>
                <w:rFonts w:ascii="Arial" w:cs="Arial" w:eastAsia="Arial" w:hAnsi="Arial"/>
                <w:sz w:val="11"/>
                <w:szCs w:val="11"/>
                <w:b w:val="1"/>
                <w:bCs w:val="1"/>
                <w:color w:val="auto"/>
              </w:rPr>
              <w:t>%</w:t>
            </w:r>
          </w:p>
        </w:tc>
        <w:tc>
          <w:tcPr>
            <w:tcW w:w="200" w:type="dxa"/>
            <w:vAlign w:val="bottom"/>
            <w:tcBorders>
              <w:bottom w:val="single" w:sz="8" w:color="D7282F"/>
            </w:tcBorders>
          </w:tcPr>
          <w:p>
            <w:pPr>
              <w:spacing w:after="0"/>
              <w:rPr>
                <w:sz w:val="14"/>
                <w:szCs w:val="14"/>
                <w:color w:val="auto"/>
              </w:rPr>
            </w:pPr>
          </w:p>
        </w:tc>
        <w:tc>
          <w:tcPr>
            <w:tcW w:w="1160" w:type="dxa"/>
            <w:vAlign w:val="bottom"/>
            <w:tcBorders>
              <w:bottom w:val="single" w:sz="8" w:color="D7282F"/>
            </w:tcBorders>
          </w:tcPr>
          <w:p>
            <w:pPr>
              <w:jc w:val="right"/>
              <w:ind w:right="87"/>
              <w:spacing w:after="0"/>
              <w:rPr>
                <w:sz w:val="20"/>
                <w:szCs w:val="20"/>
                <w:color w:val="auto"/>
              </w:rPr>
            </w:pPr>
            <w:r>
              <w:rPr>
                <w:rFonts w:ascii="Arial" w:cs="Arial" w:eastAsia="Arial" w:hAnsi="Arial"/>
                <w:sz w:val="11"/>
                <w:szCs w:val="11"/>
                <w:b w:val="1"/>
                <w:bCs w:val="1"/>
                <w:color w:val="auto"/>
              </w:rPr>
              <w:t>Attainment  x</w:t>
            </w:r>
          </w:p>
        </w:tc>
        <w:tc>
          <w:tcPr>
            <w:tcW w:w="640" w:type="dxa"/>
            <w:vAlign w:val="bottom"/>
            <w:tcBorders>
              <w:bottom w:val="single" w:sz="8" w:color="D7282F"/>
            </w:tcBorders>
          </w:tcPr>
          <w:p>
            <w:pPr>
              <w:jc w:val="right"/>
              <w:ind w:right="88"/>
              <w:spacing w:after="0"/>
              <w:rPr>
                <w:sz w:val="20"/>
                <w:szCs w:val="20"/>
                <w:color w:val="auto"/>
              </w:rPr>
            </w:pPr>
            <w:r>
              <w:rPr>
                <w:rFonts w:ascii="Arial" w:cs="Arial" w:eastAsia="Arial" w:hAnsi="Arial"/>
                <w:sz w:val="11"/>
                <w:szCs w:val="11"/>
                <w:b w:val="1"/>
                <w:bCs w:val="1"/>
                <w:color w:val="auto"/>
              </w:rPr>
              <w:t>%</w:t>
            </w:r>
          </w:p>
        </w:tc>
        <w:tc>
          <w:tcPr>
            <w:tcW w:w="500" w:type="dxa"/>
            <w:vAlign w:val="bottom"/>
            <w:tcBorders>
              <w:bottom w:val="single" w:sz="8" w:color="D7282F"/>
            </w:tcBorders>
          </w:tcPr>
          <w:p>
            <w:pPr>
              <w:jc w:val="right"/>
              <w:spacing w:after="0"/>
              <w:rPr>
                <w:sz w:val="20"/>
                <w:szCs w:val="20"/>
                <w:color w:val="auto"/>
              </w:rPr>
            </w:pPr>
            <w:r>
              <w:rPr>
                <w:rFonts w:ascii="Arial" w:cs="Arial" w:eastAsia="Arial" w:hAnsi="Arial"/>
                <w:sz w:val="11"/>
                <w:szCs w:val="11"/>
                <w:b w:val="1"/>
                <w:bCs w:val="1"/>
                <w:color w:val="auto"/>
              </w:rPr>
              <w:t>%</w:t>
            </w:r>
          </w:p>
        </w:tc>
        <w:tc>
          <w:tcPr>
            <w:tcW w:w="200" w:type="dxa"/>
            <w:vAlign w:val="bottom"/>
            <w:tcBorders>
              <w:bottom w:val="single" w:sz="8" w:color="D7282F"/>
            </w:tcBorders>
          </w:tcPr>
          <w:p>
            <w:pPr>
              <w:spacing w:after="0"/>
              <w:rPr>
                <w:sz w:val="14"/>
                <w:szCs w:val="14"/>
                <w:color w:val="auto"/>
              </w:rPr>
            </w:pPr>
          </w:p>
        </w:tc>
        <w:tc>
          <w:tcPr>
            <w:tcW w:w="1140" w:type="dxa"/>
            <w:vAlign w:val="bottom"/>
            <w:tcBorders>
              <w:bottom w:val="single" w:sz="8" w:color="D7282F"/>
            </w:tcBorders>
          </w:tcPr>
          <w:p>
            <w:pPr>
              <w:jc w:val="right"/>
              <w:ind w:right="66"/>
              <w:spacing w:after="0"/>
              <w:rPr>
                <w:sz w:val="20"/>
                <w:szCs w:val="20"/>
                <w:color w:val="auto"/>
              </w:rPr>
            </w:pPr>
            <w:r>
              <w:rPr>
                <w:rFonts w:ascii="Arial" w:cs="Arial" w:eastAsia="Arial" w:hAnsi="Arial"/>
                <w:sz w:val="11"/>
                <w:szCs w:val="11"/>
                <w:b w:val="1"/>
                <w:bCs w:val="1"/>
                <w:color w:val="auto"/>
              </w:rPr>
              <w:t>Attainment  x</w:t>
            </w:r>
          </w:p>
        </w:tc>
        <w:tc>
          <w:tcPr>
            <w:tcW w:w="600" w:type="dxa"/>
            <w:vAlign w:val="bottom"/>
            <w:tcBorders>
              <w:bottom w:val="single" w:sz="8" w:color="D7282F"/>
            </w:tcBorders>
          </w:tcPr>
          <w:p>
            <w:pPr>
              <w:jc w:val="right"/>
              <w:ind w:right="86"/>
              <w:spacing w:after="0"/>
              <w:rPr>
                <w:sz w:val="20"/>
                <w:szCs w:val="20"/>
                <w:color w:val="auto"/>
              </w:rPr>
            </w:pPr>
            <w:r>
              <w:rPr>
                <w:rFonts w:ascii="Arial" w:cs="Arial" w:eastAsia="Arial" w:hAnsi="Arial"/>
                <w:sz w:val="11"/>
                <w:szCs w:val="11"/>
                <w:b w:val="1"/>
                <w:bCs w:val="1"/>
                <w:color w:val="auto"/>
              </w:rPr>
              <w:t>%</w:t>
            </w:r>
          </w:p>
        </w:tc>
        <w:tc>
          <w:tcPr>
            <w:tcW w:w="180" w:type="dxa"/>
            <w:vAlign w:val="bottom"/>
            <w:tcBorders>
              <w:bottom w:val="single" w:sz="8" w:color="D7282F"/>
            </w:tcBorders>
          </w:tcPr>
          <w:p>
            <w:pPr>
              <w:spacing w:after="0"/>
              <w:rPr>
                <w:sz w:val="14"/>
                <w:szCs w:val="14"/>
                <w:color w:val="auto"/>
              </w:rPr>
            </w:pP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1"/>
                <w:szCs w:val="11"/>
                <w:b w:val="1"/>
                <w:bCs w:val="1"/>
                <w:color w:val="auto"/>
              </w:rPr>
              <w:t>%</w:t>
            </w:r>
          </w:p>
        </w:tc>
        <w:tc>
          <w:tcPr>
            <w:tcW w:w="260" w:type="dxa"/>
            <w:vAlign w:val="bottom"/>
            <w:tcBorders>
              <w:bottom w:val="single" w:sz="8" w:color="D7282F"/>
            </w:tcBorders>
          </w:tcPr>
          <w:p>
            <w:pPr>
              <w:spacing w:after="0"/>
              <w:rPr>
                <w:sz w:val="14"/>
                <w:szCs w:val="14"/>
                <w:color w:val="auto"/>
              </w:rPr>
            </w:pP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1"/>
                <w:szCs w:val="11"/>
                <w:b w:val="1"/>
                <w:bCs w:val="1"/>
                <w:color w:val="auto"/>
              </w:rPr>
              <w:t>Percentage</w:t>
            </w:r>
          </w:p>
        </w:tc>
        <w:tc>
          <w:tcPr>
            <w:tcW w:w="200" w:type="dxa"/>
            <w:vAlign w:val="bottom"/>
            <w:tcBorders>
              <w:bottom w:val="single" w:sz="8" w:color="D7282F"/>
            </w:tcBorders>
          </w:tcPr>
          <w:p>
            <w:pPr>
              <w:spacing w:after="0"/>
              <w:rPr>
                <w:sz w:val="14"/>
                <w:szCs w:val="14"/>
                <w:color w:val="auto"/>
              </w:rPr>
            </w:pPr>
          </w:p>
        </w:tc>
        <w:tc>
          <w:tcPr>
            <w:tcW w:w="980" w:type="dxa"/>
            <w:vAlign w:val="bottom"/>
            <w:tcBorders>
              <w:bottom w:val="single" w:sz="8" w:color="D7282F"/>
            </w:tcBorders>
          </w:tcPr>
          <w:p>
            <w:pPr>
              <w:jc w:val="right"/>
              <w:ind w:right="148"/>
              <w:spacing w:after="0"/>
              <w:rPr>
                <w:sz w:val="20"/>
                <w:szCs w:val="20"/>
                <w:color w:val="auto"/>
              </w:rPr>
            </w:pPr>
            <w:r>
              <w:rPr>
                <w:rFonts w:ascii="Arial" w:cs="Arial" w:eastAsia="Arial" w:hAnsi="Arial"/>
                <w:sz w:val="11"/>
                <w:szCs w:val="11"/>
                <w:b w:val="1"/>
                <w:bCs w:val="1"/>
                <w:color w:val="auto"/>
              </w:rPr>
              <w:t>Amount</w:t>
            </w:r>
            <w:r>
              <w:rPr>
                <w:rFonts w:ascii="Arial" w:cs="Arial" w:eastAsia="Arial" w:hAnsi="Arial"/>
                <w:sz w:val="7"/>
                <w:szCs w:val="7"/>
                <w:b w:val="1"/>
                <w:bCs w:val="1"/>
                <w:color w:val="auto"/>
              </w:rPr>
              <w:t>(4)</w:t>
            </w:r>
          </w:p>
        </w:tc>
        <w:tc>
          <w:tcPr>
            <w:tcW w:w="800" w:type="dxa"/>
            <w:vAlign w:val="bottom"/>
            <w:tcBorders>
              <w:bottom w:val="single" w:sz="8" w:color="D7282F"/>
            </w:tcBorders>
          </w:tcPr>
          <w:p>
            <w:pPr>
              <w:jc w:val="right"/>
              <w:spacing w:after="0"/>
              <w:rPr>
                <w:sz w:val="20"/>
                <w:szCs w:val="20"/>
                <w:color w:val="auto"/>
              </w:rPr>
            </w:pPr>
            <w:r>
              <w:rPr>
                <w:rFonts w:ascii="Arial" w:cs="Arial" w:eastAsia="Arial" w:hAnsi="Arial"/>
                <w:sz w:val="11"/>
                <w:szCs w:val="11"/>
                <w:b w:val="1"/>
                <w:bCs w:val="1"/>
                <w:color w:val="auto"/>
              </w:rPr>
              <w:t>ICP Award</w:t>
            </w:r>
          </w:p>
        </w:tc>
        <w:tc>
          <w:tcPr>
            <w:tcW w:w="0" w:type="dxa"/>
            <w:vAlign w:val="bottom"/>
          </w:tcPr>
          <w:p>
            <w:pPr>
              <w:spacing w:after="0"/>
              <w:rPr>
                <w:sz w:val="1"/>
                <w:szCs w:val="1"/>
                <w:color w:val="auto"/>
              </w:rPr>
            </w:pPr>
          </w:p>
        </w:tc>
      </w:tr>
      <w:tr>
        <w:trPr>
          <w:trHeight w:val="270"/>
        </w:trPr>
        <w:tc>
          <w:tcPr>
            <w:tcW w:w="800" w:type="dxa"/>
            <w:vAlign w:val="bottom"/>
          </w:tcPr>
          <w:p>
            <w:pPr>
              <w:ind w:left="20"/>
              <w:spacing w:after="0"/>
              <w:rPr>
                <w:sz w:val="20"/>
                <w:szCs w:val="20"/>
                <w:color w:val="auto"/>
              </w:rPr>
            </w:pPr>
            <w:r>
              <w:rPr>
                <w:rFonts w:ascii="Arial" w:cs="Arial" w:eastAsia="Arial" w:hAnsi="Arial"/>
                <w:sz w:val="11"/>
                <w:szCs w:val="11"/>
                <w:b w:val="1"/>
                <w:bCs w:val="1"/>
                <w:color w:val="auto"/>
              </w:rPr>
              <w:t>Mr. Kapur</w:t>
            </w:r>
          </w:p>
        </w:tc>
        <w:tc>
          <w:tcPr>
            <w:tcW w:w="1120" w:type="dxa"/>
            <w:vAlign w:val="bottom"/>
          </w:tcPr>
          <w:p>
            <w:pPr>
              <w:jc w:val="right"/>
              <w:ind w:right="247"/>
              <w:spacing w:after="0"/>
              <w:rPr>
                <w:sz w:val="20"/>
                <w:szCs w:val="20"/>
                <w:color w:val="auto"/>
              </w:rPr>
            </w:pPr>
            <w:r>
              <w:rPr>
                <w:rFonts w:ascii="Arial" w:cs="Arial" w:eastAsia="Arial" w:hAnsi="Arial"/>
                <w:sz w:val="11"/>
                <w:szCs w:val="11"/>
                <w:color w:val="auto"/>
              </w:rPr>
              <w:t>107%</w:t>
            </w:r>
          </w:p>
        </w:tc>
        <w:tc>
          <w:tcPr>
            <w:tcW w:w="660" w:type="dxa"/>
            <w:vAlign w:val="bottom"/>
          </w:tcPr>
          <w:p>
            <w:pPr>
              <w:jc w:val="right"/>
              <w:ind w:right="128"/>
              <w:spacing w:after="0"/>
              <w:rPr>
                <w:sz w:val="20"/>
                <w:szCs w:val="20"/>
                <w:color w:val="auto"/>
              </w:rPr>
            </w:pPr>
            <w:r>
              <w:rPr>
                <w:rFonts w:ascii="Arial" w:cs="Arial" w:eastAsia="Arial" w:hAnsi="Arial"/>
                <w:sz w:val="11"/>
                <w:szCs w:val="11"/>
                <w:color w:val="auto"/>
              </w:rPr>
              <w:t>80%</w:t>
            </w:r>
          </w:p>
        </w:tc>
        <w:tc>
          <w:tcPr>
            <w:tcW w:w="500" w:type="dxa"/>
            <w:vAlign w:val="bottom"/>
          </w:tcPr>
          <w:p>
            <w:pPr>
              <w:jc w:val="right"/>
              <w:spacing w:after="0"/>
              <w:rPr>
                <w:sz w:val="20"/>
                <w:szCs w:val="20"/>
                <w:color w:val="auto"/>
              </w:rPr>
            </w:pPr>
            <w:r>
              <w:rPr>
                <w:rFonts w:ascii="Arial" w:cs="Arial" w:eastAsia="Arial" w:hAnsi="Arial"/>
                <w:sz w:val="11"/>
                <w:szCs w:val="11"/>
                <w:color w:val="auto"/>
              </w:rPr>
              <w:t>86%</w:t>
            </w:r>
          </w:p>
        </w:tc>
        <w:tc>
          <w:tcPr>
            <w:tcW w:w="200" w:type="dxa"/>
            <w:vAlign w:val="bottom"/>
          </w:tcPr>
          <w:p>
            <w:pPr>
              <w:spacing w:after="0"/>
              <w:rPr>
                <w:sz w:val="23"/>
                <w:szCs w:val="23"/>
                <w:color w:val="auto"/>
              </w:rPr>
            </w:pPr>
          </w:p>
        </w:tc>
        <w:tc>
          <w:tcPr>
            <w:tcW w:w="1160" w:type="dxa"/>
            <w:vAlign w:val="bottom"/>
          </w:tcPr>
          <w:p>
            <w:pPr>
              <w:jc w:val="right"/>
              <w:ind w:right="287"/>
              <w:spacing w:after="0"/>
              <w:rPr>
                <w:sz w:val="20"/>
                <w:szCs w:val="20"/>
                <w:color w:val="auto"/>
              </w:rPr>
            </w:pPr>
            <w:r>
              <w:rPr>
                <w:rFonts w:ascii="Arial" w:cs="Arial" w:eastAsia="Arial" w:hAnsi="Arial"/>
                <w:sz w:val="11"/>
                <w:szCs w:val="11"/>
                <w:color w:val="auto"/>
              </w:rPr>
              <w:t>200 %</w:t>
            </w:r>
          </w:p>
        </w:tc>
        <w:tc>
          <w:tcPr>
            <w:tcW w:w="640" w:type="dxa"/>
            <w:vAlign w:val="bottom"/>
          </w:tcPr>
          <w:p>
            <w:pPr>
              <w:jc w:val="right"/>
              <w:ind w:right="88"/>
              <w:spacing w:after="0"/>
              <w:rPr>
                <w:sz w:val="20"/>
                <w:szCs w:val="20"/>
                <w:color w:val="auto"/>
              </w:rPr>
            </w:pPr>
            <w:r>
              <w:rPr>
                <w:rFonts w:ascii="Arial" w:cs="Arial" w:eastAsia="Arial" w:hAnsi="Arial"/>
                <w:sz w:val="11"/>
                <w:szCs w:val="11"/>
                <w:color w:val="auto"/>
              </w:rPr>
              <w:t>15%</w:t>
            </w:r>
          </w:p>
        </w:tc>
        <w:tc>
          <w:tcPr>
            <w:tcW w:w="500" w:type="dxa"/>
            <w:vAlign w:val="bottom"/>
          </w:tcPr>
          <w:p>
            <w:pPr>
              <w:jc w:val="right"/>
              <w:spacing w:after="0"/>
              <w:rPr>
                <w:sz w:val="20"/>
                <w:szCs w:val="20"/>
                <w:color w:val="auto"/>
              </w:rPr>
            </w:pPr>
            <w:r>
              <w:rPr>
                <w:rFonts w:ascii="Arial" w:cs="Arial" w:eastAsia="Arial" w:hAnsi="Arial"/>
                <w:sz w:val="11"/>
                <w:szCs w:val="11"/>
                <w:color w:val="auto"/>
              </w:rPr>
              <w:t>30%</w:t>
            </w:r>
          </w:p>
        </w:tc>
        <w:tc>
          <w:tcPr>
            <w:tcW w:w="200" w:type="dxa"/>
            <w:vAlign w:val="bottom"/>
          </w:tcPr>
          <w:p>
            <w:pPr>
              <w:spacing w:after="0"/>
              <w:rPr>
                <w:sz w:val="23"/>
                <w:szCs w:val="23"/>
                <w:color w:val="auto"/>
              </w:rPr>
            </w:pPr>
          </w:p>
        </w:tc>
        <w:tc>
          <w:tcPr>
            <w:tcW w:w="1140" w:type="dxa"/>
            <w:vAlign w:val="bottom"/>
          </w:tcPr>
          <w:p>
            <w:pPr>
              <w:jc w:val="right"/>
              <w:ind w:right="266"/>
              <w:spacing w:after="0"/>
              <w:rPr>
                <w:sz w:val="20"/>
                <w:szCs w:val="20"/>
                <w:color w:val="auto"/>
              </w:rPr>
            </w:pPr>
            <w:r>
              <w:rPr>
                <w:rFonts w:ascii="Arial" w:cs="Arial" w:eastAsia="Arial" w:hAnsi="Arial"/>
                <w:sz w:val="11"/>
                <w:szCs w:val="11"/>
                <w:color w:val="auto"/>
              </w:rPr>
              <w:t>200 %</w:t>
            </w: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5%</w:t>
            </w:r>
          </w:p>
        </w:tc>
        <w:tc>
          <w:tcPr>
            <w:tcW w:w="18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10%</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126%</w:t>
            </w:r>
          </w:p>
        </w:tc>
        <w:tc>
          <w:tcPr>
            <w:tcW w:w="200" w:type="dxa"/>
            <w:vAlign w:val="bottom"/>
          </w:tcPr>
          <w:p>
            <w:pPr>
              <w:spacing w:after="0"/>
              <w:rPr>
                <w:sz w:val="23"/>
                <w:szCs w:val="23"/>
                <w:color w:val="auto"/>
              </w:rPr>
            </w:pPr>
          </w:p>
        </w:tc>
        <w:tc>
          <w:tcPr>
            <w:tcW w:w="980" w:type="dxa"/>
            <w:vAlign w:val="bottom"/>
          </w:tcPr>
          <w:p>
            <w:pPr>
              <w:jc w:val="right"/>
              <w:ind w:right="188"/>
              <w:spacing w:after="0"/>
              <w:rPr>
                <w:sz w:val="20"/>
                <w:szCs w:val="20"/>
                <w:color w:val="auto"/>
              </w:rPr>
            </w:pPr>
            <w:r>
              <w:rPr>
                <w:rFonts w:ascii="Arial" w:cs="Arial" w:eastAsia="Arial" w:hAnsi="Arial"/>
                <w:sz w:val="11"/>
                <w:szCs w:val="11"/>
                <w:color w:val="auto"/>
              </w:rPr>
              <w:t>$  2,800,000</w:t>
            </w: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  3,516,800</w:t>
            </w:r>
          </w:p>
        </w:tc>
        <w:tc>
          <w:tcPr>
            <w:tcW w:w="0" w:type="dxa"/>
            <w:vAlign w:val="bottom"/>
          </w:tcPr>
          <w:p>
            <w:pPr>
              <w:spacing w:after="0"/>
              <w:rPr>
                <w:sz w:val="1"/>
                <w:szCs w:val="1"/>
                <w:color w:val="auto"/>
              </w:rPr>
            </w:pPr>
          </w:p>
        </w:tc>
      </w:tr>
      <w:tr>
        <w:trPr>
          <w:trHeight w:val="135"/>
        </w:trPr>
        <w:tc>
          <w:tcPr>
            <w:tcW w:w="800" w:type="dxa"/>
            <w:vAlign w:val="bottom"/>
            <w:tcBorders>
              <w:bottom w:val="single" w:sz="8" w:color="939598"/>
            </w:tcBorders>
          </w:tcPr>
          <w:p>
            <w:pPr>
              <w:spacing w:after="0"/>
              <w:rPr>
                <w:sz w:val="11"/>
                <w:szCs w:val="11"/>
                <w:color w:val="auto"/>
              </w:rPr>
            </w:pPr>
          </w:p>
        </w:tc>
        <w:tc>
          <w:tcPr>
            <w:tcW w:w="1120" w:type="dxa"/>
            <w:vAlign w:val="bottom"/>
            <w:tcBorders>
              <w:bottom w:val="single" w:sz="8" w:color="939598"/>
            </w:tcBorders>
          </w:tcPr>
          <w:p>
            <w:pPr>
              <w:spacing w:after="0"/>
              <w:rPr>
                <w:sz w:val="11"/>
                <w:szCs w:val="11"/>
                <w:color w:val="auto"/>
              </w:rPr>
            </w:pPr>
          </w:p>
        </w:tc>
        <w:tc>
          <w:tcPr>
            <w:tcW w:w="660" w:type="dxa"/>
            <w:vAlign w:val="bottom"/>
            <w:tcBorders>
              <w:bottom w:val="single" w:sz="8" w:color="939598"/>
            </w:tcBorders>
          </w:tcPr>
          <w:p>
            <w:pPr>
              <w:spacing w:after="0"/>
              <w:rPr>
                <w:sz w:val="11"/>
                <w:szCs w:val="11"/>
                <w:color w:val="auto"/>
              </w:rPr>
            </w:pPr>
          </w:p>
        </w:tc>
        <w:tc>
          <w:tcPr>
            <w:tcW w:w="500" w:type="dxa"/>
            <w:vAlign w:val="bottom"/>
            <w:tcBorders>
              <w:bottom w:val="single" w:sz="8" w:color="939598"/>
            </w:tcBorders>
          </w:tcPr>
          <w:p>
            <w:pPr>
              <w:spacing w:after="0"/>
              <w:rPr>
                <w:sz w:val="11"/>
                <w:szCs w:val="11"/>
                <w:color w:val="auto"/>
              </w:rPr>
            </w:pPr>
          </w:p>
        </w:tc>
        <w:tc>
          <w:tcPr>
            <w:tcW w:w="200" w:type="dxa"/>
            <w:vAlign w:val="bottom"/>
            <w:tcBorders>
              <w:bottom w:val="single" w:sz="8" w:color="939598"/>
            </w:tcBorders>
          </w:tcPr>
          <w:p>
            <w:pPr>
              <w:spacing w:after="0"/>
              <w:rPr>
                <w:sz w:val="11"/>
                <w:szCs w:val="11"/>
                <w:color w:val="auto"/>
              </w:rPr>
            </w:pPr>
          </w:p>
        </w:tc>
        <w:tc>
          <w:tcPr>
            <w:tcW w:w="1160" w:type="dxa"/>
            <w:vAlign w:val="bottom"/>
            <w:tcBorders>
              <w:bottom w:val="single" w:sz="8" w:color="939598"/>
            </w:tcBorders>
          </w:tcPr>
          <w:p>
            <w:pPr>
              <w:spacing w:after="0"/>
              <w:rPr>
                <w:sz w:val="11"/>
                <w:szCs w:val="11"/>
                <w:color w:val="auto"/>
              </w:rPr>
            </w:pPr>
          </w:p>
        </w:tc>
        <w:tc>
          <w:tcPr>
            <w:tcW w:w="640" w:type="dxa"/>
            <w:vAlign w:val="bottom"/>
            <w:tcBorders>
              <w:bottom w:val="single" w:sz="8" w:color="939598"/>
            </w:tcBorders>
          </w:tcPr>
          <w:p>
            <w:pPr>
              <w:spacing w:after="0"/>
              <w:rPr>
                <w:sz w:val="11"/>
                <w:szCs w:val="11"/>
                <w:color w:val="auto"/>
              </w:rPr>
            </w:pPr>
          </w:p>
        </w:tc>
        <w:tc>
          <w:tcPr>
            <w:tcW w:w="500" w:type="dxa"/>
            <w:vAlign w:val="bottom"/>
            <w:tcBorders>
              <w:bottom w:val="single" w:sz="8" w:color="939598"/>
            </w:tcBorders>
          </w:tcPr>
          <w:p>
            <w:pPr>
              <w:spacing w:after="0"/>
              <w:rPr>
                <w:sz w:val="11"/>
                <w:szCs w:val="11"/>
                <w:color w:val="auto"/>
              </w:rPr>
            </w:pPr>
          </w:p>
        </w:tc>
        <w:tc>
          <w:tcPr>
            <w:tcW w:w="200" w:type="dxa"/>
            <w:vAlign w:val="bottom"/>
            <w:tcBorders>
              <w:bottom w:val="single" w:sz="8" w:color="939598"/>
            </w:tcBorders>
          </w:tcPr>
          <w:p>
            <w:pPr>
              <w:spacing w:after="0"/>
              <w:rPr>
                <w:sz w:val="11"/>
                <w:szCs w:val="11"/>
                <w:color w:val="auto"/>
              </w:rPr>
            </w:pPr>
          </w:p>
        </w:tc>
        <w:tc>
          <w:tcPr>
            <w:tcW w:w="1140" w:type="dxa"/>
            <w:vAlign w:val="bottom"/>
            <w:tcBorders>
              <w:bottom w:val="single" w:sz="8" w:color="939598"/>
            </w:tcBorders>
          </w:tcPr>
          <w:p>
            <w:pPr>
              <w:spacing w:after="0"/>
              <w:rPr>
                <w:sz w:val="11"/>
                <w:szCs w:val="11"/>
                <w:color w:val="auto"/>
              </w:rPr>
            </w:pPr>
          </w:p>
        </w:tc>
        <w:tc>
          <w:tcPr>
            <w:tcW w:w="600" w:type="dxa"/>
            <w:vAlign w:val="bottom"/>
            <w:tcBorders>
              <w:bottom w:val="single" w:sz="8" w:color="939598"/>
            </w:tcBorders>
          </w:tcPr>
          <w:p>
            <w:pPr>
              <w:spacing w:after="0"/>
              <w:rPr>
                <w:sz w:val="11"/>
                <w:szCs w:val="11"/>
                <w:color w:val="auto"/>
              </w:rPr>
            </w:pPr>
          </w:p>
        </w:tc>
        <w:tc>
          <w:tcPr>
            <w:tcW w:w="180" w:type="dxa"/>
            <w:vAlign w:val="bottom"/>
            <w:tcBorders>
              <w:bottom w:val="single" w:sz="8" w:color="939598"/>
            </w:tcBorders>
          </w:tcPr>
          <w:p>
            <w:pPr>
              <w:spacing w:after="0"/>
              <w:rPr>
                <w:sz w:val="11"/>
                <w:szCs w:val="11"/>
                <w:color w:val="auto"/>
              </w:rPr>
            </w:pPr>
          </w:p>
        </w:tc>
        <w:tc>
          <w:tcPr>
            <w:tcW w:w="340" w:type="dxa"/>
            <w:vAlign w:val="bottom"/>
            <w:tcBorders>
              <w:bottom w:val="single" w:sz="8" w:color="939598"/>
            </w:tcBorders>
          </w:tcPr>
          <w:p>
            <w:pPr>
              <w:spacing w:after="0"/>
              <w:rPr>
                <w:sz w:val="11"/>
                <w:szCs w:val="11"/>
                <w:color w:val="auto"/>
              </w:rPr>
            </w:pPr>
          </w:p>
        </w:tc>
        <w:tc>
          <w:tcPr>
            <w:tcW w:w="260" w:type="dxa"/>
            <w:vAlign w:val="bottom"/>
            <w:tcBorders>
              <w:bottom w:val="single" w:sz="8" w:color="939598"/>
            </w:tcBorders>
          </w:tcPr>
          <w:p>
            <w:pPr>
              <w:spacing w:after="0"/>
              <w:rPr>
                <w:sz w:val="11"/>
                <w:szCs w:val="11"/>
                <w:color w:val="auto"/>
              </w:rPr>
            </w:pPr>
          </w:p>
        </w:tc>
        <w:tc>
          <w:tcPr>
            <w:tcW w:w="760" w:type="dxa"/>
            <w:vAlign w:val="bottom"/>
            <w:tcBorders>
              <w:bottom w:val="single" w:sz="8" w:color="939598"/>
            </w:tcBorders>
          </w:tcPr>
          <w:p>
            <w:pPr>
              <w:spacing w:after="0"/>
              <w:rPr>
                <w:sz w:val="11"/>
                <w:szCs w:val="11"/>
                <w:color w:val="auto"/>
              </w:rPr>
            </w:pPr>
          </w:p>
        </w:tc>
        <w:tc>
          <w:tcPr>
            <w:tcW w:w="200" w:type="dxa"/>
            <w:vAlign w:val="bottom"/>
            <w:tcBorders>
              <w:bottom w:val="single" w:sz="8" w:color="939598"/>
            </w:tcBorders>
          </w:tcPr>
          <w:p>
            <w:pPr>
              <w:spacing w:after="0"/>
              <w:rPr>
                <w:sz w:val="11"/>
                <w:szCs w:val="11"/>
                <w:color w:val="auto"/>
              </w:rPr>
            </w:pPr>
          </w:p>
        </w:tc>
        <w:tc>
          <w:tcPr>
            <w:tcW w:w="980" w:type="dxa"/>
            <w:vAlign w:val="bottom"/>
            <w:tcBorders>
              <w:bottom w:val="single" w:sz="8" w:color="939598"/>
            </w:tcBorders>
          </w:tcPr>
          <w:p>
            <w:pPr>
              <w:spacing w:after="0"/>
              <w:rPr>
                <w:sz w:val="11"/>
                <w:szCs w:val="11"/>
                <w:color w:val="auto"/>
              </w:rPr>
            </w:pPr>
          </w:p>
        </w:tc>
        <w:tc>
          <w:tcPr>
            <w:tcW w:w="80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800" w:type="dxa"/>
            <w:vAlign w:val="bottom"/>
          </w:tcPr>
          <w:p>
            <w:pPr>
              <w:ind w:left="20"/>
              <w:spacing w:after="0"/>
              <w:rPr>
                <w:sz w:val="20"/>
                <w:szCs w:val="20"/>
                <w:color w:val="auto"/>
              </w:rPr>
            </w:pPr>
            <w:r>
              <w:rPr>
                <w:rFonts w:ascii="Arial" w:cs="Arial" w:eastAsia="Arial" w:hAnsi="Arial"/>
                <w:sz w:val="11"/>
                <w:szCs w:val="11"/>
                <w:b w:val="1"/>
                <w:bCs w:val="1"/>
                <w:color w:val="auto"/>
              </w:rPr>
              <w:t>Mr. Stepniak</w:t>
            </w:r>
          </w:p>
        </w:tc>
        <w:tc>
          <w:tcPr>
            <w:tcW w:w="1120" w:type="dxa"/>
            <w:vAlign w:val="bottom"/>
          </w:tcPr>
          <w:p>
            <w:pPr>
              <w:jc w:val="right"/>
              <w:ind w:right="247"/>
              <w:spacing w:after="0"/>
              <w:rPr>
                <w:sz w:val="20"/>
                <w:szCs w:val="20"/>
                <w:color w:val="auto"/>
              </w:rPr>
            </w:pPr>
            <w:r>
              <w:rPr>
                <w:rFonts w:ascii="Arial" w:cs="Arial" w:eastAsia="Arial" w:hAnsi="Arial"/>
                <w:sz w:val="11"/>
                <w:szCs w:val="11"/>
                <w:color w:val="auto"/>
              </w:rPr>
              <w:t>107%</w:t>
            </w:r>
          </w:p>
        </w:tc>
        <w:tc>
          <w:tcPr>
            <w:tcW w:w="660" w:type="dxa"/>
            <w:vAlign w:val="bottom"/>
          </w:tcPr>
          <w:p>
            <w:pPr>
              <w:jc w:val="right"/>
              <w:ind w:right="128"/>
              <w:spacing w:after="0"/>
              <w:rPr>
                <w:sz w:val="20"/>
                <w:szCs w:val="20"/>
                <w:color w:val="auto"/>
              </w:rPr>
            </w:pPr>
            <w:r>
              <w:rPr>
                <w:rFonts w:ascii="Arial" w:cs="Arial" w:eastAsia="Arial" w:hAnsi="Arial"/>
                <w:sz w:val="11"/>
                <w:szCs w:val="11"/>
                <w:color w:val="auto"/>
              </w:rPr>
              <w:t>80%</w:t>
            </w:r>
          </w:p>
        </w:tc>
        <w:tc>
          <w:tcPr>
            <w:tcW w:w="500" w:type="dxa"/>
            <w:vAlign w:val="bottom"/>
          </w:tcPr>
          <w:p>
            <w:pPr>
              <w:jc w:val="right"/>
              <w:spacing w:after="0"/>
              <w:rPr>
                <w:sz w:val="20"/>
                <w:szCs w:val="20"/>
                <w:color w:val="auto"/>
              </w:rPr>
            </w:pPr>
            <w:r>
              <w:rPr>
                <w:rFonts w:ascii="Arial" w:cs="Arial" w:eastAsia="Arial" w:hAnsi="Arial"/>
                <w:sz w:val="11"/>
                <w:szCs w:val="11"/>
                <w:color w:val="auto"/>
              </w:rPr>
              <w:t>86%</w:t>
            </w:r>
          </w:p>
        </w:tc>
        <w:tc>
          <w:tcPr>
            <w:tcW w:w="200" w:type="dxa"/>
            <w:vAlign w:val="bottom"/>
          </w:tcPr>
          <w:p>
            <w:pPr>
              <w:spacing w:after="0"/>
              <w:rPr>
                <w:sz w:val="22"/>
                <w:szCs w:val="22"/>
                <w:color w:val="auto"/>
              </w:rPr>
            </w:pPr>
          </w:p>
        </w:tc>
        <w:tc>
          <w:tcPr>
            <w:tcW w:w="1160" w:type="dxa"/>
            <w:vAlign w:val="bottom"/>
          </w:tcPr>
          <w:p>
            <w:pPr>
              <w:jc w:val="right"/>
              <w:ind w:right="287"/>
              <w:spacing w:after="0"/>
              <w:rPr>
                <w:sz w:val="20"/>
                <w:szCs w:val="20"/>
                <w:color w:val="auto"/>
              </w:rPr>
            </w:pPr>
            <w:r>
              <w:rPr>
                <w:rFonts w:ascii="Arial" w:cs="Arial" w:eastAsia="Arial" w:hAnsi="Arial"/>
                <w:sz w:val="11"/>
                <w:szCs w:val="11"/>
                <w:color w:val="auto"/>
              </w:rPr>
              <w:t>167 %</w:t>
            </w:r>
          </w:p>
        </w:tc>
        <w:tc>
          <w:tcPr>
            <w:tcW w:w="640" w:type="dxa"/>
            <w:vAlign w:val="bottom"/>
          </w:tcPr>
          <w:p>
            <w:pPr>
              <w:jc w:val="right"/>
              <w:ind w:right="88"/>
              <w:spacing w:after="0"/>
              <w:rPr>
                <w:sz w:val="20"/>
                <w:szCs w:val="20"/>
                <w:color w:val="auto"/>
              </w:rPr>
            </w:pPr>
            <w:r>
              <w:rPr>
                <w:rFonts w:ascii="Arial" w:cs="Arial" w:eastAsia="Arial" w:hAnsi="Arial"/>
                <w:sz w:val="11"/>
                <w:szCs w:val="11"/>
                <w:color w:val="auto"/>
              </w:rPr>
              <w:t>15%</w:t>
            </w:r>
          </w:p>
        </w:tc>
        <w:tc>
          <w:tcPr>
            <w:tcW w:w="500" w:type="dxa"/>
            <w:vAlign w:val="bottom"/>
          </w:tcPr>
          <w:p>
            <w:pPr>
              <w:jc w:val="right"/>
              <w:spacing w:after="0"/>
              <w:rPr>
                <w:sz w:val="20"/>
                <w:szCs w:val="20"/>
                <w:color w:val="auto"/>
              </w:rPr>
            </w:pPr>
            <w:r>
              <w:rPr>
                <w:rFonts w:ascii="Arial" w:cs="Arial" w:eastAsia="Arial" w:hAnsi="Arial"/>
                <w:sz w:val="11"/>
                <w:szCs w:val="11"/>
                <w:color w:val="auto"/>
              </w:rPr>
              <w:t>25%</w:t>
            </w:r>
          </w:p>
        </w:tc>
        <w:tc>
          <w:tcPr>
            <w:tcW w:w="200" w:type="dxa"/>
            <w:vAlign w:val="bottom"/>
          </w:tcPr>
          <w:p>
            <w:pPr>
              <w:spacing w:after="0"/>
              <w:rPr>
                <w:sz w:val="22"/>
                <w:szCs w:val="22"/>
                <w:color w:val="auto"/>
              </w:rPr>
            </w:pPr>
          </w:p>
        </w:tc>
        <w:tc>
          <w:tcPr>
            <w:tcW w:w="1140" w:type="dxa"/>
            <w:vAlign w:val="bottom"/>
          </w:tcPr>
          <w:p>
            <w:pPr>
              <w:jc w:val="right"/>
              <w:ind w:right="266"/>
              <w:spacing w:after="0"/>
              <w:rPr>
                <w:sz w:val="20"/>
                <w:szCs w:val="20"/>
                <w:color w:val="auto"/>
              </w:rPr>
            </w:pPr>
            <w:r>
              <w:rPr>
                <w:rFonts w:ascii="Arial" w:cs="Arial" w:eastAsia="Arial" w:hAnsi="Arial"/>
                <w:sz w:val="11"/>
                <w:szCs w:val="11"/>
                <w:color w:val="auto"/>
              </w:rPr>
              <w:t>200 %</w:t>
            </w: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5%</w:t>
            </w:r>
          </w:p>
        </w:tc>
        <w:tc>
          <w:tcPr>
            <w:tcW w:w="18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10%</w:t>
            </w:r>
          </w:p>
        </w:tc>
        <w:tc>
          <w:tcPr>
            <w:tcW w:w="2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121%</w:t>
            </w:r>
          </w:p>
        </w:tc>
        <w:tc>
          <w:tcPr>
            <w:tcW w:w="200" w:type="dxa"/>
            <w:vAlign w:val="bottom"/>
          </w:tcPr>
          <w:p>
            <w:pPr>
              <w:spacing w:after="0"/>
              <w:rPr>
                <w:sz w:val="22"/>
                <w:szCs w:val="22"/>
                <w:color w:val="auto"/>
              </w:rPr>
            </w:pPr>
          </w:p>
        </w:tc>
        <w:tc>
          <w:tcPr>
            <w:tcW w:w="980" w:type="dxa"/>
            <w:vAlign w:val="bottom"/>
          </w:tcPr>
          <w:p>
            <w:pPr>
              <w:jc w:val="right"/>
              <w:ind w:right="188"/>
              <w:spacing w:after="0"/>
              <w:rPr>
                <w:sz w:val="20"/>
                <w:szCs w:val="20"/>
                <w:color w:val="auto"/>
              </w:rPr>
            </w:pPr>
            <w:r>
              <w:rPr>
                <w:rFonts w:ascii="Arial" w:cs="Arial" w:eastAsia="Arial" w:hAnsi="Arial"/>
                <w:sz w:val="11"/>
                <w:szCs w:val="11"/>
                <w:color w:val="auto"/>
              </w:rPr>
              <w:t>854,890</w:t>
            </w: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1,031,000</w:t>
            </w:r>
          </w:p>
        </w:tc>
        <w:tc>
          <w:tcPr>
            <w:tcW w:w="0" w:type="dxa"/>
            <w:vAlign w:val="bottom"/>
          </w:tcPr>
          <w:p>
            <w:pPr>
              <w:spacing w:after="0"/>
              <w:rPr>
                <w:sz w:val="1"/>
                <w:szCs w:val="1"/>
                <w:color w:val="auto"/>
              </w:rPr>
            </w:pPr>
          </w:p>
        </w:tc>
      </w:tr>
      <w:tr>
        <w:trPr>
          <w:trHeight w:val="135"/>
        </w:trPr>
        <w:tc>
          <w:tcPr>
            <w:tcW w:w="800" w:type="dxa"/>
            <w:vAlign w:val="bottom"/>
            <w:tcBorders>
              <w:bottom w:val="single" w:sz="8" w:color="939598"/>
            </w:tcBorders>
          </w:tcPr>
          <w:p>
            <w:pPr>
              <w:spacing w:after="0"/>
              <w:rPr>
                <w:sz w:val="11"/>
                <w:szCs w:val="11"/>
                <w:color w:val="auto"/>
              </w:rPr>
            </w:pPr>
          </w:p>
        </w:tc>
        <w:tc>
          <w:tcPr>
            <w:tcW w:w="1120" w:type="dxa"/>
            <w:vAlign w:val="bottom"/>
            <w:tcBorders>
              <w:bottom w:val="single" w:sz="8" w:color="939598"/>
            </w:tcBorders>
          </w:tcPr>
          <w:p>
            <w:pPr>
              <w:spacing w:after="0"/>
              <w:rPr>
                <w:sz w:val="11"/>
                <w:szCs w:val="11"/>
                <w:color w:val="auto"/>
              </w:rPr>
            </w:pPr>
          </w:p>
        </w:tc>
        <w:tc>
          <w:tcPr>
            <w:tcW w:w="660" w:type="dxa"/>
            <w:vAlign w:val="bottom"/>
            <w:tcBorders>
              <w:bottom w:val="single" w:sz="8" w:color="939598"/>
            </w:tcBorders>
          </w:tcPr>
          <w:p>
            <w:pPr>
              <w:spacing w:after="0"/>
              <w:rPr>
                <w:sz w:val="11"/>
                <w:szCs w:val="11"/>
                <w:color w:val="auto"/>
              </w:rPr>
            </w:pPr>
          </w:p>
        </w:tc>
        <w:tc>
          <w:tcPr>
            <w:tcW w:w="500" w:type="dxa"/>
            <w:vAlign w:val="bottom"/>
            <w:tcBorders>
              <w:bottom w:val="single" w:sz="8" w:color="939598"/>
            </w:tcBorders>
          </w:tcPr>
          <w:p>
            <w:pPr>
              <w:spacing w:after="0"/>
              <w:rPr>
                <w:sz w:val="11"/>
                <w:szCs w:val="11"/>
                <w:color w:val="auto"/>
              </w:rPr>
            </w:pPr>
          </w:p>
        </w:tc>
        <w:tc>
          <w:tcPr>
            <w:tcW w:w="200" w:type="dxa"/>
            <w:vAlign w:val="bottom"/>
            <w:tcBorders>
              <w:bottom w:val="single" w:sz="8" w:color="939598"/>
            </w:tcBorders>
          </w:tcPr>
          <w:p>
            <w:pPr>
              <w:spacing w:after="0"/>
              <w:rPr>
                <w:sz w:val="11"/>
                <w:szCs w:val="11"/>
                <w:color w:val="auto"/>
              </w:rPr>
            </w:pPr>
          </w:p>
        </w:tc>
        <w:tc>
          <w:tcPr>
            <w:tcW w:w="1160" w:type="dxa"/>
            <w:vAlign w:val="bottom"/>
            <w:tcBorders>
              <w:bottom w:val="single" w:sz="8" w:color="939598"/>
            </w:tcBorders>
          </w:tcPr>
          <w:p>
            <w:pPr>
              <w:spacing w:after="0"/>
              <w:rPr>
                <w:sz w:val="11"/>
                <w:szCs w:val="11"/>
                <w:color w:val="auto"/>
              </w:rPr>
            </w:pPr>
          </w:p>
        </w:tc>
        <w:tc>
          <w:tcPr>
            <w:tcW w:w="640" w:type="dxa"/>
            <w:vAlign w:val="bottom"/>
            <w:tcBorders>
              <w:bottom w:val="single" w:sz="8" w:color="939598"/>
            </w:tcBorders>
          </w:tcPr>
          <w:p>
            <w:pPr>
              <w:spacing w:after="0"/>
              <w:rPr>
                <w:sz w:val="11"/>
                <w:szCs w:val="11"/>
                <w:color w:val="auto"/>
              </w:rPr>
            </w:pPr>
          </w:p>
        </w:tc>
        <w:tc>
          <w:tcPr>
            <w:tcW w:w="500" w:type="dxa"/>
            <w:vAlign w:val="bottom"/>
            <w:tcBorders>
              <w:bottom w:val="single" w:sz="8" w:color="939598"/>
            </w:tcBorders>
          </w:tcPr>
          <w:p>
            <w:pPr>
              <w:spacing w:after="0"/>
              <w:rPr>
                <w:sz w:val="11"/>
                <w:szCs w:val="11"/>
                <w:color w:val="auto"/>
              </w:rPr>
            </w:pPr>
          </w:p>
        </w:tc>
        <w:tc>
          <w:tcPr>
            <w:tcW w:w="200" w:type="dxa"/>
            <w:vAlign w:val="bottom"/>
            <w:tcBorders>
              <w:bottom w:val="single" w:sz="8" w:color="939598"/>
            </w:tcBorders>
          </w:tcPr>
          <w:p>
            <w:pPr>
              <w:spacing w:after="0"/>
              <w:rPr>
                <w:sz w:val="11"/>
                <w:szCs w:val="11"/>
                <w:color w:val="auto"/>
              </w:rPr>
            </w:pPr>
          </w:p>
        </w:tc>
        <w:tc>
          <w:tcPr>
            <w:tcW w:w="1140" w:type="dxa"/>
            <w:vAlign w:val="bottom"/>
            <w:tcBorders>
              <w:bottom w:val="single" w:sz="8" w:color="939598"/>
            </w:tcBorders>
          </w:tcPr>
          <w:p>
            <w:pPr>
              <w:spacing w:after="0"/>
              <w:rPr>
                <w:sz w:val="11"/>
                <w:szCs w:val="11"/>
                <w:color w:val="auto"/>
              </w:rPr>
            </w:pPr>
          </w:p>
        </w:tc>
        <w:tc>
          <w:tcPr>
            <w:tcW w:w="600" w:type="dxa"/>
            <w:vAlign w:val="bottom"/>
            <w:tcBorders>
              <w:bottom w:val="single" w:sz="8" w:color="939598"/>
            </w:tcBorders>
          </w:tcPr>
          <w:p>
            <w:pPr>
              <w:spacing w:after="0"/>
              <w:rPr>
                <w:sz w:val="11"/>
                <w:szCs w:val="11"/>
                <w:color w:val="auto"/>
              </w:rPr>
            </w:pPr>
          </w:p>
        </w:tc>
        <w:tc>
          <w:tcPr>
            <w:tcW w:w="180" w:type="dxa"/>
            <w:vAlign w:val="bottom"/>
            <w:tcBorders>
              <w:bottom w:val="single" w:sz="8" w:color="939598"/>
            </w:tcBorders>
          </w:tcPr>
          <w:p>
            <w:pPr>
              <w:spacing w:after="0"/>
              <w:rPr>
                <w:sz w:val="11"/>
                <w:szCs w:val="11"/>
                <w:color w:val="auto"/>
              </w:rPr>
            </w:pPr>
          </w:p>
        </w:tc>
        <w:tc>
          <w:tcPr>
            <w:tcW w:w="340" w:type="dxa"/>
            <w:vAlign w:val="bottom"/>
            <w:tcBorders>
              <w:bottom w:val="single" w:sz="8" w:color="939598"/>
            </w:tcBorders>
          </w:tcPr>
          <w:p>
            <w:pPr>
              <w:spacing w:after="0"/>
              <w:rPr>
                <w:sz w:val="11"/>
                <w:szCs w:val="11"/>
                <w:color w:val="auto"/>
              </w:rPr>
            </w:pPr>
          </w:p>
        </w:tc>
        <w:tc>
          <w:tcPr>
            <w:tcW w:w="260" w:type="dxa"/>
            <w:vAlign w:val="bottom"/>
            <w:tcBorders>
              <w:bottom w:val="single" w:sz="8" w:color="939598"/>
            </w:tcBorders>
          </w:tcPr>
          <w:p>
            <w:pPr>
              <w:spacing w:after="0"/>
              <w:rPr>
                <w:sz w:val="11"/>
                <w:szCs w:val="11"/>
                <w:color w:val="auto"/>
              </w:rPr>
            </w:pPr>
          </w:p>
        </w:tc>
        <w:tc>
          <w:tcPr>
            <w:tcW w:w="760" w:type="dxa"/>
            <w:vAlign w:val="bottom"/>
            <w:tcBorders>
              <w:bottom w:val="single" w:sz="8" w:color="939598"/>
            </w:tcBorders>
          </w:tcPr>
          <w:p>
            <w:pPr>
              <w:spacing w:after="0"/>
              <w:rPr>
                <w:sz w:val="11"/>
                <w:szCs w:val="11"/>
                <w:color w:val="auto"/>
              </w:rPr>
            </w:pPr>
          </w:p>
        </w:tc>
        <w:tc>
          <w:tcPr>
            <w:tcW w:w="200" w:type="dxa"/>
            <w:vAlign w:val="bottom"/>
            <w:tcBorders>
              <w:bottom w:val="single" w:sz="8" w:color="939598"/>
            </w:tcBorders>
          </w:tcPr>
          <w:p>
            <w:pPr>
              <w:spacing w:after="0"/>
              <w:rPr>
                <w:sz w:val="11"/>
                <w:szCs w:val="11"/>
                <w:color w:val="auto"/>
              </w:rPr>
            </w:pPr>
          </w:p>
        </w:tc>
        <w:tc>
          <w:tcPr>
            <w:tcW w:w="980" w:type="dxa"/>
            <w:vAlign w:val="bottom"/>
            <w:tcBorders>
              <w:bottom w:val="single" w:sz="8" w:color="939598"/>
            </w:tcBorders>
          </w:tcPr>
          <w:p>
            <w:pPr>
              <w:spacing w:after="0"/>
              <w:rPr>
                <w:sz w:val="11"/>
                <w:szCs w:val="11"/>
                <w:color w:val="auto"/>
              </w:rPr>
            </w:pPr>
          </w:p>
        </w:tc>
        <w:tc>
          <w:tcPr>
            <w:tcW w:w="80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800" w:type="dxa"/>
            <w:vAlign w:val="bottom"/>
          </w:tcPr>
          <w:p>
            <w:pPr>
              <w:ind w:left="20"/>
              <w:spacing w:after="0"/>
              <w:rPr>
                <w:sz w:val="20"/>
                <w:szCs w:val="20"/>
                <w:color w:val="auto"/>
              </w:rPr>
            </w:pPr>
            <w:r>
              <w:rPr>
                <w:rFonts w:ascii="Arial" w:cs="Arial" w:eastAsia="Arial" w:hAnsi="Arial"/>
                <w:sz w:val="11"/>
                <w:szCs w:val="11"/>
                <w:b w:val="1"/>
                <w:bCs w:val="1"/>
                <w:color w:val="auto"/>
              </w:rPr>
              <w:t>Mr. Currier</w:t>
            </w:r>
          </w:p>
        </w:tc>
        <w:tc>
          <w:tcPr>
            <w:tcW w:w="1120" w:type="dxa"/>
            <w:vAlign w:val="bottom"/>
          </w:tcPr>
          <w:p>
            <w:pPr>
              <w:jc w:val="right"/>
              <w:ind w:right="247"/>
              <w:spacing w:after="0"/>
              <w:rPr>
                <w:sz w:val="20"/>
                <w:szCs w:val="20"/>
                <w:color w:val="auto"/>
              </w:rPr>
            </w:pPr>
            <w:r>
              <w:rPr>
                <w:rFonts w:ascii="Arial" w:cs="Arial" w:eastAsia="Arial" w:hAnsi="Arial"/>
                <w:sz w:val="11"/>
                <w:szCs w:val="11"/>
                <w:color w:val="auto"/>
              </w:rPr>
              <w:t>106%</w:t>
            </w:r>
          </w:p>
        </w:tc>
        <w:tc>
          <w:tcPr>
            <w:tcW w:w="660" w:type="dxa"/>
            <w:vAlign w:val="bottom"/>
          </w:tcPr>
          <w:p>
            <w:pPr>
              <w:jc w:val="right"/>
              <w:ind w:right="128"/>
              <w:spacing w:after="0"/>
              <w:rPr>
                <w:sz w:val="20"/>
                <w:szCs w:val="20"/>
                <w:color w:val="auto"/>
              </w:rPr>
            </w:pPr>
            <w:r>
              <w:rPr>
                <w:rFonts w:ascii="Arial" w:cs="Arial" w:eastAsia="Arial" w:hAnsi="Arial"/>
                <w:sz w:val="11"/>
                <w:szCs w:val="11"/>
                <w:color w:val="auto"/>
              </w:rPr>
              <w:t>80%</w:t>
            </w:r>
          </w:p>
        </w:tc>
        <w:tc>
          <w:tcPr>
            <w:tcW w:w="500" w:type="dxa"/>
            <w:vAlign w:val="bottom"/>
          </w:tcPr>
          <w:p>
            <w:pPr>
              <w:jc w:val="right"/>
              <w:spacing w:after="0"/>
              <w:rPr>
                <w:sz w:val="20"/>
                <w:szCs w:val="20"/>
                <w:color w:val="auto"/>
              </w:rPr>
            </w:pPr>
            <w:r>
              <w:rPr>
                <w:rFonts w:ascii="Arial" w:cs="Arial" w:eastAsia="Arial" w:hAnsi="Arial"/>
                <w:sz w:val="11"/>
                <w:szCs w:val="11"/>
                <w:color w:val="auto"/>
              </w:rPr>
              <w:t>85%</w:t>
            </w:r>
          </w:p>
        </w:tc>
        <w:tc>
          <w:tcPr>
            <w:tcW w:w="200" w:type="dxa"/>
            <w:vAlign w:val="bottom"/>
          </w:tcPr>
          <w:p>
            <w:pPr>
              <w:spacing w:after="0"/>
              <w:rPr>
                <w:sz w:val="22"/>
                <w:szCs w:val="22"/>
                <w:color w:val="auto"/>
              </w:rPr>
            </w:pPr>
          </w:p>
        </w:tc>
        <w:tc>
          <w:tcPr>
            <w:tcW w:w="1160" w:type="dxa"/>
            <w:vAlign w:val="bottom"/>
          </w:tcPr>
          <w:p>
            <w:pPr>
              <w:jc w:val="right"/>
              <w:ind w:right="287"/>
              <w:spacing w:after="0"/>
              <w:rPr>
                <w:sz w:val="20"/>
                <w:szCs w:val="20"/>
                <w:color w:val="auto"/>
              </w:rPr>
            </w:pPr>
            <w:r>
              <w:rPr>
                <w:rFonts w:ascii="Arial" w:cs="Arial" w:eastAsia="Arial" w:hAnsi="Arial"/>
                <w:sz w:val="11"/>
                <w:szCs w:val="11"/>
                <w:color w:val="auto"/>
              </w:rPr>
              <w:t>200 %</w:t>
            </w:r>
          </w:p>
        </w:tc>
        <w:tc>
          <w:tcPr>
            <w:tcW w:w="640" w:type="dxa"/>
            <w:vAlign w:val="bottom"/>
          </w:tcPr>
          <w:p>
            <w:pPr>
              <w:jc w:val="right"/>
              <w:ind w:right="88"/>
              <w:spacing w:after="0"/>
              <w:rPr>
                <w:sz w:val="20"/>
                <w:szCs w:val="20"/>
                <w:color w:val="auto"/>
              </w:rPr>
            </w:pPr>
            <w:r>
              <w:rPr>
                <w:rFonts w:ascii="Arial" w:cs="Arial" w:eastAsia="Arial" w:hAnsi="Arial"/>
                <w:sz w:val="11"/>
                <w:szCs w:val="11"/>
                <w:color w:val="auto"/>
              </w:rPr>
              <w:t>15%</w:t>
            </w:r>
          </w:p>
        </w:tc>
        <w:tc>
          <w:tcPr>
            <w:tcW w:w="500" w:type="dxa"/>
            <w:vAlign w:val="bottom"/>
          </w:tcPr>
          <w:p>
            <w:pPr>
              <w:jc w:val="right"/>
              <w:spacing w:after="0"/>
              <w:rPr>
                <w:sz w:val="20"/>
                <w:szCs w:val="20"/>
                <w:color w:val="auto"/>
              </w:rPr>
            </w:pPr>
            <w:r>
              <w:rPr>
                <w:rFonts w:ascii="Arial" w:cs="Arial" w:eastAsia="Arial" w:hAnsi="Arial"/>
                <w:sz w:val="11"/>
                <w:szCs w:val="11"/>
                <w:color w:val="auto"/>
              </w:rPr>
              <w:t>30%</w:t>
            </w:r>
          </w:p>
        </w:tc>
        <w:tc>
          <w:tcPr>
            <w:tcW w:w="200" w:type="dxa"/>
            <w:vAlign w:val="bottom"/>
          </w:tcPr>
          <w:p>
            <w:pPr>
              <w:spacing w:after="0"/>
              <w:rPr>
                <w:sz w:val="22"/>
                <w:szCs w:val="22"/>
                <w:color w:val="auto"/>
              </w:rPr>
            </w:pPr>
          </w:p>
        </w:tc>
        <w:tc>
          <w:tcPr>
            <w:tcW w:w="1140" w:type="dxa"/>
            <w:vAlign w:val="bottom"/>
          </w:tcPr>
          <w:p>
            <w:pPr>
              <w:jc w:val="right"/>
              <w:ind w:right="266"/>
              <w:spacing w:after="0"/>
              <w:rPr>
                <w:sz w:val="20"/>
                <w:szCs w:val="20"/>
                <w:color w:val="auto"/>
              </w:rPr>
            </w:pPr>
            <w:r>
              <w:rPr>
                <w:rFonts w:ascii="Arial" w:cs="Arial" w:eastAsia="Arial" w:hAnsi="Arial"/>
                <w:sz w:val="11"/>
                <w:szCs w:val="11"/>
                <w:color w:val="auto"/>
              </w:rPr>
              <w:t>200 %</w:t>
            </w: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5%</w:t>
            </w:r>
          </w:p>
        </w:tc>
        <w:tc>
          <w:tcPr>
            <w:tcW w:w="18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10%</w:t>
            </w:r>
          </w:p>
        </w:tc>
        <w:tc>
          <w:tcPr>
            <w:tcW w:w="2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125%</w:t>
            </w:r>
          </w:p>
        </w:tc>
        <w:tc>
          <w:tcPr>
            <w:tcW w:w="200" w:type="dxa"/>
            <w:vAlign w:val="bottom"/>
          </w:tcPr>
          <w:p>
            <w:pPr>
              <w:spacing w:after="0"/>
              <w:rPr>
                <w:sz w:val="22"/>
                <w:szCs w:val="22"/>
                <w:color w:val="auto"/>
              </w:rPr>
            </w:pPr>
          </w:p>
        </w:tc>
        <w:tc>
          <w:tcPr>
            <w:tcW w:w="980" w:type="dxa"/>
            <w:vAlign w:val="bottom"/>
          </w:tcPr>
          <w:p>
            <w:pPr>
              <w:jc w:val="right"/>
              <w:ind w:right="188"/>
              <w:spacing w:after="0"/>
              <w:rPr>
                <w:sz w:val="20"/>
                <w:szCs w:val="20"/>
                <w:color w:val="auto"/>
              </w:rPr>
            </w:pPr>
            <w:r>
              <w:rPr>
                <w:rFonts w:ascii="Arial" w:cs="Arial" w:eastAsia="Arial" w:hAnsi="Arial"/>
                <w:sz w:val="11"/>
                <w:szCs w:val="11"/>
                <w:color w:val="auto"/>
              </w:rPr>
              <w:t>828,225</w:t>
            </w: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1,033,600</w:t>
            </w:r>
          </w:p>
        </w:tc>
        <w:tc>
          <w:tcPr>
            <w:tcW w:w="0" w:type="dxa"/>
            <w:vAlign w:val="bottom"/>
          </w:tcPr>
          <w:p>
            <w:pPr>
              <w:spacing w:after="0"/>
              <w:rPr>
                <w:sz w:val="1"/>
                <w:szCs w:val="1"/>
                <w:color w:val="auto"/>
              </w:rPr>
            </w:pPr>
          </w:p>
        </w:tc>
      </w:tr>
      <w:tr>
        <w:trPr>
          <w:trHeight w:val="135"/>
        </w:trPr>
        <w:tc>
          <w:tcPr>
            <w:tcW w:w="800" w:type="dxa"/>
            <w:vAlign w:val="bottom"/>
            <w:tcBorders>
              <w:bottom w:val="single" w:sz="8" w:color="939598"/>
            </w:tcBorders>
          </w:tcPr>
          <w:p>
            <w:pPr>
              <w:spacing w:after="0"/>
              <w:rPr>
                <w:sz w:val="11"/>
                <w:szCs w:val="11"/>
                <w:color w:val="auto"/>
              </w:rPr>
            </w:pPr>
          </w:p>
        </w:tc>
        <w:tc>
          <w:tcPr>
            <w:tcW w:w="1120" w:type="dxa"/>
            <w:vAlign w:val="bottom"/>
            <w:tcBorders>
              <w:bottom w:val="single" w:sz="8" w:color="939598"/>
            </w:tcBorders>
          </w:tcPr>
          <w:p>
            <w:pPr>
              <w:spacing w:after="0"/>
              <w:rPr>
                <w:sz w:val="11"/>
                <w:szCs w:val="11"/>
                <w:color w:val="auto"/>
              </w:rPr>
            </w:pPr>
          </w:p>
        </w:tc>
        <w:tc>
          <w:tcPr>
            <w:tcW w:w="660" w:type="dxa"/>
            <w:vAlign w:val="bottom"/>
            <w:tcBorders>
              <w:bottom w:val="single" w:sz="8" w:color="939598"/>
            </w:tcBorders>
          </w:tcPr>
          <w:p>
            <w:pPr>
              <w:spacing w:after="0"/>
              <w:rPr>
                <w:sz w:val="11"/>
                <w:szCs w:val="11"/>
                <w:color w:val="auto"/>
              </w:rPr>
            </w:pPr>
          </w:p>
        </w:tc>
        <w:tc>
          <w:tcPr>
            <w:tcW w:w="500" w:type="dxa"/>
            <w:vAlign w:val="bottom"/>
            <w:tcBorders>
              <w:bottom w:val="single" w:sz="8" w:color="939598"/>
            </w:tcBorders>
          </w:tcPr>
          <w:p>
            <w:pPr>
              <w:spacing w:after="0"/>
              <w:rPr>
                <w:sz w:val="11"/>
                <w:szCs w:val="11"/>
                <w:color w:val="auto"/>
              </w:rPr>
            </w:pPr>
          </w:p>
        </w:tc>
        <w:tc>
          <w:tcPr>
            <w:tcW w:w="200" w:type="dxa"/>
            <w:vAlign w:val="bottom"/>
            <w:tcBorders>
              <w:bottom w:val="single" w:sz="8" w:color="939598"/>
            </w:tcBorders>
          </w:tcPr>
          <w:p>
            <w:pPr>
              <w:spacing w:after="0"/>
              <w:rPr>
                <w:sz w:val="11"/>
                <w:szCs w:val="11"/>
                <w:color w:val="auto"/>
              </w:rPr>
            </w:pPr>
          </w:p>
        </w:tc>
        <w:tc>
          <w:tcPr>
            <w:tcW w:w="1160" w:type="dxa"/>
            <w:vAlign w:val="bottom"/>
            <w:tcBorders>
              <w:bottom w:val="single" w:sz="8" w:color="939598"/>
            </w:tcBorders>
          </w:tcPr>
          <w:p>
            <w:pPr>
              <w:spacing w:after="0"/>
              <w:rPr>
                <w:sz w:val="11"/>
                <w:szCs w:val="11"/>
                <w:color w:val="auto"/>
              </w:rPr>
            </w:pPr>
          </w:p>
        </w:tc>
        <w:tc>
          <w:tcPr>
            <w:tcW w:w="640" w:type="dxa"/>
            <w:vAlign w:val="bottom"/>
            <w:tcBorders>
              <w:bottom w:val="single" w:sz="8" w:color="939598"/>
            </w:tcBorders>
          </w:tcPr>
          <w:p>
            <w:pPr>
              <w:spacing w:after="0"/>
              <w:rPr>
                <w:sz w:val="11"/>
                <w:szCs w:val="11"/>
                <w:color w:val="auto"/>
              </w:rPr>
            </w:pPr>
          </w:p>
        </w:tc>
        <w:tc>
          <w:tcPr>
            <w:tcW w:w="500" w:type="dxa"/>
            <w:vAlign w:val="bottom"/>
            <w:tcBorders>
              <w:bottom w:val="single" w:sz="8" w:color="939598"/>
            </w:tcBorders>
          </w:tcPr>
          <w:p>
            <w:pPr>
              <w:spacing w:after="0"/>
              <w:rPr>
                <w:sz w:val="11"/>
                <w:szCs w:val="11"/>
                <w:color w:val="auto"/>
              </w:rPr>
            </w:pPr>
          </w:p>
        </w:tc>
        <w:tc>
          <w:tcPr>
            <w:tcW w:w="200" w:type="dxa"/>
            <w:vAlign w:val="bottom"/>
            <w:tcBorders>
              <w:bottom w:val="single" w:sz="8" w:color="939598"/>
            </w:tcBorders>
          </w:tcPr>
          <w:p>
            <w:pPr>
              <w:spacing w:after="0"/>
              <w:rPr>
                <w:sz w:val="11"/>
                <w:szCs w:val="11"/>
                <w:color w:val="auto"/>
              </w:rPr>
            </w:pPr>
          </w:p>
        </w:tc>
        <w:tc>
          <w:tcPr>
            <w:tcW w:w="1140" w:type="dxa"/>
            <w:vAlign w:val="bottom"/>
            <w:tcBorders>
              <w:bottom w:val="single" w:sz="8" w:color="939598"/>
            </w:tcBorders>
          </w:tcPr>
          <w:p>
            <w:pPr>
              <w:spacing w:after="0"/>
              <w:rPr>
                <w:sz w:val="11"/>
                <w:szCs w:val="11"/>
                <w:color w:val="auto"/>
              </w:rPr>
            </w:pPr>
          </w:p>
        </w:tc>
        <w:tc>
          <w:tcPr>
            <w:tcW w:w="600" w:type="dxa"/>
            <w:vAlign w:val="bottom"/>
            <w:tcBorders>
              <w:bottom w:val="single" w:sz="8" w:color="939598"/>
            </w:tcBorders>
          </w:tcPr>
          <w:p>
            <w:pPr>
              <w:spacing w:after="0"/>
              <w:rPr>
                <w:sz w:val="11"/>
                <w:szCs w:val="11"/>
                <w:color w:val="auto"/>
              </w:rPr>
            </w:pPr>
          </w:p>
        </w:tc>
        <w:tc>
          <w:tcPr>
            <w:tcW w:w="180" w:type="dxa"/>
            <w:vAlign w:val="bottom"/>
            <w:tcBorders>
              <w:bottom w:val="single" w:sz="8" w:color="939598"/>
            </w:tcBorders>
          </w:tcPr>
          <w:p>
            <w:pPr>
              <w:spacing w:after="0"/>
              <w:rPr>
                <w:sz w:val="11"/>
                <w:szCs w:val="11"/>
                <w:color w:val="auto"/>
              </w:rPr>
            </w:pPr>
          </w:p>
        </w:tc>
        <w:tc>
          <w:tcPr>
            <w:tcW w:w="340" w:type="dxa"/>
            <w:vAlign w:val="bottom"/>
            <w:tcBorders>
              <w:bottom w:val="single" w:sz="8" w:color="939598"/>
            </w:tcBorders>
          </w:tcPr>
          <w:p>
            <w:pPr>
              <w:spacing w:after="0"/>
              <w:rPr>
                <w:sz w:val="11"/>
                <w:szCs w:val="11"/>
                <w:color w:val="auto"/>
              </w:rPr>
            </w:pPr>
          </w:p>
        </w:tc>
        <w:tc>
          <w:tcPr>
            <w:tcW w:w="260" w:type="dxa"/>
            <w:vAlign w:val="bottom"/>
            <w:tcBorders>
              <w:bottom w:val="single" w:sz="8" w:color="939598"/>
            </w:tcBorders>
          </w:tcPr>
          <w:p>
            <w:pPr>
              <w:spacing w:after="0"/>
              <w:rPr>
                <w:sz w:val="11"/>
                <w:szCs w:val="11"/>
                <w:color w:val="auto"/>
              </w:rPr>
            </w:pPr>
          </w:p>
        </w:tc>
        <w:tc>
          <w:tcPr>
            <w:tcW w:w="760" w:type="dxa"/>
            <w:vAlign w:val="bottom"/>
            <w:tcBorders>
              <w:bottom w:val="single" w:sz="8" w:color="939598"/>
            </w:tcBorders>
          </w:tcPr>
          <w:p>
            <w:pPr>
              <w:spacing w:after="0"/>
              <w:rPr>
                <w:sz w:val="11"/>
                <w:szCs w:val="11"/>
                <w:color w:val="auto"/>
              </w:rPr>
            </w:pPr>
          </w:p>
        </w:tc>
        <w:tc>
          <w:tcPr>
            <w:tcW w:w="200" w:type="dxa"/>
            <w:vAlign w:val="bottom"/>
            <w:tcBorders>
              <w:bottom w:val="single" w:sz="8" w:color="939598"/>
            </w:tcBorders>
          </w:tcPr>
          <w:p>
            <w:pPr>
              <w:spacing w:after="0"/>
              <w:rPr>
                <w:sz w:val="11"/>
                <w:szCs w:val="11"/>
                <w:color w:val="auto"/>
              </w:rPr>
            </w:pPr>
          </w:p>
        </w:tc>
        <w:tc>
          <w:tcPr>
            <w:tcW w:w="980" w:type="dxa"/>
            <w:vAlign w:val="bottom"/>
            <w:tcBorders>
              <w:bottom w:val="single" w:sz="8" w:color="939598"/>
            </w:tcBorders>
          </w:tcPr>
          <w:p>
            <w:pPr>
              <w:spacing w:after="0"/>
              <w:rPr>
                <w:sz w:val="11"/>
                <w:szCs w:val="11"/>
                <w:color w:val="auto"/>
              </w:rPr>
            </w:pPr>
          </w:p>
        </w:tc>
        <w:tc>
          <w:tcPr>
            <w:tcW w:w="80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800" w:type="dxa"/>
            <w:vAlign w:val="bottom"/>
          </w:tcPr>
          <w:p>
            <w:pPr>
              <w:ind w:left="20"/>
              <w:spacing w:after="0"/>
              <w:rPr>
                <w:sz w:val="20"/>
                <w:szCs w:val="20"/>
                <w:color w:val="auto"/>
              </w:rPr>
            </w:pPr>
            <w:r>
              <w:rPr>
                <w:rFonts w:ascii="Arial" w:cs="Arial" w:eastAsia="Arial" w:hAnsi="Arial"/>
                <w:sz w:val="11"/>
                <w:szCs w:val="11"/>
                <w:b w:val="1"/>
                <w:bCs w:val="1"/>
                <w:color w:val="auto"/>
              </w:rPr>
              <w:t>Mr. Masso</w:t>
            </w:r>
          </w:p>
        </w:tc>
        <w:tc>
          <w:tcPr>
            <w:tcW w:w="1120" w:type="dxa"/>
            <w:vAlign w:val="bottom"/>
          </w:tcPr>
          <w:p>
            <w:pPr>
              <w:jc w:val="right"/>
              <w:ind w:right="247"/>
              <w:spacing w:after="0"/>
              <w:rPr>
                <w:sz w:val="20"/>
                <w:szCs w:val="20"/>
                <w:color w:val="auto"/>
              </w:rPr>
            </w:pPr>
            <w:r>
              <w:rPr>
                <w:rFonts w:ascii="Arial" w:cs="Arial" w:eastAsia="Arial" w:hAnsi="Arial"/>
                <w:sz w:val="11"/>
                <w:szCs w:val="11"/>
                <w:color w:val="auto"/>
              </w:rPr>
              <w:t>93%</w:t>
            </w:r>
          </w:p>
        </w:tc>
        <w:tc>
          <w:tcPr>
            <w:tcW w:w="660" w:type="dxa"/>
            <w:vAlign w:val="bottom"/>
          </w:tcPr>
          <w:p>
            <w:pPr>
              <w:jc w:val="right"/>
              <w:ind w:right="128"/>
              <w:spacing w:after="0"/>
              <w:rPr>
                <w:sz w:val="20"/>
                <w:szCs w:val="20"/>
                <w:color w:val="auto"/>
              </w:rPr>
            </w:pPr>
            <w:r>
              <w:rPr>
                <w:rFonts w:ascii="Arial" w:cs="Arial" w:eastAsia="Arial" w:hAnsi="Arial"/>
                <w:sz w:val="11"/>
                <w:szCs w:val="11"/>
                <w:color w:val="auto"/>
              </w:rPr>
              <w:t>80%</w:t>
            </w:r>
          </w:p>
        </w:tc>
        <w:tc>
          <w:tcPr>
            <w:tcW w:w="500" w:type="dxa"/>
            <w:vAlign w:val="bottom"/>
          </w:tcPr>
          <w:p>
            <w:pPr>
              <w:jc w:val="right"/>
              <w:spacing w:after="0"/>
              <w:rPr>
                <w:sz w:val="20"/>
                <w:szCs w:val="20"/>
                <w:color w:val="auto"/>
              </w:rPr>
            </w:pPr>
            <w:r>
              <w:rPr>
                <w:rFonts w:ascii="Arial" w:cs="Arial" w:eastAsia="Arial" w:hAnsi="Arial"/>
                <w:sz w:val="11"/>
                <w:szCs w:val="11"/>
                <w:color w:val="auto"/>
              </w:rPr>
              <w:t>74%</w:t>
            </w:r>
          </w:p>
        </w:tc>
        <w:tc>
          <w:tcPr>
            <w:tcW w:w="200" w:type="dxa"/>
            <w:vAlign w:val="bottom"/>
          </w:tcPr>
          <w:p>
            <w:pPr>
              <w:spacing w:after="0"/>
              <w:rPr>
                <w:sz w:val="22"/>
                <w:szCs w:val="22"/>
                <w:color w:val="auto"/>
              </w:rPr>
            </w:pPr>
          </w:p>
        </w:tc>
        <w:tc>
          <w:tcPr>
            <w:tcW w:w="1160" w:type="dxa"/>
            <w:vAlign w:val="bottom"/>
          </w:tcPr>
          <w:p>
            <w:pPr>
              <w:jc w:val="right"/>
              <w:ind w:right="287"/>
              <w:spacing w:after="0"/>
              <w:rPr>
                <w:sz w:val="20"/>
                <w:szCs w:val="20"/>
                <w:color w:val="auto"/>
              </w:rPr>
            </w:pPr>
            <w:r>
              <w:rPr>
                <w:rFonts w:ascii="Arial" w:cs="Arial" w:eastAsia="Arial" w:hAnsi="Arial"/>
                <w:sz w:val="11"/>
                <w:szCs w:val="11"/>
                <w:color w:val="auto"/>
              </w:rPr>
              <w:t>100 %</w:t>
            </w:r>
          </w:p>
        </w:tc>
        <w:tc>
          <w:tcPr>
            <w:tcW w:w="640" w:type="dxa"/>
            <w:vAlign w:val="bottom"/>
          </w:tcPr>
          <w:p>
            <w:pPr>
              <w:jc w:val="right"/>
              <w:ind w:right="88"/>
              <w:spacing w:after="0"/>
              <w:rPr>
                <w:sz w:val="20"/>
                <w:szCs w:val="20"/>
                <w:color w:val="auto"/>
              </w:rPr>
            </w:pPr>
            <w:r>
              <w:rPr>
                <w:rFonts w:ascii="Arial" w:cs="Arial" w:eastAsia="Arial" w:hAnsi="Arial"/>
                <w:sz w:val="11"/>
                <w:szCs w:val="11"/>
                <w:color w:val="auto"/>
              </w:rPr>
              <w:t>15%</w:t>
            </w:r>
          </w:p>
        </w:tc>
        <w:tc>
          <w:tcPr>
            <w:tcW w:w="500" w:type="dxa"/>
            <w:vAlign w:val="bottom"/>
          </w:tcPr>
          <w:p>
            <w:pPr>
              <w:jc w:val="right"/>
              <w:spacing w:after="0"/>
              <w:rPr>
                <w:sz w:val="20"/>
                <w:szCs w:val="20"/>
                <w:color w:val="auto"/>
              </w:rPr>
            </w:pPr>
            <w:r>
              <w:rPr>
                <w:rFonts w:ascii="Arial" w:cs="Arial" w:eastAsia="Arial" w:hAnsi="Arial"/>
                <w:sz w:val="11"/>
                <w:szCs w:val="11"/>
                <w:color w:val="auto"/>
              </w:rPr>
              <w:t>15%</w:t>
            </w:r>
          </w:p>
        </w:tc>
        <w:tc>
          <w:tcPr>
            <w:tcW w:w="200" w:type="dxa"/>
            <w:vAlign w:val="bottom"/>
          </w:tcPr>
          <w:p>
            <w:pPr>
              <w:spacing w:after="0"/>
              <w:rPr>
                <w:sz w:val="22"/>
                <w:szCs w:val="22"/>
                <w:color w:val="auto"/>
              </w:rPr>
            </w:pPr>
          </w:p>
        </w:tc>
        <w:tc>
          <w:tcPr>
            <w:tcW w:w="1140" w:type="dxa"/>
            <w:vAlign w:val="bottom"/>
          </w:tcPr>
          <w:p>
            <w:pPr>
              <w:jc w:val="right"/>
              <w:ind w:right="266"/>
              <w:spacing w:after="0"/>
              <w:rPr>
                <w:sz w:val="20"/>
                <w:szCs w:val="20"/>
                <w:color w:val="auto"/>
              </w:rPr>
            </w:pPr>
            <w:r>
              <w:rPr>
                <w:rFonts w:ascii="Arial" w:cs="Arial" w:eastAsia="Arial" w:hAnsi="Arial"/>
                <w:sz w:val="11"/>
                <w:szCs w:val="11"/>
                <w:color w:val="auto"/>
              </w:rPr>
              <w:t>200 %</w:t>
            </w: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5%</w:t>
            </w:r>
          </w:p>
        </w:tc>
        <w:tc>
          <w:tcPr>
            <w:tcW w:w="18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10%</w:t>
            </w:r>
          </w:p>
        </w:tc>
        <w:tc>
          <w:tcPr>
            <w:tcW w:w="2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99%</w:t>
            </w:r>
          </w:p>
        </w:tc>
        <w:tc>
          <w:tcPr>
            <w:tcW w:w="200" w:type="dxa"/>
            <w:vAlign w:val="bottom"/>
          </w:tcPr>
          <w:p>
            <w:pPr>
              <w:spacing w:after="0"/>
              <w:rPr>
                <w:sz w:val="22"/>
                <w:szCs w:val="22"/>
                <w:color w:val="auto"/>
              </w:rPr>
            </w:pPr>
          </w:p>
        </w:tc>
        <w:tc>
          <w:tcPr>
            <w:tcW w:w="980" w:type="dxa"/>
            <w:vAlign w:val="bottom"/>
          </w:tcPr>
          <w:p>
            <w:pPr>
              <w:jc w:val="right"/>
              <w:ind w:right="188"/>
              <w:spacing w:after="0"/>
              <w:rPr>
                <w:sz w:val="20"/>
                <w:szCs w:val="20"/>
                <w:color w:val="auto"/>
              </w:rPr>
            </w:pPr>
            <w:r>
              <w:rPr>
                <w:rFonts w:ascii="Arial" w:cs="Arial" w:eastAsia="Arial" w:hAnsi="Arial"/>
                <w:sz w:val="11"/>
                <w:szCs w:val="11"/>
                <w:color w:val="auto"/>
              </w:rPr>
              <w:t>316,233</w:t>
            </w: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314,300</w:t>
            </w:r>
          </w:p>
        </w:tc>
        <w:tc>
          <w:tcPr>
            <w:tcW w:w="0" w:type="dxa"/>
            <w:vAlign w:val="bottom"/>
          </w:tcPr>
          <w:p>
            <w:pPr>
              <w:spacing w:after="0"/>
              <w:rPr>
                <w:sz w:val="1"/>
                <w:szCs w:val="1"/>
                <w:color w:val="auto"/>
              </w:rPr>
            </w:pPr>
          </w:p>
        </w:tc>
      </w:tr>
      <w:tr>
        <w:trPr>
          <w:trHeight w:val="136"/>
        </w:trPr>
        <w:tc>
          <w:tcPr>
            <w:tcW w:w="800" w:type="dxa"/>
            <w:vAlign w:val="bottom"/>
            <w:tcBorders>
              <w:bottom w:val="single" w:sz="8" w:color="939598"/>
            </w:tcBorders>
          </w:tcPr>
          <w:p>
            <w:pPr>
              <w:spacing w:after="0"/>
              <w:rPr>
                <w:sz w:val="11"/>
                <w:szCs w:val="11"/>
                <w:color w:val="auto"/>
              </w:rPr>
            </w:pPr>
          </w:p>
        </w:tc>
        <w:tc>
          <w:tcPr>
            <w:tcW w:w="1120" w:type="dxa"/>
            <w:vAlign w:val="bottom"/>
            <w:tcBorders>
              <w:bottom w:val="single" w:sz="8" w:color="939598"/>
            </w:tcBorders>
          </w:tcPr>
          <w:p>
            <w:pPr>
              <w:spacing w:after="0"/>
              <w:rPr>
                <w:sz w:val="11"/>
                <w:szCs w:val="11"/>
                <w:color w:val="auto"/>
              </w:rPr>
            </w:pPr>
          </w:p>
        </w:tc>
        <w:tc>
          <w:tcPr>
            <w:tcW w:w="660" w:type="dxa"/>
            <w:vAlign w:val="bottom"/>
            <w:tcBorders>
              <w:bottom w:val="single" w:sz="8" w:color="939598"/>
            </w:tcBorders>
          </w:tcPr>
          <w:p>
            <w:pPr>
              <w:spacing w:after="0"/>
              <w:rPr>
                <w:sz w:val="11"/>
                <w:szCs w:val="11"/>
                <w:color w:val="auto"/>
              </w:rPr>
            </w:pPr>
          </w:p>
        </w:tc>
        <w:tc>
          <w:tcPr>
            <w:tcW w:w="500" w:type="dxa"/>
            <w:vAlign w:val="bottom"/>
            <w:tcBorders>
              <w:bottom w:val="single" w:sz="8" w:color="939598"/>
            </w:tcBorders>
          </w:tcPr>
          <w:p>
            <w:pPr>
              <w:spacing w:after="0"/>
              <w:rPr>
                <w:sz w:val="11"/>
                <w:szCs w:val="11"/>
                <w:color w:val="auto"/>
              </w:rPr>
            </w:pPr>
          </w:p>
        </w:tc>
        <w:tc>
          <w:tcPr>
            <w:tcW w:w="200" w:type="dxa"/>
            <w:vAlign w:val="bottom"/>
            <w:tcBorders>
              <w:bottom w:val="single" w:sz="8" w:color="939598"/>
            </w:tcBorders>
          </w:tcPr>
          <w:p>
            <w:pPr>
              <w:spacing w:after="0"/>
              <w:rPr>
                <w:sz w:val="11"/>
                <w:szCs w:val="11"/>
                <w:color w:val="auto"/>
              </w:rPr>
            </w:pPr>
          </w:p>
        </w:tc>
        <w:tc>
          <w:tcPr>
            <w:tcW w:w="1160" w:type="dxa"/>
            <w:vAlign w:val="bottom"/>
            <w:tcBorders>
              <w:bottom w:val="single" w:sz="8" w:color="939598"/>
            </w:tcBorders>
          </w:tcPr>
          <w:p>
            <w:pPr>
              <w:spacing w:after="0"/>
              <w:rPr>
                <w:sz w:val="11"/>
                <w:szCs w:val="11"/>
                <w:color w:val="auto"/>
              </w:rPr>
            </w:pPr>
          </w:p>
        </w:tc>
        <w:tc>
          <w:tcPr>
            <w:tcW w:w="640" w:type="dxa"/>
            <w:vAlign w:val="bottom"/>
            <w:tcBorders>
              <w:bottom w:val="single" w:sz="8" w:color="939598"/>
            </w:tcBorders>
          </w:tcPr>
          <w:p>
            <w:pPr>
              <w:spacing w:after="0"/>
              <w:rPr>
                <w:sz w:val="11"/>
                <w:szCs w:val="11"/>
                <w:color w:val="auto"/>
              </w:rPr>
            </w:pPr>
          </w:p>
        </w:tc>
        <w:tc>
          <w:tcPr>
            <w:tcW w:w="500" w:type="dxa"/>
            <w:vAlign w:val="bottom"/>
            <w:tcBorders>
              <w:bottom w:val="single" w:sz="8" w:color="939598"/>
            </w:tcBorders>
          </w:tcPr>
          <w:p>
            <w:pPr>
              <w:spacing w:after="0"/>
              <w:rPr>
                <w:sz w:val="11"/>
                <w:szCs w:val="11"/>
                <w:color w:val="auto"/>
              </w:rPr>
            </w:pPr>
          </w:p>
        </w:tc>
        <w:tc>
          <w:tcPr>
            <w:tcW w:w="200" w:type="dxa"/>
            <w:vAlign w:val="bottom"/>
            <w:tcBorders>
              <w:bottom w:val="single" w:sz="8" w:color="939598"/>
            </w:tcBorders>
          </w:tcPr>
          <w:p>
            <w:pPr>
              <w:spacing w:after="0"/>
              <w:rPr>
                <w:sz w:val="11"/>
                <w:szCs w:val="11"/>
                <w:color w:val="auto"/>
              </w:rPr>
            </w:pPr>
          </w:p>
        </w:tc>
        <w:tc>
          <w:tcPr>
            <w:tcW w:w="1140" w:type="dxa"/>
            <w:vAlign w:val="bottom"/>
            <w:tcBorders>
              <w:bottom w:val="single" w:sz="8" w:color="939598"/>
            </w:tcBorders>
          </w:tcPr>
          <w:p>
            <w:pPr>
              <w:spacing w:after="0"/>
              <w:rPr>
                <w:sz w:val="11"/>
                <w:szCs w:val="11"/>
                <w:color w:val="auto"/>
              </w:rPr>
            </w:pPr>
          </w:p>
        </w:tc>
        <w:tc>
          <w:tcPr>
            <w:tcW w:w="600" w:type="dxa"/>
            <w:vAlign w:val="bottom"/>
            <w:tcBorders>
              <w:bottom w:val="single" w:sz="8" w:color="939598"/>
            </w:tcBorders>
          </w:tcPr>
          <w:p>
            <w:pPr>
              <w:spacing w:after="0"/>
              <w:rPr>
                <w:sz w:val="11"/>
                <w:szCs w:val="11"/>
                <w:color w:val="auto"/>
              </w:rPr>
            </w:pPr>
          </w:p>
        </w:tc>
        <w:tc>
          <w:tcPr>
            <w:tcW w:w="180" w:type="dxa"/>
            <w:vAlign w:val="bottom"/>
            <w:tcBorders>
              <w:bottom w:val="single" w:sz="8" w:color="939598"/>
            </w:tcBorders>
          </w:tcPr>
          <w:p>
            <w:pPr>
              <w:spacing w:after="0"/>
              <w:rPr>
                <w:sz w:val="11"/>
                <w:szCs w:val="11"/>
                <w:color w:val="auto"/>
              </w:rPr>
            </w:pPr>
          </w:p>
        </w:tc>
        <w:tc>
          <w:tcPr>
            <w:tcW w:w="340" w:type="dxa"/>
            <w:vAlign w:val="bottom"/>
            <w:tcBorders>
              <w:bottom w:val="single" w:sz="8" w:color="939598"/>
            </w:tcBorders>
          </w:tcPr>
          <w:p>
            <w:pPr>
              <w:spacing w:after="0"/>
              <w:rPr>
                <w:sz w:val="11"/>
                <w:szCs w:val="11"/>
                <w:color w:val="auto"/>
              </w:rPr>
            </w:pPr>
          </w:p>
        </w:tc>
        <w:tc>
          <w:tcPr>
            <w:tcW w:w="260" w:type="dxa"/>
            <w:vAlign w:val="bottom"/>
            <w:tcBorders>
              <w:bottom w:val="single" w:sz="8" w:color="939598"/>
            </w:tcBorders>
          </w:tcPr>
          <w:p>
            <w:pPr>
              <w:spacing w:after="0"/>
              <w:rPr>
                <w:sz w:val="11"/>
                <w:szCs w:val="11"/>
                <w:color w:val="auto"/>
              </w:rPr>
            </w:pPr>
          </w:p>
        </w:tc>
        <w:tc>
          <w:tcPr>
            <w:tcW w:w="760" w:type="dxa"/>
            <w:vAlign w:val="bottom"/>
            <w:tcBorders>
              <w:bottom w:val="single" w:sz="8" w:color="939598"/>
            </w:tcBorders>
          </w:tcPr>
          <w:p>
            <w:pPr>
              <w:spacing w:after="0"/>
              <w:rPr>
                <w:sz w:val="11"/>
                <w:szCs w:val="11"/>
                <w:color w:val="auto"/>
              </w:rPr>
            </w:pPr>
          </w:p>
        </w:tc>
        <w:tc>
          <w:tcPr>
            <w:tcW w:w="200" w:type="dxa"/>
            <w:vAlign w:val="bottom"/>
            <w:tcBorders>
              <w:bottom w:val="single" w:sz="8" w:color="939598"/>
            </w:tcBorders>
          </w:tcPr>
          <w:p>
            <w:pPr>
              <w:spacing w:after="0"/>
              <w:rPr>
                <w:sz w:val="11"/>
                <w:szCs w:val="11"/>
                <w:color w:val="auto"/>
              </w:rPr>
            </w:pPr>
          </w:p>
        </w:tc>
        <w:tc>
          <w:tcPr>
            <w:tcW w:w="980" w:type="dxa"/>
            <w:vAlign w:val="bottom"/>
            <w:tcBorders>
              <w:bottom w:val="single" w:sz="8" w:color="939598"/>
            </w:tcBorders>
          </w:tcPr>
          <w:p>
            <w:pPr>
              <w:spacing w:after="0"/>
              <w:rPr>
                <w:sz w:val="11"/>
                <w:szCs w:val="11"/>
                <w:color w:val="auto"/>
              </w:rPr>
            </w:pPr>
          </w:p>
        </w:tc>
        <w:tc>
          <w:tcPr>
            <w:tcW w:w="80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800" w:type="dxa"/>
            <w:vAlign w:val="bottom"/>
          </w:tcPr>
          <w:p>
            <w:pPr>
              <w:ind w:left="20"/>
              <w:spacing w:after="0"/>
              <w:rPr>
                <w:sz w:val="20"/>
                <w:szCs w:val="20"/>
                <w:color w:val="auto"/>
              </w:rPr>
            </w:pPr>
            <w:r>
              <w:rPr>
                <w:rFonts w:ascii="Arial" w:cs="Arial" w:eastAsia="Arial" w:hAnsi="Arial"/>
                <w:sz w:val="11"/>
                <w:szCs w:val="11"/>
                <w:b w:val="1"/>
                <w:bCs w:val="1"/>
                <w:color w:val="auto"/>
              </w:rPr>
              <w:t>Mr. Hammoud</w:t>
            </w:r>
          </w:p>
        </w:tc>
        <w:tc>
          <w:tcPr>
            <w:tcW w:w="1120" w:type="dxa"/>
            <w:vAlign w:val="bottom"/>
          </w:tcPr>
          <w:p>
            <w:pPr>
              <w:jc w:val="right"/>
              <w:ind w:right="247"/>
              <w:spacing w:after="0"/>
              <w:rPr>
                <w:sz w:val="20"/>
                <w:szCs w:val="20"/>
                <w:color w:val="auto"/>
              </w:rPr>
            </w:pPr>
            <w:r>
              <w:rPr>
                <w:rFonts w:ascii="Arial" w:cs="Arial" w:eastAsia="Arial" w:hAnsi="Arial"/>
                <w:sz w:val="11"/>
                <w:szCs w:val="11"/>
                <w:color w:val="auto"/>
              </w:rPr>
              <w:t>108%</w:t>
            </w:r>
          </w:p>
        </w:tc>
        <w:tc>
          <w:tcPr>
            <w:tcW w:w="660" w:type="dxa"/>
            <w:vAlign w:val="bottom"/>
          </w:tcPr>
          <w:p>
            <w:pPr>
              <w:jc w:val="right"/>
              <w:ind w:right="128"/>
              <w:spacing w:after="0"/>
              <w:rPr>
                <w:sz w:val="20"/>
                <w:szCs w:val="20"/>
                <w:color w:val="auto"/>
              </w:rPr>
            </w:pPr>
            <w:r>
              <w:rPr>
                <w:rFonts w:ascii="Arial" w:cs="Arial" w:eastAsia="Arial" w:hAnsi="Arial"/>
                <w:sz w:val="11"/>
                <w:szCs w:val="11"/>
                <w:color w:val="auto"/>
              </w:rPr>
              <w:t>80%</w:t>
            </w:r>
          </w:p>
        </w:tc>
        <w:tc>
          <w:tcPr>
            <w:tcW w:w="500" w:type="dxa"/>
            <w:vAlign w:val="bottom"/>
          </w:tcPr>
          <w:p>
            <w:pPr>
              <w:jc w:val="right"/>
              <w:spacing w:after="0"/>
              <w:rPr>
                <w:sz w:val="20"/>
                <w:szCs w:val="20"/>
                <w:color w:val="auto"/>
              </w:rPr>
            </w:pPr>
            <w:r>
              <w:rPr>
                <w:rFonts w:ascii="Arial" w:cs="Arial" w:eastAsia="Arial" w:hAnsi="Arial"/>
                <w:sz w:val="11"/>
                <w:szCs w:val="11"/>
                <w:color w:val="auto"/>
              </w:rPr>
              <w:t>86%</w:t>
            </w:r>
          </w:p>
        </w:tc>
        <w:tc>
          <w:tcPr>
            <w:tcW w:w="200" w:type="dxa"/>
            <w:vAlign w:val="bottom"/>
          </w:tcPr>
          <w:p>
            <w:pPr>
              <w:spacing w:after="0"/>
              <w:rPr>
                <w:sz w:val="22"/>
                <w:szCs w:val="22"/>
                <w:color w:val="auto"/>
              </w:rPr>
            </w:pPr>
          </w:p>
        </w:tc>
        <w:tc>
          <w:tcPr>
            <w:tcW w:w="1160" w:type="dxa"/>
            <w:vAlign w:val="bottom"/>
          </w:tcPr>
          <w:p>
            <w:pPr>
              <w:jc w:val="right"/>
              <w:ind w:right="287"/>
              <w:spacing w:after="0"/>
              <w:rPr>
                <w:sz w:val="20"/>
                <w:szCs w:val="20"/>
                <w:color w:val="auto"/>
              </w:rPr>
            </w:pPr>
            <w:r>
              <w:rPr>
                <w:rFonts w:ascii="Arial" w:cs="Arial" w:eastAsia="Arial" w:hAnsi="Arial"/>
                <w:sz w:val="11"/>
                <w:szCs w:val="11"/>
                <w:color w:val="auto"/>
              </w:rPr>
              <w:t>200 %</w:t>
            </w:r>
          </w:p>
        </w:tc>
        <w:tc>
          <w:tcPr>
            <w:tcW w:w="640" w:type="dxa"/>
            <w:vAlign w:val="bottom"/>
          </w:tcPr>
          <w:p>
            <w:pPr>
              <w:jc w:val="right"/>
              <w:ind w:right="88"/>
              <w:spacing w:after="0"/>
              <w:rPr>
                <w:sz w:val="20"/>
                <w:szCs w:val="20"/>
                <w:color w:val="auto"/>
              </w:rPr>
            </w:pPr>
            <w:r>
              <w:rPr>
                <w:rFonts w:ascii="Arial" w:cs="Arial" w:eastAsia="Arial" w:hAnsi="Arial"/>
                <w:sz w:val="11"/>
                <w:szCs w:val="11"/>
                <w:color w:val="auto"/>
              </w:rPr>
              <w:t>15%</w:t>
            </w:r>
          </w:p>
        </w:tc>
        <w:tc>
          <w:tcPr>
            <w:tcW w:w="500" w:type="dxa"/>
            <w:vAlign w:val="bottom"/>
          </w:tcPr>
          <w:p>
            <w:pPr>
              <w:jc w:val="right"/>
              <w:spacing w:after="0"/>
              <w:rPr>
                <w:sz w:val="20"/>
                <w:szCs w:val="20"/>
                <w:color w:val="auto"/>
              </w:rPr>
            </w:pPr>
            <w:r>
              <w:rPr>
                <w:rFonts w:ascii="Arial" w:cs="Arial" w:eastAsia="Arial" w:hAnsi="Arial"/>
                <w:sz w:val="11"/>
                <w:szCs w:val="11"/>
                <w:color w:val="auto"/>
              </w:rPr>
              <w:t>30%</w:t>
            </w:r>
          </w:p>
        </w:tc>
        <w:tc>
          <w:tcPr>
            <w:tcW w:w="200" w:type="dxa"/>
            <w:vAlign w:val="bottom"/>
          </w:tcPr>
          <w:p>
            <w:pPr>
              <w:spacing w:after="0"/>
              <w:rPr>
                <w:sz w:val="22"/>
                <w:szCs w:val="22"/>
                <w:color w:val="auto"/>
              </w:rPr>
            </w:pPr>
          </w:p>
        </w:tc>
        <w:tc>
          <w:tcPr>
            <w:tcW w:w="1140" w:type="dxa"/>
            <w:vAlign w:val="bottom"/>
          </w:tcPr>
          <w:p>
            <w:pPr>
              <w:jc w:val="right"/>
              <w:ind w:right="266"/>
              <w:spacing w:after="0"/>
              <w:rPr>
                <w:sz w:val="20"/>
                <w:szCs w:val="20"/>
                <w:color w:val="auto"/>
              </w:rPr>
            </w:pPr>
            <w:r>
              <w:rPr>
                <w:rFonts w:ascii="Arial" w:cs="Arial" w:eastAsia="Arial" w:hAnsi="Arial"/>
                <w:sz w:val="11"/>
                <w:szCs w:val="11"/>
                <w:color w:val="auto"/>
              </w:rPr>
              <w:t>200 %</w:t>
            </w: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5%</w:t>
            </w:r>
          </w:p>
        </w:tc>
        <w:tc>
          <w:tcPr>
            <w:tcW w:w="18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10%</w:t>
            </w:r>
          </w:p>
        </w:tc>
        <w:tc>
          <w:tcPr>
            <w:tcW w:w="2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126%</w:t>
            </w:r>
          </w:p>
        </w:tc>
        <w:tc>
          <w:tcPr>
            <w:tcW w:w="200" w:type="dxa"/>
            <w:vAlign w:val="bottom"/>
          </w:tcPr>
          <w:p>
            <w:pPr>
              <w:spacing w:after="0"/>
              <w:rPr>
                <w:sz w:val="22"/>
                <w:szCs w:val="22"/>
                <w:color w:val="auto"/>
              </w:rPr>
            </w:pPr>
          </w:p>
        </w:tc>
        <w:tc>
          <w:tcPr>
            <w:tcW w:w="980" w:type="dxa"/>
            <w:vAlign w:val="bottom"/>
          </w:tcPr>
          <w:p>
            <w:pPr>
              <w:jc w:val="right"/>
              <w:ind w:right="188"/>
              <w:spacing w:after="0"/>
              <w:rPr>
                <w:sz w:val="20"/>
                <w:szCs w:val="20"/>
                <w:color w:val="auto"/>
              </w:rPr>
            </w:pPr>
            <w:r>
              <w:rPr>
                <w:rFonts w:ascii="Arial" w:cs="Arial" w:eastAsia="Arial" w:hAnsi="Arial"/>
                <w:sz w:val="11"/>
                <w:szCs w:val="11"/>
                <w:color w:val="auto"/>
              </w:rPr>
              <w:t>694,148</w:t>
            </w: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877,400</w:t>
            </w:r>
          </w:p>
        </w:tc>
        <w:tc>
          <w:tcPr>
            <w:tcW w:w="0" w:type="dxa"/>
            <w:vAlign w:val="bottom"/>
          </w:tcPr>
          <w:p>
            <w:pPr>
              <w:spacing w:after="0"/>
              <w:rPr>
                <w:sz w:val="1"/>
                <w:szCs w:val="1"/>
                <w:color w:val="auto"/>
              </w:rPr>
            </w:pPr>
          </w:p>
        </w:tc>
      </w:tr>
      <w:tr>
        <w:trPr>
          <w:trHeight w:val="135"/>
        </w:trPr>
        <w:tc>
          <w:tcPr>
            <w:tcW w:w="800" w:type="dxa"/>
            <w:vAlign w:val="bottom"/>
            <w:tcBorders>
              <w:bottom w:val="single" w:sz="8" w:color="939598"/>
            </w:tcBorders>
          </w:tcPr>
          <w:p>
            <w:pPr>
              <w:spacing w:after="0"/>
              <w:rPr>
                <w:sz w:val="11"/>
                <w:szCs w:val="11"/>
                <w:color w:val="auto"/>
              </w:rPr>
            </w:pPr>
          </w:p>
        </w:tc>
        <w:tc>
          <w:tcPr>
            <w:tcW w:w="1120" w:type="dxa"/>
            <w:vAlign w:val="bottom"/>
            <w:tcBorders>
              <w:bottom w:val="single" w:sz="8" w:color="939598"/>
            </w:tcBorders>
          </w:tcPr>
          <w:p>
            <w:pPr>
              <w:spacing w:after="0"/>
              <w:rPr>
                <w:sz w:val="11"/>
                <w:szCs w:val="11"/>
                <w:color w:val="auto"/>
              </w:rPr>
            </w:pPr>
          </w:p>
        </w:tc>
        <w:tc>
          <w:tcPr>
            <w:tcW w:w="660" w:type="dxa"/>
            <w:vAlign w:val="bottom"/>
            <w:tcBorders>
              <w:bottom w:val="single" w:sz="8" w:color="939598"/>
            </w:tcBorders>
          </w:tcPr>
          <w:p>
            <w:pPr>
              <w:spacing w:after="0"/>
              <w:rPr>
                <w:sz w:val="11"/>
                <w:szCs w:val="11"/>
                <w:color w:val="auto"/>
              </w:rPr>
            </w:pPr>
          </w:p>
        </w:tc>
        <w:tc>
          <w:tcPr>
            <w:tcW w:w="500" w:type="dxa"/>
            <w:vAlign w:val="bottom"/>
            <w:tcBorders>
              <w:bottom w:val="single" w:sz="8" w:color="939598"/>
            </w:tcBorders>
          </w:tcPr>
          <w:p>
            <w:pPr>
              <w:spacing w:after="0"/>
              <w:rPr>
                <w:sz w:val="11"/>
                <w:szCs w:val="11"/>
                <w:color w:val="auto"/>
              </w:rPr>
            </w:pPr>
          </w:p>
        </w:tc>
        <w:tc>
          <w:tcPr>
            <w:tcW w:w="200" w:type="dxa"/>
            <w:vAlign w:val="bottom"/>
            <w:tcBorders>
              <w:bottom w:val="single" w:sz="8" w:color="939598"/>
            </w:tcBorders>
          </w:tcPr>
          <w:p>
            <w:pPr>
              <w:spacing w:after="0"/>
              <w:rPr>
                <w:sz w:val="11"/>
                <w:szCs w:val="11"/>
                <w:color w:val="auto"/>
              </w:rPr>
            </w:pPr>
          </w:p>
        </w:tc>
        <w:tc>
          <w:tcPr>
            <w:tcW w:w="1160" w:type="dxa"/>
            <w:vAlign w:val="bottom"/>
            <w:tcBorders>
              <w:bottom w:val="single" w:sz="8" w:color="939598"/>
            </w:tcBorders>
          </w:tcPr>
          <w:p>
            <w:pPr>
              <w:spacing w:after="0"/>
              <w:rPr>
                <w:sz w:val="11"/>
                <w:szCs w:val="11"/>
                <w:color w:val="auto"/>
              </w:rPr>
            </w:pPr>
          </w:p>
        </w:tc>
        <w:tc>
          <w:tcPr>
            <w:tcW w:w="640" w:type="dxa"/>
            <w:vAlign w:val="bottom"/>
            <w:tcBorders>
              <w:bottom w:val="single" w:sz="8" w:color="939598"/>
            </w:tcBorders>
          </w:tcPr>
          <w:p>
            <w:pPr>
              <w:spacing w:after="0"/>
              <w:rPr>
                <w:sz w:val="11"/>
                <w:szCs w:val="11"/>
                <w:color w:val="auto"/>
              </w:rPr>
            </w:pPr>
          </w:p>
        </w:tc>
        <w:tc>
          <w:tcPr>
            <w:tcW w:w="500" w:type="dxa"/>
            <w:vAlign w:val="bottom"/>
            <w:tcBorders>
              <w:bottom w:val="single" w:sz="8" w:color="939598"/>
            </w:tcBorders>
          </w:tcPr>
          <w:p>
            <w:pPr>
              <w:spacing w:after="0"/>
              <w:rPr>
                <w:sz w:val="11"/>
                <w:szCs w:val="11"/>
                <w:color w:val="auto"/>
              </w:rPr>
            </w:pPr>
          </w:p>
        </w:tc>
        <w:tc>
          <w:tcPr>
            <w:tcW w:w="200" w:type="dxa"/>
            <w:vAlign w:val="bottom"/>
            <w:tcBorders>
              <w:bottom w:val="single" w:sz="8" w:color="939598"/>
            </w:tcBorders>
          </w:tcPr>
          <w:p>
            <w:pPr>
              <w:spacing w:after="0"/>
              <w:rPr>
                <w:sz w:val="11"/>
                <w:szCs w:val="11"/>
                <w:color w:val="auto"/>
              </w:rPr>
            </w:pPr>
          </w:p>
        </w:tc>
        <w:tc>
          <w:tcPr>
            <w:tcW w:w="1140" w:type="dxa"/>
            <w:vAlign w:val="bottom"/>
            <w:tcBorders>
              <w:bottom w:val="single" w:sz="8" w:color="939598"/>
            </w:tcBorders>
          </w:tcPr>
          <w:p>
            <w:pPr>
              <w:spacing w:after="0"/>
              <w:rPr>
                <w:sz w:val="11"/>
                <w:szCs w:val="11"/>
                <w:color w:val="auto"/>
              </w:rPr>
            </w:pPr>
          </w:p>
        </w:tc>
        <w:tc>
          <w:tcPr>
            <w:tcW w:w="600" w:type="dxa"/>
            <w:vAlign w:val="bottom"/>
            <w:tcBorders>
              <w:bottom w:val="single" w:sz="8" w:color="939598"/>
            </w:tcBorders>
          </w:tcPr>
          <w:p>
            <w:pPr>
              <w:spacing w:after="0"/>
              <w:rPr>
                <w:sz w:val="11"/>
                <w:szCs w:val="11"/>
                <w:color w:val="auto"/>
              </w:rPr>
            </w:pPr>
          </w:p>
        </w:tc>
        <w:tc>
          <w:tcPr>
            <w:tcW w:w="180" w:type="dxa"/>
            <w:vAlign w:val="bottom"/>
            <w:tcBorders>
              <w:bottom w:val="single" w:sz="8" w:color="939598"/>
            </w:tcBorders>
          </w:tcPr>
          <w:p>
            <w:pPr>
              <w:spacing w:after="0"/>
              <w:rPr>
                <w:sz w:val="11"/>
                <w:szCs w:val="11"/>
                <w:color w:val="auto"/>
              </w:rPr>
            </w:pPr>
          </w:p>
        </w:tc>
        <w:tc>
          <w:tcPr>
            <w:tcW w:w="340" w:type="dxa"/>
            <w:vAlign w:val="bottom"/>
            <w:tcBorders>
              <w:bottom w:val="single" w:sz="8" w:color="939598"/>
            </w:tcBorders>
          </w:tcPr>
          <w:p>
            <w:pPr>
              <w:spacing w:after="0"/>
              <w:rPr>
                <w:sz w:val="11"/>
                <w:szCs w:val="11"/>
                <w:color w:val="auto"/>
              </w:rPr>
            </w:pPr>
          </w:p>
        </w:tc>
        <w:tc>
          <w:tcPr>
            <w:tcW w:w="260" w:type="dxa"/>
            <w:vAlign w:val="bottom"/>
            <w:tcBorders>
              <w:bottom w:val="single" w:sz="8" w:color="939598"/>
            </w:tcBorders>
          </w:tcPr>
          <w:p>
            <w:pPr>
              <w:spacing w:after="0"/>
              <w:rPr>
                <w:sz w:val="11"/>
                <w:szCs w:val="11"/>
                <w:color w:val="auto"/>
              </w:rPr>
            </w:pPr>
          </w:p>
        </w:tc>
        <w:tc>
          <w:tcPr>
            <w:tcW w:w="760" w:type="dxa"/>
            <w:vAlign w:val="bottom"/>
            <w:tcBorders>
              <w:bottom w:val="single" w:sz="8" w:color="939598"/>
            </w:tcBorders>
          </w:tcPr>
          <w:p>
            <w:pPr>
              <w:spacing w:after="0"/>
              <w:rPr>
                <w:sz w:val="11"/>
                <w:szCs w:val="11"/>
                <w:color w:val="auto"/>
              </w:rPr>
            </w:pPr>
          </w:p>
        </w:tc>
        <w:tc>
          <w:tcPr>
            <w:tcW w:w="200" w:type="dxa"/>
            <w:vAlign w:val="bottom"/>
            <w:tcBorders>
              <w:bottom w:val="single" w:sz="8" w:color="939598"/>
            </w:tcBorders>
          </w:tcPr>
          <w:p>
            <w:pPr>
              <w:spacing w:after="0"/>
              <w:rPr>
                <w:sz w:val="11"/>
                <w:szCs w:val="11"/>
                <w:color w:val="auto"/>
              </w:rPr>
            </w:pPr>
          </w:p>
        </w:tc>
        <w:tc>
          <w:tcPr>
            <w:tcW w:w="980" w:type="dxa"/>
            <w:vAlign w:val="bottom"/>
            <w:tcBorders>
              <w:bottom w:val="single" w:sz="8" w:color="939598"/>
            </w:tcBorders>
          </w:tcPr>
          <w:p>
            <w:pPr>
              <w:spacing w:after="0"/>
              <w:rPr>
                <w:sz w:val="11"/>
                <w:szCs w:val="11"/>
                <w:color w:val="auto"/>
              </w:rPr>
            </w:pPr>
          </w:p>
        </w:tc>
        <w:tc>
          <w:tcPr>
            <w:tcW w:w="80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800" w:type="dxa"/>
            <w:vAlign w:val="bottom"/>
          </w:tcPr>
          <w:p>
            <w:pPr>
              <w:ind w:left="20"/>
              <w:spacing w:after="0"/>
              <w:rPr>
                <w:sz w:val="20"/>
                <w:szCs w:val="20"/>
                <w:color w:val="auto"/>
              </w:rPr>
            </w:pPr>
            <w:r>
              <w:rPr>
                <w:rFonts w:ascii="Arial" w:cs="Arial" w:eastAsia="Arial" w:hAnsi="Arial"/>
                <w:sz w:val="11"/>
                <w:szCs w:val="11"/>
                <w:b w:val="1"/>
                <w:bCs w:val="1"/>
                <w:color w:val="auto"/>
              </w:rPr>
              <w:t>Mr. Lewis</w:t>
            </w:r>
          </w:p>
        </w:tc>
        <w:tc>
          <w:tcPr>
            <w:tcW w:w="1120" w:type="dxa"/>
            <w:vAlign w:val="bottom"/>
          </w:tcPr>
          <w:p>
            <w:pPr>
              <w:jc w:val="right"/>
              <w:ind w:right="247"/>
              <w:spacing w:after="0"/>
              <w:rPr>
                <w:sz w:val="20"/>
                <w:szCs w:val="20"/>
                <w:color w:val="auto"/>
              </w:rPr>
            </w:pPr>
            <w:r>
              <w:rPr>
                <w:rFonts w:ascii="Arial" w:cs="Arial" w:eastAsia="Arial" w:hAnsi="Arial"/>
                <w:sz w:val="11"/>
                <w:szCs w:val="11"/>
                <w:color w:val="auto"/>
              </w:rPr>
              <w:t>107%</w:t>
            </w:r>
          </w:p>
        </w:tc>
        <w:tc>
          <w:tcPr>
            <w:tcW w:w="660" w:type="dxa"/>
            <w:vAlign w:val="bottom"/>
          </w:tcPr>
          <w:p>
            <w:pPr>
              <w:jc w:val="right"/>
              <w:ind w:right="128"/>
              <w:spacing w:after="0"/>
              <w:rPr>
                <w:sz w:val="20"/>
                <w:szCs w:val="20"/>
                <w:color w:val="auto"/>
              </w:rPr>
            </w:pPr>
            <w:r>
              <w:rPr>
                <w:rFonts w:ascii="Arial" w:cs="Arial" w:eastAsia="Arial" w:hAnsi="Arial"/>
                <w:sz w:val="11"/>
                <w:szCs w:val="11"/>
                <w:color w:val="auto"/>
              </w:rPr>
              <w:t>80%</w:t>
            </w:r>
          </w:p>
        </w:tc>
        <w:tc>
          <w:tcPr>
            <w:tcW w:w="500" w:type="dxa"/>
            <w:vAlign w:val="bottom"/>
          </w:tcPr>
          <w:p>
            <w:pPr>
              <w:jc w:val="right"/>
              <w:spacing w:after="0"/>
              <w:rPr>
                <w:sz w:val="20"/>
                <w:szCs w:val="20"/>
                <w:color w:val="auto"/>
              </w:rPr>
            </w:pPr>
            <w:r>
              <w:rPr>
                <w:rFonts w:ascii="Arial" w:cs="Arial" w:eastAsia="Arial" w:hAnsi="Arial"/>
                <w:sz w:val="11"/>
                <w:szCs w:val="11"/>
                <w:color w:val="auto"/>
              </w:rPr>
              <w:t>86%</w:t>
            </w:r>
          </w:p>
        </w:tc>
        <w:tc>
          <w:tcPr>
            <w:tcW w:w="200" w:type="dxa"/>
            <w:vAlign w:val="bottom"/>
          </w:tcPr>
          <w:p>
            <w:pPr>
              <w:spacing w:after="0"/>
              <w:rPr>
                <w:sz w:val="22"/>
                <w:szCs w:val="22"/>
                <w:color w:val="auto"/>
              </w:rPr>
            </w:pPr>
          </w:p>
        </w:tc>
        <w:tc>
          <w:tcPr>
            <w:tcW w:w="1160" w:type="dxa"/>
            <w:vAlign w:val="bottom"/>
          </w:tcPr>
          <w:p>
            <w:pPr>
              <w:jc w:val="right"/>
              <w:ind w:right="287"/>
              <w:spacing w:after="0"/>
              <w:rPr>
                <w:sz w:val="20"/>
                <w:szCs w:val="20"/>
                <w:color w:val="auto"/>
              </w:rPr>
            </w:pPr>
            <w:r>
              <w:rPr>
                <w:rFonts w:ascii="Arial" w:cs="Arial" w:eastAsia="Arial" w:hAnsi="Arial"/>
                <w:sz w:val="11"/>
                <w:szCs w:val="11"/>
                <w:color w:val="auto"/>
              </w:rPr>
              <w:t>100%</w:t>
            </w:r>
          </w:p>
        </w:tc>
        <w:tc>
          <w:tcPr>
            <w:tcW w:w="640" w:type="dxa"/>
            <w:vAlign w:val="bottom"/>
          </w:tcPr>
          <w:p>
            <w:pPr>
              <w:jc w:val="right"/>
              <w:ind w:right="88"/>
              <w:spacing w:after="0"/>
              <w:rPr>
                <w:sz w:val="20"/>
                <w:szCs w:val="20"/>
                <w:color w:val="auto"/>
              </w:rPr>
            </w:pPr>
            <w:r>
              <w:rPr>
                <w:rFonts w:ascii="Arial" w:cs="Arial" w:eastAsia="Arial" w:hAnsi="Arial"/>
                <w:sz w:val="11"/>
                <w:szCs w:val="11"/>
                <w:color w:val="auto"/>
              </w:rPr>
              <w:t>15%</w:t>
            </w:r>
          </w:p>
        </w:tc>
        <w:tc>
          <w:tcPr>
            <w:tcW w:w="500" w:type="dxa"/>
            <w:vAlign w:val="bottom"/>
          </w:tcPr>
          <w:p>
            <w:pPr>
              <w:jc w:val="right"/>
              <w:spacing w:after="0"/>
              <w:rPr>
                <w:sz w:val="20"/>
                <w:szCs w:val="20"/>
                <w:color w:val="auto"/>
              </w:rPr>
            </w:pPr>
            <w:r>
              <w:rPr>
                <w:rFonts w:ascii="Arial" w:cs="Arial" w:eastAsia="Arial" w:hAnsi="Arial"/>
                <w:sz w:val="11"/>
                <w:szCs w:val="11"/>
                <w:color w:val="auto"/>
              </w:rPr>
              <w:t>15%</w:t>
            </w:r>
          </w:p>
        </w:tc>
        <w:tc>
          <w:tcPr>
            <w:tcW w:w="200" w:type="dxa"/>
            <w:vAlign w:val="bottom"/>
          </w:tcPr>
          <w:p>
            <w:pPr>
              <w:spacing w:after="0"/>
              <w:rPr>
                <w:sz w:val="22"/>
                <w:szCs w:val="22"/>
                <w:color w:val="auto"/>
              </w:rPr>
            </w:pPr>
          </w:p>
        </w:tc>
        <w:tc>
          <w:tcPr>
            <w:tcW w:w="1140" w:type="dxa"/>
            <w:vAlign w:val="bottom"/>
          </w:tcPr>
          <w:p>
            <w:pPr>
              <w:jc w:val="right"/>
              <w:ind w:right="266"/>
              <w:spacing w:after="0"/>
              <w:rPr>
                <w:sz w:val="20"/>
                <w:szCs w:val="20"/>
                <w:color w:val="auto"/>
              </w:rPr>
            </w:pPr>
            <w:r>
              <w:rPr>
                <w:rFonts w:ascii="Arial" w:cs="Arial" w:eastAsia="Arial" w:hAnsi="Arial"/>
                <w:sz w:val="11"/>
                <w:szCs w:val="11"/>
                <w:color w:val="auto"/>
              </w:rPr>
              <w:t>200%</w:t>
            </w: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5%</w:t>
            </w:r>
          </w:p>
        </w:tc>
        <w:tc>
          <w:tcPr>
            <w:tcW w:w="18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10%</w:t>
            </w:r>
          </w:p>
        </w:tc>
        <w:tc>
          <w:tcPr>
            <w:tcW w:w="2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111%</w:t>
            </w:r>
          </w:p>
        </w:tc>
        <w:tc>
          <w:tcPr>
            <w:tcW w:w="200" w:type="dxa"/>
            <w:vAlign w:val="bottom"/>
          </w:tcPr>
          <w:p>
            <w:pPr>
              <w:spacing w:after="0"/>
              <w:rPr>
                <w:sz w:val="22"/>
                <w:szCs w:val="22"/>
                <w:color w:val="auto"/>
              </w:rPr>
            </w:pPr>
          </w:p>
        </w:tc>
        <w:tc>
          <w:tcPr>
            <w:tcW w:w="980" w:type="dxa"/>
            <w:vAlign w:val="bottom"/>
          </w:tcPr>
          <w:p>
            <w:pPr>
              <w:jc w:val="right"/>
              <w:ind w:right="188"/>
              <w:spacing w:after="0"/>
              <w:rPr>
                <w:sz w:val="20"/>
                <w:szCs w:val="20"/>
                <w:color w:val="auto"/>
              </w:rPr>
            </w:pPr>
            <w:r>
              <w:rPr>
                <w:rFonts w:ascii="Arial" w:cs="Arial" w:eastAsia="Arial" w:hAnsi="Arial"/>
                <w:sz w:val="11"/>
                <w:szCs w:val="11"/>
                <w:color w:val="auto"/>
              </w:rPr>
              <w:t>344,526</w:t>
            </w: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381,000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003415"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pacing w:after="0" w:line="255" w:lineRule="exact"/>
        <w:rPr>
          <w:sz w:val="20"/>
          <w:szCs w:val="20"/>
          <w:color w:val="auto"/>
        </w:rPr>
      </w:pPr>
    </w:p>
    <w:p>
      <w:pPr>
        <w:ind w:left="200" w:hanging="192"/>
        <w:spacing w:after="0"/>
        <w:tabs>
          <w:tab w:leader="none" w:pos="200" w:val="left"/>
        </w:tabs>
        <w:numPr>
          <w:ilvl w:val="0"/>
          <w:numId w:val="158"/>
        </w:numPr>
        <w:rPr>
          <w:rFonts w:ascii="Arial" w:cs="Arial" w:eastAsia="Arial" w:hAnsi="Arial"/>
          <w:sz w:val="16"/>
          <w:szCs w:val="16"/>
          <w:color w:val="auto"/>
          <w:vertAlign w:val="superscript"/>
        </w:rPr>
      </w:pPr>
      <w:r>
        <w:rPr>
          <w:rFonts w:ascii="Arial" w:cs="Arial" w:eastAsia="Arial" w:hAnsi="Arial"/>
          <w:sz w:val="13"/>
          <w:szCs w:val="13"/>
          <w:color w:val="auto"/>
        </w:rPr>
        <w:t>Attainment based on performance against 2025 ICP Goals. Possible attainment can range from 0% to 200%. Payout % can range from 0% to 160%.</w:t>
      </w:r>
    </w:p>
    <w:p>
      <w:pPr>
        <w:spacing w:after="0" w:line="56" w:lineRule="exact"/>
        <w:rPr>
          <w:rFonts w:ascii="Arial" w:cs="Arial" w:eastAsia="Arial" w:hAnsi="Arial"/>
          <w:sz w:val="16"/>
          <w:szCs w:val="16"/>
          <w:color w:val="auto"/>
          <w:vertAlign w:val="superscript"/>
        </w:rPr>
      </w:pPr>
    </w:p>
    <w:p>
      <w:pPr>
        <w:ind w:left="200" w:hanging="192"/>
        <w:spacing w:after="0" w:line="225" w:lineRule="auto"/>
        <w:tabs>
          <w:tab w:leader="none" w:pos="200" w:val="left"/>
        </w:tabs>
        <w:numPr>
          <w:ilvl w:val="0"/>
          <w:numId w:val="158"/>
        </w:numPr>
        <w:rPr>
          <w:rFonts w:ascii="Arial" w:cs="Arial" w:eastAsia="Arial" w:hAnsi="Arial"/>
          <w:sz w:val="16"/>
          <w:szCs w:val="16"/>
          <w:color w:val="auto"/>
          <w:vertAlign w:val="superscript"/>
        </w:rPr>
      </w:pPr>
      <w:r>
        <w:rPr>
          <w:rFonts w:ascii="Arial" w:cs="Arial" w:eastAsia="Arial" w:hAnsi="Arial"/>
          <w:sz w:val="13"/>
          <w:szCs w:val="13"/>
          <w:color w:val="auto"/>
        </w:rPr>
        <w:t>Attainment based on MDCC individual assessment. Attainment can range from 0% to 200%. Payout % can range from 0% to 30%.</w:t>
      </w:r>
    </w:p>
    <w:p>
      <w:pPr>
        <w:spacing w:after="0" w:line="57" w:lineRule="exact"/>
        <w:rPr>
          <w:rFonts w:ascii="Arial" w:cs="Arial" w:eastAsia="Arial" w:hAnsi="Arial"/>
          <w:sz w:val="16"/>
          <w:szCs w:val="16"/>
          <w:color w:val="auto"/>
          <w:vertAlign w:val="superscript"/>
        </w:rPr>
      </w:pPr>
    </w:p>
    <w:p>
      <w:pPr>
        <w:ind w:left="200" w:hanging="192"/>
        <w:spacing w:after="0" w:line="207" w:lineRule="auto"/>
        <w:tabs>
          <w:tab w:leader="none" w:pos="200" w:val="left"/>
        </w:tabs>
        <w:numPr>
          <w:ilvl w:val="0"/>
          <w:numId w:val="158"/>
        </w:numPr>
        <w:rPr>
          <w:rFonts w:ascii="Arial" w:cs="Arial" w:eastAsia="Arial" w:hAnsi="Arial"/>
          <w:sz w:val="16"/>
          <w:szCs w:val="16"/>
          <w:color w:val="auto"/>
          <w:vertAlign w:val="superscript"/>
        </w:rPr>
      </w:pPr>
      <w:r>
        <w:rPr>
          <w:rFonts w:ascii="Arial" w:cs="Arial" w:eastAsia="Arial" w:hAnsi="Arial"/>
          <w:sz w:val="13"/>
          <w:szCs w:val="13"/>
          <w:color w:val="auto"/>
        </w:rPr>
        <w:t>Attainment based on MDCC group assessment. Attainment can range from 0% to 200%. Payout % can range from 0% to 10%.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2026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73</w:t>
            </w:r>
          </w:p>
        </w:tc>
      </w:tr>
      <w:tr>
        <w:trPr>
          <w:trHeight w:val="373"/>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13"/>
          <w:szCs w:val="13"/>
          <w:b w:val="1"/>
          <w:bCs w:val="1"/>
          <w:color w:val="6D6E71"/>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0" w:hanging="192"/>
        <w:spacing w:after="0"/>
        <w:tabs>
          <w:tab w:leader="none" w:pos="200" w:val="left"/>
        </w:tabs>
        <w:numPr>
          <w:ilvl w:val="0"/>
          <w:numId w:val="159"/>
        </w:numPr>
        <w:rPr>
          <w:rFonts w:ascii="Arial" w:cs="Arial" w:eastAsia="Arial" w:hAnsi="Arial"/>
          <w:sz w:val="16"/>
          <w:szCs w:val="16"/>
          <w:color w:val="auto"/>
          <w:vertAlign w:val="superscript"/>
        </w:rPr>
      </w:pPr>
      <w:r>
        <w:rPr>
          <w:rFonts w:ascii="Arial" w:cs="Arial" w:eastAsia="Arial" w:hAnsi="Arial"/>
          <w:sz w:val="13"/>
          <w:szCs w:val="13"/>
          <w:color w:val="auto"/>
        </w:rPr>
        <w:t>The Target 2025 ICP Award Amount for each NEO was determined as follows:</w:t>
      </w:r>
    </w:p>
    <w:p>
      <w:pPr>
        <w:spacing w:after="0" w:line="182"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3500" w:type="dxa"/>
            <w:vAlign w:val="bottom"/>
          </w:tcPr>
          <w:p>
            <w:pPr>
              <w:spacing w:after="0"/>
              <w:rPr>
                <w:sz w:val="13"/>
                <w:szCs w:val="13"/>
                <w:color w:val="auto"/>
              </w:rPr>
            </w:pPr>
          </w:p>
        </w:tc>
        <w:tc>
          <w:tcPr>
            <w:tcW w:w="3680" w:type="dxa"/>
            <w:vAlign w:val="bottom"/>
          </w:tcPr>
          <w:p>
            <w:pPr>
              <w:jc w:val="right"/>
              <w:ind w:right="37"/>
              <w:spacing w:after="0"/>
              <w:rPr>
                <w:sz w:val="20"/>
                <w:szCs w:val="20"/>
                <w:color w:val="auto"/>
              </w:rPr>
            </w:pPr>
            <w:r>
              <w:rPr>
                <w:rFonts w:ascii="Arial" w:cs="Arial" w:eastAsia="Arial" w:hAnsi="Arial"/>
                <w:sz w:val="13"/>
                <w:szCs w:val="13"/>
                <w:b w:val="1"/>
                <w:bCs w:val="1"/>
                <w:color w:val="auto"/>
              </w:rPr>
              <w:t>2025 Applicable</w:t>
            </w:r>
          </w:p>
        </w:tc>
        <w:tc>
          <w:tcPr>
            <w:tcW w:w="500" w:type="dxa"/>
            <w:vAlign w:val="bottom"/>
          </w:tcPr>
          <w:p>
            <w:pPr>
              <w:ind w:left="120"/>
              <w:spacing w:after="0"/>
              <w:rPr>
                <w:sz w:val="20"/>
                <w:szCs w:val="20"/>
                <w:color w:val="auto"/>
              </w:rPr>
            </w:pPr>
            <w:r>
              <w:rPr>
                <w:rFonts w:ascii="Arial" w:cs="Arial" w:eastAsia="Arial" w:hAnsi="Arial"/>
                <w:sz w:val="13"/>
                <w:szCs w:val="13"/>
                <w:b w:val="1"/>
                <w:bCs w:val="1"/>
                <w:color w:val="auto"/>
              </w:rPr>
              <w:t>x</w:t>
            </w:r>
          </w:p>
        </w:tc>
        <w:tc>
          <w:tcPr>
            <w:tcW w:w="1420" w:type="dxa"/>
            <w:vAlign w:val="bottom"/>
          </w:tcPr>
          <w:p>
            <w:pPr>
              <w:jc w:val="right"/>
              <w:ind w:right="37"/>
              <w:spacing w:after="0"/>
              <w:rPr>
                <w:sz w:val="20"/>
                <w:szCs w:val="20"/>
                <w:color w:val="auto"/>
              </w:rPr>
            </w:pPr>
            <w:r>
              <w:rPr>
                <w:rFonts w:ascii="Arial" w:cs="Arial" w:eastAsia="Arial" w:hAnsi="Arial"/>
                <w:sz w:val="13"/>
                <w:szCs w:val="13"/>
                <w:b w:val="1"/>
                <w:bCs w:val="1"/>
                <w:color w:val="auto"/>
              </w:rPr>
              <w:t>Individual Target</w:t>
            </w:r>
          </w:p>
        </w:tc>
        <w:tc>
          <w:tcPr>
            <w:tcW w:w="460" w:type="dxa"/>
            <w:vAlign w:val="bottom"/>
          </w:tcPr>
          <w:p>
            <w:pPr>
              <w:jc w:val="right"/>
              <w:ind w:right="217"/>
              <w:spacing w:after="0"/>
              <w:rPr>
                <w:sz w:val="20"/>
                <w:szCs w:val="20"/>
                <w:color w:val="auto"/>
              </w:rPr>
            </w:pPr>
            <w:r>
              <w:rPr>
                <w:rFonts w:ascii="Arial" w:cs="Arial" w:eastAsia="Arial" w:hAnsi="Arial"/>
                <w:sz w:val="13"/>
                <w:szCs w:val="13"/>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Target 2025 ICP</w:t>
            </w:r>
          </w:p>
        </w:tc>
      </w:tr>
      <w:tr>
        <w:trPr>
          <w:trHeight w:val="196"/>
        </w:trPr>
        <w:tc>
          <w:tcPr>
            <w:tcW w:w="3500" w:type="dxa"/>
            <w:vAlign w:val="bottom"/>
            <w:tcBorders>
              <w:bottom w:val="single" w:sz="8" w:color="D7282F"/>
            </w:tcBorders>
          </w:tcPr>
          <w:p>
            <w:pPr>
              <w:spacing w:after="0"/>
              <w:rPr>
                <w:sz w:val="17"/>
                <w:szCs w:val="17"/>
                <w:color w:val="auto"/>
              </w:rPr>
            </w:pPr>
          </w:p>
        </w:tc>
        <w:tc>
          <w:tcPr>
            <w:tcW w:w="3680" w:type="dxa"/>
            <w:vAlign w:val="bottom"/>
            <w:tcBorders>
              <w:bottom w:val="single" w:sz="8" w:color="D7282F"/>
            </w:tcBorders>
          </w:tcPr>
          <w:p>
            <w:pPr>
              <w:jc w:val="right"/>
              <w:ind w:right="37"/>
              <w:spacing w:after="0"/>
              <w:rPr>
                <w:sz w:val="20"/>
                <w:szCs w:val="20"/>
                <w:color w:val="auto"/>
              </w:rPr>
            </w:pPr>
            <w:r>
              <w:rPr>
                <w:rFonts w:ascii="Arial" w:cs="Arial" w:eastAsia="Arial" w:hAnsi="Arial"/>
                <w:sz w:val="13"/>
                <w:szCs w:val="13"/>
                <w:b w:val="1"/>
                <w:bCs w:val="1"/>
                <w:color w:val="auto"/>
              </w:rPr>
              <w:t xml:space="preserve">Base Salary </w:t>
            </w:r>
            <w:r>
              <w:rPr>
                <w:rFonts w:ascii="Arial" w:cs="Arial" w:eastAsia="Arial" w:hAnsi="Arial"/>
                <w:sz w:val="16"/>
                <w:szCs w:val="16"/>
                <w:b w:val="1"/>
                <w:bCs w:val="1"/>
                <w:color w:val="auto"/>
                <w:vertAlign w:val="superscript"/>
              </w:rPr>
              <w:t>(a)</w:t>
            </w:r>
          </w:p>
        </w:tc>
        <w:tc>
          <w:tcPr>
            <w:tcW w:w="500" w:type="dxa"/>
            <w:vAlign w:val="bottom"/>
            <w:tcBorders>
              <w:bottom w:val="single" w:sz="8" w:color="D7282F"/>
            </w:tcBorders>
          </w:tcPr>
          <w:p>
            <w:pPr>
              <w:spacing w:after="0"/>
              <w:rPr>
                <w:sz w:val="17"/>
                <w:szCs w:val="17"/>
                <w:color w:val="auto"/>
              </w:rPr>
            </w:pPr>
          </w:p>
        </w:tc>
        <w:tc>
          <w:tcPr>
            <w:tcW w:w="1420" w:type="dxa"/>
            <w:vAlign w:val="bottom"/>
            <w:tcBorders>
              <w:bottom w:val="single" w:sz="8" w:color="D7282F"/>
            </w:tcBorders>
          </w:tcPr>
          <w:p>
            <w:pPr>
              <w:jc w:val="right"/>
              <w:ind w:right="37"/>
              <w:spacing w:after="0"/>
              <w:rPr>
                <w:sz w:val="20"/>
                <w:szCs w:val="20"/>
                <w:color w:val="auto"/>
              </w:rPr>
            </w:pPr>
            <w:r>
              <w:rPr>
                <w:rFonts w:ascii="Arial" w:cs="Arial" w:eastAsia="Arial" w:hAnsi="Arial"/>
                <w:sz w:val="13"/>
                <w:szCs w:val="13"/>
                <w:b w:val="1"/>
                <w:bCs w:val="1"/>
                <w:color w:val="auto"/>
              </w:rPr>
              <w:t>ICP Award %</w:t>
            </w:r>
          </w:p>
        </w:tc>
        <w:tc>
          <w:tcPr>
            <w:tcW w:w="46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spacing w:after="0"/>
              <w:rPr>
                <w:sz w:val="20"/>
                <w:szCs w:val="20"/>
                <w:color w:val="auto"/>
              </w:rPr>
            </w:pPr>
            <w:r>
              <w:rPr>
                <w:rFonts w:ascii="Arial" w:cs="Arial" w:eastAsia="Arial" w:hAnsi="Arial"/>
                <w:sz w:val="13"/>
                <w:szCs w:val="13"/>
                <w:b w:val="1"/>
                <w:bCs w:val="1"/>
                <w:color w:val="auto"/>
              </w:rPr>
              <w:t>Award Amount</w:t>
            </w:r>
          </w:p>
        </w:tc>
      </w:tr>
      <w:tr>
        <w:trPr>
          <w:trHeight w:val="283"/>
        </w:trPr>
        <w:tc>
          <w:tcPr>
            <w:tcW w:w="3500" w:type="dxa"/>
            <w:vAlign w:val="bottom"/>
          </w:tcPr>
          <w:p>
            <w:pPr>
              <w:ind w:left="20"/>
              <w:spacing w:after="0"/>
              <w:rPr>
                <w:sz w:val="20"/>
                <w:szCs w:val="20"/>
                <w:color w:val="auto"/>
              </w:rPr>
            </w:pPr>
            <w:r>
              <w:rPr>
                <w:rFonts w:ascii="Arial" w:cs="Arial" w:eastAsia="Arial" w:hAnsi="Arial"/>
                <w:sz w:val="13"/>
                <w:szCs w:val="13"/>
                <w:b w:val="1"/>
                <w:bCs w:val="1"/>
                <w:color w:val="auto"/>
              </w:rPr>
              <w:t>Mr. Kapur</w:t>
            </w:r>
          </w:p>
        </w:tc>
        <w:tc>
          <w:tcPr>
            <w:tcW w:w="3680" w:type="dxa"/>
            <w:vAlign w:val="bottom"/>
          </w:tcPr>
          <w:p>
            <w:pPr>
              <w:jc w:val="right"/>
              <w:ind w:right="77"/>
              <w:spacing w:after="0"/>
              <w:rPr>
                <w:sz w:val="20"/>
                <w:szCs w:val="20"/>
                <w:color w:val="auto"/>
              </w:rPr>
            </w:pPr>
            <w:r>
              <w:rPr>
                <w:rFonts w:ascii="Arial" w:cs="Arial" w:eastAsia="Arial" w:hAnsi="Arial"/>
                <w:sz w:val="13"/>
                <w:szCs w:val="13"/>
                <w:color w:val="auto"/>
              </w:rPr>
              <w:t>$   1,600,000</w:t>
            </w:r>
          </w:p>
        </w:tc>
        <w:tc>
          <w:tcPr>
            <w:tcW w:w="500" w:type="dxa"/>
            <w:vAlign w:val="bottom"/>
          </w:tcPr>
          <w:p>
            <w:pPr>
              <w:spacing w:after="0"/>
              <w:rPr>
                <w:sz w:val="24"/>
                <w:szCs w:val="24"/>
                <w:color w:val="auto"/>
              </w:rPr>
            </w:pPr>
          </w:p>
        </w:tc>
        <w:tc>
          <w:tcPr>
            <w:tcW w:w="1420" w:type="dxa"/>
            <w:vAlign w:val="bottom"/>
          </w:tcPr>
          <w:p>
            <w:pPr>
              <w:jc w:val="right"/>
              <w:ind w:right="37"/>
              <w:spacing w:after="0"/>
              <w:rPr>
                <w:sz w:val="20"/>
                <w:szCs w:val="20"/>
                <w:color w:val="auto"/>
              </w:rPr>
            </w:pPr>
            <w:r>
              <w:rPr>
                <w:rFonts w:ascii="Arial" w:cs="Arial" w:eastAsia="Arial" w:hAnsi="Arial"/>
                <w:sz w:val="13"/>
                <w:szCs w:val="13"/>
                <w:color w:val="auto"/>
              </w:rPr>
              <w:t>175%</w:t>
            </w:r>
          </w:p>
        </w:tc>
        <w:tc>
          <w:tcPr>
            <w:tcW w:w="4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   2,800,000</w:t>
            </w:r>
          </w:p>
        </w:tc>
      </w:tr>
      <w:tr>
        <w:trPr>
          <w:trHeight w:val="129"/>
        </w:trPr>
        <w:tc>
          <w:tcPr>
            <w:tcW w:w="3500" w:type="dxa"/>
            <w:vAlign w:val="bottom"/>
            <w:tcBorders>
              <w:bottom w:val="single" w:sz="8" w:color="939598"/>
            </w:tcBorders>
          </w:tcPr>
          <w:p>
            <w:pPr>
              <w:spacing w:after="0"/>
              <w:rPr>
                <w:sz w:val="11"/>
                <w:szCs w:val="11"/>
                <w:color w:val="auto"/>
              </w:rPr>
            </w:pPr>
          </w:p>
        </w:tc>
        <w:tc>
          <w:tcPr>
            <w:tcW w:w="3680" w:type="dxa"/>
            <w:vAlign w:val="bottom"/>
            <w:tcBorders>
              <w:bottom w:val="single" w:sz="8" w:color="939598"/>
            </w:tcBorders>
          </w:tcPr>
          <w:p>
            <w:pPr>
              <w:spacing w:after="0"/>
              <w:rPr>
                <w:sz w:val="11"/>
                <w:szCs w:val="11"/>
                <w:color w:val="auto"/>
              </w:rPr>
            </w:pPr>
          </w:p>
        </w:tc>
        <w:tc>
          <w:tcPr>
            <w:tcW w:w="500" w:type="dxa"/>
            <w:vAlign w:val="bottom"/>
            <w:tcBorders>
              <w:bottom w:val="single" w:sz="8" w:color="939598"/>
            </w:tcBorders>
          </w:tcPr>
          <w:p>
            <w:pPr>
              <w:spacing w:after="0"/>
              <w:rPr>
                <w:sz w:val="11"/>
                <w:szCs w:val="11"/>
                <w:color w:val="auto"/>
              </w:rPr>
            </w:pPr>
          </w:p>
        </w:tc>
        <w:tc>
          <w:tcPr>
            <w:tcW w:w="1420" w:type="dxa"/>
            <w:vAlign w:val="bottom"/>
            <w:tcBorders>
              <w:bottom w:val="single" w:sz="8" w:color="939598"/>
            </w:tcBorders>
          </w:tcPr>
          <w:p>
            <w:pPr>
              <w:spacing w:after="0"/>
              <w:rPr>
                <w:sz w:val="11"/>
                <w:szCs w:val="11"/>
                <w:color w:val="auto"/>
              </w:rPr>
            </w:pPr>
          </w:p>
        </w:tc>
        <w:tc>
          <w:tcPr>
            <w:tcW w:w="460" w:type="dxa"/>
            <w:vAlign w:val="bottom"/>
            <w:tcBorders>
              <w:bottom w:val="single" w:sz="8" w:color="939598"/>
            </w:tcBorders>
          </w:tcPr>
          <w:p>
            <w:pPr>
              <w:spacing w:after="0"/>
              <w:rPr>
                <w:sz w:val="11"/>
                <w:szCs w:val="11"/>
                <w:color w:val="auto"/>
              </w:rPr>
            </w:pPr>
          </w:p>
        </w:tc>
        <w:tc>
          <w:tcPr>
            <w:tcW w:w="1200" w:type="dxa"/>
            <w:vAlign w:val="bottom"/>
            <w:tcBorders>
              <w:bottom w:val="single" w:sz="8" w:color="939598"/>
            </w:tcBorders>
          </w:tcPr>
          <w:p>
            <w:pPr>
              <w:spacing w:after="0"/>
              <w:rPr>
                <w:sz w:val="11"/>
                <w:szCs w:val="11"/>
                <w:color w:val="auto"/>
              </w:rPr>
            </w:pPr>
          </w:p>
        </w:tc>
      </w:tr>
      <w:tr>
        <w:trPr>
          <w:trHeight w:val="283"/>
        </w:trPr>
        <w:tc>
          <w:tcPr>
            <w:tcW w:w="3500" w:type="dxa"/>
            <w:vAlign w:val="bottom"/>
          </w:tcPr>
          <w:p>
            <w:pPr>
              <w:ind w:left="20"/>
              <w:spacing w:after="0"/>
              <w:rPr>
                <w:sz w:val="20"/>
                <w:szCs w:val="20"/>
                <w:color w:val="auto"/>
              </w:rPr>
            </w:pPr>
            <w:r>
              <w:rPr>
                <w:rFonts w:ascii="Arial" w:cs="Arial" w:eastAsia="Arial" w:hAnsi="Arial"/>
                <w:sz w:val="13"/>
                <w:szCs w:val="13"/>
                <w:b w:val="1"/>
                <w:bCs w:val="1"/>
                <w:color w:val="auto"/>
              </w:rPr>
              <w:t>Mr. Stepniak</w:t>
            </w:r>
          </w:p>
        </w:tc>
        <w:tc>
          <w:tcPr>
            <w:tcW w:w="3680" w:type="dxa"/>
            <w:vAlign w:val="bottom"/>
          </w:tcPr>
          <w:p>
            <w:pPr>
              <w:jc w:val="right"/>
              <w:ind w:right="77"/>
              <w:spacing w:after="0"/>
              <w:rPr>
                <w:sz w:val="20"/>
                <w:szCs w:val="20"/>
                <w:color w:val="auto"/>
              </w:rPr>
            </w:pPr>
            <w:r>
              <w:rPr>
                <w:rFonts w:ascii="Arial" w:cs="Arial" w:eastAsia="Arial" w:hAnsi="Arial"/>
                <w:sz w:val="13"/>
                <w:szCs w:val="13"/>
                <w:color w:val="auto"/>
              </w:rPr>
              <w:t>883,151</w:t>
            </w:r>
          </w:p>
        </w:tc>
        <w:tc>
          <w:tcPr>
            <w:tcW w:w="500" w:type="dxa"/>
            <w:vAlign w:val="bottom"/>
          </w:tcPr>
          <w:p>
            <w:pPr>
              <w:spacing w:after="0"/>
              <w:rPr>
                <w:sz w:val="24"/>
                <w:szCs w:val="24"/>
                <w:color w:val="auto"/>
              </w:rPr>
            </w:pPr>
          </w:p>
        </w:tc>
        <w:tc>
          <w:tcPr>
            <w:tcW w:w="1420" w:type="dxa"/>
            <w:vAlign w:val="bottom"/>
          </w:tcPr>
          <w:p>
            <w:pPr>
              <w:jc w:val="right"/>
              <w:ind w:right="37"/>
              <w:spacing w:after="0"/>
              <w:rPr>
                <w:sz w:val="20"/>
                <w:szCs w:val="20"/>
                <w:color w:val="auto"/>
              </w:rPr>
            </w:pPr>
            <w:r>
              <w:rPr>
                <w:rFonts w:ascii="Arial" w:cs="Arial" w:eastAsia="Arial" w:hAnsi="Arial"/>
                <w:sz w:val="13"/>
                <w:szCs w:val="13"/>
                <w:color w:val="auto"/>
              </w:rPr>
              <w:t>97%</w:t>
            </w:r>
          </w:p>
        </w:tc>
        <w:tc>
          <w:tcPr>
            <w:tcW w:w="4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854,890</w:t>
            </w:r>
          </w:p>
        </w:tc>
      </w:tr>
      <w:tr>
        <w:trPr>
          <w:trHeight w:val="130"/>
        </w:trPr>
        <w:tc>
          <w:tcPr>
            <w:tcW w:w="3500" w:type="dxa"/>
            <w:vAlign w:val="bottom"/>
            <w:tcBorders>
              <w:bottom w:val="single" w:sz="8" w:color="939598"/>
            </w:tcBorders>
          </w:tcPr>
          <w:p>
            <w:pPr>
              <w:spacing w:after="0"/>
              <w:rPr>
                <w:sz w:val="11"/>
                <w:szCs w:val="11"/>
                <w:color w:val="auto"/>
              </w:rPr>
            </w:pPr>
          </w:p>
        </w:tc>
        <w:tc>
          <w:tcPr>
            <w:tcW w:w="3680" w:type="dxa"/>
            <w:vAlign w:val="bottom"/>
            <w:tcBorders>
              <w:bottom w:val="single" w:sz="8" w:color="939598"/>
            </w:tcBorders>
          </w:tcPr>
          <w:p>
            <w:pPr>
              <w:spacing w:after="0"/>
              <w:rPr>
                <w:sz w:val="11"/>
                <w:szCs w:val="11"/>
                <w:color w:val="auto"/>
              </w:rPr>
            </w:pPr>
          </w:p>
        </w:tc>
        <w:tc>
          <w:tcPr>
            <w:tcW w:w="500" w:type="dxa"/>
            <w:vAlign w:val="bottom"/>
            <w:tcBorders>
              <w:bottom w:val="single" w:sz="8" w:color="939598"/>
            </w:tcBorders>
          </w:tcPr>
          <w:p>
            <w:pPr>
              <w:spacing w:after="0"/>
              <w:rPr>
                <w:sz w:val="11"/>
                <w:szCs w:val="11"/>
                <w:color w:val="auto"/>
              </w:rPr>
            </w:pPr>
          </w:p>
        </w:tc>
        <w:tc>
          <w:tcPr>
            <w:tcW w:w="1420" w:type="dxa"/>
            <w:vAlign w:val="bottom"/>
            <w:tcBorders>
              <w:bottom w:val="single" w:sz="8" w:color="939598"/>
            </w:tcBorders>
          </w:tcPr>
          <w:p>
            <w:pPr>
              <w:spacing w:after="0"/>
              <w:rPr>
                <w:sz w:val="11"/>
                <w:szCs w:val="11"/>
                <w:color w:val="auto"/>
              </w:rPr>
            </w:pPr>
          </w:p>
        </w:tc>
        <w:tc>
          <w:tcPr>
            <w:tcW w:w="460" w:type="dxa"/>
            <w:vAlign w:val="bottom"/>
            <w:tcBorders>
              <w:bottom w:val="single" w:sz="8" w:color="939598"/>
            </w:tcBorders>
          </w:tcPr>
          <w:p>
            <w:pPr>
              <w:spacing w:after="0"/>
              <w:rPr>
                <w:sz w:val="11"/>
                <w:szCs w:val="11"/>
                <w:color w:val="auto"/>
              </w:rPr>
            </w:pPr>
          </w:p>
        </w:tc>
        <w:tc>
          <w:tcPr>
            <w:tcW w:w="1200" w:type="dxa"/>
            <w:vAlign w:val="bottom"/>
            <w:tcBorders>
              <w:bottom w:val="single" w:sz="8" w:color="939598"/>
            </w:tcBorders>
          </w:tcPr>
          <w:p>
            <w:pPr>
              <w:spacing w:after="0"/>
              <w:rPr>
                <w:sz w:val="11"/>
                <w:szCs w:val="11"/>
                <w:color w:val="auto"/>
              </w:rPr>
            </w:pPr>
          </w:p>
        </w:tc>
      </w:tr>
      <w:tr>
        <w:trPr>
          <w:trHeight w:val="282"/>
        </w:trPr>
        <w:tc>
          <w:tcPr>
            <w:tcW w:w="3500" w:type="dxa"/>
            <w:vAlign w:val="bottom"/>
          </w:tcPr>
          <w:p>
            <w:pPr>
              <w:ind w:left="20"/>
              <w:spacing w:after="0"/>
              <w:rPr>
                <w:sz w:val="20"/>
                <w:szCs w:val="20"/>
                <w:color w:val="auto"/>
              </w:rPr>
            </w:pPr>
            <w:r>
              <w:rPr>
                <w:rFonts w:ascii="Arial" w:cs="Arial" w:eastAsia="Arial" w:hAnsi="Arial"/>
                <w:sz w:val="13"/>
                <w:szCs w:val="13"/>
                <w:b w:val="1"/>
                <w:bCs w:val="1"/>
                <w:color w:val="auto"/>
              </w:rPr>
              <w:t>Mr. Currier</w:t>
            </w:r>
          </w:p>
        </w:tc>
        <w:tc>
          <w:tcPr>
            <w:tcW w:w="3680" w:type="dxa"/>
            <w:vAlign w:val="bottom"/>
          </w:tcPr>
          <w:p>
            <w:pPr>
              <w:jc w:val="right"/>
              <w:ind w:right="77"/>
              <w:spacing w:after="0"/>
              <w:rPr>
                <w:sz w:val="20"/>
                <w:szCs w:val="20"/>
                <w:color w:val="auto"/>
              </w:rPr>
            </w:pPr>
            <w:r>
              <w:rPr>
                <w:rFonts w:ascii="Arial" w:cs="Arial" w:eastAsia="Arial" w:hAnsi="Arial"/>
                <w:sz w:val="13"/>
                <w:szCs w:val="13"/>
                <w:color w:val="auto"/>
              </w:rPr>
              <w:t>828,225</w:t>
            </w:r>
          </w:p>
        </w:tc>
        <w:tc>
          <w:tcPr>
            <w:tcW w:w="500" w:type="dxa"/>
            <w:vAlign w:val="bottom"/>
          </w:tcPr>
          <w:p>
            <w:pPr>
              <w:spacing w:after="0"/>
              <w:rPr>
                <w:sz w:val="24"/>
                <w:szCs w:val="24"/>
                <w:color w:val="auto"/>
              </w:rPr>
            </w:pPr>
          </w:p>
        </w:tc>
        <w:tc>
          <w:tcPr>
            <w:tcW w:w="1420" w:type="dxa"/>
            <w:vAlign w:val="bottom"/>
          </w:tcPr>
          <w:p>
            <w:pPr>
              <w:jc w:val="right"/>
              <w:ind w:right="37"/>
              <w:spacing w:after="0"/>
              <w:rPr>
                <w:sz w:val="20"/>
                <w:szCs w:val="20"/>
                <w:color w:val="auto"/>
              </w:rPr>
            </w:pPr>
            <w:r>
              <w:rPr>
                <w:rFonts w:ascii="Arial" w:cs="Arial" w:eastAsia="Arial" w:hAnsi="Arial"/>
                <w:sz w:val="13"/>
                <w:szCs w:val="13"/>
                <w:color w:val="auto"/>
              </w:rPr>
              <w:t>100%</w:t>
            </w:r>
          </w:p>
        </w:tc>
        <w:tc>
          <w:tcPr>
            <w:tcW w:w="4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828,225</w:t>
            </w:r>
          </w:p>
        </w:tc>
      </w:tr>
      <w:tr>
        <w:trPr>
          <w:trHeight w:val="130"/>
        </w:trPr>
        <w:tc>
          <w:tcPr>
            <w:tcW w:w="3500" w:type="dxa"/>
            <w:vAlign w:val="bottom"/>
            <w:tcBorders>
              <w:bottom w:val="single" w:sz="8" w:color="939598"/>
            </w:tcBorders>
          </w:tcPr>
          <w:p>
            <w:pPr>
              <w:spacing w:after="0"/>
              <w:rPr>
                <w:sz w:val="11"/>
                <w:szCs w:val="11"/>
                <w:color w:val="auto"/>
              </w:rPr>
            </w:pPr>
          </w:p>
        </w:tc>
        <w:tc>
          <w:tcPr>
            <w:tcW w:w="3680" w:type="dxa"/>
            <w:vAlign w:val="bottom"/>
            <w:tcBorders>
              <w:bottom w:val="single" w:sz="8" w:color="939598"/>
            </w:tcBorders>
          </w:tcPr>
          <w:p>
            <w:pPr>
              <w:spacing w:after="0"/>
              <w:rPr>
                <w:sz w:val="11"/>
                <w:szCs w:val="11"/>
                <w:color w:val="auto"/>
              </w:rPr>
            </w:pPr>
          </w:p>
        </w:tc>
        <w:tc>
          <w:tcPr>
            <w:tcW w:w="500" w:type="dxa"/>
            <w:vAlign w:val="bottom"/>
            <w:tcBorders>
              <w:bottom w:val="single" w:sz="8" w:color="939598"/>
            </w:tcBorders>
          </w:tcPr>
          <w:p>
            <w:pPr>
              <w:spacing w:after="0"/>
              <w:rPr>
                <w:sz w:val="11"/>
                <w:szCs w:val="11"/>
                <w:color w:val="auto"/>
              </w:rPr>
            </w:pPr>
          </w:p>
        </w:tc>
        <w:tc>
          <w:tcPr>
            <w:tcW w:w="1420" w:type="dxa"/>
            <w:vAlign w:val="bottom"/>
            <w:tcBorders>
              <w:bottom w:val="single" w:sz="8" w:color="939598"/>
            </w:tcBorders>
          </w:tcPr>
          <w:p>
            <w:pPr>
              <w:spacing w:after="0"/>
              <w:rPr>
                <w:sz w:val="11"/>
                <w:szCs w:val="11"/>
                <w:color w:val="auto"/>
              </w:rPr>
            </w:pPr>
          </w:p>
        </w:tc>
        <w:tc>
          <w:tcPr>
            <w:tcW w:w="460" w:type="dxa"/>
            <w:vAlign w:val="bottom"/>
            <w:tcBorders>
              <w:bottom w:val="single" w:sz="8" w:color="939598"/>
            </w:tcBorders>
          </w:tcPr>
          <w:p>
            <w:pPr>
              <w:spacing w:after="0"/>
              <w:rPr>
                <w:sz w:val="11"/>
                <w:szCs w:val="11"/>
                <w:color w:val="auto"/>
              </w:rPr>
            </w:pPr>
          </w:p>
        </w:tc>
        <w:tc>
          <w:tcPr>
            <w:tcW w:w="1200" w:type="dxa"/>
            <w:vAlign w:val="bottom"/>
            <w:tcBorders>
              <w:bottom w:val="single" w:sz="8" w:color="939598"/>
            </w:tcBorders>
          </w:tcPr>
          <w:p>
            <w:pPr>
              <w:spacing w:after="0"/>
              <w:rPr>
                <w:sz w:val="11"/>
                <w:szCs w:val="11"/>
                <w:color w:val="auto"/>
              </w:rPr>
            </w:pPr>
          </w:p>
        </w:tc>
      </w:tr>
      <w:tr>
        <w:trPr>
          <w:trHeight w:val="283"/>
        </w:trPr>
        <w:tc>
          <w:tcPr>
            <w:tcW w:w="3500" w:type="dxa"/>
            <w:vAlign w:val="bottom"/>
          </w:tcPr>
          <w:p>
            <w:pPr>
              <w:ind w:left="20"/>
              <w:spacing w:after="0"/>
              <w:rPr>
                <w:sz w:val="20"/>
                <w:szCs w:val="20"/>
                <w:color w:val="auto"/>
              </w:rPr>
            </w:pPr>
            <w:r>
              <w:rPr>
                <w:rFonts w:ascii="Arial" w:cs="Arial" w:eastAsia="Arial" w:hAnsi="Arial"/>
                <w:sz w:val="13"/>
                <w:szCs w:val="13"/>
                <w:b w:val="1"/>
                <w:bCs w:val="1"/>
                <w:color w:val="auto"/>
              </w:rPr>
              <w:t>Mr. Masso</w:t>
            </w:r>
          </w:p>
        </w:tc>
        <w:tc>
          <w:tcPr>
            <w:tcW w:w="3680" w:type="dxa"/>
            <w:vAlign w:val="bottom"/>
          </w:tcPr>
          <w:p>
            <w:pPr>
              <w:jc w:val="right"/>
              <w:ind w:right="77"/>
              <w:spacing w:after="0"/>
              <w:rPr>
                <w:sz w:val="20"/>
                <w:szCs w:val="20"/>
                <w:color w:val="auto"/>
              </w:rPr>
            </w:pPr>
            <w:r>
              <w:rPr>
                <w:rFonts w:ascii="Arial" w:cs="Arial" w:eastAsia="Arial" w:hAnsi="Arial"/>
                <w:sz w:val="13"/>
                <w:szCs w:val="13"/>
                <w:color w:val="auto"/>
              </w:rPr>
              <w:t>316,233</w:t>
            </w:r>
          </w:p>
        </w:tc>
        <w:tc>
          <w:tcPr>
            <w:tcW w:w="500" w:type="dxa"/>
            <w:vAlign w:val="bottom"/>
          </w:tcPr>
          <w:p>
            <w:pPr>
              <w:spacing w:after="0"/>
              <w:rPr>
                <w:sz w:val="24"/>
                <w:szCs w:val="24"/>
                <w:color w:val="auto"/>
              </w:rPr>
            </w:pPr>
          </w:p>
        </w:tc>
        <w:tc>
          <w:tcPr>
            <w:tcW w:w="1420" w:type="dxa"/>
            <w:vAlign w:val="bottom"/>
          </w:tcPr>
          <w:p>
            <w:pPr>
              <w:jc w:val="right"/>
              <w:ind w:right="37"/>
              <w:spacing w:after="0"/>
              <w:rPr>
                <w:sz w:val="20"/>
                <w:szCs w:val="20"/>
                <w:color w:val="auto"/>
              </w:rPr>
            </w:pPr>
            <w:r>
              <w:rPr>
                <w:rFonts w:ascii="Arial" w:cs="Arial" w:eastAsia="Arial" w:hAnsi="Arial"/>
                <w:sz w:val="13"/>
                <w:szCs w:val="13"/>
                <w:color w:val="auto"/>
              </w:rPr>
              <w:t>100%</w:t>
            </w:r>
          </w:p>
        </w:tc>
        <w:tc>
          <w:tcPr>
            <w:tcW w:w="4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316,233</w:t>
            </w:r>
          </w:p>
        </w:tc>
      </w:tr>
      <w:tr>
        <w:trPr>
          <w:trHeight w:val="129"/>
        </w:trPr>
        <w:tc>
          <w:tcPr>
            <w:tcW w:w="3500" w:type="dxa"/>
            <w:vAlign w:val="bottom"/>
            <w:tcBorders>
              <w:bottom w:val="single" w:sz="8" w:color="939598"/>
            </w:tcBorders>
          </w:tcPr>
          <w:p>
            <w:pPr>
              <w:spacing w:after="0"/>
              <w:rPr>
                <w:sz w:val="11"/>
                <w:szCs w:val="11"/>
                <w:color w:val="auto"/>
              </w:rPr>
            </w:pPr>
          </w:p>
        </w:tc>
        <w:tc>
          <w:tcPr>
            <w:tcW w:w="3680" w:type="dxa"/>
            <w:vAlign w:val="bottom"/>
            <w:tcBorders>
              <w:bottom w:val="single" w:sz="8" w:color="939598"/>
            </w:tcBorders>
          </w:tcPr>
          <w:p>
            <w:pPr>
              <w:spacing w:after="0"/>
              <w:rPr>
                <w:sz w:val="11"/>
                <w:szCs w:val="11"/>
                <w:color w:val="auto"/>
              </w:rPr>
            </w:pPr>
          </w:p>
        </w:tc>
        <w:tc>
          <w:tcPr>
            <w:tcW w:w="500" w:type="dxa"/>
            <w:vAlign w:val="bottom"/>
            <w:tcBorders>
              <w:bottom w:val="single" w:sz="8" w:color="939598"/>
            </w:tcBorders>
          </w:tcPr>
          <w:p>
            <w:pPr>
              <w:spacing w:after="0"/>
              <w:rPr>
                <w:sz w:val="11"/>
                <w:szCs w:val="11"/>
                <w:color w:val="auto"/>
              </w:rPr>
            </w:pPr>
          </w:p>
        </w:tc>
        <w:tc>
          <w:tcPr>
            <w:tcW w:w="1420" w:type="dxa"/>
            <w:vAlign w:val="bottom"/>
            <w:tcBorders>
              <w:bottom w:val="single" w:sz="8" w:color="939598"/>
            </w:tcBorders>
          </w:tcPr>
          <w:p>
            <w:pPr>
              <w:spacing w:after="0"/>
              <w:rPr>
                <w:sz w:val="11"/>
                <w:szCs w:val="11"/>
                <w:color w:val="auto"/>
              </w:rPr>
            </w:pPr>
          </w:p>
        </w:tc>
        <w:tc>
          <w:tcPr>
            <w:tcW w:w="460" w:type="dxa"/>
            <w:vAlign w:val="bottom"/>
            <w:tcBorders>
              <w:bottom w:val="single" w:sz="8" w:color="939598"/>
            </w:tcBorders>
          </w:tcPr>
          <w:p>
            <w:pPr>
              <w:spacing w:after="0"/>
              <w:rPr>
                <w:sz w:val="11"/>
                <w:szCs w:val="11"/>
                <w:color w:val="auto"/>
              </w:rPr>
            </w:pPr>
          </w:p>
        </w:tc>
        <w:tc>
          <w:tcPr>
            <w:tcW w:w="1200" w:type="dxa"/>
            <w:vAlign w:val="bottom"/>
            <w:tcBorders>
              <w:bottom w:val="single" w:sz="8" w:color="939598"/>
            </w:tcBorders>
          </w:tcPr>
          <w:p>
            <w:pPr>
              <w:spacing w:after="0"/>
              <w:rPr>
                <w:sz w:val="11"/>
                <w:szCs w:val="11"/>
                <w:color w:val="auto"/>
              </w:rPr>
            </w:pPr>
          </w:p>
        </w:tc>
      </w:tr>
      <w:tr>
        <w:trPr>
          <w:trHeight w:val="283"/>
        </w:trPr>
        <w:tc>
          <w:tcPr>
            <w:tcW w:w="3500" w:type="dxa"/>
            <w:vAlign w:val="bottom"/>
          </w:tcPr>
          <w:p>
            <w:pPr>
              <w:ind w:left="20"/>
              <w:spacing w:after="0"/>
              <w:rPr>
                <w:sz w:val="20"/>
                <w:szCs w:val="20"/>
                <w:color w:val="auto"/>
              </w:rPr>
            </w:pPr>
            <w:r>
              <w:rPr>
                <w:rFonts w:ascii="Arial" w:cs="Arial" w:eastAsia="Arial" w:hAnsi="Arial"/>
                <w:sz w:val="13"/>
                <w:szCs w:val="13"/>
                <w:b w:val="1"/>
                <w:bCs w:val="1"/>
                <w:color w:val="auto"/>
              </w:rPr>
              <w:t>Mr. Hammoud</w:t>
            </w:r>
          </w:p>
        </w:tc>
        <w:tc>
          <w:tcPr>
            <w:tcW w:w="3680" w:type="dxa"/>
            <w:vAlign w:val="bottom"/>
          </w:tcPr>
          <w:p>
            <w:pPr>
              <w:jc w:val="right"/>
              <w:ind w:right="77"/>
              <w:spacing w:after="0"/>
              <w:rPr>
                <w:sz w:val="20"/>
                <w:szCs w:val="20"/>
                <w:color w:val="auto"/>
              </w:rPr>
            </w:pPr>
            <w:r>
              <w:rPr>
                <w:rFonts w:ascii="Arial" w:cs="Arial" w:eastAsia="Arial" w:hAnsi="Arial"/>
                <w:sz w:val="13"/>
                <w:szCs w:val="13"/>
                <w:color w:val="auto"/>
              </w:rPr>
              <w:t>694,148</w:t>
            </w:r>
          </w:p>
        </w:tc>
        <w:tc>
          <w:tcPr>
            <w:tcW w:w="500" w:type="dxa"/>
            <w:vAlign w:val="bottom"/>
          </w:tcPr>
          <w:p>
            <w:pPr>
              <w:spacing w:after="0"/>
              <w:rPr>
                <w:sz w:val="24"/>
                <w:szCs w:val="24"/>
                <w:color w:val="auto"/>
              </w:rPr>
            </w:pPr>
          </w:p>
        </w:tc>
        <w:tc>
          <w:tcPr>
            <w:tcW w:w="1420" w:type="dxa"/>
            <w:vAlign w:val="bottom"/>
          </w:tcPr>
          <w:p>
            <w:pPr>
              <w:jc w:val="right"/>
              <w:ind w:right="37"/>
              <w:spacing w:after="0"/>
              <w:rPr>
                <w:sz w:val="20"/>
                <w:szCs w:val="20"/>
                <w:color w:val="auto"/>
              </w:rPr>
            </w:pPr>
            <w:r>
              <w:rPr>
                <w:rFonts w:ascii="Arial" w:cs="Arial" w:eastAsia="Arial" w:hAnsi="Arial"/>
                <w:sz w:val="13"/>
                <w:szCs w:val="13"/>
                <w:color w:val="auto"/>
              </w:rPr>
              <w:t>100%</w:t>
            </w:r>
          </w:p>
        </w:tc>
        <w:tc>
          <w:tcPr>
            <w:tcW w:w="4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694,148</w:t>
            </w:r>
          </w:p>
        </w:tc>
      </w:tr>
      <w:tr>
        <w:trPr>
          <w:trHeight w:val="130"/>
        </w:trPr>
        <w:tc>
          <w:tcPr>
            <w:tcW w:w="3500" w:type="dxa"/>
            <w:vAlign w:val="bottom"/>
            <w:tcBorders>
              <w:bottom w:val="single" w:sz="8" w:color="939598"/>
            </w:tcBorders>
          </w:tcPr>
          <w:p>
            <w:pPr>
              <w:spacing w:after="0"/>
              <w:rPr>
                <w:sz w:val="11"/>
                <w:szCs w:val="11"/>
                <w:color w:val="auto"/>
              </w:rPr>
            </w:pPr>
          </w:p>
        </w:tc>
        <w:tc>
          <w:tcPr>
            <w:tcW w:w="3680" w:type="dxa"/>
            <w:vAlign w:val="bottom"/>
            <w:tcBorders>
              <w:bottom w:val="single" w:sz="8" w:color="939598"/>
            </w:tcBorders>
          </w:tcPr>
          <w:p>
            <w:pPr>
              <w:spacing w:after="0"/>
              <w:rPr>
                <w:sz w:val="11"/>
                <w:szCs w:val="11"/>
                <w:color w:val="auto"/>
              </w:rPr>
            </w:pPr>
          </w:p>
        </w:tc>
        <w:tc>
          <w:tcPr>
            <w:tcW w:w="500" w:type="dxa"/>
            <w:vAlign w:val="bottom"/>
            <w:tcBorders>
              <w:bottom w:val="single" w:sz="8" w:color="939598"/>
            </w:tcBorders>
          </w:tcPr>
          <w:p>
            <w:pPr>
              <w:spacing w:after="0"/>
              <w:rPr>
                <w:sz w:val="11"/>
                <w:szCs w:val="11"/>
                <w:color w:val="auto"/>
              </w:rPr>
            </w:pPr>
          </w:p>
        </w:tc>
        <w:tc>
          <w:tcPr>
            <w:tcW w:w="1420" w:type="dxa"/>
            <w:vAlign w:val="bottom"/>
            <w:tcBorders>
              <w:bottom w:val="single" w:sz="8" w:color="939598"/>
            </w:tcBorders>
          </w:tcPr>
          <w:p>
            <w:pPr>
              <w:spacing w:after="0"/>
              <w:rPr>
                <w:sz w:val="11"/>
                <w:szCs w:val="11"/>
                <w:color w:val="auto"/>
              </w:rPr>
            </w:pPr>
          </w:p>
        </w:tc>
        <w:tc>
          <w:tcPr>
            <w:tcW w:w="460" w:type="dxa"/>
            <w:vAlign w:val="bottom"/>
            <w:tcBorders>
              <w:bottom w:val="single" w:sz="8" w:color="939598"/>
            </w:tcBorders>
          </w:tcPr>
          <w:p>
            <w:pPr>
              <w:spacing w:after="0"/>
              <w:rPr>
                <w:sz w:val="11"/>
                <w:szCs w:val="11"/>
                <w:color w:val="auto"/>
              </w:rPr>
            </w:pPr>
          </w:p>
        </w:tc>
        <w:tc>
          <w:tcPr>
            <w:tcW w:w="1200" w:type="dxa"/>
            <w:vAlign w:val="bottom"/>
            <w:tcBorders>
              <w:bottom w:val="single" w:sz="8" w:color="939598"/>
            </w:tcBorders>
          </w:tcPr>
          <w:p>
            <w:pPr>
              <w:spacing w:after="0"/>
              <w:rPr>
                <w:sz w:val="11"/>
                <w:szCs w:val="11"/>
                <w:color w:val="auto"/>
              </w:rPr>
            </w:pPr>
          </w:p>
        </w:tc>
      </w:tr>
      <w:tr>
        <w:trPr>
          <w:trHeight w:val="324"/>
        </w:trPr>
        <w:tc>
          <w:tcPr>
            <w:tcW w:w="3500" w:type="dxa"/>
            <w:vAlign w:val="bottom"/>
          </w:tcPr>
          <w:p>
            <w:pPr>
              <w:ind w:left="20"/>
              <w:spacing w:after="0"/>
              <w:rPr>
                <w:sz w:val="20"/>
                <w:szCs w:val="20"/>
                <w:color w:val="auto"/>
              </w:rPr>
            </w:pPr>
            <w:r>
              <w:rPr>
                <w:rFonts w:ascii="Arial" w:cs="Arial" w:eastAsia="Arial" w:hAnsi="Arial"/>
                <w:sz w:val="13"/>
                <w:szCs w:val="13"/>
                <w:b w:val="1"/>
                <w:bCs w:val="1"/>
                <w:color w:val="auto"/>
              </w:rPr>
              <w:t>Mr. Lewis</w:t>
            </w:r>
            <w:r>
              <w:rPr>
                <w:rFonts w:ascii="Arial" w:cs="Arial" w:eastAsia="Arial" w:hAnsi="Arial"/>
                <w:sz w:val="16"/>
                <w:szCs w:val="16"/>
                <w:b w:val="1"/>
                <w:bCs w:val="1"/>
                <w:color w:val="auto"/>
                <w:vertAlign w:val="superscript"/>
              </w:rPr>
              <w:t>(b)</w:t>
            </w:r>
          </w:p>
        </w:tc>
        <w:tc>
          <w:tcPr>
            <w:tcW w:w="3680" w:type="dxa"/>
            <w:vAlign w:val="bottom"/>
          </w:tcPr>
          <w:p>
            <w:pPr>
              <w:jc w:val="right"/>
              <w:ind w:right="77"/>
              <w:spacing w:after="0"/>
              <w:rPr>
                <w:sz w:val="20"/>
                <w:szCs w:val="20"/>
                <w:color w:val="auto"/>
              </w:rPr>
            </w:pPr>
            <w:r>
              <w:rPr>
                <w:rFonts w:ascii="Arial" w:cs="Arial" w:eastAsia="Arial" w:hAnsi="Arial"/>
                <w:sz w:val="13"/>
                <w:szCs w:val="13"/>
                <w:color w:val="auto"/>
              </w:rPr>
              <w:t>344,526</w:t>
            </w:r>
          </w:p>
        </w:tc>
        <w:tc>
          <w:tcPr>
            <w:tcW w:w="500" w:type="dxa"/>
            <w:vAlign w:val="bottom"/>
          </w:tcPr>
          <w:p>
            <w:pPr>
              <w:spacing w:after="0"/>
              <w:rPr>
                <w:sz w:val="24"/>
                <w:szCs w:val="24"/>
                <w:color w:val="auto"/>
              </w:rPr>
            </w:pPr>
          </w:p>
        </w:tc>
        <w:tc>
          <w:tcPr>
            <w:tcW w:w="1420" w:type="dxa"/>
            <w:vAlign w:val="bottom"/>
          </w:tcPr>
          <w:p>
            <w:pPr>
              <w:jc w:val="right"/>
              <w:ind w:right="37"/>
              <w:spacing w:after="0"/>
              <w:rPr>
                <w:sz w:val="20"/>
                <w:szCs w:val="20"/>
                <w:color w:val="auto"/>
              </w:rPr>
            </w:pPr>
            <w:r>
              <w:rPr>
                <w:rFonts w:ascii="Arial" w:cs="Arial" w:eastAsia="Arial" w:hAnsi="Arial"/>
                <w:sz w:val="13"/>
                <w:szCs w:val="13"/>
                <w:color w:val="auto"/>
              </w:rPr>
              <w:t>100%</w:t>
            </w:r>
          </w:p>
        </w:tc>
        <w:tc>
          <w:tcPr>
            <w:tcW w:w="4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344,526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55880</wp:posOffset>
            </wp:positionV>
            <wp:extent cx="6840855"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p>
      <w:pPr>
        <w:spacing w:after="0" w:line="208" w:lineRule="exact"/>
        <w:rPr>
          <w:sz w:val="20"/>
          <w:szCs w:val="20"/>
          <w:color w:val="auto"/>
        </w:rPr>
      </w:pPr>
    </w:p>
    <w:p>
      <w:pPr>
        <w:ind w:left="400" w:hanging="198"/>
        <w:spacing w:after="0"/>
        <w:tabs>
          <w:tab w:leader="none" w:pos="400" w:val="left"/>
        </w:tabs>
        <w:numPr>
          <w:ilvl w:val="0"/>
          <w:numId w:val="160"/>
        </w:numPr>
        <w:rPr>
          <w:rFonts w:ascii="Arial" w:cs="Arial" w:eastAsia="Arial" w:hAnsi="Arial"/>
          <w:sz w:val="16"/>
          <w:szCs w:val="16"/>
          <w:color w:val="auto"/>
          <w:vertAlign w:val="superscript"/>
        </w:rPr>
      </w:pPr>
      <w:r>
        <w:rPr>
          <w:rFonts w:ascii="Arial" w:cs="Arial" w:eastAsia="Arial" w:hAnsi="Arial"/>
          <w:sz w:val="13"/>
          <w:szCs w:val="13"/>
          <w:color w:val="auto"/>
        </w:rPr>
        <w:t>ICP applicable base salary (base salary earned) for the 2025 calendar year, determined in accordance with the ICP plan document.</w:t>
      </w:r>
    </w:p>
    <w:p>
      <w:pPr>
        <w:spacing w:after="0" w:line="43" w:lineRule="exact"/>
        <w:rPr>
          <w:rFonts w:ascii="Arial" w:cs="Arial" w:eastAsia="Arial" w:hAnsi="Arial"/>
          <w:sz w:val="16"/>
          <w:szCs w:val="16"/>
          <w:color w:val="auto"/>
          <w:vertAlign w:val="superscript"/>
        </w:rPr>
      </w:pPr>
    </w:p>
    <w:p>
      <w:pPr>
        <w:ind w:left="400" w:hanging="198"/>
        <w:spacing w:after="0" w:line="225" w:lineRule="auto"/>
        <w:tabs>
          <w:tab w:leader="none" w:pos="400" w:val="left"/>
        </w:tabs>
        <w:numPr>
          <w:ilvl w:val="0"/>
          <w:numId w:val="160"/>
        </w:numPr>
        <w:rPr>
          <w:rFonts w:ascii="Arial" w:cs="Arial" w:eastAsia="Arial" w:hAnsi="Arial"/>
          <w:sz w:val="16"/>
          <w:szCs w:val="16"/>
          <w:color w:val="auto"/>
          <w:vertAlign w:val="superscript"/>
        </w:rPr>
      </w:pPr>
      <w:r>
        <w:rPr>
          <w:rFonts w:ascii="Arial" w:cs="Arial" w:eastAsia="Arial" w:hAnsi="Arial"/>
          <w:sz w:val="13"/>
          <w:szCs w:val="13"/>
          <w:color w:val="auto"/>
        </w:rPr>
        <w:t>Mr. Lewis' eligibility for ICP ended on May 31, 2025 as part of his transition to role of Senior Advisor. His applicable base salary reflects the portion of time spent in an ICP eligible role.</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Mr. Boldea did not receive a 2025 ICP award due to his separation from Honeywell on September 1, 2025.</w:t>
      </w:r>
    </w:p>
    <w:p>
      <w:pPr>
        <w:spacing w:after="0" w:line="304"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2025 LONG-TERM INCENTIVE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106680</wp:posOffset>
            </wp:positionV>
            <wp:extent cx="1654175" cy="95186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654175" cy="951865"/>
                    </a:xfrm>
                    <a:prstGeom prst="rect">
                      <a:avLst/>
                    </a:prstGeom>
                    <a:noFill/>
                  </pic:spPr>
                </pic:pic>
              </a:graphicData>
            </a:graphic>
          </wp:anchor>
        </w:drawing>
      </w:r>
    </w:p>
    <w:p>
      <w:pPr>
        <w:spacing w:after="0" w:line="198" w:lineRule="exact"/>
        <w:rPr>
          <w:sz w:val="20"/>
          <w:szCs w:val="20"/>
          <w:color w:val="auto"/>
        </w:rPr>
      </w:pPr>
    </w:p>
    <w:p>
      <w:pPr>
        <w:ind w:left="5160"/>
        <w:spacing w:after="0"/>
        <w:rPr>
          <w:sz w:val="20"/>
          <w:szCs w:val="20"/>
          <w:color w:val="auto"/>
        </w:rPr>
      </w:pPr>
      <w:r>
        <w:rPr>
          <w:rFonts w:ascii="Arial" w:cs="Arial" w:eastAsia="Arial" w:hAnsi="Arial"/>
          <w:sz w:val="13"/>
          <w:szCs w:val="13"/>
          <w:b w:val="1"/>
          <w:bCs w:val="1"/>
          <w:color w:val="auto"/>
        </w:rPr>
        <w:t>50% Performance Stock Units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79375</wp:posOffset>
            </wp:positionV>
            <wp:extent cx="93980" cy="9461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93980" cy="94615"/>
                    </a:xfrm>
                    <a:prstGeom prst="rect">
                      <a:avLst/>
                    </a:prstGeom>
                    <a:noFill/>
                  </pic:spPr>
                </pic:pic>
              </a:graphicData>
            </a:graphic>
          </wp:anchor>
        </w:drawing>
      </w:r>
    </w:p>
    <w:p>
      <w:pPr>
        <w:spacing w:after="0" w:line="128" w:lineRule="exact"/>
        <w:rPr>
          <w:sz w:val="20"/>
          <w:szCs w:val="20"/>
          <w:color w:val="auto"/>
        </w:rPr>
      </w:pPr>
    </w:p>
    <w:p>
      <w:pPr>
        <w:ind w:left="5160"/>
        <w:spacing w:after="0"/>
        <w:rPr>
          <w:sz w:val="20"/>
          <w:szCs w:val="20"/>
          <w:color w:val="auto"/>
        </w:rPr>
      </w:pPr>
      <w:r>
        <w:rPr>
          <w:rFonts w:ascii="Arial" w:cs="Arial" w:eastAsia="Arial" w:hAnsi="Arial"/>
          <w:sz w:val="13"/>
          <w:szCs w:val="13"/>
          <w:b w:val="1"/>
          <w:bCs w:val="1"/>
          <w:color w:val="auto"/>
        </w:rPr>
        <w:t>25%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79375</wp:posOffset>
            </wp:positionV>
            <wp:extent cx="93980" cy="9398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clrChange>
                        <a:clrFrom>
                          <a:srgbClr val="000000"/>
                        </a:clrFrom>
                        <a:clrTo>
                          <a:srgbClr val="000000">
                            <a:alpha val="0"/>
                          </a:srgbClr>
                        </a:clrTo>
                      </a:clrChange>
                      <a:extLst>
                        <a:ext uri="{28A0092B-C50C-407E-A947-70E740481C1C}"/>
                      </a:extLst>
                    </a:blip>
                    <a:srcRect/>
                    <a:stretch>
                      <a:fillRect/>
                    </a:stretch>
                  </pic:blipFill>
                  <pic:spPr bwMode="auto">
                    <a:xfrm>
                      <a:off x="0" y="0"/>
                      <a:ext cx="93980" cy="93980"/>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79375</wp:posOffset>
            </wp:positionV>
            <wp:extent cx="93980" cy="9398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clrChange>
                        <a:clrFrom>
                          <a:srgbClr val="FFFFFF"/>
                        </a:clrFrom>
                        <a:clrTo>
                          <a:srgbClr val="FFFFFF">
                            <a:alpha val="0"/>
                          </a:srgbClr>
                        </a:clrTo>
                      </a:clrChange>
                      <a:extLst>
                        <a:ext uri="{28A0092B-C50C-407E-A947-70E740481C1C}"/>
                      </a:extLst>
                    </a:blip>
                    <a:srcRect/>
                    <a:stretch>
                      <a:fillRect/>
                    </a:stretch>
                  </pic:blipFill>
                  <pic:spPr bwMode="auto">
                    <a:xfrm>
                      <a:off x="0" y="0"/>
                      <a:ext cx="93980" cy="93980"/>
                    </a:xfrm>
                    <a:prstGeom prst="rect">
                      <a:avLst/>
                    </a:prstGeom>
                    <a:noFill/>
                  </pic:spPr>
                </pic:pic>
              </a:graphicData>
            </a:graphic>
          </wp:anchor>
        </w:drawing>
      </w:r>
    </w:p>
    <w:p>
      <w:pPr>
        <w:spacing w:after="0" w:line="128" w:lineRule="exact"/>
        <w:rPr>
          <w:sz w:val="20"/>
          <w:szCs w:val="20"/>
          <w:color w:val="auto"/>
        </w:rPr>
      </w:pPr>
    </w:p>
    <w:p>
      <w:pPr>
        <w:ind w:left="5160"/>
        <w:spacing w:after="0"/>
        <w:rPr>
          <w:sz w:val="20"/>
          <w:szCs w:val="20"/>
          <w:color w:val="auto"/>
        </w:rPr>
      </w:pPr>
      <w:r>
        <w:rPr>
          <w:rFonts w:ascii="Arial" w:cs="Arial" w:eastAsia="Arial" w:hAnsi="Arial"/>
          <w:sz w:val="13"/>
          <w:szCs w:val="13"/>
          <w:b w:val="1"/>
          <w:bCs w:val="1"/>
          <w:color w:val="auto"/>
        </w:rPr>
        <w:t>25% Restricted Stock Units (RSUs)</w:t>
      </w:r>
    </w:p>
    <w:p>
      <w:pPr>
        <w:spacing w:after="0" w:line="107" w:lineRule="exact"/>
        <w:rPr>
          <w:sz w:val="20"/>
          <w:szCs w:val="20"/>
          <w:color w:val="auto"/>
        </w:rPr>
      </w:pPr>
    </w:p>
    <w:p>
      <w:pPr>
        <w:ind w:left="4840"/>
        <w:spacing w:after="0"/>
        <w:rPr>
          <w:sz w:val="20"/>
          <w:szCs w:val="20"/>
          <w:color w:val="auto"/>
        </w:rPr>
      </w:pPr>
      <w:r>
        <w:rPr>
          <w:rFonts w:ascii="Arial" w:cs="Arial" w:eastAsia="Arial" w:hAnsi="Arial"/>
          <w:sz w:val="13"/>
          <w:szCs w:val="13"/>
          <w:color w:val="auto"/>
        </w:rPr>
        <w:t>Grants of LTI awards to the CEO and Other NEOs in 2025 reflect a mix of 50% in</w:t>
      </w:r>
    </w:p>
    <w:p>
      <w:pPr>
        <w:spacing w:after="0" w:line="16" w:lineRule="exact"/>
        <w:rPr>
          <w:sz w:val="20"/>
          <w:szCs w:val="20"/>
          <w:color w:val="auto"/>
        </w:rPr>
      </w:pPr>
    </w:p>
    <w:p>
      <w:pPr>
        <w:ind w:left="4840" w:right="2420"/>
        <w:spacing w:after="0" w:line="258" w:lineRule="auto"/>
        <w:rPr>
          <w:sz w:val="20"/>
          <w:szCs w:val="20"/>
          <w:color w:val="auto"/>
        </w:rPr>
      </w:pPr>
      <w:r>
        <w:rPr>
          <w:rFonts w:ascii="Arial" w:cs="Arial" w:eastAsia="Arial" w:hAnsi="Arial"/>
          <w:sz w:val="13"/>
          <w:szCs w:val="13"/>
          <w:color w:val="auto"/>
        </w:rPr>
        <w:t>Performance Stock Units, 25% in stock options, and 25% in Restricted Stock Units.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TOTAL LTI VALUE</w:t>
      </w:r>
    </w:p>
    <w:p>
      <w:pPr>
        <w:spacing w:after="0" w:line="128"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For 2025 LTI awards to the NEOs under our regular annual LTI program, the MDCC (or, in the case of the CEO, the independent members of the full Board) determined a total annual LTI (Total LTI) value to be awarded and then allocated the award between PSUs, RSUs, and stock options based on the mix proportions described above. Each of the three elements and the respective values awarded to each NEO are described in detail below. The disclosure regarding our regular annual LTI program does not include the one-time equity awards granted to certain of our named executive officers in connection with the spin-offs, which are described in "Transaction Awards" above.</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In determining the Total LTI value to be awarded to each NEO, factors that were considered included:</w:t>
      </w:r>
    </w:p>
    <w:p>
      <w:pPr>
        <w:spacing w:after="0" w:line="113" w:lineRule="exact"/>
        <w:rPr>
          <w:sz w:val="20"/>
          <w:szCs w:val="20"/>
          <w:color w:val="auto"/>
        </w:rPr>
      </w:pPr>
    </w:p>
    <w:p>
      <w:pPr>
        <w:ind w:left="200" w:hanging="192"/>
        <w:spacing w:after="0"/>
        <w:tabs>
          <w:tab w:leader="none" w:pos="200" w:val="left"/>
        </w:tabs>
        <w:numPr>
          <w:ilvl w:val="0"/>
          <w:numId w:val="161"/>
        </w:numPr>
        <w:rPr>
          <w:rFonts w:ascii="Arial" w:cs="Arial" w:eastAsia="Arial" w:hAnsi="Arial"/>
          <w:sz w:val="16"/>
          <w:szCs w:val="16"/>
          <w:b w:val="1"/>
          <w:bCs w:val="1"/>
          <w:color w:val="D7282F"/>
        </w:rPr>
      </w:pPr>
      <w:r>
        <w:rPr>
          <w:rFonts w:ascii="Arial" w:cs="Arial" w:eastAsia="Arial" w:hAnsi="Arial"/>
          <w:sz w:val="16"/>
          <w:szCs w:val="16"/>
          <w:color w:val="auto"/>
        </w:rPr>
        <w:t>The relative value of long-term incentive awards granted to comparable named executive officers at the Compensation Peer Group companies.</w:t>
      </w:r>
    </w:p>
    <w:p>
      <w:pPr>
        <w:spacing w:after="0" w:line="86" w:lineRule="exact"/>
        <w:rPr>
          <w:rFonts w:ascii="Arial" w:cs="Arial" w:eastAsia="Arial" w:hAnsi="Arial"/>
          <w:sz w:val="16"/>
          <w:szCs w:val="16"/>
          <w:b w:val="1"/>
          <w:bCs w:val="1"/>
          <w:color w:val="D7282F"/>
        </w:rPr>
      </w:pPr>
    </w:p>
    <w:p>
      <w:pPr>
        <w:ind w:left="200" w:hanging="192"/>
        <w:spacing w:after="0"/>
        <w:tabs>
          <w:tab w:leader="none" w:pos="200" w:val="left"/>
        </w:tabs>
        <w:numPr>
          <w:ilvl w:val="0"/>
          <w:numId w:val="161"/>
        </w:numPr>
        <w:rPr>
          <w:rFonts w:ascii="Arial" w:cs="Arial" w:eastAsia="Arial" w:hAnsi="Arial"/>
          <w:sz w:val="16"/>
          <w:szCs w:val="16"/>
          <w:b w:val="1"/>
          <w:bCs w:val="1"/>
          <w:color w:val="D7282F"/>
        </w:rPr>
      </w:pPr>
      <w:r>
        <w:rPr>
          <w:rFonts w:ascii="Arial" w:cs="Arial" w:eastAsia="Arial" w:hAnsi="Arial"/>
          <w:sz w:val="16"/>
          <w:szCs w:val="16"/>
          <w:color w:val="auto"/>
        </w:rPr>
        <w:t>The scope of responsibilities and complexity of the organization (absolute and relative to the Compensation Peer Group companies).</w:t>
      </w:r>
    </w:p>
    <w:p>
      <w:pPr>
        <w:spacing w:after="0" w:line="86" w:lineRule="exact"/>
        <w:rPr>
          <w:rFonts w:ascii="Arial" w:cs="Arial" w:eastAsia="Arial" w:hAnsi="Arial"/>
          <w:sz w:val="16"/>
          <w:szCs w:val="16"/>
          <w:b w:val="1"/>
          <w:bCs w:val="1"/>
          <w:color w:val="D7282F"/>
        </w:rPr>
      </w:pPr>
    </w:p>
    <w:p>
      <w:pPr>
        <w:ind w:left="200" w:hanging="192"/>
        <w:spacing w:after="0"/>
        <w:tabs>
          <w:tab w:leader="none" w:pos="200" w:val="left"/>
        </w:tabs>
        <w:numPr>
          <w:ilvl w:val="0"/>
          <w:numId w:val="161"/>
        </w:numPr>
        <w:rPr>
          <w:rFonts w:ascii="Arial" w:cs="Arial" w:eastAsia="Arial" w:hAnsi="Arial"/>
          <w:sz w:val="16"/>
          <w:szCs w:val="16"/>
          <w:b w:val="1"/>
          <w:bCs w:val="1"/>
          <w:color w:val="D7282F"/>
        </w:rPr>
      </w:pPr>
      <w:r>
        <w:rPr>
          <w:rFonts w:ascii="Arial" w:cs="Arial" w:eastAsia="Arial" w:hAnsi="Arial"/>
          <w:sz w:val="16"/>
          <w:szCs w:val="16"/>
          <w:color w:val="auto"/>
        </w:rPr>
        <w:t>The senior executive development and succession plan.</w:t>
      </w:r>
    </w:p>
    <w:p>
      <w:pPr>
        <w:spacing w:after="0" w:line="86" w:lineRule="exact"/>
        <w:rPr>
          <w:rFonts w:ascii="Arial" w:cs="Arial" w:eastAsia="Arial" w:hAnsi="Arial"/>
          <w:sz w:val="16"/>
          <w:szCs w:val="16"/>
          <w:b w:val="1"/>
          <w:bCs w:val="1"/>
          <w:color w:val="D7282F"/>
        </w:rPr>
      </w:pPr>
    </w:p>
    <w:p>
      <w:pPr>
        <w:ind w:left="200" w:hanging="192"/>
        <w:spacing w:after="0"/>
        <w:tabs>
          <w:tab w:leader="none" w:pos="200" w:val="left"/>
        </w:tabs>
        <w:numPr>
          <w:ilvl w:val="0"/>
          <w:numId w:val="161"/>
        </w:numPr>
        <w:rPr>
          <w:rFonts w:ascii="Arial" w:cs="Arial" w:eastAsia="Arial" w:hAnsi="Arial"/>
          <w:sz w:val="16"/>
          <w:szCs w:val="16"/>
          <w:b w:val="1"/>
          <w:bCs w:val="1"/>
          <w:color w:val="D7282F"/>
        </w:rPr>
      </w:pPr>
      <w:r>
        <w:rPr>
          <w:rFonts w:ascii="Arial" w:cs="Arial" w:eastAsia="Arial" w:hAnsi="Arial"/>
          <w:sz w:val="16"/>
          <w:szCs w:val="16"/>
          <w:color w:val="auto"/>
        </w:rPr>
        <w:t>The value of LTI awards granted in prior years.</w:t>
      </w:r>
    </w:p>
    <w:p>
      <w:pPr>
        <w:spacing w:after="0" w:line="72" w:lineRule="exact"/>
        <w:rPr>
          <w:rFonts w:ascii="Arial" w:cs="Arial" w:eastAsia="Arial" w:hAnsi="Arial"/>
          <w:sz w:val="16"/>
          <w:szCs w:val="16"/>
          <w:b w:val="1"/>
          <w:bCs w:val="1"/>
          <w:color w:val="D7282F"/>
        </w:rPr>
      </w:pPr>
    </w:p>
    <w:p>
      <w:pPr>
        <w:ind w:left="200" w:hanging="192"/>
        <w:spacing w:after="0"/>
        <w:tabs>
          <w:tab w:leader="none" w:pos="200" w:val="left"/>
        </w:tabs>
        <w:numPr>
          <w:ilvl w:val="0"/>
          <w:numId w:val="161"/>
        </w:numPr>
        <w:rPr>
          <w:rFonts w:ascii="Arial" w:cs="Arial" w:eastAsia="Arial" w:hAnsi="Arial"/>
          <w:sz w:val="16"/>
          <w:szCs w:val="16"/>
          <w:b w:val="1"/>
          <w:bCs w:val="1"/>
          <w:color w:val="D7282F"/>
        </w:rPr>
      </w:pPr>
      <w:r>
        <w:rPr>
          <w:rFonts w:ascii="Arial" w:cs="Arial" w:eastAsia="Arial" w:hAnsi="Arial"/>
          <w:sz w:val="16"/>
          <w:szCs w:val="16"/>
          <w:color w:val="auto"/>
        </w:rPr>
        <w:t>Each NEO’s leadership impact and expected future contribution toward the overall success of Honeywell.</w:t>
      </w:r>
    </w:p>
    <w:p>
      <w:pPr>
        <w:spacing w:after="0" w:line="25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PERFORMANCE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201295</wp:posOffset>
            </wp:positionV>
            <wp:extent cx="814070" cy="81407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814070" cy="814070"/>
                    </a:xfrm>
                    <a:prstGeom prst="rect">
                      <a:avLst/>
                    </a:prstGeom>
                    <a:noFill/>
                  </pic:spPr>
                </pic:pic>
              </a:graphicData>
            </a:graphic>
          </wp:anchor>
        </w:drawing>
      </w:r>
    </w:p>
    <w:p>
      <w:pPr>
        <w:spacing w:after="0" w:line="310" w:lineRule="exact"/>
        <w:rPr>
          <w:sz w:val="20"/>
          <w:szCs w:val="20"/>
          <w:color w:val="auto"/>
        </w:rPr>
      </w:pPr>
    </w:p>
    <w:p>
      <w:pPr>
        <w:ind w:left="1820"/>
        <w:spacing w:after="0"/>
        <w:rPr>
          <w:sz w:val="20"/>
          <w:szCs w:val="20"/>
          <w:color w:val="auto"/>
        </w:rPr>
      </w:pPr>
      <w:r>
        <w:rPr>
          <w:rFonts w:ascii="Arial" w:cs="Arial" w:eastAsia="Arial" w:hAnsi="Arial"/>
          <w:sz w:val="22"/>
          <w:szCs w:val="22"/>
          <w:b w:val="1"/>
          <w:bCs w:val="1"/>
          <w:color w:val="D7282F"/>
        </w:rPr>
        <w:t>2025–2027 PERFORMANCE PLAN AWARDS</w:t>
      </w:r>
    </w:p>
    <w:p>
      <w:pPr>
        <w:spacing w:after="0" w:line="126" w:lineRule="exact"/>
        <w:rPr>
          <w:sz w:val="20"/>
          <w:szCs w:val="20"/>
          <w:color w:val="auto"/>
        </w:rPr>
      </w:pPr>
    </w:p>
    <w:p>
      <w:pPr>
        <w:ind w:left="1820"/>
        <w:spacing w:after="0" w:line="286" w:lineRule="auto"/>
        <w:rPr>
          <w:sz w:val="20"/>
          <w:szCs w:val="20"/>
          <w:color w:val="auto"/>
        </w:rPr>
      </w:pPr>
      <w:r>
        <w:rPr>
          <w:rFonts w:ascii="Arial" w:cs="Arial" w:eastAsia="Arial" w:hAnsi="Arial"/>
          <w:sz w:val="16"/>
          <w:szCs w:val="16"/>
          <w:color w:val="auto"/>
        </w:rPr>
        <w:t>Under the 2025–2027 Performance Plan, a target number of PSUs was issued to each NEO in 2025, for the performance period of January 1, 2025, through December 31, 2027, representing 50% of their total annual LTI value and mix.</w:t>
      </w:r>
    </w:p>
    <w:p>
      <w:pPr>
        <w:spacing w:after="0" w:line="48" w:lineRule="exact"/>
        <w:rPr>
          <w:sz w:val="20"/>
          <w:szCs w:val="20"/>
          <w:color w:val="auto"/>
        </w:rPr>
      </w:pPr>
    </w:p>
    <w:p>
      <w:pPr>
        <w:ind w:left="1820" w:right="60"/>
        <w:spacing w:after="0" w:line="275" w:lineRule="auto"/>
        <w:rPr>
          <w:sz w:val="20"/>
          <w:szCs w:val="20"/>
          <w:color w:val="auto"/>
        </w:rPr>
      </w:pPr>
      <w:r>
        <w:rPr>
          <w:rFonts w:ascii="Arial" w:cs="Arial" w:eastAsia="Arial" w:hAnsi="Arial"/>
          <w:sz w:val="16"/>
          <w:szCs w:val="16"/>
          <w:color w:val="auto"/>
        </w:rPr>
        <w:t>The actual number of PSUs earned by each NEO for the 2025–2027 cycle will be determined based on Company performance as of the date of the spin-off of Honeywell Aerospace, with the original payout date, as measured by the following four equally weighted performance metrics:</w:t>
      </w:r>
    </w:p>
    <w:p>
      <w:pPr>
        <w:spacing w:after="0" w:line="314"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sz w:val="1"/>
          <w:szCs w:val="1"/>
          <w:color w:val="auto"/>
        </w:rPr>
        <w:drawing>
          <wp:inline distT="0" distB="0" distL="0" distR="0">
            <wp:extent cx="548640" cy="102870"/>
            <wp:effectExtent l="0" t="0" r="0" b="0"/>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2026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30" w:right="399" w:bottom="1440" w:gutter="0" w:footer="0" w:header="0"/>
        </w:sectPr>
      </w:pPr>
    </w:p>
    <w:bookmarkStart w:id="80" w:name="page81"/>
    <w:bookmarkEnd w:id="80"/>
    <w:p>
      <w:pPr>
        <w:ind w:left="8440"/>
        <w:spacing w:after="0"/>
        <w:rPr>
          <w:sz w:val="20"/>
          <w:szCs w:val="20"/>
          <w:color w:val="auto"/>
        </w:rPr>
      </w:pPr>
      <w:r>
        <w:rPr>
          <w:rFonts w:ascii="Arial" w:cs="Arial" w:eastAsia="Arial" w:hAnsi="Arial"/>
          <w:sz w:val="12"/>
          <w:szCs w:val="12"/>
          <w:b w:val="1"/>
          <w:bCs w:val="1"/>
          <w:color w:val="6D6E71"/>
        </w:rPr>
        <w:t>COMPENSATION DISCUSSION AND ANALYSIS</w:t>
      </w:r>
    </w:p>
    <w:p>
      <w:pPr>
        <w:sectPr>
          <w:pgSz w:w="11900" w:h="16838" w:orient="portrait"/>
          <w:cols w:equalWidth="0" w:num="1">
            <w:col w:w="11240"/>
          </w:cols>
          <w:pgMar w:left="320" w:top="2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6D6E71"/>
        </w:rPr>
        <w:t>THREE-YEAR CUMULATIVE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166370</wp:posOffset>
            </wp:positionV>
            <wp:extent cx="171450" cy="17145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09"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D7282F"/>
        </w:rPr>
        <w:t>(25%)</w:t>
      </w:r>
    </w:p>
    <w:p>
      <w:pPr>
        <w:spacing w:after="0" w:line="302" w:lineRule="exact"/>
        <w:rPr>
          <w:sz w:val="20"/>
          <w:szCs w:val="20"/>
          <w:color w:val="auto"/>
        </w:rPr>
      </w:pPr>
    </w:p>
    <w:p>
      <w:pPr>
        <w:ind w:left="220" w:hanging="194"/>
        <w:spacing w:after="0" w:line="275" w:lineRule="auto"/>
        <w:tabs>
          <w:tab w:leader="none" w:pos="217" w:val="left"/>
        </w:tabs>
        <w:numPr>
          <w:ilvl w:val="0"/>
          <w:numId w:val="162"/>
        </w:numPr>
        <w:rPr>
          <w:rFonts w:ascii="Arial" w:cs="Arial" w:eastAsia="Arial" w:hAnsi="Arial"/>
          <w:sz w:val="16"/>
          <w:szCs w:val="16"/>
          <w:b w:val="1"/>
          <w:bCs w:val="1"/>
          <w:color w:val="D7282F"/>
        </w:rPr>
      </w:pPr>
      <w:r>
        <w:rPr>
          <w:rFonts w:ascii="Arial" w:cs="Arial" w:eastAsia="Arial" w:hAnsi="Arial"/>
          <w:sz w:val="16"/>
          <w:szCs w:val="16"/>
          <w:color w:val="auto"/>
        </w:rPr>
        <w:t>Measures the effectiveness of the Company’s organic growth strategies, including new product introduction and marketing and sales effectiveness, as well as projected growth in our end markets.</w:t>
      </w:r>
    </w:p>
    <w:p>
      <w:pPr>
        <w:spacing w:after="0" w:line="29" w:lineRule="exact"/>
        <w:rPr>
          <w:rFonts w:ascii="Arial" w:cs="Arial" w:eastAsia="Arial" w:hAnsi="Arial"/>
          <w:sz w:val="16"/>
          <w:szCs w:val="16"/>
          <w:b w:val="1"/>
          <w:bCs w:val="1"/>
          <w:color w:val="D7282F"/>
        </w:rPr>
      </w:pPr>
    </w:p>
    <w:p>
      <w:pPr>
        <w:ind w:left="220" w:right="60" w:hanging="194"/>
        <w:spacing w:after="0" w:line="275" w:lineRule="auto"/>
        <w:tabs>
          <w:tab w:leader="none" w:pos="217" w:val="left"/>
        </w:tabs>
        <w:numPr>
          <w:ilvl w:val="0"/>
          <w:numId w:val="162"/>
        </w:numPr>
        <w:rPr>
          <w:rFonts w:ascii="Arial" w:cs="Arial" w:eastAsia="Arial" w:hAnsi="Arial"/>
          <w:sz w:val="16"/>
          <w:szCs w:val="16"/>
          <w:b w:val="1"/>
          <w:bCs w:val="1"/>
          <w:color w:val="D7282F"/>
        </w:rPr>
      </w:pPr>
      <w:r>
        <w:rPr>
          <w:rFonts w:ascii="Arial" w:cs="Arial" w:eastAsia="Arial" w:hAnsi="Arial"/>
          <w:sz w:val="16"/>
          <w:szCs w:val="16"/>
          <w:color w:val="auto"/>
        </w:rPr>
        <w:t>Adjusted at measurement to exclude the impact of corporate transactions during the period (e.g., acquisitions and divestitures) and fluctuations in foreign currency rates.</w:t>
      </w:r>
    </w:p>
    <w:p>
      <w:pPr>
        <w:spacing w:after="0" w:line="32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6D6E71"/>
        </w:rPr>
        <w:t>THREE-YEAR AVERAGE SEGMENT MARGIN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166370</wp:posOffset>
            </wp:positionV>
            <wp:extent cx="171450" cy="17145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09"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D7282F"/>
        </w:rPr>
        <w:t>(25%)</w:t>
      </w:r>
    </w:p>
    <w:p>
      <w:pPr>
        <w:spacing w:after="0" w:line="302" w:lineRule="exact"/>
        <w:rPr>
          <w:sz w:val="20"/>
          <w:szCs w:val="20"/>
          <w:color w:val="auto"/>
        </w:rPr>
      </w:pPr>
    </w:p>
    <w:p>
      <w:pPr>
        <w:ind w:left="220" w:right="160" w:hanging="194"/>
        <w:spacing w:after="0" w:line="275" w:lineRule="auto"/>
        <w:tabs>
          <w:tab w:leader="none" w:pos="217" w:val="left"/>
        </w:tabs>
        <w:numPr>
          <w:ilvl w:val="0"/>
          <w:numId w:val="163"/>
        </w:numPr>
        <w:rPr>
          <w:rFonts w:ascii="Arial" w:cs="Arial" w:eastAsia="Arial" w:hAnsi="Arial"/>
          <w:sz w:val="16"/>
          <w:szCs w:val="16"/>
          <w:b w:val="1"/>
          <w:bCs w:val="1"/>
          <w:color w:val="D7282F"/>
        </w:rPr>
      </w:pPr>
      <w:r>
        <w:rPr>
          <w:rFonts w:ascii="Arial" w:cs="Arial" w:eastAsia="Arial" w:hAnsi="Arial"/>
          <w:sz w:val="16"/>
          <w:szCs w:val="16"/>
          <w:color w:val="auto"/>
        </w:rPr>
        <w:t>Focuses executives on driving continued operational improvements and delivering synergies from recent corporate actions and prior period acquisitions.</w:t>
      </w:r>
    </w:p>
    <w:p>
      <w:pPr>
        <w:spacing w:after="0" w:line="29" w:lineRule="exact"/>
        <w:rPr>
          <w:rFonts w:ascii="Arial" w:cs="Arial" w:eastAsia="Arial" w:hAnsi="Arial"/>
          <w:sz w:val="16"/>
          <w:szCs w:val="16"/>
          <w:b w:val="1"/>
          <w:bCs w:val="1"/>
          <w:color w:val="D7282F"/>
        </w:rPr>
      </w:pPr>
    </w:p>
    <w:p>
      <w:pPr>
        <w:ind w:left="220" w:right="60" w:hanging="194"/>
        <w:spacing w:after="0" w:line="275" w:lineRule="auto"/>
        <w:tabs>
          <w:tab w:leader="none" w:pos="217" w:val="left"/>
        </w:tabs>
        <w:numPr>
          <w:ilvl w:val="0"/>
          <w:numId w:val="163"/>
        </w:numPr>
        <w:rPr>
          <w:rFonts w:ascii="Arial" w:cs="Arial" w:eastAsia="Arial" w:hAnsi="Arial"/>
          <w:sz w:val="16"/>
          <w:szCs w:val="16"/>
          <w:b w:val="1"/>
          <w:bCs w:val="1"/>
          <w:color w:val="D7282F"/>
        </w:rPr>
      </w:pPr>
      <w:r>
        <w:rPr>
          <w:rFonts w:ascii="Arial" w:cs="Arial" w:eastAsia="Arial" w:hAnsi="Arial"/>
          <w:sz w:val="16"/>
          <w:szCs w:val="16"/>
          <w:color w:val="auto"/>
        </w:rPr>
        <w:t>Adjusted at measurement to exclude the impact of corporate transactions during the period. Results will not be adjusted for foreign currency changes over the cycle.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6D6E71"/>
        </w:rPr>
        <w:t>THREE-YEAR AVERAGE ROI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166370</wp:posOffset>
            </wp:positionV>
            <wp:extent cx="171450" cy="17145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09"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D7282F"/>
        </w:rPr>
        <w:t>(25%)</w:t>
      </w:r>
    </w:p>
    <w:p>
      <w:pPr>
        <w:spacing w:after="0" w:line="302" w:lineRule="exact"/>
        <w:rPr>
          <w:sz w:val="20"/>
          <w:szCs w:val="20"/>
          <w:color w:val="auto"/>
        </w:rPr>
      </w:pPr>
    </w:p>
    <w:p>
      <w:pPr>
        <w:ind w:left="200" w:right="580" w:hanging="195"/>
        <w:spacing w:after="0" w:line="299" w:lineRule="auto"/>
        <w:tabs>
          <w:tab w:leader="none" w:pos="197" w:val="left"/>
        </w:tabs>
        <w:numPr>
          <w:ilvl w:val="0"/>
          <w:numId w:val="164"/>
        </w:numPr>
        <w:rPr>
          <w:rFonts w:ascii="Arial" w:cs="Arial" w:eastAsia="Arial" w:hAnsi="Arial"/>
          <w:sz w:val="16"/>
          <w:szCs w:val="16"/>
          <w:b w:val="1"/>
          <w:bCs w:val="1"/>
          <w:color w:val="D7282F"/>
        </w:rPr>
      </w:pPr>
      <w:r>
        <w:rPr>
          <w:rFonts w:ascii="Arial" w:cs="Arial" w:eastAsia="Arial" w:hAnsi="Arial"/>
          <w:sz w:val="16"/>
          <w:szCs w:val="16"/>
          <w:color w:val="auto"/>
        </w:rPr>
        <w:t>Focuses leadership on making investment decisions that deliver profitable growth.</w:t>
      </w:r>
    </w:p>
    <w:p>
      <w:pPr>
        <w:ind w:left="200" w:right="140" w:hanging="195"/>
        <w:spacing w:after="0" w:line="275" w:lineRule="auto"/>
        <w:tabs>
          <w:tab w:leader="none" w:pos="197" w:val="left"/>
        </w:tabs>
        <w:numPr>
          <w:ilvl w:val="0"/>
          <w:numId w:val="164"/>
        </w:numPr>
        <w:rPr>
          <w:rFonts w:ascii="Arial" w:cs="Arial" w:eastAsia="Arial" w:hAnsi="Arial"/>
          <w:sz w:val="16"/>
          <w:szCs w:val="16"/>
          <w:b w:val="1"/>
          <w:bCs w:val="1"/>
          <w:color w:val="D7282F"/>
        </w:rPr>
      </w:pPr>
      <w:r>
        <w:rPr>
          <w:rFonts w:ascii="Arial" w:cs="Arial" w:eastAsia="Arial" w:hAnsi="Arial"/>
          <w:sz w:val="16"/>
          <w:szCs w:val="16"/>
          <w:color w:val="auto"/>
        </w:rPr>
        <w:t>Adjusted at measurement to exclude the impact of corporate transactions during the period and the impact of pensions. Results will not be adjusted for foreign currency changes over the cycle.</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6D6E71"/>
        </w:rPr>
        <w:t>THREE-YEAR RELATIVE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166370</wp:posOffset>
            </wp:positionV>
            <wp:extent cx="171450" cy="17145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09"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D7282F"/>
        </w:rPr>
        <w:t>(25%)</w:t>
      </w:r>
    </w:p>
    <w:p>
      <w:pPr>
        <w:spacing w:after="0" w:line="302" w:lineRule="exact"/>
        <w:rPr>
          <w:sz w:val="20"/>
          <w:szCs w:val="20"/>
          <w:color w:val="auto"/>
        </w:rPr>
      </w:pPr>
    </w:p>
    <w:p>
      <w:pPr>
        <w:ind w:left="200" w:right="500" w:hanging="195"/>
        <w:spacing w:after="0" w:line="275" w:lineRule="auto"/>
        <w:tabs>
          <w:tab w:leader="none" w:pos="197" w:val="left"/>
        </w:tabs>
        <w:numPr>
          <w:ilvl w:val="0"/>
          <w:numId w:val="165"/>
        </w:numPr>
        <w:rPr>
          <w:rFonts w:ascii="Arial" w:cs="Arial" w:eastAsia="Arial" w:hAnsi="Arial"/>
          <w:sz w:val="16"/>
          <w:szCs w:val="16"/>
          <w:b w:val="1"/>
          <w:bCs w:val="1"/>
          <w:color w:val="D7282F"/>
        </w:rPr>
      </w:pPr>
      <w:r>
        <w:rPr>
          <w:rFonts w:ascii="Arial" w:cs="Arial" w:eastAsia="Arial" w:hAnsi="Arial"/>
          <w:sz w:val="16"/>
          <w:szCs w:val="16"/>
          <w:color w:val="auto"/>
        </w:rPr>
        <w:t>Measures Honeywell’s cumulative TSR relative to the 2025 Compensation Peer Group over a three-year performance period commencing January 1, 2025.</w:t>
      </w:r>
    </w:p>
    <w:p>
      <w:pPr>
        <w:spacing w:after="0" w:line="29" w:lineRule="exact"/>
        <w:rPr>
          <w:rFonts w:ascii="Arial" w:cs="Arial" w:eastAsia="Arial" w:hAnsi="Arial"/>
          <w:sz w:val="16"/>
          <w:szCs w:val="16"/>
          <w:b w:val="1"/>
          <w:bCs w:val="1"/>
          <w:color w:val="D7282F"/>
        </w:rPr>
      </w:pPr>
    </w:p>
    <w:p>
      <w:pPr>
        <w:ind w:left="200" w:right="80" w:hanging="195"/>
        <w:spacing w:after="0" w:line="265" w:lineRule="auto"/>
        <w:tabs>
          <w:tab w:leader="none" w:pos="197" w:val="left"/>
        </w:tabs>
        <w:numPr>
          <w:ilvl w:val="0"/>
          <w:numId w:val="165"/>
        </w:numPr>
        <w:rPr>
          <w:rFonts w:ascii="Arial" w:cs="Arial" w:eastAsia="Arial" w:hAnsi="Arial"/>
          <w:sz w:val="16"/>
          <w:szCs w:val="16"/>
          <w:b w:val="1"/>
          <w:bCs w:val="1"/>
          <w:color w:val="D7282F"/>
        </w:rPr>
      </w:pPr>
      <w:r>
        <w:rPr>
          <w:rFonts w:ascii="Arial" w:cs="Arial" w:eastAsia="Arial" w:hAnsi="Arial"/>
          <w:sz w:val="16"/>
          <w:szCs w:val="16"/>
          <w:color w:val="auto"/>
        </w:rPr>
        <w:t>The beginning point for TSR determination (all companies) will be based on an average using the first 30 trading days of the performance period. The ending point will be based on an average using the last 30 trading days of the performance period.</w:t>
      </w:r>
    </w:p>
    <w:p>
      <w:pPr>
        <w:spacing w:after="0" w:line="200" w:lineRule="exact"/>
        <w:rPr>
          <w:sz w:val="20"/>
          <w:szCs w:val="20"/>
          <w:color w:val="auto"/>
        </w:rPr>
      </w:pPr>
    </w:p>
    <w:p>
      <w:pPr>
        <w:sectPr>
          <w:pgSz w:w="11900" w:h="16838" w:orient="portrait"/>
          <w:cols w:equalWidth="0" w:num="2">
            <w:col w:w="5520" w:space="360"/>
            <w:col w:w="5360"/>
          </w:cols>
          <w:pgMar w:left="320" w:top="230" w:right="339" w:bottom="1440" w:gutter="0" w:footer="0" w:header="0"/>
          <w:type w:val="continuous"/>
        </w:sectPr>
      </w:pP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For the Corporate NEOs, awards are earned based on performance against the Total Honeywell goals stated above.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6D6E71"/>
        </w:rPr>
        <w:t>CORPORATE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80645</wp:posOffset>
            </wp:positionV>
            <wp:extent cx="5717540" cy="131127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5717540"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For the Business Unit NEOs, the financial goals portion of the award (75% of the award value, at target) is based on a mix of performance against the Total Honeywell (HON) goals and goals set for their respective business unit (mix shown below). Like the Corporate NEOs, the Business Unit NEOs have 25% of their award based on performance against the three-year Relative TSR metric noted above. If an NEO transfers between business units during the performance period, the final payout is prorated based on the number of days spent in each respective business unit during the three years covered by the award.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6D6E71"/>
        </w:rPr>
        <w:t>BUSINESS UNIT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303530</wp:posOffset>
            </wp:positionV>
            <wp:extent cx="5717540" cy="136271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5717540" cy="1362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2026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75</w:t>
            </w:r>
          </w:p>
        </w:tc>
      </w:tr>
      <w:tr>
        <w:trPr>
          <w:trHeight w:val="373"/>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81" w:name="page82"/>
    <w:bookmarkEnd w:id="81"/>
    <w:p>
      <w:pPr>
        <w:spacing w:after="0" w:line="14" w:lineRule="exact"/>
        <w:rPr>
          <w:sz w:val="20"/>
          <w:szCs w:val="20"/>
          <w:color w:val="auto"/>
        </w:rPr>
      </w:pPr>
    </w:p>
    <w:p>
      <w:pPr>
        <w:spacing w:after="0"/>
        <w:rPr>
          <w:sz w:val="20"/>
          <w:szCs w:val="20"/>
          <w:color w:val="auto"/>
        </w:rPr>
      </w:pPr>
      <w:r>
        <w:rPr>
          <w:rFonts w:ascii="Arial" w:cs="Arial" w:eastAsia="Arial" w:hAnsi="Arial"/>
          <w:sz w:val="13"/>
          <w:szCs w:val="13"/>
          <w:b w:val="1"/>
          <w:bCs w:val="1"/>
          <w:color w:val="6D6E71"/>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D7282F"/>
        </w:rPr>
        <w:t>2025–2027 PERFORMANCE PLAN GOALS</w:t>
      </w:r>
    </w:p>
    <w:p>
      <w:pPr>
        <w:spacing w:after="0" w:line="112"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In February 2025, the MDCC approved robust financial targets for the 2025–2027 performance plan. All approved financial targets represent a significant increase over the prior year, as well as appropriately challenging year-over-year improvement in each year of the three-year performance period.</w:t>
      </w:r>
    </w:p>
    <w:p>
      <w:pPr>
        <w:spacing w:after="0" w:line="61"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The table below sets out each metric at the Total Honeywell level, along with their respective goals, and the percentage of PSUs awarded that would be earned at each specified level of performance. No PSUs will be earned for a metric if performance falls below the noted threshold. If the Company’s performance for any of the performance metrics falls between the percentages listed on the table, the percentage of PSUs earned shall be determined by linear interpolation.</w:t>
      </w:r>
    </w:p>
    <w:p>
      <w:pPr>
        <w:spacing w:after="0" w:line="237" w:lineRule="exact"/>
        <w:rPr>
          <w:sz w:val="20"/>
          <w:szCs w:val="20"/>
          <w:color w:val="auto"/>
        </w:rPr>
      </w:pPr>
    </w:p>
    <w:tbl>
      <w:tblPr>
        <w:tblLayout w:type="fixed"/>
        <w:tblInd w:w="1120" w:type="dxa"/>
        <w:tblCellMar>
          <w:top w:w="0" w:type="dxa"/>
          <w:left w:w="0" w:type="dxa"/>
          <w:bottom w:w="0" w:type="dxa"/>
          <w:right w:w="0" w:type="dxa"/>
        </w:tblCellMar>
      </w:tblPr>
      <w:tr>
        <w:trPr>
          <w:trHeight w:val="196"/>
        </w:trPr>
        <w:tc>
          <w:tcPr>
            <w:tcW w:w="3540" w:type="dxa"/>
            <w:vAlign w:val="bottom"/>
          </w:tcPr>
          <w:p>
            <w:pPr>
              <w:ind w:left="2360"/>
              <w:spacing w:after="0"/>
              <w:rPr>
                <w:sz w:val="20"/>
                <w:szCs w:val="20"/>
                <w:color w:val="auto"/>
              </w:rPr>
            </w:pPr>
            <w:r>
              <w:rPr>
                <w:rFonts w:ascii="Arial" w:cs="Arial" w:eastAsia="Arial" w:hAnsi="Arial"/>
                <w:sz w:val="14"/>
                <w:szCs w:val="14"/>
                <w:b w:val="1"/>
                <w:bCs w:val="1"/>
                <w:color w:val="auto"/>
              </w:rPr>
              <w:t>Threshold</w:t>
            </w:r>
          </w:p>
        </w:tc>
        <w:tc>
          <w:tcPr>
            <w:tcW w:w="1420" w:type="dxa"/>
            <w:vAlign w:val="bottom"/>
          </w:tcPr>
          <w:p>
            <w:pPr>
              <w:ind w:left="500"/>
              <w:spacing w:after="0"/>
              <w:rPr>
                <w:sz w:val="20"/>
                <w:szCs w:val="20"/>
                <w:color w:val="auto"/>
              </w:rPr>
            </w:pPr>
            <w:r>
              <w:rPr>
                <w:rFonts w:ascii="Arial" w:cs="Arial" w:eastAsia="Arial" w:hAnsi="Arial"/>
                <w:sz w:val="14"/>
                <w:szCs w:val="14"/>
                <w:b w:val="1"/>
                <w:bCs w:val="1"/>
                <w:color w:val="auto"/>
              </w:rPr>
              <w:t>Target</w:t>
            </w:r>
          </w:p>
        </w:tc>
        <w:tc>
          <w:tcPr>
            <w:tcW w:w="1820" w:type="dxa"/>
            <w:vAlign w:val="bottom"/>
          </w:tcPr>
          <w:p>
            <w:pPr>
              <w:ind w:left="480"/>
              <w:spacing w:after="0"/>
              <w:rPr>
                <w:sz w:val="20"/>
                <w:szCs w:val="20"/>
                <w:color w:val="auto"/>
              </w:rPr>
            </w:pPr>
            <w:r>
              <w:rPr>
                <w:rFonts w:ascii="Arial" w:cs="Arial" w:eastAsia="Arial" w:hAnsi="Arial"/>
                <w:sz w:val="14"/>
                <w:szCs w:val="14"/>
                <w:b w:val="1"/>
                <w:bCs w:val="1"/>
                <w:color w:val="auto"/>
              </w:rPr>
              <w:t>150% Payout</w:t>
            </w:r>
          </w:p>
        </w:tc>
        <w:tc>
          <w:tcPr>
            <w:tcW w:w="2240" w:type="dxa"/>
            <w:vAlign w:val="bottom"/>
            <w:gridSpan w:val="4"/>
          </w:tcPr>
          <w:p>
            <w:pPr>
              <w:ind w:left="460"/>
              <w:spacing w:after="0"/>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124"/>
        </w:trPr>
        <w:tc>
          <w:tcPr>
            <w:tcW w:w="3540" w:type="dxa"/>
            <w:vAlign w:val="bottom"/>
            <w:tcBorders>
              <w:bottom w:val="single" w:sz="8" w:color="D7282F"/>
            </w:tcBorders>
          </w:tcPr>
          <w:p>
            <w:pPr>
              <w:spacing w:after="0"/>
              <w:rPr>
                <w:sz w:val="10"/>
                <w:szCs w:val="10"/>
                <w:color w:val="auto"/>
              </w:rPr>
            </w:pPr>
          </w:p>
        </w:tc>
        <w:tc>
          <w:tcPr>
            <w:tcW w:w="1420" w:type="dxa"/>
            <w:vAlign w:val="bottom"/>
            <w:tcBorders>
              <w:bottom w:val="single" w:sz="8" w:color="D7282F"/>
            </w:tcBorders>
          </w:tcPr>
          <w:p>
            <w:pPr>
              <w:spacing w:after="0"/>
              <w:rPr>
                <w:sz w:val="10"/>
                <w:szCs w:val="10"/>
                <w:color w:val="auto"/>
              </w:rPr>
            </w:pPr>
          </w:p>
        </w:tc>
        <w:tc>
          <w:tcPr>
            <w:tcW w:w="1820" w:type="dxa"/>
            <w:vAlign w:val="bottom"/>
            <w:tcBorders>
              <w:bottom w:val="single" w:sz="8" w:color="D7282F"/>
            </w:tcBorders>
          </w:tcPr>
          <w:p>
            <w:pPr>
              <w:spacing w:after="0"/>
              <w:rPr>
                <w:sz w:val="10"/>
                <w:szCs w:val="10"/>
                <w:color w:val="auto"/>
              </w:rPr>
            </w:pPr>
          </w:p>
        </w:tc>
        <w:tc>
          <w:tcPr>
            <w:tcW w:w="1160" w:type="dxa"/>
            <w:vAlign w:val="bottom"/>
            <w:tcBorders>
              <w:bottom w:val="single" w:sz="8" w:color="D7282F"/>
            </w:tcBorders>
          </w:tcPr>
          <w:p>
            <w:pPr>
              <w:spacing w:after="0"/>
              <w:rPr>
                <w:sz w:val="10"/>
                <w:szCs w:val="10"/>
                <w:color w:val="auto"/>
              </w:rPr>
            </w:pPr>
          </w:p>
        </w:tc>
        <w:tc>
          <w:tcPr>
            <w:tcW w:w="120" w:type="dxa"/>
            <w:vAlign w:val="bottom"/>
            <w:tcBorders>
              <w:bottom w:val="single" w:sz="8" w:color="D7282F"/>
            </w:tcBorders>
          </w:tcPr>
          <w:p>
            <w:pPr>
              <w:spacing w:after="0"/>
              <w:rPr>
                <w:sz w:val="10"/>
                <w:szCs w:val="10"/>
                <w:color w:val="auto"/>
              </w:rPr>
            </w:pPr>
          </w:p>
        </w:tc>
        <w:tc>
          <w:tcPr>
            <w:tcW w:w="120" w:type="dxa"/>
            <w:vAlign w:val="bottom"/>
            <w:tcBorders>
              <w:bottom w:val="single" w:sz="8" w:color="D7282F"/>
            </w:tcBorders>
          </w:tcPr>
          <w:p>
            <w:pPr>
              <w:spacing w:after="0"/>
              <w:rPr>
                <w:sz w:val="10"/>
                <w:szCs w:val="10"/>
                <w:color w:val="auto"/>
              </w:rPr>
            </w:pPr>
          </w:p>
        </w:tc>
        <w:tc>
          <w:tcPr>
            <w:tcW w:w="840" w:type="dxa"/>
            <w:vAlign w:val="bottom"/>
            <w:tcBorders>
              <w:bottom w:val="single" w:sz="8" w:color="D7282F"/>
            </w:tcBorders>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3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Three-Year</w:t>
            </w:r>
          </w:p>
        </w:tc>
        <w:tc>
          <w:tcPr>
            <w:tcW w:w="14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939598"/>
            </w:tcBorders>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3540" w:type="dxa"/>
            <w:vAlign w:val="bottom"/>
            <w:vMerge w:val="continue"/>
          </w:tcPr>
          <w:p>
            <w:pPr>
              <w:spacing w:after="0"/>
              <w:rPr>
                <w:sz w:val="19"/>
                <w:szCs w:val="19"/>
                <w:color w:val="auto"/>
              </w:rPr>
            </w:pPr>
          </w:p>
        </w:tc>
        <w:tc>
          <w:tcPr>
            <w:tcW w:w="14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540" w:type="dxa"/>
            <w:vAlign w:val="bottom"/>
          </w:tcPr>
          <w:p>
            <w:pPr>
              <w:ind w:left="20"/>
              <w:spacing w:after="0"/>
              <w:rPr>
                <w:sz w:val="20"/>
                <w:szCs w:val="20"/>
                <w:color w:val="auto"/>
              </w:rPr>
            </w:pPr>
            <w:r>
              <w:rPr>
                <w:rFonts w:ascii="Arial" w:cs="Arial" w:eastAsia="Arial" w:hAnsi="Arial"/>
                <w:sz w:val="14"/>
                <w:szCs w:val="14"/>
                <w:b w:val="1"/>
                <w:bCs w:val="1"/>
                <w:color w:val="auto"/>
              </w:rPr>
              <w:t>Cumulative</w:t>
            </w:r>
          </w:p>
        </w:tc>
        <w:tc>
          <w:tcPr>
            <w:tcW w:w="14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40" w:type="dxa"/>
            <w:vAlign w:val="bottom"/>
          </w:tcPr>
          <w:p>
            <w:pPr>
              <w:ind w:left="20"/>
              <w:spacing w:after="0"/>
              <w:rPr>
                <w:sz w:val="20"/>
                <w:szCs w:val="20"/>
                <w:color w:val="auto"/>
              </w:rPr>
            </w:pPr>
            <w:r>
              <w:rPr>
                <w:rFonts w:ascii="Arial" w:cs="Arial" w:eastAsia="Arial" w:hAnsi="Arial"/>
                <w:sz w:val="14"/>
                <w:szCs w:val="14"/>
                <w:b w:val="1"/>
                <w:bCs w:val="1"/>
                <w:color w:val="auto"/>
              </w:rPr>
              <w:t>Revenue ($M)</w:t>
            </w:r>
          </w:p>
        </w:tc>
        <w:tc>
          <w:tcPr>
            <w:tcW w:w="14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3540" w:type="dxa"/>
            <w:vAlign w:val="bottom"/>
            <w:tcBorders>
              <w:bottom w:val="single" w:sz="8" w:color="939598"/>
            </w:tcBorders>
          </w:tcPr>
          <w:p>
            <w:pPr>
              <w:spacing w:after="0"/>
              <w:rPr>
                <w:sz w:val="24"/>
                <w:szCs w:val="24"/>
                <w:color w:val="auto"/>
              </w:rPr>
            </w:pPr>
          </w:p>
        </w:tc>
        <w:tc>
          <w:tcPr>
            <w:tcW w:w="1420" w:type="dxa"/>
            <w:vAlign w:val="bottom"/>
            <w:tcBorders>
              <w:bottom w:val="single" w:sz="8" w:color="939598"/>
            </w:tcBorders>
          </w:tcPr>
          <w:p>
            <w:pPr>
              <w:spacing w:after="0"/>
              <w:rPr>
                <w:sz w:val="24"/>
                <w:szCs w:val="24"/>
                <w:color w:val="auto"/>
              </w:rPr>
            </w:pPr>
          </w:p>
        </w:tc>
        <w:tc>
          <w:tcPr>
            <w:tcW w:w="1820" w:type="dxa"/>
            <w:vAlign w:val="bottom"/>
            <w:tcBorders>
              <w:bottom w:val="single" w:sz="8" w:color="939598"/>
            </w:tcBorders>
          </w:tcPr>
          <w:p>
            <w:pPr>
              <w:spacing w:after="0"/>
              <w:rPr>
                <w:sz w:val="24"/>
                <w:szCs w:val="24"/>
                <w:color w:val="auto"/>
              </w:rPr>
            </w:pPr>
          </w:p>
        </w:tc>
        <w:tc>
          <w:tcPr>
            <w:tcW w:w="1160" w:type="dxa"/>
            <w:vAlign w:val="bottom"/>
            <w:tcBorders>
              <w:bottom w:val="single" w:sz="8" w:color="939598"/>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3540" w:type="dxa"/>
            <w:vAlign w:val="bottom"/>
          </w:tcPr>
          <w:p>
            <w:pPr>
              <w:ind w:left="20"/>
              <w:spacing w:after="0"/>
              <w:rPr>
                <w:sz w:val="20"/>
                <w:szCs w:val="20"/>
                <w:color w:val="auto"/>
              </w:rPr>
            </w:pPr>
            <w:r>
              <w:rPr>
                <w:rFonts w:ascii="Arial" w:cs="Arial" w:eastAsia="Arial" w:hAnsi="Arial"/>
                <w:sz w:val="14"/>
                <w:szCs w:val="14"/>
                <w:b w:val="1"/>
                <w:bCs w:val="1"/>
                <w:color w:val="auto"/>
              </w:rPr>
              <w:t>Three-Year</w:t>
            </w:r>
          </w:p>
        </w:tc>
        <w:tc>
          <w:tcPr>
            <w:tcW w:w="14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40" w:type="dxa"/>
            <w:vAlign w:val="bottom"/>
          </w:tcPr>
          <w:p>
            <w:pPr>
              <w:ind w:left="20"/>
              <w:spacing w:after="0"/>
              <w:rPr>
                <w:sz w:val="20"/>
                <w:szCs w:val="20"/>
                <w:color w:val="auto"/>
              </w:rPr>
            </w:pPr>
            <w:r>
              <w:rPr>
                <w:rFonts w:ascii="Arial" w:cs="Arial" w:eastAsia="Arial" w:hAnsi="Arial"/>
                <w:sz w:val="14"/>
                <w:szCs w:val="14"/>
                <w:b w:val="1"/>
                <w:bCs w:val="1"/>
                <w:color w:val="auto"/>
              </w:rPr>
              <w:t>Average</w:t>
            </w:r>
          </w:p>
        </w:tc>
        <w:tc>
          <w:tcPr>
            <w:tcW w:w="14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40" w:type="dxa"/>
            <w:vAlign w:val="bottom"/>
          </w:tcPr>
          <w:p>
            <w:pPr>
              <w:ind w:left="20"/>
              <w:spacing w:after="0"/>
              <w:rPr>
                <w:sz w:val="20"/>
                <w:szCs w:val="20"/>
                <w:color w:val="auto"/>
              </w:rPr>
            </w:pPr>
            <w:r>
              <w:rPr>
                <w:rFonts w:ascii="Arial" w:cs="Arial" w:eastAsia="Arial" w:hAnsi="Arial"/>
                <w:sz w:val="14"/>
                <w:szCs w:val="14"/>
                <w:b w:val="1"/>
                <w:bCs w:val="1"/>
                <w:color w:val="auto"/>
              </w:rPr>
              <w:t>Segment</w:t>
            </w:r>
          </w:p>
        </w:tc>
        <w:tc>
          <w:tcPr>
            <w:tcW w:w="14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540" w:type="dxa"/>
            <w:vAlign w:val="bottom"/>
          </w:tcPr>
          <w:p>
            <w:pPr>
              <w:ind w:left="20"/>
              <w:spacing w:after="0"/>
              <w:rPr>
                <w:sz w:val="20"/>
                <w:szCs w:val="20"/>
                <w:color w:val="auto"/>
              </w:rPr>
            </w:pPr>
            <w:r>
              <w:rPr>
                <w:rFonts w:ascii="Arial" w:cs="Arial" w:eastAsia="Arial" w:hAnsi="Arial"/>
                <w:sz w:val="14"/>
                <w:szCs w:val="14"/>
                <w:b w:val="1"/>
                <w:bCs w:val="1"/>
                <w:color w:val="auto"/>
              </w:rPr>
              <w:t>Margin</w:t>
            </w:r>
          </w:p>
        </w:tc>
        <w:tc>
          <w:tcPr>
            <w:tcW w:w="14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Pr>
          <w:p>
            <w:pPr>
              <w:ind w:left="20"/>
              <w:spacing w:after="0"/>
              <w:rPr>
                <w:sz w:val="20"/>
                <w:szCs w:val="20"/>
                <w:color w:val="auto"/>
              </w:rPr>
            </w:pPr>
            <w:r>
              <w:rPr>
                <w:rFonts w:ascii="Arial" w:cs="Arial" w:eastAsia="Arial" w:hAnsi="Arial"/>
                <w:sz w:val="14"/>
                <w:szCs w:val="14"/>
                <w:b w:val="1"/>
                <w:bCs w:val="1"/>
                <w:color w:val="auto"/>
              </w:rPr>
              <w:t>Rate</w:t>
            </w:r>
          </w:p>
        </w:tc>
        <w:tc>
          <w:tcPr>
            <w:tcW w:w="14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3540" w:type="dxa"/>
            <w:vAlign w:val="bottom"/>
            <w:tcBorders>
              <w:bottom w:val="single" w:sz="8" w:color="939598"/>
            </w:tcBorders>
          </w:tcPr>
          <w:p>
            <w:pPr>
              <w:spacing w:after="0"/>
              <w:rPr>
                <w:sz w:val="6"/>
                <w:szCs w:val="6"/>
                <w:color w:val="auto"/>
              </w:rPr>
            </w:pPr>
          </w:p>
        </w:tc>
        <w:tc>
          <w:tcPr>
            <w:tcW w:w="1420" w:type="dxa"/>
            <w:vAlign w:val="bottom"/>
            <w:tcBorders>
              <w:bottom w:val="single" w:sz="8" w:color="939598"/>
            </w:tcBorders>
          </w:tcPr>
          <w:p>
            <w:pPr>
              <w:spacing w:after="0"/>
              <w:rPr>
                <w:sz w:val="6"/>
                <w:szCs w:val="6"/>
                <w:color w:val="auto"/>
              </w:rPr>
            </w:pPr>
          </w:p>
        </w:tc>
        <w:tc>
          <w:tcPr>
            <w:tcW w:w="1820" w:type="dxa"/>
            <w:vAlign w:val="bottom"/>
            <w:tcBorders>
              <w:bottom w:val="single" w:sz="8" w:color="939598"/>
            </w:tcBorders>
          </w:tcPr>
          <w:p>
            <w:pPr>
              <w:spacing w:after="0"/>
              <w:rPr>
                <w:sz w:val="6"/>
                <w:szCs w:val="6"/>
                <w:color w:val="auto"/>
              </w:rPr>
            </w:pPr>
          </w:p>
        </w:tc>
        <w:tc>
          <w:tcPr>
            <w:tcW w:w="1160" w:type="dxa"/>
            <w:vAlign w:val="bottom"/>
            <w:tcBorders>
              <w:bottom w:val="single" w:sz="8" w:color="939598"/>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3540" w:type="dxa"/>
            <w:vAlign w:val="bottom"/>
          </w:tcPr>
          <w:p>
            <w:pPr>
              <w:ind w:left="20"/>
              <w:spacing w:after="0"/>
              <w:rPr>
                <w:sz w:val="20"/>
                <w:szCs w:val="20"/>
                <w:color w:val="auto"/>
              </w:rPr>
            </w:pPr>
            <w:r>
              <w:rPr>
                <w:rFonts w:ascii="Arial" w:cs="Arial" w:eastAsia="Arial" w:hAnsi="Arial"/>
                <w:sz w:val="14"/>
                <w:szCs w:val="14"/>
                <w:b w:val="1"/>
                <w:bCs w:val="1"/>
                <w:color w:val="auto"/>
              </w:rPr>
              <w:t>Three-Year</w:t>
            </w:r>
          </w:p>
        </w:tc>
        <w:tc>
          <w:tcPr>
            <w:tcW w:w="14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540" w:type="dxa"/>
            <w:vAlign w:val="bottom"/>
          </w:tcPr>
          <w:p>
            <w:pPr>
              <w:ind w:left="20"/>
              <w:spacing w:after="0"/>
              <w:rPr>
                <w:sz w:val="20"/>
                <w:szCs w:val="20"/>
                <w:color w:val="auto"/>
              </w:rPr>
            </w:pPr>
            <w:r>
              <w:rPr>
                <w:rFonts w:ascii="Arial" w:cs="Arial" w:eastAsia="Arial" w:hAnsi="Arial"/>
                <w:sz w:val="14"/>
                <w:szCs w:val="14"/>
                <w:b w:val="1"/>
                <w:bCs w:val="1"/>
                <w:color w:val="auto"/>
              </w:rPr>
              <w:t>Average ROI</w:t>
            </w:r>
          </w:p>
        </w:tc>
        <w:tc>
          <w:tcPr>
            <w:tcW w:w="14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ind w:left="20"/>
              <w:spacing w:after="0"/>
              <w:rPr>
                <w:sz w:val="20"/>
                <w:szCs w:val="20"/>
                <w:color w:val="auto"/>
              </w:rPr>
            </w:pPr>
            <w:r>
              <w:rPr>
                <w:rFonts w:ascii="Arial" w:cs="Arial" w:eastAsia="Arial" w:hAnsi="Arial"/>
                <w:sz w:val="14"/>
                <w:szCs w:val="14"/>
                <w:b w:val="1"/>
                <w:bCs w:val="1"/>
                <w:color w:val="D7282F"/>
              </w:rPr>
              <w:t>TOTAL</w:t>
            </w:r>
          </w:p>
        </w:tc>
        <w:tc>
          <w:tcPr>
            <w:tcW w:w="0" w:type="dxa"/>
            <w:vAlign w:val="bottom"/>
          </w:tcPr>
          <w:p>
            <w:pPr>
              <w:spacing w:after="0"/>
              <w:rPr>
                <w:sz w:val="1"/>
                <w:szCs w:val="1"/>
                <w:color w:val="auto"/>
              </w:rPr>
            </w:pPr>
          </w:p>
        </w:tc>
      </w:tr>
      <w:tr>
        <w:trPr>
          <w:trHeight w:val="283"/>
        </w:trPr>
        <w:tc>
          <w:tcPr>
            <w:tcW w:w="3540" w:type="dxa"/>
            <w:vAlign w:val="bottom"/>
            <w:vMerge w:val="restart"/>
          </w:tcPr>
          <w:p>
            <w:pPr>
              <w:ind w:left="20"/>
              <w:spacing w:after="0"/>
              <w:rPr>
                <w:sz w:val="20"/>
                <w:szCs w:val="20"/>
                <w:color w:val="auto"/>
              </w:rPr>
            </w:pPr>
            <w:r>
              <w:rPr>
                <w:rFonts w:ascii="Arial" w:cs="Arial" w:eastAsia="Arial" w:hAnsi="Arial"/>
                <w:sz w:val="14"/>
                <w:szCs w:val="14"/>
                <w:b w:val="1"/>
                <w:bCs w:val="1"/>
                <w:color w:val="D7282F"/>
              </w:rPr>
              <w:t>% of PSUs</w:t>
            </w:r>
          </w:p>
        </w:tc>
        <w:tc>
          <w:tcPr>
            <w:tcW w:w="1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14"/>
                <w:szCs w:val="14"/>
                <w:b w:val="1"/>
                <w:bCs w:val="1"/>
                <w:color w:val="D7282F"/>
              </w:rPr>
              <w:t>MAXIMUM</w:t>
            </w:r>
          </w:p>
        </w:tc>
        <w:tc>
          <w:tcPr>
            <w:tcW w:w="0" w:type="dxa"/>
            <w:vAlign w:val="bottom"/>
          </w:tcPr>
          <w:p>
            <w:pPr>
              <w:spacing w:after="0"/>
              <w:rPr>
                <w:sz w:val="1"/>
                <w:szCs w:val="1"/>
                <w:color w:val="auto"/>
              </w:rPr>
            </w:pPr>
          </w:p>
        </w:tc>
      </w:tr>
      <w:tr>
        <w:trPr>
          <w:trHeight w:val="155"/>
        </w:trPr>
        <w:tc>
          <w:tcPr>
            <w:tcW w:w="3540" w:type="dxa"/>
            <w:vAlign w:val="bottom"/>
            <w:vMerge w:val="continue"/>
          </w:tcPr>
          <w:p>
            <w:pPr>
              <w:spacing w:after="0"/>
              <w:rPr>
                <w:sz w:val="13"/>
                <w:szCs w:val="13"/>
                <w:color w:val="auto"/>
              </w:rPr>
            </w:pPr>
          </w:p>
        </w:tc>
        <w:tc>
          <w:tcPr>
            <w:tcW w:w="14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restart"/>
          </w:tcPr>
          <w:p>
            <w:pPr>
              <w:ind w:left="20"/>
              <w:spacing w:after="0"/>
              <w:rPr>
                <w:sz w:val="20"/>
                <w:szCs w:val="20"/>
                <w:color w:val="auto"/>
              </w:rPr>
            </w:pPr>
            <w:r>
              <w:rPr>
                <w:rFonts w:ascii="Arial" w:cs="Arial" w:eastAsia="Arial" w:hAnsi="Arial"/>
                <w:sz w:val="14"/>
                <w:szCs w:val="14"/>
                <w:b w:val="1"/>
                <w:bCs w:val="1"/>
                <w:color w:val="D7282F"/>
              </w:rPr>
              <w:t>PAYOUT</w:t>
            </w:r>
          </w:p>
        </w:tc>
        <w:tc>
          <w:tcPr>
            <w:tcW w:w="0" w:type="dxa"/>
            <w:vAlign w:val="bottom"/>
          </w:tcPr>
          <w:p>
            <w:pPr>
              <w:spacing w:after="0"/>
              <w:rPr>
                <w:sz w:val="1"/>
                <w:szCs w:val="1"/>
                <w:color w:val="auto"/>
              </w:rPr>
            </w:pPr>
          </w:p>
        </w:tc>
      </w:tr>
      <w:tr>
        <w:trPr>
          <w:trHeight w:val="129"/>
        </w:trPr>
        <w:tc>
          <w:tcPr>
            <w:tcW w:w="3540" w:type="dxa"/>
            <w:vAlign w:val="bottom"/>
            <w:vMerge w:val="restart"/>
          </w:tcPr>
          <w:p>
            <w:pPr>
              <w:ind w:left="20"/>
              <w:spacing w:after="0"/>
              <w:rPr>
                <w:sz w:val="20"/>
                <w:szCs w:val="20"/>
                <w:color w:val="auto"/>
              </w:rPr>
            </w:pPr>
            <w:r>
              <w:rPr>
                <w:rFonts w:ascii="Arial" w:cs="Arial" w:eastAsia="Arial" w:hAnsi="Arial"/>
                <w:sz w:val="14"/>
                <w:szCs w:val="14"/>
                <w:b w:val="1"/>
                <w:bCs w:val="1"/>
                <w:color w:val="D7282F"/>
              </w:rPr>
              <w:t>Earned</w:t>
            </w:r>
          </w:p>
        </w:tc>
        <w:tc>
          <w:tcPr>
            <w:tcW w:w="14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3540" w:type="dxa"/>
            <w:vAlign w:val="bottom"/>
            <w:vMerge w:val="continue"/>
          </w:tcPr>
          <w:p>
            <w:pPr>
              <w:spacing w:after="0"/>
              <w:rPr>
                <w:sz w:val="4"/>
                <w:szCs w:val="4"/>
                <w:color w:val="auto"/>
              </w:rPr>
            </w:pPr>
          </w:p>
        </w:tc>
        <w:tc>
          <w:tcPr>
            <w:tcW w:w="14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20"/>
              <w:spacing w:after="0"/>
              <w:rPr>
                <w:sz w:val="20"/>
                <w:szCs w:val="20"/>
                <w:color w:val="auto"/>
              </w:rPr>
            </w:pPr>
            <w:r>
              <w:rPr>
                <w:rFonts w:ascii="Arial" w:cs="Arial" w:eastAsia="Arial" w:hAnsi="Arial"/>
                <w:sz w:val="14"/>
                <w:szCs w:val="14"/>
                <w:b w:val="1"/>
                <w:bCs w:val="1"/>
                <w:color w:val="D7282F"/>
              </w:rPr>
              <w:t>for Each Metric</w:t>
            </w:r>
          </w:p>
        </w:tc>
        <w:tc>
          <w:tcPr>
            <w:tcW w:w="14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Arial" w:cs="Arial" w:eastAsia="Arial" w:hAnsi="Arial"/>
                <w:sz w:val="14"/>
                <w:szCs w:val="14"/>
                <w:b w:val="1"/>
                <w:bCs w:val="1"/>
                <w:color w:val="D7282F"/>
              </w:rPr>
              <w:t>CAPPED</w:t>
            </w:r>
          </w:p>
        </w:tc>
        <w:tc>
          <w:tcPr>
            <w:tcW w:w="0" w:type="dxa"/>
            <w:vAlign w:val="bottom"/>
          </w:tcPr>
          <w:p>
            <w:pPr>
              <w:spacing w:after="0"/>
              <w:rPr>
                <w:sz w:val="1"/>
                <w:szCs w:val="1"/>
                <w:color w:val="auto"/>
              </w:rPr>
            </w:pPr>
          </w:p>
        </w:tc>
      </w:tr>
      <w:tr>
        <w:trPr>
          <w:trHeight w:val="123"/>
        </w:trPr>
        <w:tc>
          <w:tcPr>
            <w:tcW w:w="3540" w:type="dxa"/>
            <w:vAlign w:val="bottom"/>
            <w:tcBorders>
              <w:bottom w:val="single" w:sz="8" w:color="D7282F"/>
            </w:tcBorders>
          </w:tcPr>
          <w:p>
            <w:pPr>
              <w:spacing w:after="0"/>
              <w:rPr>
                <w:sz w:val="10"/>
                <w:szCs w:val="10"/>
                <w:color w:val="auto"/>
              </w:rPr>
            </w:pPr>
          </w:p>
        </w:tc>
        <w:tc>
          <w:tcPr>
            <w:tcW w:w="1420" w:type="dxa"/>
            <w:vAlign w:val="bottom"/>
            <w:tcBorders>
              <w:bottom w:val="single" w:sz="8" w:color="D7282F"/>
            </w:tcBorders>
          </w:tcPr>
          <w:p>
            <w:pPr>
              <w:spacing w:after="0"/>
              <w:rPr>
                <w:sz w:val="10"/>
                <w:szCs w:val="10"/>
                <w:color w:val="auto"/>
              </w:rPr>
            </w:pPr>
          </w:p>
        </w:tc>
        <w:tc>
          <w:tcPr>
            <w:tcW w:w="1820" w:type="dxa"/>
            <w:vAlign w:val="bottom"/>
            <w:tcBorders>
              <w:bottom w:val="single" w:sz="8" w:color="D7282F"/>
            </w:tcBorders>
          </w:tcPr>
          <w:p>
            <w:pPr>
              <w:spacing w:after="0"/>
              <w:rPr>
                <w:sz w:val="10"/>
                <w:szCs w:val="10"/>
                <w:color w:val="auto"/>
              </w:rPr>
            </w:pPr>
          </w:p>
        </w:tc>
        <w:tc>
          <w:tcPr>
            <w:tcW w:w="1160" w:type="dxa"/>
            <w:vAlign w:val="bottom"/>
            <w:tcBorders>
              <w:bottom w:val="single" w:sz="8" w:color="D7282F"/>
            </w:tcBorders>
          </w:tcPr>
          <w:p>
            <w:pPr>
              <w:spacing w:after="0"/>
              <w:rPr>
                <w:sz w:val="10"/>
                <w:szCs w:val="10"/>
                <w:color w:val="auto"/>
              </w:rPr>
            </w:pPr>
          </w:p>
        </w:tc>
        <w:tc>
          <w:tcPr>
            <w:tcW w:w="120" w:type="dxa"/>
            <w:vAlign w:val="bottom"/>
            <w:vMerge w:val="restart"/>
          </w:tcPr>
          <w:p>
            <w:pPr>
              <w:spacing w:after="0"/>
              <w:rPr>
                <w:sz w:val="10"/>
                <w:szCs w:val="10"/>
                <w:color w:val="auto"/>
              </w:rPr>
            </w:pPr>
          </w:p>
        </w:tc>
        <w:tc>
          <w:tcPr>
            <w:tcW w:w="120" w:type="dxa"/>
            <w:vAlign w:val="bottom"/>
            <w:vMerge w:val="restart"/>
          </w:tcPr>
          <w:p>
            <w:pPr>
              <w:spacing w:after="0"/>
              <w:rPr>
                <w:sz w:val="10"/>
                <w:szCs w:val="10"/>
                <w:color w:val="auto"/>
              </w:rPr>
            </w:pPr>
          </w:p>
        </w:tc>
        <w:tc>
          <w:tcPr>
            <w:tcW w:w="840" w:type="dxa"/>
            <w:vAlign w:val="bottom"/>
            <w:vMerge w:val="restart"/>
          </w:tcPr>
          <w:p>
            <w:pPr>
              <w:ind w:left="20"/>
              <w:spacing w:after="0"/>
              <w:rPr>
                <w:sz w:val="20"/>
                <w:szCs w:val="20"/>
                <w:color w:val="auto"/>
              </w:rPr>
            </w:pPr>
            <w:r>
              <w:rPr>
                <w:rFonts w:ascii="Arial" w:cs="Arial" w:eastAsia="Arial" w:hAnsi="Arial"/>
                <w:sz w:val="14"/>
                <w:szCs w:val="14"/>
                <w:b w:val="1"/>
                <w:bCs w:val="1"/>
                <w:color w:val="D7282F"/>
              </w:rPr>
              <w:t>AT 200%</w:t>
            </w:r>
          </w:p>
        </w:tc>
        <w:tc>
          <w:tcPr>
            <w:tcW w:w="0" w:type="dxa"/>
            <w:vAlign w:val="bottom"/>
          </w:tcPr>
          <w:p>
            <w:pPr>
              <w:spacing w:after="0"/>
              <w:rPr>
                <w:sz w:val="1"/>
                <w:szCs w:val="1"/>
                <w:color w:val="auto"/>
              </w:rPr>
            </w:pPr>
          </w:p>
        </w:tc>
      </w:tr>
      <w:tr>
        <w:trPr>
          <w:trHeight w:val="127"/>
        </w:trPr>
        <w:tc>
          <w:tcPr>
            <w:tcW w:w="35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480"/>
              <w:spacing w:after="0"/>
              <w:rPr>
                <w:sz w:val="20"/>
                <w:szCs w:val="20"/>
                <w:color w:val="auto"/>
              </w:rPr>
            </w:pPr>
            <w:r>
              <w:rPr>
                <w:rFonts w:ascii="Arial" w:cs="Arial" w:eastAsia="Arial" w:hAnsi="Arial"/>
                <w:sz w:val="14"/>
                <w:szCs w:val="14"/>
                <w:b w:val="1"/>
                <w:bCs w:val="1"/>
                <w:color w:val="auto"/>
              </w:rPr>
              <w:t>Threshold</w:t>
            </w:r>
          </w:p>
        </w:tc>
        <w:tc>
          <w:tcPr>
            <w:tcW w:w="1420" w:type="dxa"/>
            <w:vAlign w:val="bottom"/>
          </w:tcPr>
          <w:p>
            <w:pPr>
              <w:ind w:left="500"/>
              <w:spacing w:after="0"/>
              <w:rPr>
                <w:sz w:val="20"/>
                <w:szCs w:val="20"/>
                <w:color w:val="auto"/>
              </w:rPr>
            </w:pPr>
            <w:r>
              <w:rPr>
                <w:rFonts w:ascii="Arial" w:cs="Arial" w:eastAsia="Arial" w:hAnsi="Arial"/>
                <w:sz w:val="14"/>
                <w:szCs w:val="14"/>
                <w:b w:val="1"/>
                <w:bCs w:val="1"/>
                <w:color w:val="auto"/>
              </w:rPr>
              <w:t>Target</w:t>
            </w:r>
          </w:p>
        </w:tc>
        <w:tc>
          <w:tcPr>
            <w:tcW w:w="1820" w:type="dxa"/>
            <w:vAlign w:val="bottom"/>
          </w:tcPr>
          <w:p>
            <w:pPr>
              <w:ind w:left="480"/>
              <w:spacing w:after="0"/>
              <w:rPr>
                <w:sz w:val="20"/>
                <w:szCs w:val="20"/>
                <w:color w:val="auto"/>
              </w:rPr>
            </w:pPr>
            <w:r>
              <w:rPr>
                <w:rFonts w:ascii="Arial" w:cs="Arial" w:eastAsia="Arial" w:hAnsi="Arial"/>
                <w:sz w:val="14"/>
                <w:szCs w:val="14"/>
                <w:b w:val="1"/>
                <w:bCs w:val="1"/>
                <w:color w:val="auto"/>
              </w:rPr>
              <w:t>150% Payout</w:t>
            </w:r>
          </w:p>
        </w:tc>
        <w:tc>
          <w:tcPr>
            <w:tcW w:w="2240" w:type="dxa"/>
            <w:vAlign w:val="bottom"/>
            <w:gridSpan w:val="4"/>
          </w:tcPr>
          <w:p>
            <w:pPr>
              <w:ind w:left="460"/>
              <w:spacing w:after="0"/>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123"/>
        </w:trPr>
        <w:tc>
          <w:tcPr>
            <w:tcW w:w="3540" w:type="dxa"/>
            <w:vAlign w:val="bottom"/>
            <w:tcBorders>
              <w:bottom w:val="single" w:sz="8" w:color="D7282F"/>
            </w:tcBorders>
          </w:tcPr>
          <w:p>
            <w:pPr>
              <w:spacing w:after="0"/>
              <w:rPr>
                <w:sz w:val="10"/>
                <w:szCs w:val="10"/>
                <w:color w:val="auto"/>
              </w:rPr>
            </w:pPr>
          </w:p>
        </w:tc>
        <w:tc>
          <w:tcPr>
            <w:tcW w:w="1420" w:type="dxa"/>
            <w:vAlign w:val="bottom"/>
            <w:tcBorders>
              <w:bottom w:val="single" w:sz="8" w:color="D7282F"/>
            </w:tcBorders>
          </w:tcPr>
          <w:p>
            <w:pPr>
              <w:spacing w:after="0"/>
              <w:rPr>
                <w:sz w:val="10"/>
                <w:szCs w:val="10"/>
                <w:color w:val="auto"/>
              </w:rPr>
            </w:pPr>
          </w:p>
        </w:tc>
        <w:tc>
          <w:tcPr>
            <w:tcW w:w="1820" w:type="dxa"/>
            <w:vAlign w:val="bottom"/>
            <w:tcBorders>
              <w:bottom w:val="single" w:sz="8" w:color="D7282F"/>
            </w:tcBorders>
          </w:tcPr>
          <w:p>
            <w:pPr>
              <w:spacing w:after="0"/>
              <w:rPr>
                <w:sz w:val="10"/>
                <w:szCs w:val="10"/>
                <w:color w:val="auto"/>
              </w:rPr>
            </w:pPr>
          </w:p>
        </w:tc>
        <w:tc>
          <w:tcPr>
            <w:tcW w:w="1160" w:type="dxa"/>
            <w:vAlign w:val="bottom"/>
            <w:tcBorders>
              <w:bottom w:val="single" w:sz="8" w:color="D7282F"/>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-2476500</wp:posOffset>
            </wp:positionV>
            <wp:extent cx="4500245" cy="357441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4500245" cy="3574415"/>
                    </a:xfrm>
                    <a:prstGeom prst="rect">
                      <a:avLst/>
                    </a:prstGeom>
                    <a:noFill/>
                  </pic:spPr>
                </pic:pic>
              </a:graphicData>
            </a:graphic>
          </wp:anchor>
        </w:drawing>
      </w:r>
    </w:p>
    <w:p>
      <w:pPr>
        <w:spacing w:after="0" w:line="187"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Three-Year</w:t>
      </w:r>
    </w:p>
    <w:p>
      <w:pPr>
        <w:spacing w:after="0" w:line="29"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Relative</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TSR</w:t>
      </w:r>
    </w:p>
    <w:p>
      <w:pPr>
        <w:spacing w:after="0" w:line="6"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Percentile</w:t>
      </w:r>
      <w:r>
        <w:rPr>
          <w:rFonts w:ascii="Arial" w:cs="Arial" w:eastAsia="Arial" w:hAnsi="Arial"/>
          <w:sz w:val="18"/>
          <w:szCs w:val="18"/>
          <w:b w:val="1"/>
          <w:bCs w:val="1"/>
          <w:color w:val="auto"/>
          <w:vertAlign w:val="superscript"/>
        </w:rPr>
        <w:t>(1)</w:t>
      </w:r>
    </w:p>
    <w:p>
      <w:pPr>
        <w:spacing w:after="0" w:line="219" w:lineRule="exact"/>
        <w:rPr>
          <w:sz w:val="20"/>
          <w:szCs w:val="20"/>
          <w:color w:val="auto"/>
        </w:rPr>
      </w:pPr>
    </w:p>
    <w:p>
      <w:pPr>
        <w:ind w:left="1140" w:right="9360"/>
        <w:spacing w:after="0" w:line="314" w:lineRule="auto"/>
        <w:tabs>
          <w:tab w:leader="none" w:pos="1308" w:val="left"/>
        </w:tabs>
        <w:numPr>
          <w:ilvl w:val="0"/>
          <w:numId w:val="166"/>
        </w:numPr>
        <w:rPr>
          <w:rFonts w:ascii="Arial" w:cs="Arial" w:eastAsia="Arial" w:hAnsi="Arial"/>
          <w:sz w:val="14"/>
          <w:szCs w:val="14"/>
          <w:b w:val="1"/>
          <w:bCs w:val="1"/>
          <w:color w:val="D7282F"/>
        </w:rPr>
      </w:pPr>
      <w:r>
        <w:rPr>
          <w:rFonts w:ascii="Arial" w:cs="Arial" w:eastAsia="Arial" w:hAnsi="Arial"/>
          <w:sz w:val="14"/>
          <w:szCs w:val="14"/>
          <w:b w:val="1"/>
          <w:bCs w:val="1"/>
          <w:color w:val="D7282F"/>
        </w:rPr>
        <w:t>of PSUs Earned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115570</wp:posOffset>
            </wp:positionV>
            <wp:extent cx="571754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5717540" cy="8255"/>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13"/>
          <w:szCs w:val="13"/>
          <w:color w:val="auto"/>
        </w:rPr>
        <w:t>Effective tax rate assumed in targets will be held neutral to target at the time of measurement. Quantinuum business financials excluded from targets and the measurement of actual results.</w:t>
      </w:r>
    </w:p>
    <w:p>
      <w:pPr>
        <w:spacing w:after="0" w:line="62" w:lineRule="exact"/>
        <w:rPr>
          <w:sz w:val="20"/>
          <w:szCs w:val="20"/>
          <w:color w:val="auto"/>
        </w:rPr>
      </w:pPr>
    </w:p>
    <w:p>
      <w:pPr>
        <w:ind w:left="200" w:hanging="192"/>
        <w:spacing w:after="0"/>
        <w:tabs>
          <w:tab w:leader="none" w:pos="200" w:val="left"/>
        </w:tabs>
        <w:numPr>
          <w:ilvl w:val="0"/>
          <w:numId w:val="167"/>
        </w:numPr>
        <w:rPr>
          <w:rFonts w:ascii="Arial" w:cs="Arial" w:eastAsia="Arial" w:hAnsi="Arial"/>
          <w:sz w:val="16"/>
          <w:szCs w:val="16"/>
          <w:color w:val="auto"/>
          <w:vertAlign w:val="superscript"/>
        </w:rPr>
      </w:pPr>
      <w:r>
        <w:rPr>
          <w:rFonts w:ascii="Arial" w:cs="Arial" w:eastAsia="Arial" w:hAnsi="Arial"/>
          <w:sz w:val="13"/>
          <w:szCs w:val="13"/>
          <w:color w:val="auto"/>
        </w:rPr>
        <w:t>Three-year Relative TSR vs the 2025 Compensation Peer Group companies for period of January 1, 2025–December 31, 2027.</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D7282F"/>
        </w:rPr>
        <w:t>2025–2027 PERFORMANCE PLAN AWARDS TO NEOs</w:t>
      </w:r>
    </w:p>
    <w:p>
      <w:pPr>
        <w:spacing w:after="0" w:line="11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following table presents the number of Performance Stock Units granted to the NEOs for the 2025–2027 performance period, along with their respective grant date value: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NEO</w:t>
            </w:r>
          </w:p>
        </w:tc>
        <w:tc>
          <w:tcPr>
            <w:tcW w:w="5020" w:type="dxa"/>
            <w:vAlign w:val="bottom"/>
          </w:tcPr>
          <w:p>
            <w:pPr>
              <w:jc w:val="right"/>
              <w:ind w:right="68"/>
              <w:spacing w:after="0"/>
              <w:rPr>
                <w:sz w:val="20"/>
                <w:szCs w:val="20"/>
                <w:color w:val="auto"/>
              </w:rPr>
            </w:pPr>
            <w:r>
              <w:rPr>
                <w:rFonts w:ascii="Arial" w:cs="Arial" w:eastAsia="Arial" w:hAnsi="Arial"/>
                <w:sz w:val="14"/>
                <w:szCs w:val="14"/>
                <w:b w:val="1"/>
                <w:bCs w:val="1"/>
                <w:color w:val="auto"/>
              </w:rPr>
              <w:t>Target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91"/>
        </w:trPr>
        <w:tc>
          <w:tcPr>
            <w:tcW w:w="5080" w:type="dxa"/>
            <w:vAlign w:val="bottom"/>
            <w:vMerge w:val="continue"/>
          </w:tcPr>
          <w:p>
            <w:pPr>
              <w:spacing w:after="0"/>
              <w:rPr>
                <w:sz w:val="7"/>
                <w:szCs w:val="7"/>
                <w:color w:val="auto"/>
              </w:rPr>
            </w:pPr>
          </w:p>
        </w:tc>
        <w:tc>
          <w:tcPr>
            <w:tcW w:w="50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 of PSUs</w:t>
            </w:r>
            <w:r>
              <w:rPr>
                <w:rFonts w:ascii="Arial" w:cs="Arial" w:eastAsia="Arial" w:hAnsi="Arial"/>
                <w:sz w:val="18"/>
                <w:szCs w:val="18"/>
                <w:b w:val="1"/>
                <w:bCs w:val="1"/>
                <w:color w:val="auto"/>
                <w:vertAlign w:val="superscript"/>
              </w:rPr>
              <w:t>(1)</w:t>
            </w: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18"/>
                <w:szCs w:val="18"/>
                <w:b w:val="1"/>
                <w:bCs w:val="1"/>
                <w:color w:val="auto"/>
                <w:vertAlign w:val="superscript"/>
              </w:rPr>
              <w:t>(2)</w:t>
            </w:r>
          </w:p>
        </w:tc>
        <w:tc>
          <w:tcPr>
            <w:tcW w:w="0" w:type="dxa"/>
            <w:vAlign w:val="bottom"/>
          </w:tcPr>
          <w:p>
            <w:pPr>
              <w:spacing w:after="0"/>
              <w:rPr>
                <w:sz w:val="1"/>
                <w:szCs w:val="1"/>
                <w:color w:val="auto"/>
              </w:rPr>
            </w:pPr>
          </w:p>
        </w:tc>
      </w:tr>
      <w:tr>
        <w:trPr>
          <w:trHeight w:val="124"/>
        </w:trPr>
        <w:tc>
          <w:tcPr>
            <w:tcW w:w="5080" w:type="dxa"/>
            <w:vAlign w:val="bottom"/>
            <w:tcBorders>
              <w:bottom w:val="single" w:sz="8" w:color="D7282F"/>
            </w:tcBorders>
          </w:tcPr>
          <w:p>
            <w:pPr>
              <w:spacing w:after="0"/>
              <w:rPr>
                <w:sz w:val="10"/>
                <w:szCs w:val="10"/>
                <w:color w:val="auto"/>
              </w:rPr>
            </w:pPr>
          </w:p>
        </w:tc>
        <w:tc>
          <w:tcPr>
            <w:tcW w:w="5020" w:type="dxa"/>
            <w:vAlign w:val="bottom"/>
            <w:tcBorders>
              <w:bottom w:val="single" w:sz="8" w:color="D7282F"/>
            </w:tcBorders>
            <w:vMerge w:val="continue"/>
          </w:tcPr>
          <w:p>
            <w:pPr>
              <w:spacing w:after="0"/>
              <w:rPr>
                <w:sz w:val="10"/>
                <w:szCs w:val="10"/>
                <w:color w:val="auto"/>
              </w:rPr>
            </w:pPr>
          </w:p>
        </w:tc>
        <w:tc>
          <w:tcPr>
            <w:tcW w:w="1120" w:type="dxa"/>
            <w:vAlign w:val="bottom"/>
            <w:tcBorders>
              <w:bottom w:val="single" w:sz="8" w:color="D7282F"/>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15"/>
        </w:trPr>
        <w:tc>
          <w:tcPr>
            <w:tcW w:w="5080" w:type="dxa"/>
            <w:vAlign w:val="bottom"/>
          </w:tcPr>
          <w:p>
            <w:pPr>
              <w:ind w:left="20"/>
              <w:spacing w:after="0"/>
              <w:rPr>
                <w:sz w:val="20"/>
                <w:szCs w:val="20"/>
                <w:color w:val="auto"/>
              </w:rPr>
            </w:pPr>
            <w:r>
              <w:rPr>
                <w:rFonts w:ascii="Arial" w:cs="Arial" w:eastAsia="Arial" w:hAnsi="Arial"/>
                <w:sz w:val="14"/>
                <w:szCs w:val="14"/>
                <w:b w:val="1"/>
                <w:bCs w:val="1"/>
                <w:color w:val="auto"/>
              </w:rPr>
              <w:t>Mr. Kapur</w:t>
            </w:r>
          </w:p>
        </w:tc>
        <w:tc>
          <w:tcPr>
            <w:tcW w:w="5020" w:type="dxa"/>
            <w:vAlign w:val="bottom"/>
          </w:tcPr>
          <w:p>
            <w:pPr>
              <w:jc w:val="right"/>
              <w:ind w:right="108"/>
              <w:spacing w:after="0"/>
              <w:rPr>
                <w:sz w:val="20"/>
                <w:szCs w:val="20"/>
                <w:color w:val="auto"/>
              </w:rPr>
            </w:pPr>
            <w:r>
              <w:rPr>
                <w:rFonts w:ascii="Arial" w:cs="Arial" w:eastAsia="Arial" w:hAnsi="Arial"/>
                <w:sz w:val="14"/>
                <w:szCs w:val="14"/>
                <w:color w:val="auto"/>
              </w:rPr>
              <w:t>34,300</w:t>
            </w:r>
          </w:p>
        </w:tc>
        <w:tc>
          <w:tcPr>
            <w:tcW w:w="1120" w:type="dxa"/>
            <w:vAlign w:val="bottom"/>
          </w:tcPr>
          <w:p>
            <w:pPr>
              <w:jc w:val="right"/>
              <w:spacing w:after="0"/>
              <w:rPr>
                <w:sz w:val="20"/>
                <w:szCs w:val="20"/>
                <w:color w:val="auto"/>
              </w:rPr>
            </w:pPr>
            <w:r>
              <w:rPr>
                <w:rFonts w:ascii="Arial" w:cs="Arial" w:eastAsia="Arial" w:hAnsi="Arial"/>
                <w:sz w:val="14"/>
                <w:szCs w:val="14"/>
                <w:color w:val="auto"/>
              </w:rPr>
              <w:t>$   7,257,537</w:t>
            </w:r>
          </w:p>
        </w:tc>
        <w:tc>
          <w:tcPr>
            <w:tcW w:w="0" w:type="dxa"/>
            <w:vAlign w:val="bottom"/>
          </w:tcPr>
          <w:p>
            <w:pPr>
              <w:spacing w:after="0"/>
              <w:rPr>
                <w:sz w:val="1"/>
                <w:szCs w:val="1"/>
                <w:color w:val="auto"/>
              </w:rPr>
            </w:pPr>
          </w:p>
        </w:tc>
      </w:tr>
      <w:tr>
        <w:trPr>
          <w:trHeight w:val="123"/>
        </w:trPr>
        <w:tc>
          <w:tcPr>
            <w:tcW w:w="5080" w:type="dxa"/>
            <w:vAlign w:val="bottom"/>
            <w:tcBorders>
              <w:bottom w:val="single" w:sz="8" w:color="939598"/>
            </w:tcBorders>
          </w:tcPr>
          <w:p>
            <w:pPr>
              <w:spacing w:after="0"/>
              <w:rPr>
                <w:sz w:val="10"/>
                <w:szCs w:val="10"/>
                <w:color w:val="auto"/>
              </w:rPr>
            </w:pPr>
          </w:p>
        </w:tc>
        <w:tc>
          <w:tcPr>
            <w:tcW w:w="5020" w:type="dxa"/>
            <w:vAlign w:val="bottom"/>
            <w:tcBorders>
              <w:bottom w:val="single" w:sz="8" w:color="939598"/>
            </w:tcBorders>
          </w:tcPr>
          <w:p>
            <w:pPr>
              <w:spacing w:after="0"/>
              <w:rPr>
                <w:sz w:val="10"/>
                <w:szCs w:val="10"/>
                <w:color w:val="auto"/>
              </w:rPr>
            </w:pPr>
          </w:p>
        </w:tc>
        <w:tc>
          <w:tcPr>
            <w:tcW w:w="112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316"/>
        </w:trPr>
        <w:tc>
          <w:tcPr>
            <w:tcW w:w="5080" w:type="dxa"/>
            <w:vAlign w:val="bottom"/>
          </w:tcPr>
          <w:p>
            <w:pPr>
              <w:ind w:left="20"/>
              <w:spacing w:after="0"/>
              <w:rPr>
                <w:sz w:val="20"/>
                <w:szCs w:val="20"/>
                <w:color w:val="auto"/>
              </w:rPr>
            </w:pPr>
            <w:r>
              <w:rPr>
                <w:rFonts w:ascii="Arial" w:cs="Arial" w:eastAsia="Arial" w:hAnsi="Arial"/>
                <w:sz w:val="14"/>
                <w:szCs w:val="14"/>
                <w:b w:val="1"/>
                <w:bCs w:val="1"/>
                <w:color w:val="auto"/>
              </w:rPr>
              <w:t>Mr. Stepniak</w:t>
            </w:r>
          </w:p>
        </w:tc>
        <w:tc>
          <w:tcPr>
            <w:tcW w:w="5020" w:type="dxa"/>
            <w:vAlign w:val="bottom"/>
          </w:tcPr>
          <w:p>
            <w:pPr>
              <w:jc w:val="right"/>
              <w:ind w:right="108"/>
              <w:spacing w:after="0"/>
              <w:rPr>
                <w:sz w:val="20"/>
                <w:szCs w:val="20"/>
                <w:color w:val="auto"/>
              </w:rPr>
            </w:pPr>
            <w:r>
              <w:rPr>
                <w:rFonts w:ascii="Arial" w:cs="Arial" w:eastAsia="Arial" w:hAnsi="Arial"/>
                <w:sz w:val="14"/>
                <w:szCs w:val="14"/>
                <w:color w:val="auto"/>
              </w:rPr>
              <w:t>9,000</w:t>
            </w:r>
          </w:p>
        </w:tc>
        <w:tc>
          <w:tcPr>
            <w:tcW w:w="1120" w:type="dxa"/>
            <w:vAlign w:val="bottom"/>
          </w:tcPr>
          <w:p>
            <w:pPr>
              <w:jc w:val="right"/>
              <w:spacing w:after="0"/>
              <w:rPr>
                <w:sz w:val="20"/>
                <w:szCs w:val="20"/>
                <w:color w:val="auto"/>
              </w:rPr>
            </w:pPr>
            <w:r>
              <w:rPr>
                <w:rFonts w:ascii="Arial" w:cs="Arial" w:eastAsia="Arial" w:hAnsi="Arial"/>
                <w:sz w:val="14"/>
                <w:szCs w:val="14"/>
                <w:color w:val="auto"/>
              </w:rPr>
              <w:t>1,904,310</w:t>
            </w:r>
          </w:p>
        </w:tc>
        <w:tc>
          <w:tcPr>
            <w:tcW w:w="0" w:type="dxa"/>
            <w:vAlign w:val="bottom"/>
          </w:tcPr>
          <w:p>
            <w:pPr>
              <w:spacing w:after="0"/>
              <w:rPr>
                <w:sz w:val="1"/>
                <w:szCs w:val="1"/>
                <w:color w:val="auto"/>
              </w:rPr>
            </w:pPr>
          </w:p>
        </w:tc>
      </w:tr>
      <w:tr>
        <w:trPr>
          <w:trHeight w:val="123"/>
        </w:trPr>
        <w:tc>
          <w:tcPr>
            <w:tcW w:w="5080" w:type="dxa"/>
            <w:vAlign w:val="bottom"/>
            <w:tcBorders>
              <w:bottom w:val="single" w:sz="8" w:color="939598"/>
            </w:tcBorders>
          </w:tcPr>
          <w:p>
            <w:pPr>
              <w:spacing w:after="0"/>
              <w:rPr>
                <w:sz w:val="10"/>
                <w:szCs w:val="10"/>
                <w:color w:val="auto"/>
              </w:rPr>
            </w:pPr>
          </w:p>
        </w:tc>
        <w:tc>
          <w:tcPr>
            <w:tcW w:w="5020" w:type="dxa"/>
            <w:vAlign w:val="bottom"/>
            <w:tcBorders>
              <w:bottom w:val="single" w:sz="8" w:color="939598"/>
            </w:tcBorders>
          </w:tcPr>
          <w:p>
            <w:pPr>
              <w:spacing w:after="0"/>
              <w:rPr>
                <w:sz w:val="10"/>
                <w:szCs w:val="10"/>
                <w:color w:val="auto"/>
              </w:rPr>
            </w:pPr>
          </w:p>
        </w:tc>
        <w:tc>
          <w:tcPr>
            <w:tcW w:w="112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316"/>
        </w:trPr>
        <w:tc>
          <w:tcPr>
            <w:tcW w:w="5080" w:type="dxa"/>
            <w:vAlign w:val="bottom"/>
          </w:tcPr>
          <w:p>
            <w:pPr>
              <w:ind w:left="20"/>
              <w:spacing w:after="0"/>
              <w:rPr>
                <w:sz w:val="20"/>
                <w:szCs w:val="20"/>
                <w:color w:val="auto"/>
              </w:rPr>
            </w:pPr>
            <w:r>
              <w:rPr>
                <w:rFonts w:ascii="Arial" w:cs="Arial" w:eastAsia="Arial" w:hAnsi="Arial"/>
                <w:sz w:val="14"/>
                <w:szCs w:val="14"/>
                <w:b w:val="1"/>
                <w:bCs w:val="1"/>
                <w:color w:val="auto"/>
              </w:rPr>
              <w:t>Mr. Currier</w:t>
            </w:r>
          </w:p>
        </w:tc>
        <w:tc>
          <w:tcPr>
            <w:tcW w:w="5020" w:type="dxa"/>
            <w:vAlign w:val="bottom"/>
          </w:tcPr>
          <w:p>
            <w:pPr>
              <w:jc w:val="right"/>
              <w:ind w:right="108"/>
              <w:spacing w:after="0"/>
              <w:rPr>
                <w:sz w:val="20"/>
                <w:szCs w:val="20"/>
                <w:color w:val="auto"/>
              </w:rPr>
            </w:pPr>
            <w:r>
              <w:rPr>
                <w:rFonts w:ascii="Arial" w:cs="Arial" w:eastAsia="Arial" w:hAnsi="Arial"/>
                <w:sz w:val="14"/>
                <w:szCs w:val="14"/>
                <w:color w:val="auto"/>
              </w:rPr>
              <w:t>9,500</w:t>
            </w:r>
          </w:p>
        </w:tc>
        <w:tc>
          <w:tcPr>
            <w:tcW w:w="1120" w:type="dxa"/>
            <w:vAlign w:val="bottom"/>
          </w:tcPr>
          <w:p>
            <w:pPr>
              <w:jc w:val="right"/>
              <w:spacing w:after="0"/>
              <w:rPr>
                <w:sz w:val="20"/>
                <w:szCs w:val="20"/>
                <w:color w:val="auto"/>
              </w:rPr>
            </w:pPr>
            <w:r>
              <w:rPr>
                <w:rFonts w:ascii="Arial" w:cs="Arial" w:eastAsia="Arial" w:hAnsi="Arial"/>
                <w:sz w:val="14"/>
                <w:szCs w:val="14"/>
                <w:color w:val="auto"/>
              </w:rPr>
              <w:t>2,010,105</w:t>
            </w:r>
          </w:p>
        </w:tc>
        <w:tc>
          <w:tcPr>
            <w:tcW w:w="0" w:type="dxa"/>
            <w:vAlign w:val="bottom"/>
          </w:tcPr>
          <w:p>
            <w:pPr>
              <w:spacing w:after="0"/>
              <w:rPr>
                <w:sz w:val="1"/>
                <w:szCs w:val="1"/>
                <w:color w:val="auto"/>
              </w:rPr>
            </w:pPr>
          </w:p>
        </w:tc>
      </w:tr>
      <w:tr>
        <w:trPr>
          <w:trHeight w:val="123"/>
        </w:trPr>
        <w:tc>
          <w:tcPr>
            <w:tcW w:w="5080" w:type="dxa"/>
            <w:vAlign w:val="bottom"/>
            <w:tcBorders>
              <w:bottom w:val="single" w:sz="8" w:color="939598"/>
            </w:tcBorders>
          </w:tcPr>
          <w:p>
            <w:pPr>
              <w:spacing w:after="0"/>
              <w:rPr>
                <w:sz w:val="10"/>
                <w:szCs w:val="10"/>
                <w:color w:val="auto"/>
              </w:rPr>
            </w:pPr>
          </w:p>
        </w:tc>
        <w:tc>
          <w:tcPr>
            <w:tcW w:w="5020" w:type="dxa"/>
            <w:vAlign w:val="bottom"/>
            <w:tcBorders>
              <w:bottom w:val="single" w:sz="8" w:color="939598"/>
            </w:tcBorders>
          </w:tcPr>
          <w:p>
            <w:pPr>
              <w:spacing w:after="0"/>
              <w:rPr>
                <w:sz w:val="10"/>
                <w:szCs w:val="10"/>
                <w:color w:val="auto"/>
              </w:rPr>
            </w:pPr>
          </w:p>
        </w:tc>
        <w:tc>
          <w:tcPr>
            <w:tcW w:w="112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371"/>
        </w:trPr>
        <w:tc>
          <w:tcPr>
            <w:tcW w:w="5080" w:type="dxa"/>
            <w:vAlign w:val="bottom"/>
          </w:tcPr>
          <w:p>
            <w:pPr>
              <w:ind w:left="20"/>
              <w:spacing w:after="0"/>
              <w:rPr>
                <w:sz w:val="20"/>
                <w:szCs w:val="20"/>
                <w:color w:val="auto"/>
              </w:rPr>
            </w:pPr>
            <w:r>
              <w:rPr>
                <w:rFonts w:ascii="Arial" w:cs="Arial" w:eastAsia="Arial" w:hAnsi="Arial"/>
                <w:sz w:val="14"/>
                <w:szCs w:val="14"/>
                <w:b w:val="1"/>
                <w:bCs w:val="1"/>
                <w:color w:val="auto"/>
              </w:rPr>
              <w:t>Mr. Masso</w:t>
            </w:r>
            <w:r>
              <w:rPr>
                <w:rFonts w:ascii="Arial" w:cs="Arial" w:eastAsia="Arial" w:hAnsi="Arial"/>
                <w:sz w:val="18"/>
                <w:szCs w:val="18"/>
                <w:b w:val="1"/>
                <w:bCs w:val="1"/>
                <w:color w:val="auto"/>
                <w:vertAlign w:val="superscript"/>
              </w:rPr>
              <w:t>(3)</w:t>
            </w:r>
          </w:p>
        </w:tc>
        <w:tc>
          <w:tcPr>
            <w:tcW w:w="5020" w:type="dxa"/>
            <w:vAlign w:val="bottom"/>
          </w:tcPr>
          <w:p>
            <w:pPr>
              <w:jc w:val="right"/>
              <w:ind w:right="108"/>
              <w:spacing w:after="0"/>
              <w:rPr>
                <w:sz w:val="20"/>
                <w:szCs w:val="20"/>
                <w:color w:val="auto"/>
              </w:rPr>
            </w:pPr>
            <w:r>
              <w:rPr>
                <w:rFonts w:ascii="Arial" w:cs="Arial" w:eastAsia="Arial" w:hAnsi="Arial"/>
                <w:sz w:val="14"/>
                <w:szCs w:val="14"/>
                <w:color w:val="auto"/>
              </w:rPr>
              <w:t>3,662</w:t>
            </w:r>
          </w:p>
        </w:tc>
        <w:tc>
          <w:tcPr>
            <w:tcW w:w="1120" w:type="dxa"/>
            <w:vAlign w:val="bottom"/>
          </w:tcPr>
          <w:p>
            <w:pPr>
              <w:jc w:val="right"/>
              <w:spacing w:after="0"/>
              <w:rPr>
                <w:sz w:val="20"/>
                <w:szCs w:val="20"/>
                <w:color w:val="auto"/>
              </w:rPr>
            </w:pPr>
            <w:r>
              <w:rPr>
                <w:rFonts w:ascii="Arial" w:cs="Arial" w:eastAsia="Arial" w:hAnsi="Arial"/>
                <w:sz w:val="14"/>
                <w:szCs w:val="14"/>
                <w:color w:val="auto"/>
              </w:rPr>
              <w:t>900,193</w:t>
            </w:r>
          </w:p>
        </w:tc>
        <w:tc>
          <w:tcPr>
            <w:tcW w:w="0" w:type="dxa"/>
            <w:vAlign w:val="bottom"/>
          </w:tcPr>
          <w:p>
            <w:pPr>
              <w:spacing w:after="0"/>
              <w:rPr>
                <w:sz w:val="1"/>
                <w:szCs w:val="1"/>
                <w:color w:val="auto"/>
              </w:rPr>
            </w:pPr>
          </w:p>
        </w:tc>
      </w:tr>
      <w:tr>
        <w:trPr>
          <w:trHeight w:val="68"/>
        </w:trPr>
        <w:tc>
          <w:tcPr>
            <w:tcW w:w="5080" w:type="dxa"/>
            <w:vAlign w:val="bottom"/>
            <w:tcBorders>
              <w:bottom w:val="single" w:sz="8" w:color="939598"/>
            </w:tcBorders>
          </w:tcPr>
          <w:p>
            <w:pPr>
              <w:spacing w:after="0"/>
              <w:rPr>
                <w:sz w:val="5"/>
                <w:szCs w:val="5"/>
                <w:color w:val="auto"/>
              </w:rPr>
            </w:pPr>
          </w:p>
        </w:tc>
        <w:tc>
          <w:tcPr>
            <w:tcW w:w="5020" w:type="dxa"/>
            <w:vAlign w:val="bottom"/>
            <w:tcBorders>
              <w:bottom w:val="single" w:sz="8" w:color="939598"/>
            </w:tcBorders>
          </w:tcPr>
          <w:p>
            <w:pPr>
              <w:spacing w:after="0"/>
              <w:rPr>
                <w:sz w:val="5"/>
                <w:szCs w:val="5"/>
                <w:color w:val="auto"/>
              </w:rPr>
            </w:pPr>
          </w:p>
        </w:tc>
        <w:tc>
          <w:tcPr>
            <w:tcW w:w="1120" w:type="dxa"/>
            <w:vAlign w:val="bottom"/>
            <w:tcBorders>
              <w:bottom w:val="single" w:sz="8" w:color="939598"/>
            </w:tcBorders>
          </w:tcPr>
          <w:p>
            <w:pPr>
              <w:spacing w:after="0"/>
              <w:rPr>
                <w:sz w:val="5"/>
                <w:szCs w:val="5"/>
                <w:color w:val="auto"/>
              </w:rPr>
            </w:pPr>
          </w:p>
        </w:tc>
        <w:tc>
          <w:tcPr>
            <w:tcW w:w="0" w:type="dxa"/>
            <w:vAlign w:val="bottom"/>
          </w:tcPr>
          <w:p>
            <w:pPr>
              <w:spacing w:after="0"/>
              <w:rPr>
                <w:sz w:val="1"/>
                <w:szCs w:val="1"/>
                <w:color w:val="auto"/>
              </w:rPr>
            </w:pPr>
          </w:p>
        </w:tc>
      </w:tr>
      <w:tr>
        <w:trPr>
          <w:trHeight w:val="316"/>
        </w:trPr>
        <w:tc>
          <w:tcPr>
            <w:tcW w:w="5080" w:type="dxa"/>
            <w:vAlign w:val="bottom"/>
          </w:tcPr>
          <w:p>
            <w:pPr>
              <w:ind w:left="20"/>
              <w:spacing w:after="0"/>
              <w:rPr>
                <w:sz w:val="20"/>
                <w:szCs w:val="20"/>
                <w:color w:val="auto"/>
              </w:rPr>
            </w:pPr>
            <w:r>
              <w:rPr>
                <w:rFonts w:ascii="Arial" w:cs="Arial" w:eastAsia="Arial" w:hAnsi="Arial"/>
                <w:sz w:val="14"/>
                <w:szCs w:val="14"/>
                <w:b w:val="1"/>
                <w:bCs w:val="1"/>
                <w:color w:val="auto"/>
              </w:rPr>
              <w:t>Mr. Hammoud</w:t>
            </w:r>
          </w:p>
        </w:tc>
        <w:tc>
          <w:tcPr>
            <w:tcW w:w="5020" w:type="dxa"/>
            <w:vAlign w:val="bottom"/>
          </w:tcPr>
          <w:p>
            <w:pPr>
              <w:jc w:val="right"/>
              <w:ind w:right="108"/>
              <w:spacing w:after="0"/>
              <w:rPr>
                <w:sz w:val="20"/>
                <w:szCs w:val="20"/>
                <w:color w:val="auto"/>
              </w:rPr>
            </w:pPr>
            <w:r>
              <w:rPr>
                <w:rFonts w:ascii="Arial" w:cs="Arial" w:eastAsia="Arial" w:hAnsi="Arial"/>
                <w:sz w:val="14"/>
                <w:szCs w:val="14"/>
                <w:color w:val="auto"/>
              </w:rPr>
              <w:t>4,700</w:t>
            </w:r>
          </w:p>
        </w:tc>
        <w:tc>
          <w:tcPr>
            <w:tcW w:w="1120" w:type="dxa"/>
            <w:vAlign w:val="bottom"/>
          </w:tcPr>
          <w:p>
            <w:pPr>
              <w:jc w:val="right"/>
              <w:spacing w:after="0"/>
              <w:rPr>
                <w:sz w:val="20"/>
                <w:szCs w:val="20"/>
                <w:color w:val="auto"/>
              </w:rPr>
            </w:pPr>
            <w:r>
              <w:rPr>
                <w:rFonts w:ascii="Arial" w:cs="Arial" w:eastAsia="Arial" w:hAnsi="Arial"/>
                <w:sz w:val="14"/>
                <w:szCs w:val="14"/>
                <w:color w:val="auto"/>
              </w:rPr>
              <w:t>994,473</w:t>
            </w:r>
          </w:p>
        </w:tc>
        <w:tc>
          <w:tcPr>
            <w:tcW w:w="0" w:type="dxa"/>
            <w:vAlign w:val="bottom"/>
          </w:tcPr>
          <w:p>
            <w:pPr>
              <w:spacing w:after="0"/>
              <w:rPr>
                <w:sz w:val="1"/>
                <w:szCs w:val="1"/>
                <w:color w:val="auto"/>
              </w:rPr>
            </w:pPr>
          </w:p>
        </w:tc>
      </w:tr>
      <w:tr>
        <w:trPr>
          <w:trHeight w:val="123"/>
        </w:trPr>
        <w:tc>
          <w:tcPr>
            <w:tcW w:w="5080" w:type="dxa"/>
            <w:vAlign w:val="bottom"/>
            <w:tcBorders>
              <w:bottom w:val="single" w:sz="8" w:color="939598"/>
            </w:tcBorders>
          </w:tcPr>
          <w:p>
            <w:pPr>
              <w:spacing w:after="0"/>
              <w:rPr>
                <w:sz w:val="10"/>
                <w:szCs w:val="10"/>
                <w:color w:val="auto"/>
              </w:rPr>
            </w:pPr>
          </w:p>
        </w:tc>
        <w:tc>
          <w:tcPr>
            <w:tcW w:w="5020" w:type="dxa"/>
            <w:vAlign w:val="bottom"/>
            <w:tcBorders>
              <w:bottom w:val="single" w:sz="8" w:color="939598"/>
            </w:tcBorders>
          </w:tcPr>
          <w:p>
            <w:pPr>
              <w:spacing w:after="0"/>
              <w:rPr>
                <w:sz w:val="10"/>
                <w:szCs w:val="10"/>
                <w:color w:val="auto"/>
              </w:rPr>
            </w:pPr>
          </w:p>
        </w:tc>
        <w:tc>
          <w:tcPr>
            <w:tcW w:w="112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316"/>
        </w:trPr>
        <w:tc>
          <w:tcPr>
            <w:tcW w:w="5080" w:type="dxa"/>
            <w:vAlign w:val="bottom"/>
          </w:tcPr>
          <w:p>
            <w:pPr>
              <w:ind w:left="20"/>
              <w:spacing w:after="0"/>
              <w:rPr>
                <w:sz w:val="20"/>
                <w:szCs w:val="20"/>
                <w:color w:val="auto"/>
              </w:rPr>
            </w:pPr>
            <w:r>
              <w:rPr>
                <w:rFonts w:ascii="Arial" w:cs="Arial" w:eastAsia="Arial" w:hAnsi="Arial"/>
                <w:sz w:val="14"/>
                <w:szCs w:val="14"/>
                <w:b w:val="1"/>
                <w:bCs w:val="1"/>
                <w:color w:val="auto"/>
              </w:rPr>
              <w:t>Mr. Lewis</w:t>
            </w:r>
          </w:p>
        </w:tc>
        <w:tc>
          <w:tcPr>
            <w:tcW w:w="5020" w:type="dxa"/>
            <w:vAlign w:val="bottom"/>
          </w:tcPr>
          <w:p>
            <w:pPr>
              <w:jc w:val="right"/>
              <w:ind w:right="108"/>
              <w:spacing w:after="0"/>
              <w:rPr>
                <w:sz w:val="20"/>
                <w:szCs w:val="20"/>
                <w:color w:val="auto"/>
              </w:rPr>
            </w:pPr>
            <w:r>
              <w:rPr>
                <w:rFonts w:ascii="Arial" w:cs="Arial" w:eastAsia="Arial" w:hAnsi="Arial"/>
                <w:sz w:val="14"/>
                <w:szCs w:val="14"/>
                <w:color w:val="auto"/>
              </w:rPr>
              <w:t>2,400</w:t>
            </w:r>
          </w:p>
        </w:tc>
        <w:tc>
          <w:tcPr>
            <w:tcW w:w="1120" w:type="dxa"/>
            <w:vAlign w:val="bottom"/>
          </w:tcPr>
          <w:p>
            <w:pPr>
              <w:jc w:val="right"/>
              <w:spacing w:after="0"/>
              <w:rPr>
                <w:sz w:val="20"/>
                <w:szCs w:val="20"/>
                <w:color w:val="auto"/>
              </w:rPr>
            </w:pPr>
            <w:r>
              <w:rPr>
                <w:rFonts w:ascii="Arial" w:cs="Arial" w:eastAsia="Arial" w:hAnsi="Arial"/>
                <w:sz w:val="14"/>
                <w:szCs w:val="14"/>
                <w:color w:val="auto"/>
              </w:rPr>
              <w:t>507,816</w:t>
            </w:r>
          </w:p>
        </w:tc>
        <w:tc>
          <w:tcPr>
            <w:tcW w:w="0" w:type="dxa"/>
            <w:vAlign w:val="bottom"/>
          </w:tcPr>
          <w:p>
            <w:pPr>
              <w:spacing w:after="0"/>
              <w:rPr>
                <w:sz w:val="1"/>
                <w:szCs w:val="1"/>
                <w:color w:val="auto"/>
              </w:rPr>
            </w:pPr>
          </w:p>
        </w:tc>
      </w:tr>
      <w:tr>
        <w:trPr>
          <w:trHeight w:val="123"/>
        </w:trPr>
        <w:tc>
          <w:tcPr>
            <w:tcW w:w="5080" w:type="dxa"/>
            <w:vAlign w:val="bottom"/>
            <w:tcBorders>
              <w:bottom w:val="single" w:sz="8" w:color="939598"/>
            </w:tcBorders>
          </w:tcPr>
          <w:p>
            <w:pPr>
              <w:spacing w:after="0"/>
              <w:rPr>
                <w:sz w:val="10"/>
                <w:szCs w:val="10"/>
                <w:color w:val="auto"/>
              </w:rPr>
            </w:pPr>
          </w:p>
        </w:tc>
        <w:tc>
          <w:tcPr>
            <w:tcW w:w="5020" w:type="dxa"/>
            <w:vAlign w:val="bottom"/>
            <w:tcBorders>
              <w:bottom w:val="single" w:sz="8" w:color="939598"/>
            </w:tcBorders>
          </w:tcPr>
          <w:p>
            <w:pPr>
              <w:spacing w:after="0"/>
              <w:rPr>
                <w:sz w:val="10"/>
                <w:szCs w:val="10"/>
                <w:color w:val="auto"/>
              </w:rPr>
            </w:pPr>
          </w:p>
        </w:tc>
        <w:tc>
          <w:tcPr>
            <w:tcW w:w="112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316"/>
        </w:trPr>
        <w:tc>
          <w:tcPr>
            <w:tcW w:w="5080" w:type="dxa"/>
            <w:vAlign w:val="bottom"/>
          </w:tcPr>
          <w:p>
            <w:pPr>
              <w:ind w:left="20"/>
              <w:spacing w:after="0"/>
              <w:rPr>
                <w:sz w:val="20"/>
                <w:szCs w:val="20"/>
                <w:color w:val="auto"/>
              </w:rPr>
            </w:pPr>
            <w:r>
              <w:rPr>
                <w:rFonts w:ascii="Arial" w:cs="Arial" w:eastAsia="Arial" w:hAnsi="Arial"/>
                <w:sz w:val="14"/>
                <w:szCs w:val="14"/>
                <w:b w:val="1"/>
                <w:bCs w:val="1"/>
                <w:color w:val="auto"/>
              </w:rPr>
              <w:t>Mr. Boldea</w:t>
            </w:r>
          </w:p>
        </w:tc>
        <w:tc>
          <w:tcPr>
            <w:tcW w:w="5020" w:type="dxa"/>
            <w:vAlign w:val="bottom"/>
          </w:tcPr>
          <w:p>
            <w:pPr>
              <w:jc w:val="right"/>
              <w:ind w:right="108"/>
              <w:spacing w:after="0"/>
              <w:rPr>
                <w:sz w:val="20"/>
                <w:szCs w:val="20"/>
                <w:color w:val="auto"/>
              </w:rPr>
            </w:pPr>
            <w:r>
              <w:rPr>
                <w:rFonts w:ascii="Arial" w:cs="Arial" w:eastAsia="Arial" w:hAnsi="Arial"/>
                <w:sz w:val="14"/>
                <w:szCs w:val="14"/>
                <w:color w:val="auto"/>
              </w:rPr>
              <w:t>9,500</w:t>
            </w:r>
          </w:p>
        </w:tc>
        <w:tc>
          <w:tcPr>
            <w:tcW w:w="1120" w:type="dxa"/>
            <w:vAlign w:val="bottom"/>
          </w:tcPr>
          <w:p>
            <w:pPr>
              <w:jc w:val="right"/>
              <w:spacing w:after="0"/>
              <w:rPr>
                <w:sz w:val="20"/>
                <w:szCs w:val="20"/>
                <w:color w:val="auto"/>
              </w:rPr>
            </w:pPr>
            <w:r>
              <w:rPr>
                <w:rFonts w:ascii="Arial" w:cs="Arial" w:eastAsia="Arial" w:hAnsi="Arial"/>
                <w:sz w:val="14"/>
                <w:szCs w:val="14"/>
                <w:color w:val="auto"/>
              </w:rPr>
              <w:t>2,010,105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2343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43" w:lineRule="exact"/>
        <w:rPr>
          <w:sz w:val="20"/>
          <w:szCs w:val="20"/>
          <w:color w:val="auto"/>
        </w:rPr>
      </w:pPr>
    </w:p>
    <w:p>
      <w:pPr>
        <w:ind w:left="200" w:hanging="192"/>
        <w:spacing w:after="0"/>
        <w:tabs>
          <w:tab w:leader="none" w:pos="200" w:val="left"/>
        </w:tabs>
        <w:numPr>
          <w:ilvl w:val="0"/>
          <w:numId w:val="168"/>
        </w:numPr>
        <w:rPr>
          <w:rFonts w:ascii="Arial" w:cs="Arial" w:eastAsia="Arial" w:hAnsi="Arial"/>
          <w:sz w:val="16"/>
          <w:szCs w:val="16"/>
          <w:color w:val="auto"/>
          <w:vertAlign w:val="superscript"/>
        </w:rPr>
      </w:pPr>
      <w:r>
        <w:rPr>
          <w:rFonts w:ascii="Arial" w:cs="Arial" w:eastAsia="Arial" w:hAnsi="Arial"/>
          <w:sz w:val="13"/>
          <w:szCs w:val="13"/>
          <w:color w:val="auto"/>
        </w:rPr>
        <w:t>Reflects the total number of PSUs awarded in 2025 for the 2025–2027 Performance Plan cycle. Annual officer PSUs have a grant date of February 19, 2025.</w:t>
      </w:r>
    </w:p>
    <w:p>
      <w:pPr>
        <w:spacing w:after="0" w:line="56" w:lineRule="exact"/>
        <w:rPr>
          <w:rFonts w:ascii="Arial" w:cs="Arial" w:eastAsia="Arial" w:hAnsi="Arial"/>
          <w:sz w:val="16"/>
          <w:szCs w:val="16"/>
          <w:color w:val="auto"/>
          <w:vertAlign w:val="superscript"/>
        </w:rPr>
      </w:pPr>
    </w:p>
    <w:p>
      <w:pPr>
        <w:ind w:left="200" w:right="40" w:hanging="192"/>
        <w:spacing w:after="0" w:line="233" w:lineRule="auto"/>
        <w:tabs>
          <w:tab w:leader="none" w:pos="200" w:val="left"/>
        </w:tabs>
        <w:numPr>
          <w:ilvl w:val="0"/>
          <w:numId w:val="168"/>
        </w:numPr>
        <w:rPr>
          <w:rFonts w:ascii="Arial" w:cs="Arial" w:eastAsia="Arial" w:hAnsi="Arial"/>
          <w:sz w:val="16"/>
          <w:szCs w:val="16"/>
          <w:color w:val="auto"/>
          <w:vertAlign w:val="superscript"/>
        </w:rPr>
      </w:pPr>
      <w:r>
        <w:rPr>
          <w:rFonts w:ascii="Arial" w:cs="Arial" w:eastAsia="Arial" w:hAnsi="Arial"/>
          <w:sz w:val="13"/>
          <w:szCs w:val="13"/>
          <w:color w:val="auto"/>
        </w:rPr>
        <w:t>The grant date value was determined based on (a) the fair market value of Honeywell stock on the date of grant for the 75% of the award tied to performance against internal metrics, and (b) a multi-factor Monte Carlo simulation of Honeywell’s stock price and TSR relative to each of the other companies in the Compensation Peer Group, for the 25% of the award with payout determined based on three-year TSR relative to the Compensation Peer Group.</w:t>
      </w:r>
    </w:p>
    <w:p>
      <w:pPr>
        <w:spacing w:after="0" w:line="33" w:lineRule="exact"/>
        <w:rPr>
          <w:rFonts w:ascii="Arial" w:cs="Arial" w:eastAsia="Arial" w:hAnsi="Arial"/>
          <w:sz w:val="16"/>
          <w:szCs w:val="16"/>
          <w:color w:val="auto"/>
          <w:vertAlign w:val="superscript"/>
        </w:rPr>
      </w:pPr>
    </w:p>
    <w:p>
      <w:pPr>
        <w:ind w:left="200" w:hanging="192"/>
        <w:spacing w:after="0"/>
        <w:tabs>
          <w:tab w:leader="none" w:pos="200" w:val="left"/>
        </w:tabs>
        <w:numPr>
          <w:ilvl w:val="0"/>
          <w:numId w:val="168"/>
        </w:numPr>
        <w:rPr>
          <w:rFonts w:ascii="Arial" w:cs="Arial" w:eastAsia="Arial" w:hAnsi="Arial"/>
          <w:sz w:val="16"/>
          <w:szCs w:val="16"/>
          <w:color w:val="auto"/>
          <w:vertAlign w:val="superscript"/>
        </w:rPr>
      </w:pPr>
      <w:r>
        <w:rPr>
          <w:rFonts w:ascii="Arial" w:cs="Arial" w:eastAsia="Arial" w:hAnsi="Arial"/>
          <w:sz w:val="13"/>
          <w:szCs w:val="13"/>
          <w:color w:val="auto"/>
        </w:rPr>
        <w:t>Mr. Masso's annual PSU was granted on his hire date of July 14, 2025.</w:t>
      </w:r>
    </w:p>
    <w:p>
      <w:pPr>
        <w:spacing w:after="0" w:line="94"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The actual number of PSUs earned by each NEO for the 2025–2027 cycle will be determined on a formulaic basis as of the date of the spin-off of Honeywell Aerospace, with the original payout date. Dividend equivalents applied during the vesting period as additional PSUs will be adjusted based on the final number of PSUs earned. In determining the final distributions of earned awards, 50% of the resulting PSUs earned will be converted to shares of Company common stock and issued to each NEO, subject to the holding period requirements for officers. The remaining 50% shall be converted to cash based on the</w:t>
      </w:r>
    </w:p>
    <w:p>
      <w:pPr>
        <w:sectPr>
          <w:pgSz w:w="11900" w:h="16853" w:orient="portrait"/>
          <w:cols w:equalWidth="0" w:num="1">
            <w:col w:w="11220"/>
          </w:cols>
          <w:pgMar w:left="320" w:top="230" w:right="359" w:bottom="0" w:gutter="0" w:footer="0" w:header="0"/>
        </w:sectPr>
      </w:pPr>
    </w:p>
    <w:bookmarkStart w:id="82" w:name="page83"/>
    <w:bookmarkEnd w:id="82"/>
    <w:p>
      <w:pPr>
        <w:spacing w:after="0" w:line="286" w:lineRule="auto"/>
        <w:rPr>
          <w:sz w:val="20"/>
          <w:szCs w:val="20"/>
          <w:color w:val="auto"/>
        </w:rPr>
      </w:pPr>
      <w:r>
        <w:rPr>
          <w:rFonts w:ascii="Arial" w:cs="Arial" w:eastAsia="Arial" w:hAnsi="Arial"/>
          <w:sz w:val="16"/>
          <w:szCs w:val="16"/>
          <w:color w:val="auto"/>
        </w:rPr>
        <w:t>fair market value of a share of Honeywell stock on the last day of the performance period and paid to each NEO in the first quarter following the end of the performance period.</w:t>
      </w:r>
    </w:p>
    <w:p>
      <w:pPr>
        <w:spacing w:after="0" w:line="93"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sz w:val="1"/>
          <w:szCs w:val="1"/>
          <w:color w:val="auto"/>
        </w:rPr>
        <w:drawing>
          <wp:inline distT="0" distB="0" distL="0" distR="0">
            <wp:extent cx="548640" cy="102870"/>
            <wp:effectExtent l="0" t="0" r="0" b="0"/>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2026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247015</wp:posOffset>
            </wp:positionV>
            <wp:extent cx="7157720" cy="425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5" w:right="559" w:bottom="1440" w:gutter="0" w:footer="0" w:header="0"/>
        </w:sectPr>
      </w:pPr>
    </w:p>
    <w:bookmarkStart w:id="83" w:name="page84"/>
    <w:bookmarkEnd w:id="83"/>
    <w:p>
      <w:pPr>
        <w:jc w:val="right"/>
        <w:spacing w:after="0"/>
        <w:rPr>
          <w:sz w:val="20"/>
          <w:szCs w:val="20"/>
          <w:color w:val="auto"/>
        </w:rPr>
      </w:pPr>
      <w:r>
        <w:rPr>
          <w:rFonts w:ascii="Arial" w:cs="Arial" w:eastAsia="Arial" w:hAnsi="Arial"/>
          <w:sz w:val="13"/>
          <w:szCs w:val="13"/>
          <w:b w:val="1"/>
          <w:bCs w:val="1"/>
          <w:color w:val="6D6E71"/>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b w:val="1"/>
          <w:bCs w:val="1"/>
          <w:color w:val="D7282F"/>
        </w:rPr>
        <w:t>2023–2025 PERFORMANCE PLAN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0115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32320" cy="1011555"/>
                    </a:xfrm>
                    <a:prstGeom prst="rect">
                      <a:avLst/>
                    </a:prstGeom>
                    <a:noFill/>
                  </pic:spPr>
                </pic:pic>
              </a:graphicData>
            </a:graphic>
          </wp:anchor>
        </w:drawing>
      </w:r>
    </w:p>
    <w:p>
      <w:pPr>
        <w:spacing w:after="0" w:line="295"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2023–2025 SUMMARY</w:t>
      </w:r>
    </w:p>
    <w:p>
      <w:pPr>
        <w:spacing w:after="0" w:line="86" w:lineRule="exact"/>
        <w:rPr>
          <w:sz w:val="20"/>
          <w:szCs w:val="20"/>
          <w:color w:val="auto"/>
        </w:rPr>
      </w:pPr>
    </w:p>
    <w:p>
      <w:pPr>
        <w:ind w:left="360" w:hanging="191"/>
        <w:spacing w:after="0"/>
        <w:tabs>
          <w:tab w:leader="none" w:pos="360" w:val="left"/>
        </w:tabs>
        <w:numPr>
          <w:ilvl w:val="0"/>
          <w:numId w:val="169"/>
        </w:numPr>
        <w:rPr>
          <w:rFonts w:ascii="Arial" w:cs="Arial" w:eastAsia="Arial" w:hAnsi="Arial"/>
          <w:sz w:val="16"/>
          <w:szCs w:val="16"/>
          <w:b w:val="1"/>
          <w:bCs w:val="1"/>
          <w:color w:val="D7282F"/>
        </w:rPr>
      </w:pPr>
      <w:r>
        <w:rPr>
          <w:rFonts w:ascii="Arial" w:cs="Arial" w:eastAsia="Arial" w:hAnsi="Arial"/>
          <w:sz w:val="16"/>
          <w:szCs w:val="16"/>
          <w:color w:val="auto"/>
        </w:rPr>
        <w:t>MDCC approved 2023–2025 PSU payout = 59% of target (Corporate officers).</w:t>
      </w:r>
    </w:p>
    <w:p>
      <w:pPr>
        <w:spacing w:after="0" w:line="86" w:lineRule="exact"/>
        <w:rPr>
          <w:rFonts w:ascii="Arial" w:cs="Arial" w:eastAsia="Arial" w:hAnsi="Arial"/>
          <w:sz w:val="16"/>
          <w:szCs w:val="16"/>
          <w:b w:val="1"/>
          <w:bCs w:val="1"/>
          <w:color w:val="D7282F"/>
        </w:rPr>
      </w:pPr>
    </w:p>
    <w:p>
      <w:pPr>
        <w:ind w:left="360" w:hanging="191"/>
        <w:spacing w:after="0"/>
        <w:tabs>
          <w:tab w:leader="none" w:pos="360" w:val="left"/>
        </w:tabs>
        <w:numPr>
          <w:ilvl w:val="0"/>
          <w:numId w:val="169"/>
        </w:numPr>
        <w:rPr>
          <w:rFonts w:ascii="Arial" w:cs="Arial" w:eastAsia="Arial" w:hAnsi="Arial"/>
          <w:sz w:val="16"/>
          <w:szCs w:val="16"/>
          <w:b w:val="1"/>
          <w:bCs w:val="1"/>
          <w:color w:val="D7282F"/>
        </w:rPr>
      </w:pPr>
      <w:r>
        <w:rPr>
          <w:rFonts w:ascii="Arial" w:cs="Arial" w:eastAsia="Arial" w:hAnsi="Arial"/>
          <w:sz w:val="16"/>
          <w:szCs w:val="16"/>
          <w:color w:val="auto"/>
        </w:rPr>
        <w:t>Payout reflects three-year financial results that were below plan targets at the Total Honeywell level.</w:t>
      </w:r>
    </w:p>
    <w:p>
      <w:pPr>
        <w:spacing w:after="0" w:line="86" w:lineRule="exact"/>
        <w:rPr>
          <w:rFonts w:ascii="Arial" w:cs="Arial" w:eastAsia="Arial" w:hAnsi="Arial"/>
          <w:sz w:val="16"/>
          <w:szCs w:val="16"/>
          <w:b w:val="1"/>
          <w:bCs w:val="1"/>
          <w:color w:val="D7282F"/>
        </w:rPr>
      </w:pPr>
    </w:p>
    <w:p>
      <w:pPr>
        <w:ind w:left="360" w:right="360" w:hanging="191"/>
        <w:spacing w:after="0" w:line="286" w:lineRule="auto"/>
        <w:tabs>
          <w:tab w:leader="none" w:pos="357" w:val="left"/>
        </w:tabs>
        <w:numPr>
          <w:ilvl w:val="0"/>
          <w:numId w:val="169"/>
        </w:numPr>
        <w:rPr>
          <w:rFonts w:ascii="Arial" w:cs="Arial" w:eastAsia="Arial" w:hAnsi="Arial"/>
          <w:sz w:val="16"/>
          <w:szCs w:val="16"/>
          <w:b w:val="1"/>
          <w:bCs w:val="1"/>
          <w:color w:val="D7282F"/>
        </w:rPr>
      </w:pPr>
      <w:r>
        <w:rPr>
          <w:rFonts w:ascii="Arial" w:cs="Arial" w:eastAsia="Arial" w:hAnsi="Arial"/>
          <w:sz w:val="16"/>
          <w:szCs w:val="16"/>
          <w:color w:val="auto"/>
        </w:rPr>
        <w:t>Payout reduced as a result of below threshold result on the three-year Relative TSR metric for the measurement period ending December 31, 2025 (shareowner alignment).</w:t>
      </w: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PSU Formulaic Calculation</w:t>
      </w:r>
    </w:p>
    <w:p>
      <w:pPr>
        <w:spacing w:after="0" w:line="113" w:lineRule="exact"/>
        <w:rPr>
          <w:sz w:val="20"/>
          <w:szCs w:val="20"/>
          <w:color w:val="auto"/>
        </w:rPr>
      </w:pPr>
    </w:p>
    <w:p>
      <w:pPr>
        <w:ind w:right="200"/>
        <w:spacing w:after="0" w:line="304" w:lineRule="auto"/>
        <w:rPr>
          <w:sz w:val="20"/>
          <w:szCs w:val="20"/>
          <w:color w:val="auto"/>
        </w:rPr>
      </w:pPr>
      <w:r>
        <w:rPr>
          <w:rFonts w:ascii="Arial" w:cs="Arial" w:eastAsia="Arial" w:hAnsi="Arial"/>
          <w:sz w:val="16"/>
          <w:szCs w:val="16"/>
          <w:color w:val="auto"/>
        </w:rPr>
        <w:t>In February 2026, the MDCC reviewed the outcomes for the 2023–2025 executive officer PSUs, determined as of December 31, 2025. The following table displays the formulaic 2023–2025 PSU calculation payout results:</w:t>
      </w:r>
    </w:p>
    <w:p>
      <w:pPr>
        <w:spacing w:after="0" w:line="55"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25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40" w:type="dxa"/>
            <w:vAlign w:val="bottom"/>
            <w:tcBorders>
              <w:right w:val="single" w:sz="8" w:color="D7282F"/>
            </w:tcBorders>
          </w:tcPr>
          <w:p>
            <w:pPr>
              <w:spacing w:after="0"/>
              <w:rPr>
                <w:sz w:val="18"/>
                <w:szCs w:val="18"/>
                <w:color w:val="auto"/>
              </w:rPr>
            </w:pPr>
          </w:p>
        </w:tc>
        <w:tc>
          <w:tcPr>
            <w:tcW w:w="1500" w:type="dxa"/>
            <w:vAlign w:val="bottom"/>
            <w:tcBorders>
              <w:top w:val="single" w:sz="8" w:color="D7282F"/>
              <w:right w:val="single" w:sz="8" w:color="D7282F"/>
            </w:tcBorders>
          </w:tcPr>
          <w:p>
            <w:pPr>
              <w:jc w:val="right"/>
              <w:spacing w:after="0"/>
              <w:rPr>
                <w:sz w:val="20"/>
                <w:szCs w:val="20"/>
                <w:color w:val="auto"/>
              </w:rPr>
            </w:pPr>
            <w:r>
              <w:rPr>
                <w:rFonts w:ascii="Arial" w:cs="Arial" w:eastAsia="Arial" w:hAnsi="Arial"/>
                <w:sz w:val="13"/>
                <w:szCs w:val="13"/>
                <w:b w:val="1"/>
                <w:bCs w:val="1"/>
                <w:color w:val="auto"/>
              </w:rPr>
              <w:t>Actual Plan</w:t>
            </w:r>
          </w:p>
        </w:tc>
        <w:tc>
          <w:tcPr>
            <w:tcW w:w="1440" w:type="dxa"/>
            <w:vAlign w:val="bottom"/>
          </w:tcPr>
          <w:p>
            <w:pPr>
              <w:jc w:val="right"/>
              <w:ind w:right="251"/>
              <w:spacing w:after="0"/>
              <w:rPr>
                <w:sz w:val="20"/>
                <w:szCs w:val="20"/>
                <w:color w:val="auto"/>
              </w:rPr>
            </w:pPr>
            <w:r>
              <w:rPr>
                <w:rFonts w:ascii="Arial" w:cs="Arial" w:eastAsia="Arial" w:hAnsi="Arial"/>
                <w:sz w:val="13"/>
                <w:szCs w:val="13"/>
                <w:b w:val="1"/>
                <w:bCs w:val="1"/>
                <w:color w:val="auto"/>
              </w:rPr>
              <w:t>Payout</w:t>
            </w:r>
          </w:p>
        </w:tc>
        <w:tc>
          <w:tcPr>
            <w:tcW w:w="10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93"/>
        </w:trPr>
        <w:tc>
          <w:tcPr>
            <w:tcW w:w="2500" w:type="dxa"/>
            <w:vAlign w:val="bottom"/>
            <w:tcBorders>
              <w:bottom w:val="single" w:sz="8" w:color="D7282F"/>
            </w:tcBorders>
          </w:tcPr>
          <w:p>
            <w:pPr>
              <w:ind w:left="20"/>
              <w:spacing w:after="0"/>
              <w:rPr>
                <w:sz w:val="20"/>
                <w:szCs w:val="20"/>
                <w:color w:val="auto"/>
              </w:rPr>
            </w:pPr>
            <w:r>
              <w:rPr>
                <w:rFonts w:ascii="Arial" w:cs="Arial" w:eastAsia="Arial" w:hAnsi="Arial"/>
                <w:sz w:val="13"/>
                <w:szCs w:val="13"/>
                <w:b w:val="1"/>
                <w:bCs w:val="1"/>
                <w:color w:val="auto"/>
              </w:rPr>
              <w:t>Total Honeywell</w:t>
            </w:r>
          </w:p>
        </w:tc>
        <w:tc>
          <w:tcPr>
            <w:tcW w:w="1420" w:type="dxa"/>
            <w:vAlign w:val="bottom"/>
            <w:tcBorders>
              <w:bottom w:val="single" w:sz="8" w:color="D7282F"/>
            </w:tcBorders>
          </w:tcPr>
          <w:p>
            <w:pPr>
              <w:jc w:val="right"/>
              <w:ind w:right="70"/>
              <w:spacing w:after="0"/>
              <w:rPr>
                <w:sz w:val="20"/>
                <w:szCs w:val="20"/>
                <w:color w:val="auto"/>
              </w:rPr>
            </w:pPr>
            <w:r>
              <w:rPr>
                <w:rFonts w:ascii="Arial" w:cs="Arial" w:eastAsia="Arial" w:hAnsi="Arial"/>
                <w:sz w:val="13"/>
                <w:szCs w:val="13"/>
                <w:b w:val="1"/>
                <w:bCs w:val="1"/>
                <w:color w:val="auto"/>
              </w:rPr>
              <w:t>Threshold</w:t>
            </w:r>
          </w:p>
        </w:tc>
        <w:tc>
          <w:tcPr>
            <w:tcW w:w="1160" w:type="dxa"/>
            <w:vAlign w:val="bottom"/>
            <w:tcBorders>
              <w:bottom w:val="single" w:sz="8" w:color="D7282F"/>
            </w:tcBorders>
          </w:tcPr>
          <w:p>
            <w:pPr>
              <w:jc w:val="right"/>
              <w:spacing w:after="0"/>
              <w:rPr>
                <w:sz w:val="20"/>
                <w:szCs w:val="20"/>
                <w:color w:val="auto"/>
              </w:rPr>
            </w:pPr>
            <w:r>
              <w:rPr>
                <w:rFonts w:ascii="Arial" w:cs="Arial" w:eastAsia="Arial" w:hAnsi="Arial"/>
                <w:sz w:val="13"/>
                <w:szCs w:val="13"/>
                <w:b w:val="1"/>
                <w:bCs w:val="1"/>
                <w:color w:val="auto"/>
              </w:rPr>
              <w:t>Target</w:t>
            </w:r>
          </w:p>
        </w:tc>
        <w:tc>
          <w:tcPr>
            <w:tcW w:w="1340" w:type="dxa"/>
            <w:vAlign w:val="bottom"/>
            <w:tcBorders>
              <w:bottom w:val="single" w:sz="8" w:color="D7282F"/>
              <w:right w:val="single" w:sz="8" w:color="D7282F"/>
            </w:tcBorders>
          </w:tcPr>
          <w:p>
            <w:pPr>
              <w:jc w:val="right"/>
              <w:ind w:right="50"/>
              <w:spacing w:after="0"/>
              <w:rPr>
                <w:sz w:val="20"/>
                <w:szCs w:val="20"/>
                <w:color w:val="auto"/>
              </w:rPr>
            </w:pPr>
            <w:r>
              <w:rPr>
                <w:rFonts w:ascii="Arial" w:cs="Arial" w:eastAsia="Arial" w:hAnsi="Arial"/>
                <w:sz w:val="13"/>
                <w:szCs w:val="13"/>
                <w:b w:val="1"/>
                <w:bCs w:val="1"/>
                <w:color w:val="auto"/>
              </w:rPr>
              <w:t>Maximum</w:t>
            </w:r>
          </w:p>
        </w:tc>
        <w:tc>
          <w:tcPr>
            <w:tcW w:w="1500" w:type="dxa"/>
            <w:vAlign w:val="bottom"/>
            <w:tcBorders>
              <w:bottom w:val="single" w:sz="8" w:color="D7282F"/>
              <w:right w:val="single" w:sz="8" w:color="D7282F"/>
            </w:tcBorders>
          </w:tcPr>
          <w:p>
            <w:pPr>
              <w:jc w:val="right"/>
              <w:spacing w:after="0"/>
              <w:rPr>
                <w:sz w:val="20"/>
                <w:szCs w:val="20"/>
                <w:color w:val="auto"/>
              </w:rPr>
            </w:pPr>
            <w:r>
              <w:rPr>
                <w:rFonts w:ascii="Arial" w:cs="Arial" w:eastAsia="Arial" w:hAnsi="Arial"/>
                <w:sz w:val="13"/>
                <w:szCs w:val="13"/>
                <w:b w:val="1"/>
                <w:bCs w:val="1"/>
                <w:color w:val="auto"/>
              </w:rPr>
              <w:t>Performance</w:t>
            </w:r>
            <w:r>
              <w:rPr>
                <w:rFonts w:ascii="Arial" w:cs="Arial" w:eastAsia="Arial" w:hAnsi="Arial"/>
                <w:sz w:val="16"/>
                <w:szCs w:val="16"/>
                <w:b w:val="1"/>
                <w:bCs w:val="1"/>
                <w:color w:val="auto"/>
                <w:vertAlign w:val="superscript"/>
              </w:rPr>
              <w:t>(1)</w:t>
            </w:r>
          </w:p>
        </w:tc>
        <w:tc>
          <w:tcPr>
            <w:tcW w:w="1440" w:type="dxa"/>
            <w:vAlign w:val="bottom"/>
            <w:tcBorders>
              <w:bottom w:val="single" w:sz="8" w:color="D7282F"/>
            </w:tcBorders>
          </w:tcPr>
          <w:p>
            <w:pPr>
              <w:jc w:val="right"/>
              <w:ind w:right="251"/>
              <w:spacing w:after="0"/>
              <w:rPr>
                <w:sz w:val="20"/>
                <w:szCs w:val="20"/>
                <w:color w:val="auto"/>
              </w:rPr>
            </w:pPr>
            <w:r>
              <w:rPr>
                <w:rFonts w:ascii="Arial" w:cs="Arial" w:eastAsia="Arial" w:hAnsi="Arial"/>
                <w:sz w:val="13"/>
                <w:szCs w:val="13"/>
                <w:b w:val="1"/>
                <w:bCs w:val="1"/>
                <w:color w:val="auto"/>
              </w:rPr>
              <w:t>Factor</w:t>
            </w:r>
          </w:p>
        </w:tc>
        <w:tc>
          <w:tcPr>
            <w:tcW w:w="1020" w:type="dxa"/>
            <w:vAlign w:val="bottom"/>
            <w:tcBorders>
              <w:bottom w:val="single" w:sz="8" w:color="D7282F"/>
            </w:tcBorders>
          </w:tcPr>
          <w:p>
            <w:pPr>
              <w:jc w:val="right"/>
              <w:ind w:right="190"/>
              <w:spacing w:after="0"/>
              <w:rPr>
                <w:sz w:val="20"/>
                <w:szCs w:val="20"/>
                <w:color w:val="auto"/>
              </w:rPr>
            </w:pPr>
            <w:r>
              <w:rPr>
                <w:rFonts w:ascii="Arial" w:cs="Arial" w:eastAsia="Arial" w:hAnsi="Arial"/>
                <w:sz w:val="13"/>
                <w:szCs w:val="13"/>
                <w:b w:val="1"/>
                <w:bCs w:val="1"/>
                <w:color w:val="auto"/>
              </w:rPr>
              <w:t>Weight</w:t>
            </w:r>
          </w:p>
        </w:tc>
        <w:tc>
          <w:tcPr>
            <w:tcW w:w="860" w:type="dxa"/>
            <w:vAlign w:val="bottom"/>
            <w:tcBorders>
              <w:bottom w:val="single" w:sz="8" w:color="D7282F"/>
            </w:tcBorders>
          </w:tcPr>
          <w:p>
            <w:pPr>
              <w:jc w:val="right"/>
              <w:spacing w:after="0"/>
              <w:rPr>
                <w:sz w:val="20"/>
                <w:szCs w:val="20"/>
                <w:color w:val="auto"/>
              </w:rPr>
            </w:pPr>
            <w:r>
              <w:rPr>
                <w:rFonts w:ascii="Arial" w:cs="Arial" w:eastAsia="Arial" w:hAnsi="Arial"/>
                <w:sz w:val="13"/>
                <w:szCs w:val="13"/>
                <w:b w:val="1"/>
                <w:bCs w:val="1"/>
                <w:color w:val="auto"/>
              </w:rPr>
              <w:t>Payout %</w:t>
            </w:r>
          </w:p>
        </w:tc>
        <w:tc>
          <w:tcPr>
            <w:tcW w:w="0" w:type="dxa"/>
            <w:vAlign w:val="bottom"/>
          </w:tcPr>
          <w:p>
            <w:pPr>
              <w:spacing w:after="0"/>
              <w:rPr>
                <w:sz w:val="1"/>
                <w:szCs w:val="1"/>
                <w:color w:val="auto"/>
              </w:rPr>
            </w:pPr>
          </w:p>
        </w:tc>
      </w:tr>
      <w:tr>
        <w:trPr>
          <w:trHeight w:val="316"/>
        </w:trPr>
        <w:tc>
          <w:tcPr>
            <w:tcW w:w="2500" w:type="dxa"/>
            <w:vAlign w:val="bottom"/>
          </w:tcPr>
          <w:p>
            <w:pPr>
              <w:ind w:left="20"/>
              <w:spacing w:after="0"/>
              <w:rPr>
                <w:sz w:val="20"/>
                <w:szCs w:val="20"/>
                <w:color w:val="auto"/>
              </w:rPr>
            </w:pPr>
            <w:r>
              <w:rPr>
                <w:rFonts w:ascii="Arial" w:cs="Arial" w:eastAsia="Arial" w:hAnsi="Arial"/>
                <w:sz w:val="14"/>
                <w:szCs w:val="14"/>
                <w:b w:val="1"/>
                <w:bCs w:val="1"/>
                <w:color w:val="auto"/>
              </w:rPr>
              <w:t>Cumulative Revenue ($M)</w:t>
            </w:r>
          </w:p>
        </w:tc>
        <w:tc>
          <w:tcPr>
            <w:tcW w:w="1420" w:type="dxa"/>
            <w:vAlign w:val="bottom"/>
          </w:tcPr>
          <w:p>
            <w:pPr>
              <w:jc w:val="right"/>
              <w:ind w:right="70"/>
              <w:spacing w:after="0"/>
              <w:rPr>
                <w:sz w:val="20"/>
                <w:szCs w:val="20"/>
                <w:color w:val="auto"/>
              </w:rPr>
            </w:pPr>
            <w:r>
              <w:rPr>
                <w:rFonts w:ascii="Arial" w:cs="Arial" w:eastAsia="Arial" w:hAnsi="Arial"/>
                <w:sz w:val="14"/>
                <w:szCs w:val="14"/>
                <w:color w:val="auto"/>
              </w:rPr>
              <w:t>$106,158</w:t>
            </w:r>
          </w:p>
        </w:tc>
        <w:tc>
          <w:tcPr>
            <w:tcW w:w="1160" w:type="dxa"/>
            <w:vAlign w:val="bottom"/>
          </w:tcPr>
          <w:p>
            <w:pPr>
              <w:jc w:val="right"/>
              <w:spacing w:after="0"/>
              <w:rPr>
                <w:sz w:val="20"/>
                <w:szCs w:val="20"/>
                <w:color w:val="auto"/>
              </w:rPr>
            </w:pPr>
            <w:r>
              <w:rPr>
                <w:rFonts w:ascii="Arial" w:cs="Arial" w:eastAsia="Arial" w:hAnsi="Arial"/>
                <w:sz w:val="14"/>
                <w:szCs w:val="14"/>
                <w:color w:val="auto"/>
              </w:rPr>
              <w:t>$114,148</w:t>
            </w:r>
          </w:p>
        </w:tc>
        <w:tc>
          <w:tcPr>
            <w:tcW w:w="1340" w:type="dxa"/>
            <w:vAlign w:val="bottom"/>
            <w:tcBorders>
              <w:right w:val="single" w:sz="8" w:color="D7282F"/>
            </w:tcBorders>
          </w:tcPr>
          <w:p>
            <w:pPr>
              <w:jc w:val="right"/>
              <w:ind w:right="50"/>
              <w:spacing w:after="0"/>
              <w:rPr>
                <w:sz w:val="20"/>
                <w:szCs w:val="20"/>
                <w:color w:val="auto"/>
              </w:rPr>
            </w:pPr>
            <w:r>
              <w:rPr>
                <w:rFonts w:ascii="Arial" w:cs="Arial" w:eastAsia="Arial" w:hAnsi="Arial"/>
                <w:sz w:val="14"/>
                <w:szCs w:val="14"/>
                <w:color w:val="auto"/>
              </w:rPr>
              <w:t>$118,143</w:t>
            </w:r>
          </w:p>
        </w:tc>
        <w:tc>
          <w:tcPr>
            <w:tcW w:w="1500" w:type="dxa"/>
            <w:vAlign w:val="bottom"/>
            <w:tcBorders>
              <w:right w:val="single" w:sz="8" w:color="D7282F"/>
            </w:tcBorders>
          </w:tcPr>
          <w:p>
            <w:pPr>
              <w:jc w:val="right"/>
              <w:spacing w:after="0"/>
              <w:rPr>
                <w:sz w:val="20"/>
                <w:szCs w:val="20"/>
                <w:color w:val="auto"/>
              </w:rPr>
            </w:pPr>
            <w:r>
              <w:rPr>
                <w:rFonts w:ascii="Arial" w:cs="Arial" w:eastAsia="Arial" w:hAnsi="Arial"/>
                <w:sz w:val="14"/>
                <w:szCs w:val="14"/>
                <w:color w:val="auto"/>
              </w:rPr>
              <w:t>$113,414</w:t>
            </w:r>
          </w:p>
        </w:tc>
        <w:tc>
          <w:tcPr>
            <w:tcW w:w="1440" w:type="dxa"/>
            <w:vAlign w:val="bottom"/>
          </w:tcPr>
          <w:p>
            <w:pPr>
              <w:jc w:val="right"/>
              <w:ind w:right="251"/>
              <w:spacing w:after="0"/>
              <w:rPr>
                <w:sz w:val="20"/>
                <w:szCs w:val="20"/>
                <w:color w:val="auto"/>
              </w:rPr>
            </w:pPr>
            <w:r>
              <w:rPr>
                <w:rFonts w:ascii="Arial" w:cs="Arial" w:eastAsia="Arial" w:hAnsi="Arial"/>
                <w:sz w:val="14"/>
                <w:szCs w:val="14"/>
                <w:color w:val="auto"/>
              </w:rPr>
              <w:t>95.4%</w:t>
            </w:r>
          </w:p>
        </w:tc>
        <w:tc>
          <w:tcPr>
            <w:tcW w:w="1020" w:type="dxa"/>
            <w:vAlign w:val="bottom"/>
          </w:tcPr>
          <w:p>
            <w:pPr>
              <w:jc w:val="right"/>
              <w:ind w:right="190"/>
              <w:spacing w:after="0"/>
              <w:rPr>
                <w:sz w:val="20"/>
                <w:szCs w:val="20"/>
                <w:color w:val="auto"/>
              </w:rPr>
            </w:pPr>
            <w:r>
              <w:rPr>
                <w:rFonts w:ascii="Arial" w:cs="Arial" w:eastAsia="Arial" w:hAnsi="Arial"/>
                <w:sz w:val="14"/>
                <w:szCs w:val="14"/>
                <w:color w:val="auto"/>
              </w:rPr>
              <w:t>25%</w:t>
            </w:r>
          </w:p>
        </w:tc>
        <w:tc>
          <w:tcPr>
            <w:tcW w:w="86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23"/>
        </w:trPr>
        <w:tc>
          <w:tcPr>
            <w:tcW w:w="2500" w:type="dxa"/>
            <w:vAlign w:val="bottom"/>
            <w:tcBorders>
              <w:bottom w:val="single" w:sz="8" w:color="939598"/>
            </w:tcBorders>
          </w:tcPr>
          <w:p>
            <w:pPr>
              <w:spacing w:after="0"/>
              <w:rPr>
                <w:sz w:val="10"/>
                <w:szCs w:val="10"/>
                <w:color w:val="auto"/>
              </w:rPr>
            </w:pPr>
          </w:p>
        </w:tc>
        <w:tc>
          <w:tcPr>
            <w:tcW w:w="1420" w:type="dxa"/>
            <w:vAlign w:val="bottom"/>
            <w:tcBorders>
              <w:bottom w:val="single" w:sz="8" w:color="939598"/>
            </w:tcBorders>
          </w:tcPr>
          <w:p>
            <w:pPr>
              <w:spacing w:after="0"/>
              <w:rPr>
                <w:sz w:val="10"/>
                <w:szCs w:val="10"/>
                <w:color w:val="auto"/>
              </w:rPr>
            </w:pPr>
          </w:p>
        </w:tc>
        <w:tc>
          <w:tcPr>
            <w:tcW w:w="1160" w:type="dxa"/>
            <w:vAlign w:val="bottom"/>
            <w:tcBorders>
              <w:bottom w:val="single" w:sz="8" w:color="939598"/>
            </w:tcBorders>
          </w:tcPr>
          <w:p>
            <w:pPr>
              <w:spacing w:after="0"/>
              <w:rPr>
                <w:sz w:val="10"/>
                <w:szCs w:val="10"/>
                <w:color w:val="auto"/>
              </w:rPr>
            </w:pPr>
          </w:p>
        </w:tc>
        <w:tc>
          <w:tcPr>
            <w:tcW w:w="1340" w:type="dxa"/>
            <w:vAlign w:val="bottom"/>
            <w:tcBorders>
              <w:bottom w:val="single" w:sz="8" w:color="939598"/>
              <w:right w:val="single" w:sz="8" w:color="D7282F"/>
            </w:tcBorders>
          </w:tcPr>
          <w:p>
            <w:pPr>
              <w:spacing w:after="0"/>
              <w:rPr>
                <w:sz w:val="10"/>
                <w:szCs w:val="10"/>
                <w:color w:val="auto"/>
              </w:rPr>
            </w:pPr>
          </w:p>
        </w:tc>
        <w:tc>
          <w:tcPr>
            <w:tcW w:w="1500" w:type="dxa"/>
            <w:vAlign w:val="bottom"/>
            <w:tcBorders>
              <w:bottom w:val="single" w:sz="8" w:color="939598"/>
              <w:right w:val="single" w:sz="8" w:color="D7282F"/>
            </w:tcBorders>
          </w:tcPr>
          <w:p>
            <w:pPr>
              <w:spacing w:after="0"/>
              <w:rPr>
                <w:sz w:val="10"/>
                <w:szCs w:val="10"/>
                <w:color w:val="auto"/>
              </w:rPr>
            </w:pPr>
          </w:p>
        </w:tc>
        <w:tc>
          <w:tcPr>
            <w:tcW w:w="1440" w:type="dxa"/>
            <w:vAlign w:val="bottom"/>
            <w:tcBorders>
              <w:bottom w:val="single" w:sz="8" w:color="939598"/>
            </w:tcBorders>
          </w:tcPr>
          <w:p>
            <w:pPr>
              <w:spacing w:after="0"/>
              <w:rPr>
                <w:sz w:val="10"/>
                <w:szCs w:val="10"/>
                <w:color w:val="auto"/>
              </w:rPr>
            </w:pPr>
          </w:p>
        </w:tc>
        <w:tc>
          <w:tcPr>
            <w:tcW w:w="1020" w:type="dxa"/>
            <w:vAlign w:val="bottom"/>
            <w:tcBorders>
              <w:bottom w:val="single" w:sz="8" w:color="939598"/>
            </w:tcBorders>
          </w:tcPr>
          <w:p>
            <w:pPr>
              <w:spacing w:after="0"/>
              <w:rPr>
                <w:sz w:val="10"/>
                <w:szCs w:val="10"/>
                <w:color w:val="auto"/>
              </w:rPr>
            </w:pPr>
          </w:p>
        </w:tc>
        <w:tc>
          <w:tcPr>
            <w:tcW w:w="86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315"/>
        </w:trPr>
        <w:tc>
          <w:tcPr>
            <w:tcW w:w="2500" w:type="dxa"/>
            <w:vAlign w:val="bottom"/>
          </w:tcPr>
          <w:p>
            <w:pPr>
              <w:ind w:left="20"/>
              <w:spacing w:after="0"/>
              <w:rPr>
                <w:sz w:val="20"/>
                <w:szCs w:val="20"/>
                <w:color w:val="auto"/>
              </w:rPr>
            </w:pPr>
            <w:r>
              <w:rPr>
                <w:rFonts w:ascii="Arial" w:cs="Arial" w:eastAsia="Arial" w:hAnsi="Arial"/>
                <w:sz w:val="14"/>
                <w:szCs w:val="14"/>
                <w:b w:val="1"/>
                <w:bCs w:val="1"/>
                <w:color w:val="auto"/>
              </w:rPr>
              <w:t>Average Segment Margin Rate</w:t>
            </w:r>
          </w:p>
        </w:tc>
        <w:tc>
          <w:tcPr>
            <w:tcW w:w="1420" w:type="dxa"/>
            <w:vAlign w:val="bottom"/>
          </w:tcPr>
          <w:p>
            <w:pPr>
              <w:jc w:val="right"/>
              <w:ind w:right="70"/>
              <w:spacing w:after="0"/>
              <w:rPr>
                <w:sz w:val="20"/>
                <w:szCs w:val="20"/>
                <w:color w:val="auto"/>
              </w:rPr>
            </w:pPr>
            <w:r>
              <w:rPr>
                <w:rFonts w:ascii="Arial" w:cs="Arial" w:eastAsia="Arial" w:hAnsi="Arial"/>
                <w:sz w:val="14"/>
                <w:szCs w:val="14"/>
                <w:color w:val="auto"/>
              </w:rPr>
              <w:t>22.5%</w:t>
            </w:r>
          </w:p>
        </w:tc>
        <w:tc>
          <w:tcPr>
            <w:tcW w:w="1160" w:type="dxa"/>
            <w:vAlign w:val="bottom"/>
          </w:tcPr>
          <w:p>
            <w:pPr>
              <w:jc w:val="right"/>
              <w:spacing w:after="0"/>
              <w:rPr>
                <w:sz w:val="20"/>
                <w:szCs w:val="20"/>
                <w:color w:val="auto"/>
              </w:rPr>
            </w:pPr>
            <w:r>
              <w:rPr>
                <w:rFonts w:ascii="Arial" w:cs="Arial" w:eastAsia="Arial" w:hAnsi="Arial"/>
                <w:sz w:val="14"/>
                <w:szCs w:val="14"/>
                <w:color w:val="auto"/>
              </w:rPr>
              <w:t>23.3%</w:t>
            </w:r>
          </w:p>
        </w:tc>
        <w:tc>
          <w:tcPr>
            <w:tcW w:w="1340" w:type="dxa"/>
            <w:vAlign w:val="bottom"/>
            <w:tcBorders>
              <w:right w:val="single" w:sz="8" w:color="D7282F"/>
            </w:tcBorders>
          </w:tcPr>
          <w:p>
            <w:pPr>
              <w:jc w:val="right"/>
              <w:ind w:right="50"/>
              <w:spacing w:after="0"/>
              <w:rPr>
                <w:sz w:val="20"/>
                <w:szCs w:val="20"/>
                <w:color w:val="auto"/>
              </w:rPr>
            </w:pPr>
            <w:r>
              <w:rPr>
                <w:rFonts w:ascii="Arial" w:cs="Arial" w:eastAsia="Arial" w:hAnsi="Arial"/>
                <w:sz w:val="14"/>
                <w:szCs w:val="14"/>
                <w:color w:val="auto"/>
              </w:rPr>
              <w:t>&gt;= 23.8%</w:t>
            </w:r>
          </w:p>
        </w:tc>
        <w:tc>
          <w:tcPr>
            <w:tcW w:w="1500" w:type="dxa"/>
            <w:vAlign w:val="bottom"/>
            <w:tcBorders>
              <w:right w:val="single" w:sz="8" w:color="D7282F"/>
            </w:tcBorders>
          </w:tcPr>
          <w:p>
            <w:pPr>
              <w:jc w:val="right"/>
              <w:spacing w:after="0"/>
              <w:rPr>
                <w:sz w:val="20"/>
                <w:szCs w:val="20"/>
                <w:color w:val="auto"/>
              </w:rPr>
            </w:pPr>
            <w:r>
              <w:rPr>
                <w:rFonts w:ascii="Arial" w:cs="Arial" w:eastAsia="Arial" w:hAnsi="Arial"/>
                <w:sz w:val="14"/>
                <w:szCs w:val="14"/>
                <w:color w:val="auto"/>
              </w:rPr>
              <w:t>22.8%</w:t>
            </w:r>
          </w:p>
        </w:tc>
        <w:tc>
          <w:tcPr>
            <w:tcW w:w="1440" w:type="dxa"/>
            <w:vAlign w:val="bottom"/>
          </w:tcPr>
          <w:p>
            <w:pPr>
              <w:jc w:val="right"/>
              <w:ind w:right="251"/>
              <w:spacing w:after="0"/>
              <w:rPr>
                <w:sz w:val="20"/>
                <w:szCs w:val="20"/>
                <w:color w:val="auto"/>
              </w:rPr>
            </w:pPr>
            <w:r>
              <w:rPr>
                <w:rFonts w:ascii="Arial" w:cs="Arial" w:eastAsia="Arial" w:hAnsi="Arial"/>
                <w:sz w:val="14"/>
                <w:szCs w:val="14"/>
                <w:color w:val="auto"/>
              </w:rPr>
              <w:t>68.8%</w:t>
            </w:r>
          </w:p>
        </w:tc>
        <w:tc>
          <w:tcPr>
            <w:tcW w:w="1020" w:type="dxa"/>
            <w:vAlign w:val="bottom"/>
          </w:tcPr>
          <w:p>
            <w:pPr>
              <w:jc w:val="right"/>
              <w:ind w:right="190"/>
              <w:spacing w:after="0"/>
              <w:rPr>
                <w:sz w:val="20"/>
                <w:szCs w:val="20"/>
                <w:color w:val="auto"/>
              </w:rPr>
            </w:pPr>
            <w:r>
              <w:rPr>
                <w:rFonts w:ascii="Arial" w:cs="Arial" w:eastAsia="Arial" w:hAnsi="Arial"/>
                <w:sz w:val="14"/>
                <w:szCs w:val="14"/>
                <w:color w:val="auto"/>
              </w:rPr>
              <w:t>25%</w:t>
            </w:r>
          </w:p>
        </w:tc>
        <w:tc>
          <w:tcPr>
            <w:tcW w:w="86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24"/>
        </w:trPr>
        <w:tc>
          <w:tcPr>
            <w:tcW w:w="2500" w:type="dxa"/>
            <w:vAlign w:val="bottom"/>
            <w:tcBorders>
              <w:bottom w:val="single" w:sz="8" w:color="939598"/>
            </w:tcBorders>
          </w:tcPr>
          <w:p>
            <w:pPr>
              <w:spacing w:after="0"/>
              <w:rPr>
                <w:sz w:val="10"/>
                <w:szCs w:val="10"/>
                <w:color w:val="auto"/>
              </w:rPr>
            </w:pPr>
          </w:p>
        </w:tc>
        <w:tc>
          <w:tcPr>
            <w:tcW w:w="1420" w:type="dxa"/>
            <w:vAlign w:val="bottom"/>
            <w:tcBorders>
              <w:bottom w:val="single" w:sz="8" w:color="939598"/>
            </w:tcBorders>
          </w:tcPr>
          <w:p>
            <w:pPr>
              <w:spacing w:after="0"/>
              <w:rPr>
                <w:sz w:val="10"/>
                <w:szCs w:val="10"/>
                <w:color w:val="auto"/>
              </w:rPr>
            </w:pPr>
          </w:p>
        </w:tc>
        <w:tc>
          <w:tcPr>
            <w:tcW w:w="1160" w:type="dxa"/>
            <w:vAlign w:val="bottom"/>
            <w:tcBorders>
              <w:bottom w:val="single" w:sz="8" w:color="939598"/>
            </w:tcBorders>
          </w:tcPr>
          <w:p>
            <w:pPr>
              <w:spacing w:after="0"/>
              <w:rPr>
                <w:sz w:val="10"/>
                <w:szCs w:val="10"/>
                <w:color w:val="auto"/>
              </w:rPr>
            </w:pPr>
          </w:p>
        </w:tc>
        <w:tc>
          <w:tcPr>
            <w:tcW w:w="1340" w:type="dxa"/>
            <w:vAlign w:val="bottom"/>
            <w:tcBorders>
              <w:bottom w:val="single" w:sz="8" w:color="939598"/>
              <w:right w:val="single" w:sz="8" w:color="D7282F"/>
            </w:tcBorders>
          </w:tcPr>
          <w:p>
            <w:pPr>
              <w:spacing w:after="0"/>
              <w:rPr>
                <w:sz w:val="10"/>
                <w:szCs w:val="10"/>
                <w:color w:val="auto"/>
              </w:rPr>
            </w:pPr>
          </w:p>
        </w:tc>
        <w:tc>
          <w:tcPr>
            <w:tcW w:w="1500" w:type="dxa"/>
            <w:vAlign w:val="bottom"/>
            <w:tcBorders>
              <w:bottom w:val="single" w:sz="8" w:color="939598"/>
              <w:right w:val="single" w:sz="8" w:color="D7282F"/>
            </w:tcBorders>
          </w:tcPr>
          <w:p>
            <w:pPr>
              <w:spacing w:after="0"/>
              <w:rPr>
                <w:sz w:val="10"/>
                <w:szCs w:val="10"/>
                <w:color w:val="auto"/>
              </w:rPr>
            </w:pPr>
          </w:p>
        </w:tc>
        <w:tc>
          <w:tcPr>
            <w:tcW w:w="1440" w:type="dxa"/>
            <w:vAlign w:val="bottom"/>
            <w:tcBorders>
              <w:bottom w:val="single" w:sz="8" w:color="939598"/>
            </w:tcBorders>
          </w:tcPr>
          <w:p>
            <w:pPr>
              <w:spacing w:after="0"/>
              <w:rPr>
                <w:sz w:val="10"/>
                <w:szCs w:val="10"/>
                <w:color w:val="auto"/>
              </w:rPr>
            </w:pPr>
          </w:p>
        </w:tc>
        <w:tc>
          <w:tcPr>
            <w:tcW w:w="1020" w:type="dxa"/>
            <w:vAlign w:val="bottom"/>
            <w:tcBorders>
              <w:bottom w:val="single" w:sz="8" w:color="939598"/>
            </w:tcBorders>
          </w:tcPr>
          <w:p>
            <w:pPr>
              <w:spacing w:after="0"/>
              <w:rPr>
                <w:sz w:val="10"/>
                <w:szCs w:val="10"/>
                <w:color w:val="auto"/>
              </w:rPr>
            </w:pPr>
          </w:p>
        </w:tc>
        <w:tc>
          <w:tcPr>
            <w:tcW w:w="86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315"/>
        </w:trPr>
        <w:tc>
          <w:tcPr>
            <w:tcW w:w="2500" w:type="dxa"/>
            <w:vAlign w:val="bottom"/>
          </w:tcPr>
          <w:p>
            <w:pPr>
              <w:ind w:left="20"/>
              <w:spacing w:after="0"/>
              <w:rPr>
                <w:sz w:val="20"/>
                <w:szCs w:val="20"/>
                <w:color w:val="auto"/>
              </w:rPr>
            </w:pPr>
            <w:r>
              <w:rPr>
                <w:rFonts w:ascii="Arial" w:cs="Arial" w:eastAsia="Arial" w:hAnsi="Arial"/>
                <w:sz w:val="14"/>
                <w:szCs w:val="14"/>
                <w:b w:val="1"/>
                <w:bCs w:val="1"/>
                <w:color w:val="auto"/>
              </w:rPr>
              <w:t>Average ROI</w:t>
            </w:r>
          </w:p>
        </w:tc>
        <w:tc>
          <w:tcPr>
            <w:tcW w:w="1420" w:type="dxa"/>
            <w:vAlign w:val="bottom"/>
          </w:tcPr>
          <w:p>
            <w:pPr>
              <w:jc w:val="right"/>
              <w:ind w:right="70"/>
              <w:spacing w:after="0"/>
              <w:rPr>
                <w:sz w:val="20"/>
                <w:szCs w:val="20"/>
                <w:color w:val="auto"/>
              </w:rPr>
            </w:pPr>
            <w:r>
              <w:rPr>
                <w:rFonts w:ascii="Arial" w:cs="Arial" w:eastAsia="Arial" w:hAnsi="Arial"/>
                <w:sz w:val="14"/>
                <w:szCs w:val="14"/>
                <w:color w:val="auto"/>
              </w:rPr>
              <w:t>22.9%</w:t>
            </w:r>
          </w:p>
        </w:tc>
        <w:tc>
          <w:tcPr>
            <w:tcW w:w="1160" w:type="dxa"/>
            <w:vAlign w:val="bottom"/>
          </w:tcPr>
          <w:p>
            <w:pPr>
              <w:jc w:val="right"/>
              <w:spacing w:after="0"/>
              <w:rPr>
                <w:sz w:val="20"/>
                <w:szCs w:val="20"/>
                <w:color w:val="auto"/>
              </w:rPr>
            </w:pPr>
            <w:r>
              <w:rPr>
                <w:rFonts w:ascii="Arial" w:cs="Arial" w:eastAsia="Arial" w:hAnsi="Arial"/>
                <w:sz w:val="14"/>
                <w:szCs w:val="14"/>
                <w:color w:val="auto"/>
              </w:rPr>
              <w:t>24.4%</w:t>
            </w:r>
          </w:p>
        </w:tc>
        <w:tc>
          <w:tcPr>
            <w:tcW w:w="1340" w:type="dxa"/>
            <w:vAlign w:val="bottom"/>
            <w:tcBorders>
              <w:right w:val="single" w:sz="8" w:color="D7282F"/>
            </w:tcBorders>
          </w:tcPr>
          <w:p>
            <w:pPr>
              <w:jc w:val="right"/>
              <w:ind w:right="50"/>
              <w:spacing w:after="0"/>
              <w:rPr>
                <w:sz w:val="20"/>
                <w:szCs w:val="20"/>
                <w:color w:val="auto"/>
              </w:rPr>
            </w:pPr>
            <w:r>
              <w:rPr>
                <w:rFonts w:ascii="Arial" w:cs="Arial" w:eastAsia="Arial" w:hAnsi="Arial"/>
                <w:sz w:val="14"/>
                <w:szCs w:val="14"/>
                <w:color w:val="auto"/>
              </w:rPr>
              <w:t>&gt;= 25.4%</w:t>
            </w:r>
          </w:p>
        </w:tc>
        <w:tc>
          <w:tcPr>
            <w:tcW w:w="1500" w:type="dxa"/>
            <w:vAlign w:val="bottom"/>
            <w:tcBorders>
              <w:right w:val="single" w:sz="8" w:color="D7282F"/>
            </w:tcBorders>
          </w:tcPr>
          <w:p>
            <w:pPr>
              <w:jc w:val="right"/>
              <w:spacing w:after="0"/>
              <w:rPr>
                <w:sz w:val="20"/>
                <w:szCs w:val="20"/>
                <w:color w:val="auto"/>
              </w:rPr>
            </w:pPr>
            <w:r>
              <w:rPr>
                <w:rFonts w:ascii="Arial" w:cs="Arial" w:eastAsia="Arial" w:hAnsi="Arial"/>
                <w:sz w:val="14"/>
                <w:szCs w:val="14"/>
                <w:color w:val="auto"/>
              </w:rPr>
              <w:t>23.5%</w:t>
            </w:r>
          </w:p>
        </w:tc>
        <w:tc>
          <w:tcPr>
            <w:tcW w:w="1440" w:type="dxa"/>
            <w:vAlign w:val="bottom"/>
          </w:tcPr>
          <w:p>
            <w:pPr>
              <w:jc w:val="right"/>
              <w:ind w:right="251"/>
              <w:spacing w:after="0"/>
              <w:rPr>
                <w:sz w:val="20"/>
                <w:szCs w:val="20"/>
                <w:color w:val="auto"/>
              </w:rPr>
            </w:pPr>
            <w:r>
              <w:rPr>
                <w:rFonts w:ascii="Arial" w:cs="Arial" w:eastAsia="Arial" w:hAnsi="Arial"/>
                <w:sz w:val="14"/>
                <w:szCs w:val="14"/>
                <w:color w:val="auto"/>
              </w:rPr>
              <w:t>70.0%</w:t>
            </w:r>
          </w:p>
        </w:tc>
        <w:tc>
          <w:tcPr>
            <w:tcW w:w="1020" w:type="dxa"/>
            <w:vAlign w:val="bottom"/>
          </w:tcPr>
          <w:p>
            <w:pPr>
              <w:jc w:val="right"/>
              <w:ind w:right="190"/>
              <w:spacing w:after="0"/>
              <w:rPr>
                <w:sz w:val="20"/>
                <w:szCs w:val="20"/>
                <w:color w:val="auto"/>
              </w:rPr>
            </w:pPr>
            <w:r>
              <w:rPr>
                <w:rFonts w:ascii="Arial" w:cs="Arial" w:eastAsia="Arial" w:hAnsi="Arial"/>
                <w:sz w:val="14"/>
                <w:szCs w:val="14"/>
                <w:color w:val="auto"/>
              </w:rPr>
              <w:t>25%</w:t>
            </w:r>
          </w:p>
        </w:tc>
        <w:tc>
          <w:tcPr>
            <w:tcW w:w="86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24"/>
        </w:trPr>
        <w:tc>
          <w:tcPr>
            <w:tcW w:w="2500" w:type="dxa"/>
            <w:vAlign w:val="bottom"/>
            <w:tcBorders>
              <w:bottom w:val="single" w:sz="8" w:color="939598"/>
            </w:tcBorders>
          </w:tcPr>
          <w:p>
            <w:pPr>
              <w:spacing w:after="0"/>
              <w:rPr>
                <w:sz w:val="10"/>
                <w:szCs w:val="10"/>
                <w:color w:val="auto"/>
              </w:rPr>
            </w:pPr>
          </w:p>
        </w:tc>
        <w:tc>
          <w:tcPr>
            <w:tcW w:w="1420" w:type="dxa"/>
            <w:vAlign w:val="bottom"/>
            <w:tcBorders>
              <w:bottom w:val="single" w:sz="8" w:color="939598"/>
            </w:tcBorders>
          </w:tcPr>
          <w:p>
            <w:pPr>
              <w:spacing w:after="0"/>
              <w:rPr>
                <w:sz w:val="10"/>
                <w:szCs w:val="10"/>
                <w:color w:val="auto"/>
              </w:rPr>
            </w:pPr>
          </w:p>
        </w:tc>
        <w:tc>
          <w:tcPr>
            <w:tcW w:w="1160" w:type="dxa"/>
            <w:vAlign w:val="bottom"/>
            <w:tcBorders>
              <w:bottom w:val="single" w:sz="8" w:color="939598"/>
            </w:tcBorders>
          </w:tcPr>
          <w:p>
            <w:pPr>
              <w:spacing w:after="0"/>
              <w:rPr>
                <w:sz w:val="10"/>
                <w:szCs w:val="10"/>
                <w:color w:val="auto"/>
              </w:rPr>
            </w:pPr>
          </w:p>
        </w:tc>
        <w:tc>
          <w:tcPr>
            <w:tcW w:w="1340" w:type="dxa"/>
            <w:vAlign w:val="bottom"/>
            <w:tcBorders>
              <w:bottom w:val="single" w:sz="8" w:color="939598"/>
              <w:right w:val="single" w:sz="8" w:color="D7282F"/>
            </w:tcBorders>
          </w:tcPr>
          <w:p>
            <w:pPr>
              <w:spacing w:after="0"/>
              <w:rPr>
                <w:sz w:val="10"/>
                <w:szCs w:val="10"/>
                <w:color w:val="auto"/>
              </w:rPr>
            </w:pPr>
          </w:p>
        </w:tc>
        <w:tc>
          <w:tcPr>
            <w:tcW w:w="1500" w:type="dxa"/>
            <w:vAlign w:val="bottom"/>
            <w:tcBorders>
              <w:bottom w:val="single" w:sz="8" w:color="939598"/>
              <w:right w:val="single" w:sz="8" w:color="D7282F"/>
            </w:tcBorders>
          </w:tcPr>
          <w:p>
            <w:pPr>
              <w:spacing w:after="0"/>
              <w:rPr>
                <w:sz w:val="10"/>
                <w:szCs w:val="10"/>
                <w:color w:val="auto"/>
              </w:rPr>
            </w:pPr>
          </w:p>
        </w:tc>
        <w:tc>
          <w:tcPr>
            <w:tcW w:w="1440" w:type="dxa"/>
            <w:vAlign w:val="bottom"/>
            <w:tcBorders>
              <w:bottom w:val="single" w:sz="8" w:color="939598"/>
            </w:tcBorders>
          </w:tcPr>
          <w:p>
            <w:pPr>
              <w:spacing w:after="0"/>
              <w:rPr>
                <w:sz w:val="10"/>
                <w:szCs w:val="10"/>
                <w:color w:val="auto"/>
              </w:rPr>
            </w:pPr>
          </w:p>
        </w:tc>
        <w:tc>
          <w:tcPr>
            <w:tcW w:w="1020" w:type="dxa"/>
            <w:vAlign w:val="bottom"/>
            <w:tcBorders>
              <w:bottom w:val="single" w:sz="8" w:color="939598"/>
            </w:tcBorders>
          </w:tcPr>
          <w:p>
            <w:pPr>
              <w:spacing w:after="0"/>
              <w:rPr>
                <w:sz w:val="10"/>
                <w:szCs w:val="10"/>
                <w:color w:val="auto"/>
              </w:rPr>
            </w:pPr>
          </w:p>
        </w:tc>
        <w:tc>
          <w:tcPr>
            <w:tcW w:w="86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315"/>
        </w:trPr>
        <w:tc>
          <w:tcPr>
            <w:tcW w:w="2500" w:type="dxa"/>
            <w:vAlign w:val="bottom"/>
          </w:tcPr>
          <w:p>
            <w:pPr>
              <w:ind w:left="20"/>
              <w:spacing w:after="0"/>
              <w:rPr>
                <w:sz w:val="20"/>
                <w:szCs w:val="20"/>
                <w:color w:val="auto"/>
              </w:rPr>
            </w:pPr>
            <w:r>
              <w:rPr>
                <w:rFonts w:ascii="Arial" w:cs="Arial" w:eastAsia="Arial" w:hAnsi="Arial"/>
                <w:sz w:val="14"/>
                <w:szCs w:val="14"/>
                <w:b w:val="1"/>
                <w:bCs w:val="1"/>
                <w:color w:val="auto"/>
              </w:rPr>
              <w:t>Three-Year Relative TSR</w:t>
            </w:r>
          </w:p>
        </w:tc>
        <w:tc>
          <w:tcPr>
            <w:tcW w:w="1420" w:type="dxa"/>
            <w:vAlign w:val="bottom"/>
          </w:tcPr>
          <w:p>
            <w:pPr>
              <w:jc w:val="right"/>
              <w:ind w:right="70"/>
              <w:spacing w:after="0"/>
              <w:rPr>
                <w:sz w:val="20"/>
                <w:szCs w:val="20"/>
                <w:color w:val="auto"/>
              </w:rPr>
            </w:pPr>
            <w:r>
              <w:rPr>
                <w:rFonts w:ascii="Arial" w:cs="Arial" w:eastAsia="Arial" w:hAnsi="Arial"/>
                <w:sz w:val="14"/>
                <w:szCs w:val="14"/>
                <w:color w:val="auto"/>
              </w:rPr>
              <w:t>35th Percentile</w:t>
            </w:r>
          </w:p>
        </w:tc>
        <w:tc>
          <w:tcPr>
            <w:tcW w:w="1160" w:type="dxa"/>
            <w:vAlign w:val="bottom"/>
          </w:tcPr>
          <w:p>
            <w:pPr>
              <w:jc w:val="right"/>
              <w:spacing w:after="0"/>
              <w:rPr>
                <w:sz w:val="20"/>
                <w:szCs w:val="20"/>
                <w:color w:val="auto"/>
              </w:rPr>
            </w:pPr>
            <w:r>
              <w:rPr>
                <w:rFonts w:ascii="Arial" w:cs="Arial" w:eastAsia="Arial" w:hAnsi="Arial"/>
                <w:sz w:val="14"/>
                <w:szCs w:val="14"/>
                <w:color w:val="auto"/>
              </w:rPr>
              <w:t>50th Percentile</w:t>
            </w:r>
          </w:p>
        </w:tc>
        <w:tc>
          <w:tcPr>
            <w:tcW w:w="1340" w:type="dxa"/>
            <w:vAlign w:val="bottom"/>
            <w:tcBorders>
              <w:right w:val="single" w:sz="8" w:color="D7282F"/>
            </w:tcBorders>
          </w:tcPr>
          <w:p>
            <w:pPr>
              <w:jc w:val="right"/>
              <w:ind w:right="50"/>
              <w:spacing w:after="0"/>
              <w:rPr>
                <w:sz w:val="20"/>
                <w:szCs w:val="20"/>
                <w:color w:val="auto"/>
              </w:rPr>
            </w:pPr>
            <w:r>
              <w:rPr>
                <w:rFonts w:ascii="Arial" w:cs="Arial" w:eastAsia="Arial" w:hAnsi="Arial"/>
                <w:sz w:val="14"/>
                <w:szCs w:val="14"/>
                <w:color w:val="auto"/>
              </w:rPr>
              <w:t>&gt;= 75th Percentile</w:t>
            </w:r>
          </w:p>
        </w:tc>
        <w:tc>
          <w:tcPr>
            <w:tcW w:w="1500" w:type="dxa"/>
            <w:vAlign w:val="bottom"/>
            <w:tcBorders>
              <w:right w:val="single" w:sz="8" w:color="D7282F"/>
            </w:tcBorders>
          </w:tcPr>
          <w:p>
            <w:pPr>
              <w:jc w:val="right"/>
              <w:spacing w:after="0"/>
              <w:rPr>
                <w:sz w:val="20"/>
                <w:szCs w:val="20"/>
                <w:color w:val="auto"/>
              </w:rPr>
            </w:pPr>
            <w:r>
              <w:rPr>
                <w:rFonts w:ascii="Arial" w:cs="Arial" w:eastAsia="Arial" w:hAnsi="Arial"/>
                <w:sz w:val="14"/>
                <w:szCs w:val="14"/>
                <w:color w:val="auto"/>
              </w:rPr>
              <w:t>16%</w:t>
            </w:r>
          </w:p>
        </w:tc>
        <w:tc>
          <w:tcPr>
            <w:tcW w:w="1440" w:type="dxa"/>
            <w:vAlign w:val="bottom"/>
          </w:tcPr>
          <w:p>
            <w:pPr>
              <w:jc w:val="right"/>
              <w:ind w:right="251"/>
              <w:spacing w:after="0"/>
              <w:rPr>
                <w:sz w:val="20"/>
                <w:szCs w:val="20"/>
                <w:color w:val="auto"/>
              </w:rPr>
            </w:pPr>
            <w:r>
              <w:rPr>
                <w:rFonts w:ascii="Arial" w:cs="Arial" w:eastAsia="Arial" w:hAnsi="Arial"/>
                <w:sz w:val="14"/>
                <w:szCs w:val="14"/>
                <w:color w:val="auto"/>
              </w:rPr>
              <w:t>0.0%</w:t>
            </w:r>
          </w:p>
        </w:tc>
        <w:tc>
          <w:tcPr>
            <w:tcW w:w="1020" w:type="dxa"/>
            <w:vAlign w:val="bottom"/>
          </w:tcPr>
          <w:p>
            <w:pPr>
              <w:jc w:val="right"/>
              <w:ind w:right="190"/>
              <w:spacing w:after="0"/>
              <w:rPr>
                <w:sz w:val="20"/>
                <w:szCs w:val="20"/>
                <w:color w:val="auto"/>
              </w:rPr>
            </w:pPr>
            <w:r>
              <w:rPr>
                <w:rFonts w:ascii="Arial" w:cs="Arial" w:eastAsia="Arial" w:hAnsi="Arial"/>
                <w:sz w:val="14"/>
                <w:szCs w:val="14"/>
                <w:color w:val="auto"/>
              </w:rPr>
              <w:t>25%</w:t>
            </w:r>
          </w:p>
        </w:tc>
        <w:tc>
          <w:tcPr>
            <w:tcW w:w="860" w:type="dxa"/>
            <w:vAlign w:val="bottom"/>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23"/>
        </w:trPr>
        <w:tc>
          <w:tcPr>
            <w:tcW w:w="6420" w:type="dxa"/>
            <w:vAlign w:val="bottom"/>
            <w:tcBorders>
              <w:bottom w:val="single" w:sz="8" w:color="D7282F"/>
              <w:right w:val="single" w:sz="8" w:color="D7282F"/>
            </w:tcBorders>
            <w:gridSpan w:val="4"/>
          </w:tcPr>
          <w:p>
            <w:pPr>
              <w:spacing w:after="0"/>
              <w:rPr>
                <w:sz w:val="10"/>
                <w:szCs w:val="10"/>
                <w:color w:val="auto"/>
              </w:rPr>
            </w:pPr>
          </w:p>
        </w:tc>
        <w:tc>
          <w:tcPr>
            <w:tcW w:w="1500" w:type="dxa"/>
            <w:vAlign w:val="bottom"/>
            <w:tcBorders>
              <w:bottom w:val="single" w:sz="8" w:color="D7282F"/>
              <w:right w:val="single" w:sz="8" w:color="D7282F"/>
            </w:tcBorders>
          </w:tcPr>
          <w:p>
            <w:pPr>
              <w:spacing w:after="0"/>
              <w:rPr>
                <w:sz w:val="10"/>
                <w:szCs w:val="10"/>
                <w:color w:val="auto"/>
              </w:rPr>
            </w:pPr>
          </w:p>
        </w:tc>
        <w:tc>
          <w:tcPr>
            <w:tcW w:w="2460" w:type="dxa"/>
            <w:vAlign w:val="bottom"/>
            <w:tcBorders>
              <w:bottom w:val="single" w:sz="8" w:color="D7282F"/>
            </w:tcBorders>
            <w:gridSpan w:val="2"/>
          </w:tcPr>
          <w:p>
            <w:pPr>
              <w:spacing w:after="0"/>
              <w:rPr>
                <w:sz w:val="10"/>
                <w:szCs w:val="10"/>
                <w:color w:val="auto"/>
              </w:rPr>
            </w:pPr>
          </w:p>
        </w:tc>
        <w:tc>
          <w:tcPr>
            <w:tcW w:w="860" w:type="dxa"/>
            <w:vAlign w:val="bottom"/>
            <w:tcBorders>
              <w:bottom w:val="single" w:sz="8" w:color="D7282F"/>
            </w:tcBorders>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500" w:type="dxa"/>
            <w:vAlign w:val="bottom"/>
            <w:tcBorders>
              <w:bottom w:val="single" w:sz="8" w:color="D7282F"/>
            </w:tcBorders>
          </w:tcPr>
          <w:p>
            <w:pPr>
              <w:spacing w:after="0"/>
              <w:rPr>
                <w:sz w:val="17"/>
                <w:szCs w:val="17"/>
                <w:color w:val="auto"/>
              </w:rPr>
            </w:pPr>
          </w:p>
        </w:tc>
        <w:tc>
          <w:tcPr>
            <w:tcW w:w="1420" w:type="dxa"/>
            <w:vAlign w:val="bottom"/>
            <w:tcBorders>
              <w:bottom w:val="single" w:sz="8" w:color="D7282F"/>
            </w:tcBorders>
          </w:tcPr>
          <w:p>
            <w:pPr>
              <w:spacing w:after="0"/>
              <w:rPr>
                <w:sz w:val="17"/>
                <w:szCs w:val="17"/>
                <w:color w:val="auto"/>
              </w:rPr>
            </w:pPr>
          </w:p>
        </w:tc>
        <w:tc>
          <w:tcPr>
            <w:tcW w:w="1160" w:type="dxa"/>
            <w:vAlign w:val="bottom"/>
            <w:tcBorders>
              <w:bottom w:val="single" w:sz="8" w:color="D7282F"/>
            </w:tcBorders>
          </w:tcPr>
          <w:p>
            <w:pPr>
              <w:spacing w:after="0"/>
              <w:rPr>
                <w:sz w:val="17"/>
                <w:szCs w:val="17"/>
                <w:color w:val="auto"/>
              </w:rPr>
            </w:pPr>
          </w:p>
        </w:tc>
        <w:tc>
          <w:tcPr>
            <w:tcW w:w="1340" w:type="dxa"/>
            <w:vAlign w:val="bottom"/>
            <w:tcBorders>
              <w:bottom w:val="single" w:sz="8" w:color="D7282F"/>
            </w:tcBorders>
          </w:tcPr>
          <w:p>
            <w:pPr>
              <w:spacing w:after="0"/>
              <w:rPr>
                <w:sz w:val="17"/>
                <w:szCs w:val="17"/>
                <w:color w:val="auto"/>
              </w:rPr>
            </w:pPr>
          </w:p>
        </w:tc>
        <w:tc>
          <w:tcPr>
            <w:tcW w:w="1500" w:type="dxa"/>
            <w:vAlign w:val="bottom"/>
            <w:tcBorders>
              <w:bottom w:val="single" w:sz="8" w:color="D7282F"/>
            </w:tcBorders>
          </w:tcPr>
          <w:p>
            <w:pPr>
              <w:spacing w:after="0"/>
              <w:rPr>
                <w:sz w:val="17"/>
                <w:szCs w:val="17"/>
                <w:color w:val="auto"/>
              </w:rPr>
            </w:pPr>
          </w:p>
        </w:tc>
        <w:tc>
          <w:tcPr>
            <w:tcW w:w="144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316"/>
        </w:trPr>
        <w:tc>
          <w:tcPr>
            <w:tcW w:w="10380" w:type="dxa"/>
            <w:vAlign w:val="bottom"/>
            <w:tcBorders>
              <w:left w:val="single" w:sz="8" w:color="D7282F"/>
            </w:tcBorders>
            <w:gridSpan w:val="7"/>
          </w:tcPr>
          <w:p>
            <w:pPr>
              <w:ind w:left="140"/>
              <w:spacing w:after="0"/>
              <w:rPr>
                <w:sz w:val="20"/>
                <w:szCs w:val="20"/>
                <w:color w:val="auto"/>
              </w:rPr>
            </w:pPr>
            <w:r>
              <w:rPr>
                <w:rFonts w:ascii="Arial" w:cs="Arial" w:eastAsia="Arial" w:hAnsi="Arial"/>
                <w:sz w:val="14"/>
                <w:szCs w:val="14"/>
                <w:b w:val="1"/>
                <w:bCs w:val="1"/>
                <w:color w:val="auto"/>
              </w:rPr>
              <w:t>Total PSU Calculated Percentage — Corporate NEOs (Mr. Kapur and Mr. Lewis) — based 100% on performance against Total Honeywell goals</w:t>
            </w:r>
          </w:p>
        </w:tc>
        <w:tc>
          <w:tcPr>
            <w:tcW w:w="860" w:type="dxa"/>
            <w:vAlign w:val="bottom"/>
            <w:tcBorders>
              <w:right w:val="single" w:sz="8" w:color="D7282F"/>
            </w:tcBorders>
          </w:tcPr>
          <w:p>
            <w:pPr>
              <w:jc w:val="right"/>
              <w:spacing w:after="0"/>
              <w:rPr>
                <w:sz w:val="20"/>
                <w:szCs w:val="20"/>
                <w:color w:val="auto"/>
              </w:rPr>
            </w:pPr>
            <w:r>
              <w:rPr>
                <w:rFonts w:ascii="Arial" w:cs="Arial" w:eastAsia="Arial" w:hAnsi="Arial"/>
                <w:sz w:val="13"/>
                <w:szCs w:val="13"/>
                <w:b w:val="1"/>
                <w:bCs w:val="1"/>
                <w:color w:val="auto"/>
              </w:rPr>
              <w:t>59 %</w:t>
            </w:r>
          </w:p>
        </w:tc>
        <w:tc>
          <w:tcPr>
            <w:tcW w:w="0" w:type="dxa"/>
            <w:vAlign w:val="bottom"/>
          </w:tcPr>
          <w:p>
            <w:pPr>
              <w:spacing w:after="0"/>
              <w:rPr>
                <w:sz w:val="1"/>
                <w:szCs w:val="1"/>
                <w:color w:val="auto"/>
              </w:rPr>
            </w:pPr>
          </w:p>
        </w:tc>
      </w:tr>
      <w:tr>
        <w:trPr>
          <w:trHeight w:val="123"/>
        </w:trPr>
        <w:tc>
          <w:tcPr>
            <w:tcW w:w="2500" w:type="dxa"/>
            <w:vAlign w:val="bottom"/>
            <w:tcBorders>
              <w:left w:val="single" w:sz="8" w:color="D7282F"/>
              <w:bottom w:val="single" w:sz="8" w:color="D7282F"/>
            </w:tcBorders>
          </w:tcPr>
          <w:p>
            <w:pPr>
              <w:spacing w:after="0"/>
              <w:rPr>
                <w:sz w:val="10"/>
                <w:szCs w:val="10"/>
                <w:color w:val="auto"/>
              </w:rPr>
            </w:pPr>
          </w:p>
        </w:tc>
        <w:tc>
          <w:tcPr>
            <w:tcW w:w="1420" w:type="dxa"/>
            <w:vAlign w:val="bottom"/>
            <w:tcBorders>
              <w:bottom w:val="single" w:sz="8" w:color="D7282F"/>
            </w:tcBorders>
          </w:tcPr>
          <w:p>
            <w:pPr>
              <w:spacing w:after="0"/>
              <w:rPr>
                <w:sz w:val="10"/>
                <w:szCs w:val="10"/>
                <w:color w:val="auto"/>
              </w:rPr>
            </w:pPr>
          </w:p>
        </w:tc>
        <w:tc>
          <w:tcPr>
            <w:tcW w:w="1160" w:type="dxa"/>
            <w:vAlign w:val="bottom"/>
            <w:tcBorders>
              <w:bottom w:val="single" w:sz="8" w:color="D7282F"/>
            </w:tcBorders>
          </w:tcPr>
          <w:p>
            <w:pPr>
              <w:spacing w:after="0"/>
              <w:rPr>
                <w:sz w:val="10"/>
                <w:szCs w:val="10"/>
                <w:color w:val="auto"/>
              </w:rPr>
            </w:pPr>
          </w:p>
        </w:tc>
        <w:tc>
          <w:tcPr>
            <w:tcW w:w="1340" w:type="dxa"/>
            <w:vAlign w:val="bottom"/>
            <w:tcBorders>
              <w:bottom w:val="single" w:sz="8" w:color="D7282F"/>
            </w:tcBorders>
          </w:tcPr>
          <w:p>
            <w:pPr>
              <w:spacing w:after="0"/>
              <w:rPr>
                <w:sz w:val="10"/>
                <w:szCs w:val="10"/>
                <w:color w:val="auto"/>
              </w:rPr>
            </w:pPr>
          </w:p>
        </w:tc>
        <w:tc>
          <w:tcPr>
            <w:tcW w:w="1500" w:type="dxa"/>
            <w:vAlign w:val="bottom"/>
            <w:tcBorders>
              <w:bottom w:val="single" w:sz="8" w:color="D7282F"/>
            </w:tcBorders>
          </w:tcPr>
          <w:p>
            <w:pPr>
              <w:spacing w:after="0"/>
              <w:rPr>
                <w:sz w:val="10"/>
                <w:szCs w:val="10"/>
                <w:color w:val="auto"/>
              </w:rPr>
            </w:pPr>
          </w:p>
        </w:tc>
        <w:tc>
          <w:tcPr>
            <w:tcW w:w="1440" w:type="dxa"/>
            <w:vAlign w:val="bottom"/>
            <w:tcBorders>
              <w:bottom w:val="single" w:sz="8" w:color="D7282F"/>
            </w:tcBorders>
          </w:tcPr>
          <w:p>
            <w:pPr>
              <w:spacing w:after="0"/>
              <w:rPr>
                <w:sz w:val="10"/>
                <w:szCs w:val="10"/>
                <w:color w:val="auto"/>
              </w:rPr>
            </w:pPr>
          </w:p>
        </w:tc>
        <w:tc>
          <w:tcPr>
            <w:tcW w:w="1020" w:type="dxa"/>
            <w:vAlign w:val="bottom"/>
            <w:tcBorders>
              <w:bottom w:val="single" w:sz="8" w:color="D7282F"/>
            </w:tcBorders>
          </w:tcPr>
          <w:p>
            <w:pPr>
              <w:spacing w:after="0"/>
              <w:rPr>
                <w:sz w:val="10"/>
                <w:szCs w:val="10"/>
                <w:color w:val="auto"/>
              </w:rPr>
            </w:pPr>
          </w:p>
        </w:tc>
        <w:tc>
          <w:tcPr>
            <w:tcW w:w="860" w:type="dxa"/>
            <w:vAlign w:val="bottom"/>
            <w:tcBorders>
              <w:bottom w:val="single" w:sz="8" w:color="D7282F"/>
              <w:right w:val="single" w:sz="8" w:color="D7282F"/>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25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500" w:type="dxa"/>
            <w:vAlign w:val="bottom"/>
            <w:tcBorders>
              <w:bottom w:val="single" w:sz="8" w:color="D7282F"/>
            </w:tcBorders>
          </w:tcPr>
          <w:p>
            <w:pPr>
              <w:spacing w:after="0"/>
              <w:rPr>
                <w:sz w:val="21"/>
                <w:szCs w:val="21"/>
                <w:color w:val="auto"/>
              </w:rPr>
            </w:pPr>
          </w:p>
        </w:tc>
        <w:tc>
          <w:tcPr>
            <w:tcW w:w="14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500" w:type="dxa"/>
            <w:vAlign w:val="bottom"/>
          </w:tcPr>
          <w:p>
            <w:pPr>
              <w:ind w:left="20"/>
              <w:spacing w:after="0"/>
              <w:rPr>
                <w:sz w:val="20"/>
                <w:szCs w:val="20"/>
                <w:color w:val="auto"/>
              </w:rPr>
            </w:pPr>
            <w:r>
              <w:rPr>
                <w:rFonts w:ascii="Arial" w:cs="Arial" w:eastAsia="Arial" w:hAnsi="Arial"/>
                <w:sz w:val="13"/>
                <w:szCs w:val="13"/>
                <w:b w:val="1"/>
                <w:bCs w:val="1"/>
                <w:color w:val="auto"/>
              </w:rPr>
              <w:t>AT</w:t>
            </w:r>
          </w:p>
        </w:tc>
        <w:tc>
          <w:tcPr>
            <w:tcW w:w="1420" w:type="dxa"/>
            <w:vAlign w:val="bottom"/>
          </w:tcPr>
          <w:p>
            <w:pPr>
              <w:jc w:val="right"/>
              <w:ind w:right="70"/>
              <w:spacing w:after="0"/>
              <w:rPr>
                <w:sz w:val="20"/>
                <w:szCs w:val="20"/>
                <w:color w:val="auto"/>
              </w:rPr>
            </w:pPr>
            <w:r>
              <w:rPr>
                <w:rFonts w:ascii="Arial" w:cs="Arial" w:eastAsia="Arial" w:hAnsi="Arial"/>
                <w:sz w:val="13"/>
                <w:szCs w:val="13"/>
                <w:b w:val="1"/>
                <w:bCs w:val="1"/>
                <w:color w:val="auto"/>
              </w:rPr>
              <w:t>Threshold</w:t>
            </w: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Target</w:t>
            </w:r>
          </w:p>
        </w:tc>
        <w:tc>
          <w:tcPr>
            <w:tcW w:w="1340" w:type="dxa"/>
            <w:vAlign w:val="bottom"/>
            <w:tcBorders>
              <w:right w:val="single" w:sz="8" w:color="D7282F"/>
            </w:tcBorders>
          </w:tcPr>
          <w:p>
            <w:pPr>
              <w:jc w:val="right"/>
              <w:ind w:right="50"/>
              <w:spacing w:after="0"/>
              <w:rPr>
                <w:sz w:val="20"/>
                <w:szCs w:val="20"/>
                <w:color w:val="auto"/>
              </w:rPr>
            </w:pPr>
            <w:r>
              <w:rPr>
                <w:rFonts w:ascii="Arial" w:cs="Arial" w:eastAsia="Arial" w:hAnsi="Arial"/>
                <w:sz w:val="13"/>
                <w:szCs w:val="13"/>
                <w:b w:val="1"/>
                <w:bCs w:val="1"/>
                <w:color w:val="auto"/>
              </w:rPr>
              <w:t>Maximum</w:t>
            </w:r>
          </w:p>
        </w:tc>
        <w:tc>
          <w:tcPr>
            <w:tcW w:w="1500" w:type="dxa"/>
            <w:vAlign w:val="bottom"/>
            <w:tcBorders>
              <w:right w:val="single" w:sz="8" w:color="D7282F"/>
            </w:tcBorders>
          </w:tcPr>
          <w:p>
            <w:pPr>
              <w:jc w:val="right"/>
              <w:spacing w:after="0"/>
              <w:rPr>
                <w:sz w:val="20"/>
                <w:szCs w:val="20"/>
                <w:color w:val="auto"/>
              </w:rPr>
            </w:pPr>
            <w:r>
              <w:rPr>
                <w:rFonts w:ascii="Arial" w:cs="Arial" w:eastAsia="Arial" w:hAnsi="Arial"/>
                <w:sz w:val="13"/>
                <w:szCs w:val="13"/>
                <w:b w:val="1"/>
                <w:bCs w:val="1"/>
                <w:color w:val="auto"/>
              </w:rPr>
              <w:t>Actual Plan</w:t>
            </w:r>
          </w:p>
        </w:tc>
        <w:tc>
          <w:tcPr>
            <w:tcW w:w="1440" w:type="dxa"/>
            <w:vAlign w:val="bottom"/>
          </w:tcPr>
          <w:p>
            <w:pPr>
              <w:jc w:val="right"/>
              <w:ind w:right="251"/>
              <w:spacing w:after="0"/>
              <w:rPr>
                <w:sz w:val="20"/>
                <w:szCs w:val="20"/>
                <w:color w:val="auto"/>
              </w:rPr>
            </w:pPr>
            <w:r>
              <w:rPr>
                <w:rFonts w:ascii="Arial" w:cs="Arial" w:eastAsia="Arial" w:hAnsi="Arial"/>
                <w:sz w:val="13"/>
                <w:szCs w:val="13"/>
                <w:b w:val="1"/>
                <w:bCs w:val="1"/>
                <w:color w:val="auto"/>
              </w:rPr>
              <w:t>Payout</w:t>
            </w:r>
          </w:p>
        </w:tc>
        <w:tc>
          <w:tcPr>
            <w:tcW w:w="1020" w:type="dxa"/>
            <w:vAlign w:val="bottom"/>
          </w:tcPr>
          <w:p>
            <w:pPr>
              <w:jc w:val="right"/>
              <w:ind w:right="190"/>
              <w:spacing w:after="0"/>
              <w:rPr>
                <w:sz w:val="20"/>
                <w:szCs w:val="20"/>
                <w:color w:val="auto"/>
              </w:rPr>
            </w:pPr>
            <w:r>
              <w:rPr>
                <w:rFonts w:ascii="Arial" w:cs="Arial" w:eastAsia="Arial" w:hAnsi="Arial"/>
                <w:sz w:val="13"/>
                <w:szCs w:val="13"/>
                <w:b w:val="1"/>
                <w:bCs w:val="1"/>
                <w:color w:val="auto"/>
              </w:rPr>
              <w:t>Weight</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76"/>
        </w:trPr>
        <w:tc>
          <w:tcPr>
            <w:tcW w:w="2500" w:type="dxa"/>
            <w:vAlign w:val="bottom"/>
            <w:tcBorders>
              <w:bottom w:val="single" w:sz="8" w:color="D7282F"/>
            </w:tcBorders>
          </w:tcPr>
          <w:p>
            <w:pPr>
              <w:spacing w:after="0"/>
              <w:rPr>
                <w:sz w:val="15"/>
                <w:szCs w:val="15"/>
                <w:color w:val="auto"/>
              </w:rPr>
            </w:pPr>
          </w:p>
        </w:tc>
        <w:tc>
          <w:tcPr>
            <w:tcW w:w="1420" w:type="dxa"/>
            <w:vAlign w:val="bottom"/>
            <w:tcBorders>
              <w:bottom w:val="single" w:sz="8" w:color="D7282F"/>
            </w:tcBorders>
          </w:tcPr>
          <w:p>
            <w:pPr>
              <w:spacing w:after="0"/>
              <w:rPr>
                <w:sz w:val="15"/>
                <w:szCs w:val="15"/>
                <w:color w:val="auto"/>
              </w:rPr>
            </w:pPr>
          </w:p>
        </w:tc>
        <w:tc>
          <w:tcPr>
            <w:tcW w:w="1160" w:type="dxa"/>
            <w:vAlign w:val="bottom"/>
            <w:tcBorders>
              <w:bottom w:val="single" w:sz="8" w:color="D7282F"/>
            </w:tcBorders>
          </w:tcPr>
          <w:p>
            <w:pPr>
              <w:spacing w:after="0"/>
              <w:rPr>
                <w:sz w:val="15"/>
                <w:szCs w:val="15"/>
                <w:color w:val="auto"/>
              </w:rPr>
            </w:pPr>
          </w:p>
        </w:tc>
        <w:tc>
          <w:tcPr>
            <w:tcW w:w="1340" w:type="dxa"/>
            <w:vAlign w:val="bottom"/>
            <w:tcBorders>
              <w:bottom w:val="single" w:sz="8" w:color="D7282F"/>
              <w:right w:val="single" w:sz="8" w:color="D7282F"/>
            </w:tcBorders>
          </w:tcPr>
          <w:p>
            <w:pPr>
              <w:spacing w:after="0"/>
              <w:rPr>
                <w:sz w:val="15"/>
                <w:szCs w:val="15"/>
                <w:color w:val="auto"/>
              </w:rPr>
            </w:pPr>
          </w:p>
        </w:tc>
        <w:tc>
          <w:tcPr>
            <w:tcW w:w="1500" w:type="dxa"/>
            <w:vAlign w:val="bottom"/>
            <w:tcBorders>
              <w:bottom w:val="single" w:sz="8" w:color="D7282F"/>
              <w:right w:val="single" w:sz="8" w:color="D7282F"/>
            </w:tcBorders>
          </w:tcPr>
          <w:p>
            <w:pPr>
              <w:jc w:val="right"/>
              <w:spacing w:after="0" w:line="175" w:lineRule="exact"/>
              <w:rPr>
                <w:sz w:val="20"/>
                <w:szCs w:val="20"/>
                <w:color w:val="auto"/>
              </w:rPr>
            </w:pPr>
            <w:r>
              <w:rPr>
                <w:rFonts w:ascii="Arial" w:cs="Arial" w:eastAsia="Arial" w:hAnsi="Arial"/>
                <w:sz w:val="13"/>
                <w:szCs w:val="13"/>
                <w:b w:val="1"/>
                <w:bCs w:val="1"/>
                <w:color w:val="auto"/>
              </w:rPr>
              <w:t>Performance</w:t>
            </w:r>
            <w:r>
              <w:rPr>
                <w:rFonts w:ascii="Arial" w:cs="Arial" w:eastAsia="Arial" w:hAnsi="Arial"/>
                <w:sz w:val="16"/>
                <w:szCs w:val="16"/>
                <w:b w:val="1"/>
                <w:bCs w:val="1"/>
                <w:color w:val="auto"/>
                <w:vertAlign w:val="superscript"/>
              </w:rPr>
              <w:t>(1)</w:t>
            </w:r>
          </w:p>
        </w:tc>
        <w:tc>
          <w:tcPr>
            <w:tcW w:w="1440" w:type="dxa"/>
            <w:vAlign w:val="bottom"/>
            <w:tcBorders>
              <w:bottom w:val="single" w:sz="8" w:color="D7282F"/>
            </w:tcBorders>
          </w:tcPr>
          <w:p>
            <w:pPr>
              <w:jc w:val="right"/>
              <w:ind w:right="251"/>
              <w:spacing w:after="0"/>
              <w:rPr>
                <w:sz w:val="20"/>
                <w:szCs w:val="20"/>
                <w:color w:val="auto"/>
              </w:rPr>
            </w:pPr>
            <w:r>
              <w:rPr>
                <w:rFonts w:ascii="Arial" w:cs="Arial" w:eastAsia="Arial" w:hAnsi="Arial"/>
                <w:sz w:val="13"/>
                <w:szCs w:val="13"/>
                <w:b w:val="1"/>
                <w:bCs w:val="1"/>
                <w:color w:val="auto"/>
              </w:rPr>
              <w:t>Factor</w:t>
            </w:r>
          </w:p>
        </w:tc>
        <w:tc>
          <w:tcPr>
            <w:tcW w:w="1020" w:type="dxa"/>
            <w:vAlign w:val="bottom"/>
            <w:tcBorders>
              <w:bottom w:val="single" w:sz="8" w:color="D7282F"/>
            </w:tcBorders>
          </w:tcPr>
          <w:p>
            <w:pPr>
              <w:spacing w:after="0"/>
              <w:rPr>
                <w:sz w:val="15"/>
                <w:szCs w:val="15"/>
                <w:color w:val="auto"/>
              </w:rPr>
            </w:pPr>
          </w:p>
        </w:tc>
        <w:tc>
          <w:tcPr>
            <w:tcW w:w="860" w:type="dxa"/>
            <w:vAlign w:val="bottom"/>
            <w:tcBorders>
              <w:bottom w:val="single" w:sz="8" w:color="D7282F"/>
            </w:tcBorders>
          </w:tcPr>
          <w:p>
            <w:pPr>
              <w:jc w:val="right"/>
              <w:spacing w:after="0"/>
              <w:rPr>
                <w:sz w:val="20"/>
                <w:szCs w:val="20"/>
                <w:color w:val="auto"/>
              </w:rPr>
            </w:pPr>
            <w:r>
              <w:rPr>
                <w:rFonts w:ascii="Arial" w:cs="Arial" w:eastAsia="Arial" w:hAnsi="Arial"/>
                <w:sz w:val="13"/>
                <w:szCs w:val="13"/>
                <w:b w:val="1"/>
                <w:bCs w:val="1"/>
                <w:color w:val="auto"/>
              </w:rPr>
              <w:t>Payout %</w:t>
            </w:r>
          </w:p>
        </w:tc>
        <w:tc>
          <w:tcPr>
            <w:tcW w:w="0" w:type="dxa"/>
            <w:vAlign w:val="bottom"/>
          </w:tcPr>
          <w:p>
            <w:pPr>
              <w:spacing w:after="0"/>
              <w:rPr>
                <w:sz w:val="1"/>
                <w:szCs w:val="1"/>
                <w:color w:val="auto"/>
              </w:rPr>
            </w:pPr>
          </w:p>
        </w:tc>
      </w:tr>
      <w:tr>
        <w:trPr>
          <w:trHeight w:val="315"/>
        </w:trPr>
        <w:tc>
          <w:tcPr>
            <w:tcW w:w="2500" w:type="dxa"/>
            <w:vAlign w:val="bottom"/>
          </w:tcPr>
          <w:p>
            <w:pPr>
              <w:ind w:left="20"/>
              <w:spacing w:after="0"/>
              <w:rPr>
                <w:sz w:val="20"/>
                <w:szCs w:val="20"/>
                <w:color w:val="auto"/>
              </w:rPr>
            </w:pPr>
            <w:r>
              <w:rPr>
                <w:rFonts w:ascii="Arial" w:cs="Arial" w:eastAsia="Arial" w:hAnsi="Arial"/>
                <w:sz w:val="14"/>
                <w:szCs w:val="14"/>
                <w:b w:val="1"/>
                <w:bCs w:val="1"/>
                <w:color w:val="auto"/>
              </w:rPr>
              <w:t>Cumulative Revenue ($M)</w:t>
            </w:r>
          </w:p>
        </w:tc>
        <w:tc>
          <w:tcPr>
            <w:tcW w:w="1420" w:type="dxa"/>
            <w:vAlign w:val="bottom"/>
          </w:tcPr>
          <w:p>
            <w:pPr>
              <w:jc w:val="right"/>
              <w:ind w:right="70"/>
              <w:spacing w:after="0"/>
              <w:rPr>
                <w:sz w:val="20"/>
                <w:szCs w:val="20"/>
                <w:color w:val="auto"/>
              </w:rPr>
            </w:pPr>
            <w:r>
              <w:rPr>
                <w:rFonts w:ascii="Arial" w:cs="Arial" w:eastAsia="Arial" w:hAnsi="Arial"/>
                <w:sz w:val="14"/>
                <w:szCs w:val="14"/>
                <w:color w:val="auto"/>
              </w:rPr>
              <w:t>$39,532</w:t>
            </w:r>
          </w:p>
        </w:tc>
        <w:tc>
          <w:tcPr>
            <w:tcW w:w="1160" w:type="dxa"/>
            <w:vAlign w:val="bottom"/>
          </w:tcPr>
          <w:p>
            <w:pPr>
              <w:jc w:val="right"/>
              <w:spacing w:after="0"/>
              <w:rPr>
                <w:sz w:val="20"/>
                <w:szCs w:val="20"/>
                <w:color w:val="auto"/>
              </w:rPr>
            </w:pPr>
            <w:r>
              <w:rPr>
                <w:rFonts w:ascii="Arial" w:cs="Arial" w:eastAsia="Arial" w:hAnsi="Arial"/>
                <w:sz w:val="14"/>
                <w:szCs w:val="14"/>
                <w:color w:val="auto"/>
              </w:rPr>
              <w:t>$42,507</w:t>
            </w:r>
          </w:p>
        </w:tc>
        <w:tc>
          <w:tcPr>
            <w:tcW w:w="1340" w:type="dxa"/>
            <w:vAlign w:val="bottom"/>
            <w:tcBorders>
              <w:right w:val="single" w:sz="8" w:color="D7282F"/>
            </w:tcBorders>
          </w:tcPr>
          <w:p>
            <w:pPr>
              <w:jc w:val="right"/>
              <w:ind w:right="50"/>
              <w:spacing w:after="0"/>
              <w:rPr>
                <w:sz w:val="20"/>
                <w:szCs w:val="20"/>
                <w:color w:val="auto"/>
              </w:rPr>
            </w:pPr>
            <w:r>
              <w:rPr>
                <w:rFonts w:ascii="Arial" w:cs="Arial" w:eastAsia="Arial" w:hAnsi="Arial"/>
                <w:sz w:val="14"/>
                <w:szCs w:val="14"/>
                <w:color w:val="auto"/>
              </w:rPr>
              <w:t>$43,995</w:t>
            </w:r>
          </w:p>
        </w:tc>
        <w:tc>
          <w:tcPr>
            <w:tcW w:w="1500" w:type="dxa"/>
            <w:vAlign w:val="bottom"/>
            <w:tcBorders>
              <w:right w:val="single" w:sz="8" w:color="D7282F"/>
            </w:tcBorders>
          </w:tcPr>
          <w:p>
            <w:pPr>
              <w:jc w:val="right"/>
              <w:spacing w:after="0"/>
              <w:rPr>
                <w:sz w:val="20"/>
                <w:szCs w:val="20"/>
                <w:color w:val="auto"/>
              </w:rPr>
            </w:pPr>
            <w:r>
              <w:rPr>
                <w:rFonts w:ascii="Arial" w:cs="Arial" w:eastAsia="Arial" w:hAnsi="Arial"/>
                <w:sz w:val="14"/>
                <w:szCs w:val="14"/>
                <w:color w:val="auto"/>
              </w:rPr>
              <w:t>$46,087</w:t>
            </w:r>
          </w:p>
        </w:tc>
        <w:tc>
          <w:tcPr>
            <w:tcW w:w="1440" w:type="dxa"/>
            <w:vAlign w:val="bottom"/>
          </w:tcPr>
          <w:p>
            <w:pPr>
              <w:jc w:val="right"/>
              <w:ind w:right="251"/>
              <w:spacing w:after="0"/>
              <w:rPr>
                <w:sz w:val="20"/>
                <w:szCs w:val="20"/>
                <w:color w:val="auto"/>
              </w:rPr>
            </w:pPr>
            <w:r>
              <w:rPr>
                <w:rFonts w:ascii="Arial" w:cs="Arial" w:eastAsia="Arial" w:hAnsi="Arial"/>
                <w:sz w:val="14"/>
                <w:szCs w:val="14"/>
                <w:color w:val="auto"/>
              </w:rPr>
              <w:t>200.0%</w:t>
            </w:r>
          </w:p>
        </w:tc>
        <w:tc>
          <w:tcPr>
            <w:tcW w:w="1020" w:type="dxa"/>
            <w:vAlign w:val="bottom"/>
          </w:tcPr>
          <w:p>
            <w:pPr>
              <w:jc w:val="right"/>
              <w:ind w:right="190"/>
              <w:spacing w:after="0"/>
              <w:rPr>
                <w:sz w:val="20"/>
                <w:szCs w:val="20"/>
                <w:color w:val="auto"/>
              </w:rPr>
            </w:pPr>
            <w:r>
              <w:rPr>
                <w:rFonts w:ascii="Arial" w:cs="Arial" w:eastAsia="Arial" w:hAnsi="Arial"/>
                <w:sz w:val="14"/>
                <w:szCs w:val="14"/>
                <w:color w:val="auto"/>
              </w:rPr>
              <w:t>12.5%</w:t>
            </w:r>
          </w:p>
        </w:tc>
        <w:tc>
          <w:tcPr>
            <w:tcW w:w="86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23"/>
        </w:trPr>
        <w:tc>
          <w:tcPr>
            <w:tcW w:w="2500" w:type="dxa"/>
            <w:vAlign w:val="bottom"/>
            <w:tcBorders>
              <w:bottom w:val="single" w:sz="8" w:color="939598"/>
            </w:tcBorders>
          </w:tcPr>
          <w:p>
            <w:pPr>
              <w:spacing w:after="0"/>
              <w:rPr>
                <w:sz w:val="10"/>
                <w:szCs w:val="10"/>
                <w:color w:val="auto"/>
              </w:rPr>
            </w:pPr>
          </w:p>
        </w:tc>
        <w:tc>
          <w:tcPr>
            <w:tcW w:w="1420" w:type="dxa"/>
            <w:vAlign w:val="bottom"/>
            <w:tcBorders>
              <w:bottom w:val="single" w:sz="8" w:color="939598"/>
            </w:tcBorders>
          </w:tcPr>
          <w:p>
            <w:pPr>
              <w:spacing w:after="0"/>
              <w:rPr>
                <w:sz w:val="10"/>
                <w:szCs w:val="10"/>
                <w:color w:val="auto"/>
              </w:rPr>
            </w:pPr>
          </w:p>
        </w:tc>
        <w:tc>
          <w:tcPr>
            <w:tcW w:w="1160" w:type="dxa"/>
            <w:vAlign w:val="bottom"/>
            <w:tcBorders>
              <w:bottom w:val="single" w:sz="8" w:color="939598"/>
            </w:tcBorders>
          </w:tcPr>
          <w:p>
            <w:pPr>
              <w:spacing w:after="0"/>
              <w:rPr>
                <w:sz w:val="10"/>
                <w:szCs w:val="10"/>
                <w:color w:val="auto"/>
              </w:rPr>
            </w:pPr>
          </w:p>
        </w:tc>
        <w:tc>
          <w:tcPr>
            <w:tcW w:w="1340" w:type="dxa"/>
            <w:vAlign w:val="bottom"/>
            <w:tcBorders>
              <w:bottom w:val="single" w:sz="8" w:color="939598"/>
              <w:right w:val="single" w:sz="8" w:color="D7282F"/>
            </w:tcBorders>
          </w:tcPr>
          <w:p>
            <w:pPr>
              <w:spacing w:after="0"/>
              <w:rPr>
                <w:sz w:val="10"/>
                <w:szCs w:val="10"/>
                <w:color w:val="auto"/>
              </w:rPr>
            </w:pPr>
          </w:p>
        </w:tc>
        <w:tc>
          <w:tcPr>
            <w:tcW w:w="1500" w:type="dxa"/>
            <w:vAlign w:val="bottom"/>
            <w:tcBorders>
              <w:bottom w:val="single" w:sz="8" w:color="939598"/>
              <w:right w:val="single" w:sz="8" w:color="D7282F"/>
            </w:tcBorders>
          </w:tcPr>
          <w:p>
            <w:pPr>
              <w:spacing w:after="0"/>
              <w:rPr>
                <w:sz w:val="10"/>
                <w:szCs w:val="10"/>
                <w:color w:val="auto"/>
              </w:rPr>
            </w:pPr>
          </w:p>
        </w:tc>
        <w:tc>
          <w:tcPr>
            <w:tcW w:w="1440" w:type="dxa"/>
            <w:vAlign w:val="bottom"/>
            <w:tcBorders>
              <w:bottom w:val="single" w:sz="8" w:color="939598"/>
            </w:tcBorders>
          </w:tcPr>
          <w:p>
            <w:pPr>
              <w:spacing w:after="0"/>
              <w:rPr>
                <w:sz w:val="10"/>
                <w:szCs w:val="10"/>
                <w:color w:val="auto"/>
              </w:rPr>
            </w:pPr>
          </w:p>
        </w:tc>
        <w:tc>
          <w:tcPr>
            <w:tcW w:w="1020" w:type="dxa"/>
            <w:vAlign w:val="bottom"/>
            <w:tcBorders>
              <w:bottom w:val="single" w:sz="8" w:color="939598"/>
            </w:tcBorders>
          </w:tcPr>
          <w:p>
            <w:pPr>
              <w:spacing w:after="0"/>
              <w:rPr>
                <w:sz w:val="10"/>
                <w:szCs w:val="10"/>
                <w:color w:val="auto"/>
              </w:rPr>
            </w:pPr>
          </w:p>
        </w:tc>
        <w:tc>
          <w:tcPr>
            <w:tcW w:w="86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315"/>
        </w:trPr>
        <w:tc>
          <w:tcPr>
            <w:tcW w:w="2500" w:type="dxa"/>
            <w:vAlign w:val="bottom"/>
          </w:tcPr>
          <w:p>
            <w:pPr>
              <w:ind w:left="20"/>
              <w:spacing w:after="0"/>
              <w:rPr>
                <w:sz w:val="20"/>
                <w:szCs w:val="20"/>
                <w:color w:val="auto"/>
              </w:rPr>
            </w:pPr>
            <w:r>
              <w:rPr>
                <w:rFonts w:ascii="Arial" w:cs="Arial" w:eastAsia="Arial" w:hAnsi="Arial"/>
                <w:sz w:val="14"/>
                <w:szCs w:val="14"/>
                <w:b w:val="1"/>
                <w:bCs w:val="1"/>
                <w:color w:val="auto"/>
              </w:rPr>
              <w:t>Average Segment Margin Rate</w:t>
            </w:r>
          </w:p>
        </w:tc>
        <w:tc>
          <w:tcPr>
            <w:tcW w:w="1420" w:type="dxa"/>
            <w:vAlign w:val="bottom"/>
          </w:tcPr>
          <w:p>
            <w:pPr>
              <w:jc w:val="right"/>
              <w:ind w:right="70"/>
              <w:spacing w:after="0"/>
              <w:rPr>
                <w:sz w:val="20"/>
                <w:szCs w:val="20"/>
                <w:color w:val="auto"/>
              </w:rPr>
            </w:pPr>
            <w:r>
              <w:rPr>
                <w:rFonts w:ascii="Arial" w:cs="Arial" w:eastAsia="Arial" w:hAnsi="Arial"/>
                <w:sz w:val="14"/>
                <w:szCs w:val="14"/>
                <w:color w:val="auto"/>
              </w:rPr>
              <w:t>27.4%</w:t>
            </w:r>
          </w:p>
        </w:tc>
        <w:tc>
          <w:tcPr>
            <w:tcW w:w="1160" w:type="dxa"/>
            <w:vAlign w:val="bottom"/>
          </w:tcPr>
          <w:p>
            <w:pPr>
              <w:jc w:val="right"/>
              <w:spacing w:after="0"/>
              <w:rPr>
                <w:sz w:val="20"/>
                <w:szCs w:val="20"/>
                <w:color w:val="auto"/>
              </w:rPr>
            </w:pPr>
            <w:r>
              <w:rPr>
                <w:rFonts w:ascii="Arial" w:cs="Arial" w:eastAsia="Arial" w:hAnsi="Arial"/>
                <w:sz w:val="14"/>
                <w:szCs w:val="14"/>
                <w:color w:val="auto"/>
              </w:rPr>
              <w:t>28.2%</w:t>
            </w:r>
          </w:p>
        </w:tc>
        <w:tc>
          <w:tcPr>
            <w:tcW w:w="1340" w:type="dxa"/>
            <w:vAlign w:val="bottom"/>
            <w:tcBorders>
              <w:right w:val="single" w:sz="8" w:color="D7282F"/>
            </w:tcBorders>
          </w:tcPr>
          <w:p>
            <w:pPr>
              <w:jc w:val="right"/>
              <w:ind w:right="50"/>
              <w:spacing w:after="0"/>
              <w:rPr>
                <w:sz w:val="20"/>
                <w:szCs w:val="20"/>
                <w:color w:val="auto"/>
              </w:rPr>
            </w:pPr>
            <w:r>
              <w:rPr>
                <w:rFonts w:ascii="Arial" w:cs="Arial" w:eastAsia="Arial" w:hAnsi="Arial"/>
                <w:sz w:val="14"/>
                <w:szCs w:val="14"/>
                <w:color w:val="auto"/>
              </w:rPr>
              <w:t>&gt;= 28.7%</w:t>
            </w:r>
          </w:p>
        </w:tc>
        <w:tc>
          <w:tcPr>
            <w:tcW w:w="1500" w:type="dxa"/>
            <w:vAlign w:val="bottom"/>
            <w:tcBorders>
              <w:right w:val="single" w:sz="8" w:color="D7282F"/>
            </w:tcBorders>
          </w:tcPr>
          <w:p>
            <w:pPr>
              <w:jc w:val="right"/>
              <w:spacing w:after="0"/>
              <w:rPr>
                <w:sz w:val="20"/>
                <w:szCs w:val="20"/>
                <w:color w:val="auto"/>
              </w:rPr>
            </w:pPr>
            <w:r>
              <w:rPr>
                <w:rFonts w:ascii="Arial" w:cs="Arial" w:eastAsia="Arial" w:hAnsi="Arial"/>
                <w:sz w:val="14"/>
                <w:szCs w:val="14"/>
                <w:color w:val="auto"/>
              </w:rPr>
              <w:t>27.1%</w:t>
            </w:r>
          </w:p>
        </w:tc>
        <w:tc>
          <w:tcPr>
            <w:tcW w:w="1440" w:type="dxa"/>
            <w:vAlign w:val="bottom"/>
          </w:tcPr>
          <w:p>
            <w:pPr>
              <w:jc w:val="right"/>
              <w:ind w:right="251"/>
              <w:spacing w:after="0"/>
              <w:rPr>
                <w:sz w:val="20"/>
                <w:szCs w:val="20"/>
                <w:color w:val="auto"/>
              </w:rPr>
            </w:pPr>
            <w:r>
              <w:rPr>
                <w:rFonts w:ascii="Arial" w:cs="Arial" w:eastAsia="Arial" w:hAnsi="Arial"/>
                <w:sz w:val="14"/>
                <w:szCs w:val="14"/>
                <w:color w:val="auto"/>
              </w:rPr>
              <w:t>0.0%</w:t>
            </w:r>
          </w:p>
        </w:tc>
        <w:tc>
          <w:tcPr>
            <w:tcW w:w="1020" w:type="dxa"/>
            <w:vAlign w:val="bottom"/>
          </w:tcPr>
          <w:p>
            <w:pPr>
              <w:jc w:val="right"/>
              <w:ind w:right="190"/>
              <w:spacing w:after="0"/>
              <w:rPr>
                <w:sz w:val="20"/>
                <w:szCs w:val="20"/>
                <w:color w:val="auto"/>
              </w:rPr>
            </w:pPr>
            <w:r>
              <w:rPr>
                <w:rFonts w:ascii="Arial" w:cs="Arial" w:eastAsia="Arial" w:hAnsi="Arial"/>
                <w:sz w:val="14"/>
                <w:szCs w:val="14"/>
                <w:color w:val="auto"/>
              </w:rPr>
              <w:t>12.5%</w:t>
            </w:r>
          </w:p>
        </w:tc>
        <w:tc>
          <w:tcPr>
            <w:tcW w:w="860" w:type="dxa"/>
            <w:vAlign w:val="bottom"/>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24"/>
        </w:trPr>
        <w:tc>
          <w:tcPr>
            <w:tcW w:w="2500" w:type="dxa"/>
            <w:vAlign w:val="bottom"/>
            <w:tcBorders>
              <w:bottom w:val="single" w:sz="8" w:color="939598"/>
            </w:tcBorders>
          </w:tcPr>
          <w:p>
            <w:pPr>
              <w:spacing w:after="0"/>
              <w:rPr>
                <w:sz w:val="10"/>
                <w:szCs w:val="10"/>
                <w:color w:val="auto"/>
              </w:rPr>
            </w:pPr>
          </w:p>
        </w:tc>
        <w:tc>
          <w:tcPr>
            <w:tcW w:w="1420" w:type="dxa"/>
            <w:vAlign w:val="bottom"/>
            <w:tcBorders>
              <w:bottom w:val="single" w:sz="8" w:color="939598"/>
            </w:tcBorders>
          </w:tcPr>
          <w:p>
            <w:pPr>
              <w:spacing w:after="0"/>
              <w:rPr>
                <w:sz w:val="10"/>
                <w:szCs w:val="10"/>
                <w:color w:val="auto"/>
              </w:rPr>
            </w:pPr>
          </w:p>
        </w:tc>
        <w:tc>
          <w:tcPr>
            <w:tcW w:w="1160" w:type="dxa"/>
            <w:vAlign w:val="bottom"/>
            <w:tcBorders>
              <w:bottom w:val="single" w:sz="8" w:color="939598"/>
            </w:tcBorders>
          </w:tcPr>
          <w:p>
            <w:pPr>
              <w:spacing w:after="0"/>
              <w:rPr>
                <w:sz w:val="10"/>
                <w:szCs w:val="10"/>
                <w:color w:val="auto"/>
              </w:rPr>
            </w:pPr>
          </w:p>
        </w:tc>
        <w:tc>
          <w:tcPr>
            <w:tcW w:w="1340" w:type="dxa"/>
            <w:vAlign w:val="bottom"/>
            <w:tcBorders>
              <w:bottom w:val="single" w:sz="8" w:color="939598"/>
              <w:right w:val="single" w:sz="8" w:color="D7282F"/>
            </w:tcBorders>
          </w:tcPr>
          <w:p>
            <w:pPr>
              <w:spacing w:after="0"/>
              <w:rPr>
                <w:sz w:val="10"/>
                <w:szCs w:val="10"/>
                <w:color w:val="auto"/>
              </w:rPr>
            </w:pPr>
          </w:p>
        </w:tc>
        <w:tc>
          <w:tcPr>
            <w:tcW w:w="1500" w:type="dxa"/>
            <w:vAlign w:val="bottom"/>
            <w:tcBorders>
              <w:bottom w:val="single" w:sz="8" w:color="939598"/>
              <w:right w:val="single" w:sz="8" w:color="D7282F"/>
            </w:tcBorders>
          </w:tcPr>
          <w:p>
            <w:pPr>
              <w:spacing w:after="0"/>
              <w:rPr>
                <w:sz w:val="10"/>
                <w:szCs w:val="10"/>
                <w:color w:val="auto"/>
              </w:rPr>
            </w:pPr>
          </w:p>
        </w:tc>
        <w:tc>
          <w:tcPr>
            <w:tcW w:w="1440" w:type="dxa"/>
            <w:vAlign w:val="bottom"/>
            <w:tcBorders>
              <w:bottom w:val="single" w:sz="8" w:color="939598"/>
            </w:tcBorders>
          </w:tcPr>
          <w:p>
            <w:pPr>
              <w:spacing w:after="0"/>
              <w:rPr>
                <w:sz w:val="10"/>
                <w:szCs w:val="10"/>
                <w:color w:val="auto"/>
              </w:rPr>
            </w:pPr>
          </w:p>
        </w:tc>
        <w:tc>
          <w:tcPr>
            <w:tcW w:w="1020" w:type="dxa"/>
            <w:vAlign w:val="bottom"/>
            <w:tcBorders>
              <w:bottom w:val="single" w:sz="8" w:color="939598"/>
            </w:tcBorders>
          </w:tcPr>
          <w:p>
            <w:pPr>
              <w:spacing w:after="0"/>
              <w:rPr>
                <w:sz w:val="10"/>
                <w:szCs w:val="10"/>
                <w:color w:val="auto"/>
              </w:rPr>
            </w:pPr>
          </w:p>
        </w:tc>
        <w:tc>
          <w:tcPr>
            <w:tcW w:w="86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315"/>
        </w:trPr>
        <w:tc>
          <w:tcPr>
            <w:tcW w:w="2500" w:type="dxa"/>
            <w:vAlign w:val="bottom"/>
          </w:tcPr>
          <w:p>
            <w:pPr>
              <w:ind w:left="20"/>
              <w:spacing w:after="0"/>
              <w:rPr>
                <w:sz w:val="20"/>
                <w:szCs w:val="20"/>
                <w:color w:val="auto"/>
              </w:rPr>
            </w:pPr>
            <w:r>
              <w:rPr>
                <w:rFonts w:ascii="Arial" w:cs="Arial" w:eastAsia="Arial" w:hAnsi="Arial"/>
                <w:sz w:val="14"/>
                <w:szCs w:val="14"/>
                <w:b w:val="1"/>
                <w:bCs w:val="1"/>
                <w:color w:val="auto"/>
              </w:rPr>
              <w:t>Average ROI</w:t>
            </w:r>
          </w:p>
        </w:tc>
        <w:tc>
          <w:tcPr>
            <w:tcW w:w="1420" w:type="dxa"/>
            <w:vAlign w:val="bottom"/>
          </w:tcPr>
          <w:p>
            <w:pPr>
              <w:jc w:val="right"/>
              <w:ind w:right="70"/>
              <w:spacing w:after="0"/>
              <w:rPr>
                <w:sz w:val="20"/>
                <w:szCs w:val="20"/>
                <w:color w:val="auto"/>
              </w:rPr>
            </w:pPr>
            <w:r>
              <w:rPr>
                <w:rFonts w:ascii="Arial" w:cs="Arial" w:eastAsia="Arial" w:hAnsi="Arial"/>
                <w:sz w:val="14"/>
                <w:szCs w:val="14"/>
                <w:color w:val="auto"/>
              </w:rPr>
              <w:t>43.3%</w:t>
            </w:r>
          </w:p>
        </w:tc>
        <w:tc>
          <w:tcPr>
            <w:tcW w:w="1160" w:type="dxa"/>
            <w:vAlign w:val="bottom"/>
          </w:tcPr>
          <w:p>
            <w:pPr>
              <w:jc w:val="right"/>
              <w:spacing w:after="0"/>
              <w:rPr>
                <w:sz w:val="20"/>
                <w:szCs w:val="20"/>
                <w:color w:val="auto"/>
              </w:rPr>
            </w:pPr>
            <w:r>
              <w:rPr>
                <w:rFonts w:ascii="Arial" w:cs="Arial" w:eastAsia="Arial" w:hAnsi="Arial"/>
                <w:sz w:val="14"/>
                <w:szCs w:val="14"/>
                <w:color w:val="auto"/>
              </w:rPr>
              <w:t>45.6%</w:t>
            </w:r>
          </w:p>
        </w:tc>
        <w:tc>
          <w:tcPr>
            <w:tcW w:w="1340" w:type="dxa"/>
            <w:vAlign w:val="bottom"/>
            <w:tcBorders>
              <w:right w:val="single" w:sz="8" w:color="D7282F"/>
            </w:tcBorders>
          </w:tcPr>
          <w:p>
            <w:pPr>
              <w:jc w:val="right"/>
              <w:ind w:right="50"/>
              <w:spacing w:after="0"/>
              <w:rPr>
                <w:sz w:val="20"/>
                <w:szCs w:val="20"/>
                <w:color w:val="auto"/>
              </w:rPr>
            </w:pPr>
            <w:r>
              <w:rPr>
                <w:rFonts w:ascii="Arial" w:cs="Arial" w:eastAsia="Arial" w:hAnsi="Arial"/>
                <w:sz w:val="14"/>
                <w:szCs w:val="14"/>
                <w:color w:val="auto"/>
              </w:rPr>
              <w:t>&gt;= 47.1%</w:t>
            </w:r>
          </w:p>
        </w:tc>
        <w:tc>
          <w:tcPr>
            <w:tcW w:w="1500" w:type="dxa"/>
            <w:vAlign w:val="bottom"/>
            <w:tcBorders>
              <w:right w:val="single" w:sz="8" w:color="D7282F"/>
            </w:tcBorders>
          </w:tcPr>
          <w:p>
            <w:pPr>
              <w:jc w:val="right"/>
              <w:spacing w:after="0"/>
              <w:rPr>
                <w:sz w:val="20"/>
                <w:szCs w:val="20"/>
                <w:color w:val="auto"/>
              </w:rPr>
            </w:pPr>
            <w:r>
              <w:rPr>
                <w:rFonts w:ascii="Arial" w:cs="Arial" w:eastAsia="Arial" w:hAnsi="Arial"/>
                <w:sz w:val="14"/>
                <w:szCs w:val="14"/>
                <w:color w:val="auto"/>
              </w:rPr>
              <w:t>45.7%</w:t>
            </w:r>
          </w:p>
        </w:tc>
        <w:tc>
          <w:tcPr>
            <w:tcW w:w="1440" w:type="dxa"/>
            <w:vAlign w:val="bottom"/>
          </w:tcPr>
          <w:p>
            <w:pPr>
              <w:jc w:val="right"/>
              <w:ind w:right="251"/>
              <w:spacing w:after="0"/>
              <w:rPr>
                <w:sz w:val="20"/>
                <w:szCs w:val="20"/>
                <w:color w:val="auto"/>
              </w:rPr>
            </w:pPr>
            <w:r>
              <w:rPr>
                <w:rFonts w:ascii="Arial" w:cs="Arial" w:eastAsia="Arial" w:hAnsi="Arial"/>
                <w:sz w:val="14"/>
                <w:szCs w:val="14"/>
                <w:color w:val="auto"/>
              </w:rPr>
              <w:t>106.7%</w:t>
            </w:r>
          </w:p>
        </w:tc>
        <w:tc>
          <w:tcPr>
            <w:tcW w:w="1020" w:type="dxa"/>
            <w:vAlign w:val="bottom"/>
          </w:tcPr>
          <w:p>
            <w:pPr>
              <w:jc w:val="right"/>
              <w:ind w:right="190"/>
              <w:spacing w:after="0"/>
              <w:rPr>
                <w:sz w:val="20"/>
                <w:szCs w:val="20"/>
                <w:color w:val="auto"/>
              </w:rPr>
            </w:pPr>
            <w:r>
              <w:rPr>
                <w:rFonts w:ascii="Arial" w:cs="Arial" w:eastAsia="Arial" w:hAnsi="Arial"/>
                <w:sz w:val="14"/>
                <w:szCs w:val="14"/>
                <w:color w:val="auto"/>
              </w:rPr>
              <w:t>12.5%</w:t>
            </w:r>
          </w:p>
        </w:tc>
        <w:tc>
          <w:tcPr>
            <w:tcW w:w="86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23"/>
        </w:trPr>
        <w:tc>
          <w:tcPr>
            <w:tcW w:w="6420" w:type="dxa"/>
            <w:vAlign w:val="bottom"/>
            <w:tcBorders>
              <w:bottom w:val="single" w:sz="8" w:color="D7282F"/>
              <w:right w:val="single" w:sz="8" w:color="D7282F"/>
            </w:tcBorders>
            <w:gridSpan w:val="4"/>
          </w:tcPr>
          <w:p>
            <w:pPr>
              <w:spacing w:after="0"/>
              <w:rPr>
                <w:sz w:val="10"/>
                <w:szCs w:val="10"/>
                <w:color w:val="auto"/>
              </w:rPr>
            </w:pPr>
          </w:p>
        </w:tc>
        <w:tc>
          <w:tcPr>
            <w:tcW w:w="1500" w:type="dxa"/>
            <w:vAlign w:val="bottom"/>
            <w:tcBorders>
              <w:bottom w:val="single" w:sz="8" w:color="D7282F"/>
              <w:right w:val="single" w:sz="8" w:color="D7282F"/>
            </w:tcBorders>
          </w:tcPr>
          <w:p>
            <w:pPr>
              <w:spacing w:after="0"/>
              <w:rPr>
                <w:sz w:val="10"/>
                <w:szCs w:val="10"/>
                <w:color w:val="auto"/>
              </w:rPr>
            </w:pPr>
          </w:p>
        </w:tc>
        <w:tc>
          <w:tcPr>
            <w:tcW w:w="2460" w:type="dxa"/>
            <w:vAlign w:val="bottom"/>
            <w:tcBorders>
              <w:bottom w:val="single" w:sz="8" w:color="D7282F"/>
            </w:tcBorders>
            <w:gridSpan w:val="2"/>
          </w:tcPr>
          <w:p>
            <w:pPr>
              <w:spacing w:after="0"/>
              <w:rPr>
                <w:sz w:val="10"/>
                <w:szCs w:val="10"/>
                <w:color w:val="auto"/>
              </w:rPr>
            </w:pPr>
          </w:p>
        </w:tc>
        <w:tc>
          <w:tcPr>
            <w:tcW w:w="860" w:type="dxa"/>
            <w:vAlign w:val="bottom"/>
            <w:tcBorders>
              <w:bottom w:val="single" w:sz="8" w:color="D7282F"/>
            </w:tcBorders>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500" w:type="dxa"/>
            <w:vAlign w:val="bottom"/>
            <w:tcBorders>
              <w:bottom w:val="single" w:sz="8" w:color="D7282F"/>
            </w:tcBorders>
          </w:tcPr>
          <w:p>
            <w:pPr>
              <w:spacing w:after="0"/>
              <w:rPr>
                <w:sz w:val="17"/>
                <w:szCs w:val="17"/>
                <w:color w:val="auto"/>
              </w:rPr>
            </w:pPr>
          </w:p>
        </w:tc>
        <w:tc>
          <w:tcPr>
            <w:tcW w:w="1420" w:type="dxa"/>
            <w:vAlign w:val="bottom"/>
            <w:tcBorders>
              <w:bottom w:val="single" w:sz="8" w:color="D7282F"/>
            </w:tcBorders>
          </w:tcPr>
          <w:p>
            <w:pPr>
              <w:spacing w:after="0"/>
              <w:rPr>
                <w:sz w:val="17"/>
                <w:szCs w:val="17"/>
                <w:color w:val="auto"/>
              </w:rPr>
            </w:pPr>
          </w:p>
        </w:tc>
        <w:tc>
          <w:tcPr>
            <w:tcW w:w="1160" w:type="dxa"/>
            <w:vAlign w:val="bottom"/>
            <w:tcBorders>
              <w:bottom w:val="single" w:sz="8" w:color="D7282F"/>
            </w:tcBorders>
          </w:tcPr>
          <w:p>
            <w:pPr>
              <w:spacing w:after="0"/>
              <w:rPr>
                <w:sz w:val="17"/>
                <w:szCs w:val="17"/>
                <w:color w:val="auto"/>
              </w:rPr>
            </w:pPr>
          </w:p>
        </w:tc>
        <w:tc>
          <w:tcPr>
            <w:tcW w:w="1340" w:type="dxa"/>
            <w:vAlign w:val="bottom"/>
            <w:tcBorders>
              <w:bottom w:val="single" w:sz="8" w:color="D7282F"/>
            </w:tcBorders>
          </w:tcPr>
          <w:p>
            <w:pPr>
              <w:spacing w:after="0"/>
              <w:rPr>
                <w:sz w:val="17"/>
                <w:szCs w:val="17"/>
                <w:color w:val="auto"/>
              </w:rPr>
            </w:pPr>
          </w:p>
        </w:tc>
        <w:tc>
          <w:tcPr>
            <w:tcW w:w="1500" w:type="dxa"/>
            <w:vAlign w:val="bottom"/>
            <w:tcBorders>
              <w:bottom w:val="single" w:sz="8" w:color="D7282F"/>
            </w:tcBorders>
          </w:tcPr>
          <w:p>
            <w:pPr>
              <w:spacing w:after="0"/>
              <w:rPr>
                <w:sz w:val="17"/>
                <w:szCs w:val="17"/>
                <w:color w:val="auto"/>
              </w:rPr>
            </w:pPr>
          </w:p>
        </w:tc>
        <w:tc>
          <w:tcPr>
            <w:tcW w:w="144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10380" w:type="dxa"/>
            <w:vAlign w:val="bottom"/>
            <w:tcBorders>
              <w:left w:val="single" w:sz="8" w:color="D7282F"/>
            </w:tcBorders>
            <w:gridSpan w:val="7"/>
          </w:tcPr>
          <w:p>
            <w:pPr>
              <w:ind w:left="140"/>
              <w:spacing w:after="0"/>
              <w:rPr>
                <w:sz w:val="20"/>
                <w:szCs w:val="20"/>
                <w:color w:val="auto"/>
              </w:rPr>
            </w:pPr>
            <w:r>
              <w:rPr>
                <w:rFonts w:ascii="Arial" w:cs="Arial" w:eastAsia="Arial" w:hAnsi="Arial"/>
                <w:sz w:val="14"/>
                <w:szCs w:val="14"/>
                <w:b w:val="1"/>
                <w:bCs w:val="1"/>
                <w:color w:val="auto"/>
              </w:rPr>
              <w:t>Total PSU Calculated Percentage — Mr. Currier — based 50% on performance against Total Honeywell goals and 50% on performance against</w:t>
            </w:r>
          </w:p>
        </w:tc>
        <w:tc>
          <w:tcPr>
            <w:tcW w:w="860" w:type="dxa"/>
            <w:vAlign w:val="bottom"/>
            <w:tcBorders>
              <w:right w:val="single" w:sz="8" w:color="D7282F"/>
            </w:tcBorders>
            <w:vMerge w:val="restart"/>
          </w:tcPr>
          <w:p>
            <w:pPr>
              <w:jc w:val="right"/>
              <w:spacing w:after="0"/>
              <w:rPr>
                <w:sz w:val="20"/>
                <w:szCs w:val="20"/>
                <w:color w:val="auto"/>
              </w:rPr>
            </w:pPr>
            <w:r>
              <w:rPr>
                <w:rFonts w:ascii="Arial" w:cs="Arial" w:eastAsia="Arial" w:hAnsi="Arial"/>
                <w:sz w:val="13"/>
                <w:szCs w:val="13"/>
                <w:b w:val="1"/>
                <w:bCs w:val="1"/>
                <w:color w:val="auto"/>
              </w:rPr>
              <w:t>68 %</w:t>
            </w:r>
          </w:p>
        </w:tc>
        <w:tc>
          <w:tcPr>
            <w:tcW w:w="0" w:type="dxa"/>
            <w:vAlign w:val="bottom"/>
          </w:tcPr>
          <w:p>
            <w:pPr>
              <w:spacing w:after="0"/>
              <w:rPr>
                <w:sz w:val="1"/>
                <w:szCs w:val="1"/>
                <w:color w:val="auto"/>
              </w:rPr>
            </w:pPr>
          </w:p>
        </w:tc>
      </w:tr>
      <w:tr>
        <w:trPr>
          <w:trHeight w:val="82"/>
        </w:trPr>
        <w:tc>
          <w:tcPr>
            <w:tcW w:w="2500" w:type="dxa"/>
            <w:vAlign w:val="bottom"/>
            <w:tcBorders>
              <w:left w:val="single" w:sz="8" w:color="D7282F"/>
            </w:tcBorders>
            <w:vMerge w:val="restart"/>
          </w:tcPr>
          <w:p>
            <w:pPr>
              <w:ind w:left="140"/>
              <w:spacing w:after="0"/>
              <w:rPr>
                <w:sz w:val="20"/>
                <w:szCs w:val="20"/>
                <w:color w:val="auto"/>
              </w:rPr>
            </w:pPr>
            <w:r>
              <w:rPr>
                <w:rFonts w:ascii="Arial" w:cs="Arial" w:eastAsia="Arial" w:hAnsi="Arial"/>
                <w:sz w:val="14"/>
                <w:szCs w:val="14"/>
                <w:b w:val="1"/>
                <w:bCs w:val="1"/>
                <w:color w:val="auto"/>
              </w:rPr>
              <w:t>business unit goals</w:t>
            </w:r>
          </w:p>
        </w:tc>
        <w:tc>
          <w:tcPr>
            <w:tcW w:w="14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60" w:type="dxa"/>
            <w:vAlign w:val="bottom"/>
            <w:tcBorders>
              <w:right w:val="single" w:sz="8" w:color="D7282F"/>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500" w:type="dxa"/>
            <w:vAlign w:val="bottom"/>
            <w:tcBorders>
              <w:left w:val="single" w:sz="8" w:color="D7282F"/>
            </w:tcBorders>
            <w:vMerge w:val="continue"/>
          </w:tcPr>
          <w:p>
            <w:pPr>
              <w:spacing w:after="0"/>
              <w:rPr>
                <w:sz w:val="9"/>
                <w:szCs w:val="9"/>
                <w:color w:val="auto"/>
              </w:rPr>
            </w:pPr>
          </w:p>
        </w:tc>
        <w:tc>
          <w:tcPr>
            <w:tcW w:w="14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60" w:type="dxa"/>
            <w:vAlign w:val="bottom"/>
            <w:tcBorders>
              <w:right w:val="single" w:sz="8" w:color="D7282F"/>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500" w:type="dxa"/>
            <w:vAlign w:val="bottom"/>
            <w:tcBorders>
              <w:left w:val="single" w:sz="8" w:color="D7282F"/>
              <w:bottom w:val="single" w:sz="8" w:color="D7282F"/>
            </w:tcBorders>
          </w:tcPr>
          <w:p>
            <w:pPr>
              <w:spacing w:after="0"/>
              <w:rPr>
                <w:sz w:val="10"/>
                <w:szCs w:val="10"/>
                <w:color w:val="auto"/>
              </w:rPr>
            </w:pPr>
          </w:p>
        </w:tc>
        <w:tc>
          <w:tcPr>
            <w:tcW w:w="1420" w:type="dxa"/>
            <w:vAlign w:val="bottom"/>
            <w:tcBorders>
              <w:bottom w:val="single" w:sz="8" w:color="D7282F"/>
            </w:tcBorders>
          </w:tcPr>
          <w:p>
            <w:pPr>
              <w:spacing w:after="0"/>
              <w:rPr>
                <w:sz w:val="10"/>
                <w:szCs w:val="10"/>
                <w:color w:val="auto"/>
              </w:rPr>
            </w:pPr>
          </w:p>
        </w:tc>
        <w:tc>
          <w:tcPr>
            <w:tcW w:w="1160" w:type="dxa"/>
            <w:vAlign w:val="bottom"/>
            <w:tcBorders>
              <w:bottom w:val="single" w:sz="8" w:color="D7282F"/>
            </w:tcBorders>
          </w:tcPr>
          <w:p>
            <w:pPr>
              <w:spacing w:after="0"/>
              <w:rPr>
                <w:sz w:val="10"/>
                <w:szCs w:val="10"/>
                <w:color w:val="auto"/>
              </w:rPr>
            </w:pPr>
          </w:p>
        </w:tc>
        <w:tc>
          <w:tcPr>
            <w:tcW w:w="1340" w:type="dxa"/>
            <w:vAlign w:val="bottom"/>
            <w:tcBorders>
              <w:bottom w:val="single" w:sz="8" w:color="D7282F"/>
            </w:tcBorders>
          </w:tcPr>
          <w:p>
            <w:pPr>
              <w:spacing w:after="0"/>
              <w:rPr>
                <w:sz w:val="10"/>
                <w:szCs w:val="10"/>
                <w:color w:val="auto"/>
              </w:rPr>
            </w:pPr>
          </w:p>
        </w:tc>
        <w:tc>
          <w:tcPr>
            <w:tcW w:w="1500" w:type="dxa"/>
            <w:vAlign w:val="bottom"/>
            <w:tcBorders>
              <w:bottom w:val="single" w:sz="8" w:color="D7282F"/>
            </w:tcBorders>
          </w:tcPr>
          <w:p>
            <w:pPr>
              <w:spacing w:after="0"/>
              <w:rPr>
                <w:sz w:val="10"/>
                <w:szCs w:val="10"/>
                <w:color w:val="auto"/>
              </w:rPr>
            </w:pPr>
          </w:p>
        </w:tc>
        <w:tc>
          <w:tcPr>
            <w:tcW w:w="1440" w:type="dxa"/>
            <w:vAlign w:val="bottom"/>
            <w:tcBorders>
              <w:bottom w:val="single" w:sz="8" w:color="D7282F"/>
            </w:tcBorders>
          </w:tcPr>
          <w:p>
            <w:pPr>
              <w:spacing w:after="0"/>
              <w:rPr>
                <w:sz w:val="10"/>
                <w:szCs w:val="10"/>
                <w:color w:val="auto"/>
              </w:rPr>
            </w:pPr>
          </w:p>
        </w:tc>
        <w:tc>
          <w:tcPr>
            <w:tcW w:w="1020" w:type="dxa"/>
            <w:vAlign w:val="bottom"/>
            <w:tcBorders>
              <w:bottom w:val="single" w:sz="8" w:color="D7282F"/>
            </w:tcBorders>
          </w:tcPr>
          <w:p>
            <w:pPr>
              <w:spacing w:after="0"/>
              <w:rPr>
                <w:sz w:val="10"/>
                <w:szCs w:val="10"/>
                <w:color w:val="auto"/>
              </w:rPr>
            </w:pPr>
          </w:p>
        </w:tc>
        <w:tc>
          <w:tcPr>
            <w:tcW w:w="860" w:type="dxa"/>
            <w:vAlign w:val="bottom"/>
            <w:tcBorders>
              <w:bottom w:val="single" w:sz="8" w:color="D7282F"/>
              <w:right w:val="single" w:sz="8" w:color="D7282F"/>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25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500" w:type="dxa"/>
            <w:vAlign w:val="bottom"/>
            <w:tcBorders>
              <w:bottom w:val="single" w:sz="8" w:color="D7282F"/>
            </w:tcBorders>
          </w:tcPr>
          <w:p>
            <w:pPr>
              <w:spacing w:after="0"/>
              <w:rPr>
                <w:sz w:val="21"/>
                <w:szCs w:val="21"/>
                <w:color w:val="auto"/>
              </w:rPr>
            </w:pPr>
          </w:p>
        </w:tc>
        <w:tc>
          <w:tcPr>
            <w:tcW w:w="14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500" w:type="dxa"/>
            <w:vAlign w:val="bottom"/>
          </w:tcPr>
          <w:p>
            <w:pPr>
              <w:ind w:left="20"/>
              <w:spacing w:after="0"/>
              <w:rPr>
                <w:sz w:val="20"/>
                <w:szCs w:val="20"/>
                <w:color w:val="auto"/>
              </w:rPr>
            </w:pPr>
            <w:r>
              <w:rPr>
                <w:rFonts w:ascii="Arial" w:cs="Arial" w:eastAsia="Arial" w:hAnsi="Arial"/>
                <w:sz w:val="13"/>
                <w:szCs w:val="13"/>
                <w:b w:val="1"/>
                <w:bCs w:val="1"/>
                <w:color w:val="auto"/>
              </w:rPr>
              <w:t>BA</w:t>
            </w:r>
          </w:p>
        </w:tc>
        <w:tc>
          <w:tcPr>
            <w:tcW w:w="1420" w:type="dxa"/>
            <w:vAlign w:val="bottom"/>
          </w:tcPr>
          <w:p>
            <w:pPr>
              <w:jc w:val="right"/>
              <w:ind w:right="70"/>
              <w:spacing w:after="0"/>
              <w:rPr>
                <w:sz w:val="20"/>
                <w:szCs w:val="20"/>
                <w:color w:val="auto"/>
              </w:rPr>
            </w:pPr>
            <w:r>
              <w:rPr>
                <w:rFonts w:ascii="Arial" w:cs="Arial" w:eastAsia="Arial" w:hAnsi="Arial"/>
                <w:sz w:val="13"/>
                <w:szCs w:val="13"/>
                <w:b w:val="1"/>
                <w:bCs w:val="1"/>
                <w:color w:val="auto"/>
              </w:rPr>
              <w:t>Threshold</w:t>
            </w: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Target</w:t>
            </w:r>
          </w:p>
        </w:tc>
        <w:tc>
          <w:tcPr>
            <w:tcW w:w="1340" w:type="dxa"/>
            <w:vAlign w:val="bottom"/>
            <w:tcBorders>
              <w:right w:val="single" w:sz="8" w:color="D7282F"/>
            </w:tcBorders>
          </w:tcPr>
          <w:p>
            <w:pPr>
              <w:jc w:val="right"/>
              <w:ind w:right="50"/>
              <w:spacing w:after="0"/>
              <w:rPr>
                <w:sz w:val="20"/>
                <w:szCs w:val="20"/>
                <w:color w:val="auto"/>
              </w:rPr>
            </w:pPr>
            <w:r>
              <w:rPr>
                <w:rFonts w:ascii="Arial" w:cs="Arial" w:eastAsia="Arial" w:hAnsi="Arial"/>
                <w:sz w:val="13"/>
                <w:szCs w:val="13"/>
                <w:b w:val="1"/>
                <w:bCs w:val="1"/>
                <w:color w:val="auto"/>
              </w:rPr>
              <w:t>Maximum</w:t>
            </w:r>
          </w:p>
        </w:tc>
        <w:tc>
          <w:tcPr>
            <w:tcW w:w="1500" w:type="dxa"/>
            <w:vAlign w:val="bottom"/>
            <w:tcBorders>
              <w:right w:val="single" w:sz="8" w:color="D7282F"/>
            </w:tcBorders>
          </w:tcPr>
          <w:p>
            <w:pPr>
              <w:jc w:val="right"/>
              <w:spacing w:after="0"/>
              <w:rPr>
                <w:sz w:val="20"/>
                <w:szCs w:val="20"/>
                <w:color w:val="auto"/>
              </w:rPr>
            </w:pPr>
            <w:r>
              <w:rPr>
                <w:rFonts w:ascii="Arial" w:cs="Arial" w:eastAsia="Arial" w:hAnsi="Arial"/>
                <w:sz w:val="13"/>
                <w:szCs w:val="13"/>
                <w:b w:val="1"/>
                <w:bCs w:val="1"/>
                <w:color w:val="auto"/>
              </w:rPr>
              <w:t>Actual Plan</w:t>
            </w:r>
          </w:p>
        </w:tc>
        <w:tc>
          <w:tcPr>
            <w:tcW w:w="1440" w:type="dxa"/>
            <w:vAlign w:val="bottom"/>
          </w:tcPr>
          <w:p>
            <w:pPr>
              <w:jc w:val="right"/>
              <w:ind w:right="251"/>
              <w:spacing w:after="0"/>
              <w:rPr>
                <w:sz w:val="20"/>
                <w:szCs w:val="20"/>
                <w:color w:val="auto"/>
              </w:rPr>
            </w:pPr>
            <w:r>
              <w:rPr>
                <w:rFonts w:ascii="Arial" w:cs="Arial" w:eastAsia="Arial" w:hAnsi="Arial"/>
                <w:sz w:val="13"/>
                <w:szCs w:val="13"/>
                <w:b w:val="1"/>
                <w:bCs w:val="1"/>
                <w:color w:val="auto"/>
              </w:rPr>
              <w:t>Payout</w:t>
            </w:r>
          </w:p>
        </w:tc>
        <w:tc>
          <w:tcPr>
            <w:tcW w:w="1020" w:type="dxa"/>
            <w:vAlign w:val="bottom"/>
          </w:tcPr>
          <w:p>
            <w:pPr>
              <w:jc w:val="right"/>
              <w:ind w:right="190"/>
              <w:spacing w:after="0"/>
              <w:rPr>
                <w:sz w:val="20"/>
                <w:szCs w:val="20"/>
                <w:color w:val="auto"/>
              </w:rPr>
            </w:pPr>
            <w:r>
              <w:rPr>
                <w:rFonts w:ascii="Arial" w:cs="Arial" w:eastAsia="Arial" w:hAnsi="Arial"/>
                <w:sz w:val="13"/>
                <w:szCs w:val="13"/>
                <w:b w:val="1"/>
                <w:bCs w:val="1"/>
                <w:color w:val="auto"/>
              </w:rPr>
              <w:t>Weight</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75"/>
        </w:trPr>
        <w:tc>
          <w:tcPr>
            <w:tcW w:w="2500" w:type="dxa"/>
            <w:vAlign w:val="bottom"/>
            <w:tcBorders>
              <w:bottom w:val="single" w:sz="8" w:color="D7282F"/>
            </w:tcBorders>
          </w:tcPr>
          <w:p>
            <w:pPr>
              <w:spacing w:after="0"/>
              <w:rPr>
                <w:sz w:val="15"/>
                <w:szCs w:val="15"/>
                <w:color w:val="auto"/>
              </w:rPr>
            </w:pPr>
          </w:p>
        </w:tc>
        <w:tc>
          <w:tcPr>
            <w:tcW w:w="1420" w:type="dxa"/>
            <w:vAlign w:val="bottom"/>
            <w:tcBorders>
              <w:bottom w:val="single" w:sz="8" w:color="D7282F"/>
            </w:tcBorders>
          </w:tcPr>
          <w:p>
            <w:pPr>
              <w:spacing w:after="0"/>
              <w:rPr>
                <w:sz w:val="15"/>
                <w:szCs w:val="15"/>
                <w:color w:val="auto"/>
              </w:rPr>
            </w:pPr>
          </w:p>
        </w:tc>
        <w:tc>
          <w:tcPr>
            <w:tcW w:w="1160" w:type="dxa"/>
            <w:vAlign w:val="bottom"/>
            <w:tcBorders>
              <w:bottom w:val="single" w:sz="8" w:color="D7282F"/>
            </w:tcBorders>
          </w:tcPr>
          <w:p>
            <w:pPr>
              <w:spacing w:after="0"/>
              <w:rPr>
                <w:sz w:val="15"/>
                <w:szCs w:val="15"/>
                <w:color w:val="auto"/>
              </w:rPr>
            </w:pPr>
          </w:p>
        </w:tc>
        <w:tc>
          <w:tcPr>
            <w:tcW w:w="1340" w:type="dxa"/>
            <w:vAlign w:val="bottom"/>
            <w:tcBorders>
              <w:bottom w:val="single" w:sz="8" w:color="D7282F"/>
              <w:right w:val="single" w:sz="8" w:color="D7282F"/>
            </w:tcBorders>
          </w:tcPr>
          <w:p>
            <w:pPr>
              <w:spacing w:after="0"/>
              <w:rPr>
                <w:sz w:val="15"/>
                <w:szCs w:val="15"/>
                <w:color w:val="auto"/>
              </w:rPr>
            </w:pPr>
          </w:p>
        </w:tc>
        <w:tc>
          <w:tcPr>
            <w:tcW w:w="1500" w:type="dxa"/>
            <w:vAlign w:val="bottom"/>
            <w:tcBorders>
              <w:bottom w:val="single" w:sz="8" w:color="D7282F"/>
              <w:right w:val="single" w:sz="8" w:color="D7282F"/>
            </w:tcBorders>
          </w:tcPr>
          <w:p>
            <w:pPr>
              <w:jc w:val="right"/>
              <w:spacing w:after="0" w:line="175" w:lineRule="exact"/>
              <w:rPr>
                <w:sz w:val="20"/>
                <w:szCs w:val="20"/>
                <w:color w:val="auto"/>
              </w:rPr>
            </w:pPr>
            <w:r>
              <w:rPr>
                <w:rFonts w:ascii="Arial" w:cs="Arial" w:eastAsia="Arial" w:hAnsi="Arial"/>
                <w:sz w:val="13"/>
                <w:szCs w:val="13"/>
                <w:b w:val="1"/>
                <w:bCs w:val="1"/>
                <w:color w:val="auto"/>
              </w:rPr>
              <w:t>Performance</w:t>
            </w:r>
            <w:r>
              <w:rPr>
                <w:rFonts w:ascii="Arial" w:cs="Arial" w:eastAsia="Arial" w:hAnsi="Arial"/>
                <w:sz w:val="16"/>
                <w:szCs w:val="16"/>
                <w:b w:val="1"/>
                <w:bCs w:val="1"/>
                <w:color w:val="auto"/>
                <w:vertAlign w:val="superscript"/>
              </w:rPr>
              <w:t>(1)</w:t>
            </w:r>
          </w:p>
        </w:tc>
        <w:tc>
          <w:tcPr>
            <w:tcW w:w="1440" w:type="dxa"/>
            <w:vAlign w:val="bottom"/>
            <w:tcBorders>
              <w:bottom w:val="single" w:sz="8" w:color="D7282F"/>
            </w:tcBorders>
          </w:tcPr>
          <w:p>
            <w:pPr>
              <w:jc w:val="right"/>
              <w:ind w:right="251"/>
              <w:spacing w:after="0"/>
              <w:rPr>
                <w:sz w:val="20"/>
                <w:szCs w:val="20"/>
                <w:color w:val="auto"/>
              </w:rPr>
            </w:pPr>
            <w:r>
              <w:rPr>
                <w:rFonts w:ascii="Arial" w:cs="Arial" w:eastAsia="Arial" w:hAnsi="Arial"/>
                <w:sz w:val="13"/>
                <w:szCs w:val="13"/>
                <w:b w:val="1"/>
                <w:bCs w:val="1"/>
                <w:color w:val="auto"/>
              </w:rPr>
              <w:t>Factor</w:t>
            </w:r>
          </w:p>
        </w:tc>
        <w:tc>
          <w:tcPr>
            <w:tcW w:w="1020" w:type="dxa"/>
            <w:vAlign w:val="bottom"/>
            <w:tcBorders>
              <w:bottom w:val="single" w:sz="8" w:color="D7282F"/>
            </w:tcBorders>
          </w:tcPr>
          <w:p>
            <w:pPr>
              <w:spacing w:after="0"/>
              <w:rPr>
                <w:sz w:val="15"/>
                <w:szCs w:val="15"/>
                <w:color w:val="auto"/>
              </w:rPr>
            </w:pPr>
          </w:p>
        </w:tc>
        <w:tc>
          <w:tcPr>
            <w:tcW w:w="860" w:type="dxa"/>
            <w:vAlign w:val="bottom"/>
            <w:tcBorders>
              <w:bottom w:val="single" w:sz="8" w:color="D7282F"/>
            </w:tcBorders>
          </w:tcPr>
          <w:p>
            <w:pPr>
              <w:jc w:val="right"/>
              <w:spacing w:after="0"/>
              <w:rPr>
                <w:sz w:val="20"/>
                <w:szCs w:val="20"/>
                <w:color w:val="auto"/>
              </w:rPr>
            </w:pPr>
            <w:r>
              <w:rPr>
                <w:rFonts w:ascii="Arial" w:cs="Arial" w:eastAsia="Arial" w:hAnsi="Arial"/>
                <w:sz w:val="13"/>
                <w:szCs w:val="13"/>
                <w:b w:val="1"/>
                <w:bCs w:val="1"/>
                <w:color w:val="auto"/>
              </w:rPr>
              <w:t>Payout %</w:t>
            </w:r>
          </w:p>
        </w:tc>
        <w:tc>
          <w:tcPr>
            <w:tcW w:w="0" w:type="dxa"/>
            <w:vAlign w:val="bottom"/>
          </w:tcPr>
          <w:p>
            <w:pPr>
              <w:spacing w:after="0"/>
              <w:rPr>
                <w:sz w:val="1"/>
                <w:szCs w:val="1"/>
                <w:color w:val="auto"/>
              </w:rPr>
            </w:pPr>
          </w:p>
        </w:tc>
      </w:tr>
      <w:tr>
        <w:trPr>
          <w:trHeight w:val="315"/>
        </w:trPr>
        <w:tc>
          <w:tcPr>
            <w:tcW w:w="2500" w:type="dxa"/>
            <w:vAlign w:val="bottom"/>
          </w:tcPr>
          <w:p>
            <w:pPr>
              <w:ind w:left="20"/>
              <w:spacing w:after="0"/>
              <w:rPr>
                <w:sz w:val="20"/>
                <w:szCs w:val="20"/>
                <w:color w:val="auto"/>
              </w:rPr>
            </w:pPr>
            <w:r>
              <w:rPr>
                <w:rFonts w:ascii="Arial" w:cs="Arial" w:eastAsia="Arial" w:hAnsi="Arial"/>
                <w:sz w:val="14"/>
                <w:szCs w:val="14"/>
                <w:b w:val="1"/>
                <w:bCs w:val="1"/>
                <w:color w:val="auto"/>
              </w:rPr>
              <w:t>Cumulative Revenue ($M)</w:t>
            </w:r>
          </w:p>
        </w:tc>
        <w:tc>
          <w:tcPr>
            <w:tcW w:w="1420" w:type="dxa"/>
            <w:vAlign w:val="bottom"/>
          </w:tcPr>
          <w:p>
            <w:pPr>
              <w:jc w:val="right"/>
              <w:ind w:right="70"/>
              <w:spacing w:after="0"/>
              <w:rPr>
                <w:sz w:val="20"/>
                <w:szCs w:val="20"/>
                <w:color w:val="auto"/>
              </w:rPr>
            </w:pPr>
            <w:r>
              <w:rPr>
                <w:rFonts w:ascii="Arial" w:cs="Arial" w:eastAsia="Arial" w:hAnsi="Arial"/>
                <w:sz w:val="14"/>
                <w:szCs w:val="14"/>
                <w:color w:val="auto"/>
              </w:rPr>
              <w:t>$17,751</w:t>
            </w:r>
          </w:p>
        </w:tc>
        <w:tc>
          <w:tcPr>
            <w:tcW w:w="1160" w:type="dxa"/>
            <w:vAlign w:val="bottom"/>
          </w:tcPr>
          <w:p>
            <w:pPr>
              <w:jc w:val="right"/>
              <w:spacing w:after="0"/>
              <w:rPr>
                <w:sz w:val="20"/>
                <w:szCs w:val="20"/>
                <w:color w:val="auto"/>
              </w:rPr>
            </w:pPr>
            <w:r>
              <w:rPr>
                <w:rFonts w:ascii="Arial" w:cs="Arial" w:eastAsia="Arial" w:hAnsi="Arial"/>
                <w:sz w:val="14"/>
                <w:szCs w:val="14"/>
                <w:color w:val="auto"/>
              </w:rPr>
              <w:t>$19,087</w:t>
            </w:r>
          </w:p>
        </w:tc>
        <w:tc>
          <w:tcPr>
            <w:tcW w:w="1340" w:type="dxa"/>
            <w:vAlign w:val="bottom"/>
            <w:tcBorders>
              <w:right w:val="single" w:sz="8" w:color="D7282F"/>
            </w:tcBorders>
          </w:tcPr>
          <w:p>
            <w:pPr>
              <w:jc w:val="right"/>
              <w:ind w:right="50"/>
              <w:spacing w:after="0"/>
              <w:rPr>
                <w:sz w:val="20"/>
                <w:szCs w:val="20"/>
                <w:color w:val="auto"/>
              </w:rPr>
            </w:pPr>
            <w:r>
              <w:rPr>
                <w:rFonts w:ascii="Arial" w:cs="Arial" w:eastAsia="Arial" w:hAnsi="Arial"/>
                <w:sz w:val="14"/>
                <w:szCs w:val="14"/>
                <w:color w:val="auto"/>
              </w:rPr>
              <w:t>$19,755</w:t>
            </w:r>
          </w:p>
        </w:tc>
        <w:tc>
          <w:tcPr>
            <w:tcW w:w="1500" w:type="dxa"/>
            <w:vAlign w:val="bottom"/>
            <w:tcBorders>
              <w:right w:val="single" w:sz="8" w:color="D7282F"/>
            </w:tcBorders>
          </w:tcPr>
          <w:p>
            <w:pPr>
              <w:jc w:val="right"/>
              <w:spacing w:after="0"/>
              <w:rPr>
                <w:sz w:val="20"/>
                <w:szCs w:val="20"/>
                <w:color w:val="auto"/>
              </w:rPr>
            </w:pPr>
            <w:r>
              <w:rPr>
                <w:rFonts w:ascii="Arial" w:cs="Arial" w:eastAsia="Arial" w:hAnsi="Arial"/>
                <w:sz w:val="14"/>
                <w:szCs w:val="14"/>
                <w:color w:val="auto"/>
              </w:rPr>
              <w:t>$18,843</w:t>
            </w:r>
          </w:p>
        </w:tc>
        <w:tc>
          <w:tcPr>
            <w:tcW w:w="1440" w:type="dxa"/>
            <w:vAlign w:val="bottom"/>
          </w:tcPr>
          <w:p>
            <w:pPr>
              <w:jc w:val="right"/>
              <w:ind w:right="251"/>
              <w:spacing w:after="0"/>
              <w:rPr>
                <w:sz w:val="20"/>
                <w:szCs w:val="20"/>
                <w:color w:val="auto"/>
              </w:rPr>
            </w:pPr>
            <w:r>
              <w:rPr>
                <w:rFonts w:ascii="Arial" w:cs="Arial" w:eastAsia="Arial" w:hAnsi="Arial"/>
                <w:sz w:val="14"/>
                <w:szCs w:val="14"/>
                <w:color w:val="auto"/>
              </w:rPr>
              <w:t>90.9%</w:t>
            </w:r>
          </w:p>
        </w:tc>
        <w:tc>
          <w:tcPr>
            <w:tcW w:w="1020" w:type="dxa"/>
            <w:vAlign w:val="bottom"/>
          </w:tcPr>
          <w:p>
            <w:pPr>
              <w:jc w:val="right"/>
              <w:ind w:right="190"/>
              <w:spacing w:after="0"/>
              <w:rPr>
                <w:sz w:val="20"/>
                <w:szCs w:val="20"/>
                <w:color w:val="auto"/>
              </w:rPr>
            </w:pPr>
            <w:r>
              <w:rPr>
                <w:rFonts w:ascii="Arial" w:cs="Arial" w:eastAsia="Arial" w:hAnsi="Arial"/>
                <w:sz w:val="14"/>
                <w:szCs w:val="14"/>
                <w:color w:val="auto"/>
              </w:rPr>
              <w:t>12.5%</w:t>
            </w:r>
          </w:p>
        </w:tc>
        <w:tc>
          <w:tcPr>
            <w:tcW w:w="86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24"/>
        </w:trPr>
        <w:tc>
          <w:tcPr>
            <w:tcW w:w="2500" w:type="dxa"/>
            <w:vAlign w:val="bottom"/>
            <w:tcBorders>
              <w:bottom w:val="single" w:sz="8" w:color="939598"/>
            </w:tcBorders>
          </w:tcPr>
          <w:p>
            <w:pPr>
              <w:spacing w:after="0"/>
              <w:rPr>
                <w:sz w:val="10"/>
                <w:szCs w:val="10"/>
                <w:color w:val="auto"/>
              </w:rPr>
            </w:pPr>
          </w:p>
        </w:tc>
        <w:tc>
          <w:tcPr>
            <w:tcW w:w="1420" w:type="dxa"/>
            <w:vAlign w:val="bottom"/>
            <w:tcBorders>
              <w:bottom w:val="single" w:sz="8" w:color="939598"/>
            </w:tcBorders>
          </w:tcPr>
          <w:p>
            <w:pPr>
              <w:spacing w:after="0"/>
              <w:rPr>
                <w:sz w:val="10"/>
                <w:szCs w:val="10"/>
                <w:color w:val="auto"/>
              </w:rPr>
            </w:pPr>
          </w:p>
        </w:tc>
        <w:tc>
          <w:tcPr>
            <w:tcW w:w="1160" w:type="dxa"/>
            <w:vAlign w:val="bottom"/>
            <w:tcBorders>
              <w:bottom w:val="single" w:sz="8" w:color="939598"/>
            </w:tcBorders>
          </w:tcPr>
          <w:p>
            <w:pPr>
              <w:spacing w:after="0"/>
              <w:rPr>
                <w:sz w:val="10"/>
                <w:szCs w:val="10"/>
                <w:color w:val="auto"/>
              </w:rPr>
            </w:pPr>
          </w:p>
        </w:tc>
        <w:tc>
          <w:tcPr>
            <w:tcW w:w="1340" w:type="dxa"/>
            <w:vAlign w:val="bottom"/>
            <w:tcBorders>
              <w:bottom w:val="single" w:sz="8" w:color="939598"/>
              <w:right w:val="single" w:sz="8" w:color="D7282F"/>
            </w:tcBorders>
          </w:tcPr>
          <w:p>
            <w:pPr>
              <w:spacing w:after="0"/>
              <w:rPr>
                <w:sz w:val="10"/>
                <w:szCs w:val="10"/>
                <w:color w:val="auto"/>
              </w:rPr>
            </w:pPr>
          </w:p>
        </w:tc>
        <w:tc>
          <w:tcPr>
            <w:tcW w:w="1500" w:type="dxa"/>
            <w:vAlign w:val="bottom"/>
            <w:tcBorders>
              <w:bottom w:val="single" w:sz="8" w:color="939598"/>
              <w:right w:val="single" w:sz="8" w:color="D7282F"/>
            </w:tcBorders>
          </w:tcPr>
          <w:p>
            <w:pPr>
              <w:spacing w:after="0"/>
              <w:rPr>
                <w:sz w:val="10"/>
                <w:szCs w:val="10"/>
                <w:color w:val="auto"/>
              </w:rPr>
            </w:pPr>
          </w:p>
        </w:tc>
        <w:tc>
          <w:tcPr>
            <w:tcW w:w="1440" w:type="dxa"/>
            <w:vAlign w:val="bottom"/>
            <w:tcBorders>
              <w:bottom w:val="single" w:sz="8" w:color="939598"/>
            </w:tcBorders>
          </w:tcPr>
          <w:p>
            <w:pPr>
              <w:spacing w:after="0"/>
              <w:rPr>
                <w:sz w:val="10"/>
                <w:szCs w:val="10"/>
                <w:color w:val="auto"/>
              </w:rPr>
            </w:pPr>
          </w:p>
        </w:tc>
        <w:tc>
          <w:tcPr>
            <w:tcW w:w="1020" w:type="dxa"/>
            <w:vAlign w:val="bottom"/>
            <w:tcBorders>
              <w:bottom w:val="single" w:sz="8" w:color="939598"/>
            </w:tcBorders>
          </w:tcPr>
          <w:p>
            <w:pPr>
              <w:spacing w:after="0"/>
              <w:rPr>
                <w:sz w:val="10"/>
                <w:szCs w:val="10"/>
                <w:color w:val="auto"/>
              </w:rPr>
            </w:pPr>
          </w:p>
        </w:tc>
        <w:tc>
          <w:tcPr>
            <w:tcW w:w="86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315"/>
        </w:trPr>
        <w:tc>
          <w:tcPr>
            <w:tcW w:w="2500" w:type="dxa"/>
            <w:vAlign w:val="bottom"/>
          </w:tcPr>
          <w:p>
            <w:pPr>
              <w:ind w:left="20"/>
              <w:spacing w:after="0"/>
              <w:rPr>
                <w:sz w:val="20"/>
                <w:szCs w:val="20"/>
                <w:color w:val="auto"/>
              </w:rPr>
            </w:pPr>
            <w:r>
              <w:rPr>
                <w:rFonts w:ascii="Arial" w:cs="Arial" w:eastAsia="Arial" w:hAnsi="Arial"/>
                <w:sz w:val="14"/>
                <w:szCs w:val="14"/>
                <w:b w:val="1"/>
                <w:bCs w:val="1"/>
                <w:color w:val="auto"/>
              </w:rPr>
              <w:t>Average Segment Margin Rate</w:t>
            </w:r>
          </w:p>
        </w:tc>
        <w:tc>
          <w:tcPr>
            <w:tcW w:w="1420" w:type="dxa"/>
            <w:vAlign w:val="bottom"/>
          </w:tcPr>
          <w:p>
            <w:pPr>
              <w:jc w:val="right"/>
              <w:ind w:right="70"/>
              <w:spacing w:after="0"/>
              <w:rPr>
                <w:sz w:val="20"/>
                <w:szCs w:val="20"/>
                <w:color w:val="auto"/>
              </w:rPr>
            </w:pPr>
            <w:r>
              <w:rPr>
                <w:rFonts w:ascii="Arial" w:cs="Arial" w:eastAsia="Arial" w:hAnsi="Arial"/>
                <w:sz w:val="14"/>
                <w:szCs w:val="14"/>
                <w:color w:val="auto"/>
              </w:rPr>
              <w:t>24.4%</w:t>
            </w:r>
          </w:p>
        </w:tc>
        <w:tc>
          <w:tcPr>
            <w:tcW w:w="1160" w:type="dxa"/>
            <w:vAlign w:val="bottom"/>
          </w:tcPr>
          <w:p>
            <w:pPr>
              <w:jc w:val="right"/>
              <w:spacing w:after="0"/>
              <w:rPr>
                <w:sz w:val="20"/>
                <w:szCs w:val="20"/>
                <w:color w:val="auto"/>
              </w:rPr>
            </w:pPr>
            <w:r>
              <w:rPr>
                <w:rFonts w:ascii="Arial" w:cs="Arial" w:eastAsia="Arial" w:hAnsi="Arial"/>
                <w:sz w:val="14"/>
                <w:szCs w:val="14"/>
                <w:color w:val="auto"/>
              </w:rPr>
              <w:t>25.2%</w:t>
            </w:r>
          </w:p>
        </w:tc>
        <w:tc>
          <w:tcPr>
            <w:tcW w:w="1340" w:type="dxa"/>
            <w:vAlign w:val="bottom"/>
            <w:tcBorders>
              <w:right w:val="single" w:sz="8" w:color="D7282F"/>
            </w:tcBorders>
          </w:tcPr>
          <w:p>
            <w:pPr>
              <w:jc w:val="right"/>
              <w:ind w:right="50"/>
              <w:spacing w:after="0"/>
              <w:rPr>
                <w:sz w:val="20"/>
                <w:szCs w:val="20"/>
                <w:color w:val="auto"/>
              </w:rPr>
            </w:pPr>
            <w:r>
              <w:rPr>
                <w:rFonts w:ascii="Arial" w:cs="Arial" w:eastAsia="Arial" w:hAnsi="Arial"/>
                <w:sz w:val="14"/>
                <w:szCs w:val="14"/>
                <w:color w:val="auto"/>
              </w:rPr>
              <w:t>&gt;= 25.7%</w:t>
            </w:r>
          </w:p>
        </w:tc>
        <w:tc>
          <w:tcPr>
            <w:tcW w:w="1500" w:type="dxa"/>
            <w:vAlign w:val="bottom"/>
            <w:tcBorders>
              <w:right w:val="single" w:sz="8" w:color="D7282F"/>
            </w:tcBorders>
          </w:tcPr>
          <w:p>
            <w:pPr>
              <w:jc w:val="right"/>
              <w:spacing w:after="0"/>
              <w:rPr>
                <w:sz w:val="20"/>
                <w:szCs w:val="20"/>
                <w:color w:val="auto"/>
              </w:rPr>
            </w:pPr>
            <w:r>
              <w:rPr>
                <w:rFonts w:ascii="Arial" w:cs="Arial" w:eastAsia="Arial" w:hAnsi="Arial"/>
                <w:sz w:val="14"/>
                <w:szCs w:val="14"/>
                <w:color w:val="auto"/>
              </w:rPr>
              <w:t>25.0%</w:t>
            </w:r>
          </w:p>
        </w:tc>
        <w:tc>
          <w:tcPr>
            <w:tcW w:w="1440" w:type="dxa"/>
            <w:vAlign w:val="bottom"/>
          </w:tcPr>
          <w:p>
            <w:pPr>
              <w:jc w:val="right"/>
              <w:ind w:right="251"/>
              <w:spacing w:after="0"/>
              <w:rPr>
                <w:sz w:val="20"/>
                <w:szCs w:val="20"/>
                <w:color w:val="auto"/>
              </w:rPr>
            </w:pPr>
            <w:r>
              <w:rPr>
                <w:rFonts w:ascii="Arial" w:cs="Arial" w:eastAsia="Arial" w:hAnsi="Arial"/>
                <w:sz w:val="14"/>
                <w:szCs w:val="14"/>
                <w:color w:val="auto"/>
              </w:rPr>
              <w:t>87.5%</w:t>
            </w:r>
          </w:p>
        </w:tc>
        <w:tc>
          <w:tcPr>
            <w:tcW w:w="1020" w:type="dxa"/>
            <w:vAlign w:val="bottom"/>
          </w:tcPr>
          <w:p>
            <w:pPr>
              <w:jc w:val="right"/>
              <w:ind w:right="190"/>
              <w:spacing w:after="0"/>
              <w:rPr>
                <w:sz w:val="20"/>
                <w:szCs w:val="20"/>
                <w:color w:val="auto"/>
              </w:rPr>
            </w:pPr>
            <w:r>
              <w:rPr>
                <w:rFonts w:ascii="Arial" w:cs="Arial" w:eastAsia="Arial" w:hAnsi="Arial"/>
                <w:sz w:val="14"/>
                <w:szCs w:val="14"/>
                <w:color w:val="auto"/>
              </w:rPr>
              <w:t>12.5%</w:t>
            </w:r>
          </w:p>
        </w:tc>
        <w:tc>
          <w:tcPr>
            <w:tcW w:w="86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23"/>
        </w:trPr>
        <w:tc>
          <w:tcPr>
            <w:tcW w:w="2500" w:type="dxa"/>
            <w:vAlign w:val="bottom"/>
            <w:tcBorders>
              <w:bottom w:val="single" w:sz="8" w:color="939598"/>
            </w:tcBorders>
          </w:tcPr>
          <w:p>
            <w:pPr>
              <w:spacing w:after="0"/>
              <w:rPr>
                <w:sz w:val="10"/>
                <w:szCs w:val="10"/>
                <w:color w:val="auto"/>
              </w:rPr>
            </w:pPr>
          </w:p>
        </w:tc>
        <w:tc>
          <w:tcPr>
            <w:tcW w:w="1420" w:type="dxa"/>
            <w:vAlign w:val="bottom"/>
            <w:tcBorders>
              <w:bottom w:val="single" w:sz="8" w:color="939598"/>
            </w:tcBorders>
          </w:tcPr>
          <w:p>
            <w:pPr>
              <w:spacing w:after="0"/>
              <w:rPr>
                <w:sz w:val="10"/>
                <w:szCs w:val="10"/>
                <w:color w:val="auto"/>
              </w:rPr>
            </w:pPr>
          </w:p>
        </w:tc>
        <w:tc>
          <w:tcPr>
            <w:tcW w:w="1160" w:type="dxa"/>
            <w:vAlign w:val="bottom"/>
            <w:tcBorders>
              <w:bottom w:val="single" w:sz="8" w:color="939598"/>
            </w:tcBorders>
          </w:tcPr>
          <w:p>
            <w:pPr>
              <w:spacing w:after="0"/>
              <w:rPr>
                <w:sz w:val="10"/>
                <w:szCs w:val="10"/>
                <w:color w:val="auto"/>
              </w:rPr>
            </w:pPr>
          </w:p>
        </w:tc>
        <w:tc>
          <w:tcPr>
            <w:tcW w:w="1340" w:type="dxa"/>
            <w:vAlign w:val="bottom"/>
            <w:tcBorders>
              <w:bottom w:val="single" w:sz="8" w:color="939598"/>
              <w:right w:val="single" w:sz="8" w:color="D7282F"/>
            </w:tcBorders>
          </w:tcPr>
          <w:p>
            <w:pPr>
              <w:spacing w:after="0"/>
              <w:rPr>
                <w:sz w:val="10"/>
                <w:szCs w:val="10"/>
                <w:color w:val="auto"/>
              </w:rPr>
            </w:pPr>
          </w:p>
        </w:tc>
        <w:tc>
          <w:tcPr>
            <w:tcW w:w="1500" w:type="dxa"/>
            <w:vAlign w:val="bottom"/>
            <w:tcBorders>
              <w:bottom w:val="single" w:sz="8" w:color="939598"/>
              <w:right w:val="single" w:sz="8" w:color="D7282F"/>
            </w:tcBorders>
          </w:tcPr>
          <w:p>
            <w:pPr>
              <w:spacing w:after="0"/>
              <w:rPr>
                <w:sz w:val="10"/>
                <w:szCs w:val="10"/>
                <w:color w:val="auto"/>
              </w:rPr>
            </w:pPr>
          </w:p>
        </w:tc>
        <w:tc>
          <w:tcPr>
            <w:tcW w:w="1440" w:type="dxa"/>
            <w:vAlign w:val="bottom"/>
            <w:tcBorders>
              <w:bottom w:val="single" w:sz="8" w:color="939598"/>
            </w:tcBorders>
          </w:tcPr>
          <w:p>
            <w:pPr>
              <w:spacing w:after="0"/>
              <w:rPr>
                <w:sz w:val="10"/>
                <w:szCs w:val="10"/>
                <w:color w:val="auto"/>
              </w:rPr>
            </w:pPr>
          </w:p>
        </w:tc>
        <w:tc>
          <w:tcPr>
            <w:tcW w:w="1020" w:type="dxa"/>
            <w:vAlign w:val="bottom"/>
            <w:tcBorders>
              <w:bottom w:val="single" w:sz="8" w:color="939598"/>
            </w:tcBorders>
          </w:tcPr>
          <w:p>
            <w:pPr>
              <w:spacing w:after="0"/>
              <w:rPr>
                <w:sz w:val="10"/>
                <w:szCs w:val="10"/>
                <w:color w:val="auto"/>
              </w:rPr>
            </w:pPr>
          </w:p>
        </w:tc>
        <w:tc>
          <w:tcPr>
            <w:tcW w:w="86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316"/>
        </w:trPr>
        <w:tc>
          <w:tcPr>
            <w:tcW w:w="2500" w:type="dxa"/>
            <w:vAlign w:val="bottom"/>
          </w:tcPr>
          <w:p>
            <w:pPr>
              <w:ind w:left="20"/>
              <w:spacing w:after="0"/>
              <w:rPr>
                <w:sz w:val="20"/>
                <w:szCs w:val="20"/>
                <w:color w:val="auto"/>
              </w:rPr>
            </w:pPr>
            <w:r>
              <w:rPr>
                <w:rFonts w:ascii="Arial" w:cs="Arial" w:eastAsia="Arial" w:hAnsi="Arial"/>
                <w:sz w:val="14"/>
                <w:szCs w:val="14"/>
                <w:b w:val="1"/>
                <w:bCs w:val="1"/>
                <w:color w:val="auto"/>
              </w:rPr>
              <w:t>Average ROI</w:t>
            </w:r>
          </w:p>
        </w:tc>
        <w:tc>
          <w:tcPr>
            <w:tcW w:w="1420" w:type="dxa"/>
            <w:vAlign w:val="bottom"/>
          </w:tcPr>
          <w:p>
            <w:pPr>
              <w:jc w:val="right"/>
              <w:ind w:right="70"/>
              <w:spacing w:after="0"/>
              <w:rPr>
                <w:sz w:val="20"/>
                <w:szCs w:val="20"/>
                <w:color w:val="auto"/>
              </w:rPr>
            </w:pPr>
            <w:r>
              <w:rPr>
                <w:rFonts w:ascii="Arial" w:cs="Arial" w:eastAsia="Arial" w:hAnsi="Arial"/>
                <w:sz w:val="14"/>
                <w:szCs w:val="14"/>
                <w:color w:val="auto"/>
              </w:rPr>
              <w:t>29.1%</w:t>
            </w:r>
          </w:p>
        </w:tc>
        <w:tc>
          <w:tcPr>
            <w:tcW w:w="1160" w:type="dxa"/>
            <w:vAlign w:val="bottom"/>
          </w:tcPr>
          <w:p>
            <w:pPr>
              <w:jc w:val="right"/>
              <w:spacing w:after="0"/>
              <w:rPr>
                <w:sz w:val="20"/>
                <w:szCs w:val="20"/>
                <w:color w:val="auto"/>
              </w:rPr>
            </w:pPr>
            <w:r>
              <w:rPr>
                <w:rFonts w:ascii="Arial" w:cs="Arial" w:eastAsia="Arial" w:hAnsi="Arial"/>
                <w:sz w:val="14"/>
                <w:szCs w:val="14"/>
                <w:color w:val="auto"/>
              </w:rPr>
              <w:t>30.6%</w:t>
            </w:r>
          </w:p>
        </w:tc>
        <w:tc>
          <w:tcPr>
            <w:tcW w:w="1340" w:type="dxa"/>
            <w:vAlign w:val="bottom"/>
            <w:tcBorders>
              <w:right w:val="single" w:sz="8" w:color="D7282F"/>
            </w:tcBorders>
          </w:tcPr>
          <w:p>
            <w:pPr>
              <w:jc w:val="right"/>
              <w:ind w:right="50"/>
              <w:spacing w:after="0"/>
              <w:rPr>
                <w:sz w:val="20"/>
                <w:szCs w:val="20"/>
                <w:color w:val="auto"/>
              </w:rPr>
            </w:pPr>
            <w:r>
              <w:rPr>
                <w:rFonts w:ascii="Arial" w:cs="Arial" w:eastAsia="Arial" w:hAnsi="Arial"/>
                <w:sz w:val="14"/>
                <w:szCs w:val="14"/>
                <w:color w:val="auto"/>
              </w:rPr>
              <w:t>&gt;= 31.6%</w:t>
            </w:r>
          </w:p>
        </w:tc>
        <w:tc>
          <w:tcPr>
            <w:tcW w:w="1500" w:type="dxa"/>
            <w:vAlign w:val="bottom"/>
            <w:tcBorders>
              <w:right w:val="single" w:sz="8" w:color="D7282F"/>
            </w:tcBorders>
          </w:tcPr>
          <w:p>
            <w:pPr>
              <w:jc w:val="right"/>
              <w:spacing w:after="0"/>
              <w:rPr>
                <w:sz w:val="20"/>
                <w:szCs w:val="20"/>
                <w:color w:val="auto"/>
              </w:rPr>
            </w:pPr>
            <w:r>
              <w:rPr>
                <w:rFonts w:ascii="Arial" w:cs="Arial" w:eastAsia="Arial" w:hAnsi="Arial"/>
                <w:sz w:val="14"/>
                <w:szCs w:val="14"/>
                <w:color w:val="auto"/>
              </w:rPr>
              <w:t>29.2%</w:t>
            </w:r>
          </w:p>
        </w:tc>
        <w:tc>
          <w:tcPr>
            <w:tcW w:w="1440" w:type="dxa"/>
            <w:vAlign w:val="bottom"/>
          </w:tcPr>
          <w:p>
            <w:pPr>
              <w:jc w:val="right"/>
              <w:ind w:right="251"/>
              <w:spacing w:after="0"/>
              <w:rPr>
                <w:sz w:val="20"/>
                <w:szCs w:val="20"/>
                <w:color w:val="auto"/>
              </w:rPr>
            </w:pPr>
            <w:r>
              <w:rPr>
                <w:rFonts w:ascii="Arial" w:cs="Arial" w:eastAsia="Arial" w:hAnsi="Arial"/>
                <w:sz w:val="14"/>
                <w:szCs w:val="14"/>
                <w:color w:val="auto"/>
              </w:rPr>
              <w:t>53.3%</w:t>
            </w:r>
          </w:p>
        </w:tc>
        <w:tc>
          <w:tcPr>
            <w:tcW w:w="1020" w:type="dxa"/>
            <w:vAlign w:val="bottom"/>
          </w:tcPr>
          <w:p>
            <w:pPr>
              <w:jc w:val="right"/>
              <w:ind w:right="190"/>
              <w:spacing w:after="0"/>
              <w:rPr>
                <w:sz w:val="20"/>
                <w:szCs w:val="20"/>
                <w:color w:val="auto"/>
              </w:rPr>
            </w:pPr>
            <w:r>
              <w:rPr>
                <w:rFonts w:ascii="Arial" w:cs="Arial" w:eastAsia="Arial" w:hAnsi="Arial"/>
                <w:sz w:val="14"/>
                <w:szCs w:val="14"/>
                <w:color w:val="auto"/>
              </w:rPr>
              <w:t>12.5%</w:t>
            </w:r>
          </w:p>
        </w:tc>
        <w:tc>
          <w:tcPr>
            <w:tcW w:w="86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23"/>
        </w:trPr>
        <w:tc>
          <w:tcPr>
            <w:tcW w:w="6420" w:type="dxa"/>
            <w:vAlign w:val="bottom"/>
            <w:tcBorders>
              <w:bottom w:val="single" w:sz="8" w:color="D7282F"/>
              <w:right w:val="single" w:sz="8" w:color="D7282F"/>
            </w:tcBorders>
            <w:gridSpan w:val="4"/>
          </w:tcPr>
          <w:p>
            <w:pPr>
              <w:spacing w:after="0"/>
              <w:rPr>
                <w:sz w:val="10"/>
                <w:szCs w:val="10"/>
                <w:color w:val="auto"/>
              </w:rPr>
            </w:pPr>
          </w:p>
        </w:tc>
        <w:tc>
          <w:tcPr>
            <w:tcW w:w="1500" w:type="dxa"/>
            <w:vAlign w:val="bottom"/>
            <w:tcBorders>
              <w:bottom w:val="single" w:sz="8" w:color="D7282F"/>
              <w:right w:val="single" w:sz="8" w:color="D7282F"/>
            </w:tcBorders>
          </w:tcPr>
          <w:p>
            <w:pPr>
              <w:spacing w:after="0"/>
              <w:rPr>
                <w:sz w:val="10"/>
                <w:szCs w:val="10"/>
                <w:color w:val="auto"/>
              </w:rPr>
            </w:pPr>
          </w:p>
        </w:tc>
        <w:tc>
          <w:tcPr>
            <w:tcW w:w="2460" w:type="dxa"/>
            <w:vAlign w:val="bottom"/>
            <w:tcBorders>
              <w:bottom w:val="single" w:sz="8" w:color="D7282F"/>
            </w:tcBorders>
            <w:gridSpan w:val="2"/>
          </w:tcPr>
          <w:p>
            <w:pPr>
              <w:spacing w:after="0"/>
              <w:rPr>
                <w:sz w:val="10"/>
                <w:szCs w:val="10"/>
                <w:color w:val="auto"/>
              </w:rPr>
            </w:pPr>
          </w:p>
        </w:tc>
        <w:tc>
          <w:tcPr>
            <w:tcW w:w="860" w:type="dxa"/>
            <w:vAlign w:val="bottom"/>
            <w:tcBorders>
              <w:bottom w:val="single" w:sz="8" w:color="D7282F"/>
            </w:tcBorders>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500" w:type="dxa"/>
            <w:vAlign w:val="bottom"/>
            <w:tcBorders>
              <w:bottom w:val="single" w:sz="8" w:color="D7282F"/>
            </w:tcBorders>
          </w:tcPr>
          <w:p>
            <w:pPr>
              <w:spacing w:after="0"/>
              <w:rPr>
                <w:sz w:val="17"/>
                <w:szCs w:val="17"/>
                <w:color w:val="auto"/>
              </w:rPr>
            </w:pPr>
          </w:p>
        </w:tc>
        <w:tc>
          <w:tcPr>
            <w:tcW w:w="1420" w:type="dxa"/>
            <w:vAlign w:val="bottom"/>
            <w:tcBorders>
              <w:bottom w:val="single" w:sz="8" w:color="D7282F"/>
            </w:tcBorders>
          </w:tcPr>
          <w:p>
            <w:pPr>
              <w:spacing w:after="0"/>
              <w:rPr>
                <w:sz w:val="17"/>
                <w:szCs w:val="17"/>
                <w:color w:val="auto"/>
              </w:rPr>
            </w:pPr>
          </w:p>
        </w:tc>
        <w:tc>
          <w:tcPr>
            <w:tcW w:w="1160" w:type="dxa"/>
            <w:vAlign w:val="bottom"/>
            <w:tcBorders>
              <w:bottom w:val="single" w:sz="8" w:color="D7282F"/>
            </w:tcBorders>
          </w:tcPr>
          <w:p>
            <w:pPr>
              <w:spacing w:after="0"/>
              <w:rPr>
                <w:sz w:val="17"/>
                <w:szCs w:val="17"/>
                <w:color w:val="auto"/>
              </w:rPr>
            </w:pPr>
          </w:p>
        </w:tc>
        <w:tc>
          <w:tcPr>
            <w:tcW w:w="1340" w:type="dxa"/>
            <w:vAlign w:val="bottom"/>
            <w:tcBorders>
              <w:bottom w:val="single" w:sz="8" w:color="D7282F"/>
            </w:tcBorders>
          </w:tcPr>
          <w:p>
            <w:pPr>
              <w:spacing w:after="0"/>
              <w:rPr>
                <w:sz w:val="17"/>
                <w:szCs w:val="17"/>
                <w:color w:val="auto"/>
              </w:rPr>
            </w:pPr>
          </w:p>
        </w:tc>
        <w:tc>
          <w:tcPr>
            <w:tcW w:w="1500" w:type="dxa"/>
            <w:vAlign w:val="bottom"/>
            <w:tcBorders>
              <w:bottom w:val="single" w:sz="8" w:color="D7282F"/>
            </w:tcBorders>
          </w:tcPr>
          <w:p>
            <w:pPr>
              <w:spacing w:after="0"/>
              <w:rPr>
                <w:sz w:val="17"/>
                <w:szCs w:val="17"/>
                <w:color w:val="auto"/>
              </w:rPr>
            </w:pPr>
          </w:p>
        </w:tc>
        <w:tc>
          <w:tcPr>
            <w:tcW w:w="144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10380" w:type="dxa"/>
            <w:vAlign w:val="bottom"/>
            <w:tcBorders>
              <w:left w:val="single" w:sz="8" w:color="D7282F"/>
            </w:tcBorders>
            <w:gridSpan w:val="7"/>
          </w:tcPr>
          <w:p>
            <w:pPr>
              <w:ind w:left="260"/>
              <w:spacing w:after="0"/>
              <w:rPr>
                <w:sz w:val="20"/>
                <w:szCs w:val="20"/>
                <w:color w:val="auto"/>
              </w:rPr>
            </w:pPr>
            <w:r>
              <w:rPr>
                <w:rFonts w:ascii="Arial" w:cs="Arial" w:eastAsia="Arial" w:hAnsi="Arial"/>
                <w:sz w:val="14"/>
                <w:szCs w:val="14"/>
                <w:b w:val="1"/>
                <w:bCs w:val="1"/>
                <w:color w:val="auto"/>
              </w:rPr>
              <w:t>Total PSU Calculated Percentage — Mr. Hammoud - Financial metrics portion based 50% on Total Honeywell goals and 50% on performance</w:t>
            </w:r>
          </w:p>
        </w:tc>
        <w:tc>
          <w:tcPr>
            <w:tcW w:w="860" w:type="dxa"/>
            <w:vAlign w:val="bottom"/>
            <w:tcBorders>
              <w:right w:val="single" w:sz="8" w:color="D7282F"/>
            </w:tcBorders>
            <w:vMerge w:val="restart"/>
          </w:tcPr>
          <w:p>
            <w:pPr>
              <w:jc w:val="right"/>
              <w:spacing w:after="0"/>
              <w:rPr>
                <w:sz w:val="20"/>
                <w:szCs w:val="20"/>
                <w:color w:val="auto"/>
              </w:rPr>
            </w:pPr>
            <w:r>
              <w:rPr>
                <w:rFonts w:ascii="Arial" w:cs="Arial" w:eastAsia="Arial" w:hAnsi="Arial"/>
                <w:sz w:val="13"/>
                <w:szCs w:val="13"/>
                <w:b w:val="1"/>
                <w:bCs w:val="1"/>
                <w:color w:val="auto"/>
              </w:rPr>
              <w:t>58 %</w:t>
            </w:r>
          </w:p>
        </w:tc>
        <w:tc>
          <w:tcPr>
            <w:tcW w:w="0" w:type="dxa"/>
            <w:vAlign w:val="bottom"/>
          </w:tcPr>
          <w:p>
            <w:pPr>
              <w:spacing w:after="0"/>
              <w:rPr>
                <w:sz w:val="1"/>
                <w:szCs w:val="1"/>
                <w:color w:val="auto"/>
              </w:rPr>
            </w:pPr>
          </w:p>
        </w:tc>
      </w:tr>
      <w:tr>
        <w:trPr>
          <w:trHeight w:val="82"/>
        </w:trPr>
        <w:tc>
          <w:tcPr>
            <w:tcW w:w="2500" w:type="dxa"/>
            <w:vAlign w:val="bottom"/>
            <w:tcBorders>
              <w:left w:val="single" w:sz="8" w:color="D7282F"/>
            </w:tcBorders>
            <w:vMerge w:val="restart"/>
          </w:tcPr>
          <w:p>
            <w:pPr>
              <w:ind w:left="260"/>
              <w:spacing w:after="0"/>
              <w:rPr>
                <w:sz w:val="20"/>
                <w:szCs w:val="20"/>
                <w:color w:val="auto"/>
              </w:rPr>
            </w:pPr>
            <w:r>
              <w:rPr>
                <w:rFonts w:ascii="Arial" w:cs="Arial" w:eastAsia="Arial" w:hAnsi="Arial"/>
                <w:sz w:val="14"/>
                <w:szCs w:val="14"/>
                <w:b w:val="1"/>
                <w:bCs w:val="1"/>
                <w:color w:val="auto"/>
              </w:rPr>
              <w:t>against business unit goals.</w:t>
            </w:r>
          </w:p>
        </w:tc>
        <w:tc>
          <w:tcPr>
            <w:tcW w:w="14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60" w:type="dxa"/>
            <w:vAlign w:val="bottom"/>
            <w:tcBorders>
              <w:right w:val="single" w:sz="8" w:color="D7282F"/>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500" w:type="dxa"/>
            <w:vAlign w:val="bottom"/>
            <w:tcBorders>
              <w:left w:val="single" w:sz="8" w:color="D7282F"/>
            </w:tcBorders>
            <w:vMerge w:val="continue"/>
          </w:tcPr>
          <w:p>
            <w:pPr>
              <w:spacing w:after="0"/>
              <w:rPr>
                <w:sz w:val="9"/>
                <w:szCs w:val="9"/>
                <w:color w:val="auto"/>
              </w:rPr>
            </w:pPr>
          </w:p>
        </w:tc>
        <w:tc>
          <w:tcPr>
            <w:tcW w:w="14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60" w:type="dxa"/>
            <w:vAlign w:val="bottom"/>
            <w:tcBorders>
              <w:right w:val="single" w:sz="8" w:color="D7282F"/>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500" w:type="dxa"/>
            <w:vAlign w:val="bottom"/>
            <w:tcBorders>
              <w:left w:val="single" w:sz="8" w:color="D7282F"/>
              <w:bottom w:val="single" w:sz="8" w:color="D7282F"/>
            </w:tcBorders>
          </w:tcPr>
          <w:p>
            <w:pPr>
              <w:spacing w:after="0"/>
              <w:rPr>
                <w:sz w:val="10"/>
                <w:szCs w:val="10"/>
                <w:color w:val="auto"/>
              </w:rPr>
            </w:pPr>
          </w:p>
        </w:tc>
        <w:tc>
          <w:tcPr>
            <w:tcW w:w="1420" w:type="dxa"/>
            <w:vAlign w:val="bottom"/>
            <w:tcBorders>
              <w:bottom w:val="single" w:sz="8" w:color="D7282F"/>
            </w:tcBorders>
          </w:tcPr>
          <w:p>
            <w:pPr>
              <w:spacing w:after="0"/>
              <w:rPr>
                <w:sz w:val="10"/>
                <w:szCs w:val="10"/>
                <w:color w:val="auto"/>
              </w:rPr>
            </w:pPr>
          </w:p>
        </w:tc>
        <w:tc>
          <w:tcPr>
            <w:tcW w:w="1160" w:type="dxa"/>
            <w:vAlign w:val="bottom"/>
            <w:tcBorders>
              <w:bottom w:val="single" w:sz="8" w:color="D7282F"/>
            </w:tcBorders>
          </w:tcPr>
          <w:p>
            <w:pPr>
              <w:spacing w:after="0"/>
              <w:rPr>
                <w:sz w:val="10"/>
                <w:szCs w:val="10"/>
                <w:color w:val="auto"/>
              </w:rPr>
            </w:pPr>
          </w:p>
        </w:tc>
        <w:tc>
          <w:tcPr>
            <w:tcW w:w="1340" w:type="dxa"/>
            <w:vAlign w:val="bottom"/>
            <w:tcBorders>
              <w:bottom w:val="single" w:sz="8" w:color="D7282F"/>
            </w:tcBorders>
          </w:tcPr>
          <w:p>
            <w:pPr>
              <w:spacing w:after="0"/>
              <w:rPr>
                <w:sz w:val="10"/>
                <w:szCs w:val="10"/>
                <w:color w:val="auto"/>
              </w:rPr>
            </w:pPr>
          </w:p>
        </w:tc>
        <w:tc>
          <w:tcPr>
            <w:tcW w:w="1500" w:type="dxa"/>
            <w:vAlign w:val="bottom"/>
            <w:tcBorders>
              <w:bottom w:val="single" w:sz="8" w:color="D7282F"/>
            </w:tcBorders>
          </w:tcPr>
          <w:p>
            <w:pPr>
              <w:spacing w:after="0"/>
              <w:rPr>
                <w:sz w:val="10"/>
                <w:szCs w:val="10"/>
                <w:color w:val="auto"/>
              </w:rPr>
            </w:pPr>
          </w:p>
        </w:tc>
        <w:tc>
          <w:tcPr>
            <w:tcW w:w="1440" w:type="dxa"/>
            <w:vAlign w:val="bottom"/>
            <w:tcBorders>
              <w:bottom w:val="single" w:sz="8" w:color="D7282F"/>
            </w:tcBorders>
          </w:tcPr>
          <w:p>
            <w:pPr>
              <w:spacing w:after="0"/>
              <w:rPr>
                <w:sz w:val="10"/>
                <w:szCs w:val="10"/>
                <w:color w:val="auto"/>
              </w:rPr>
            </w:pPr>
          </w:p>
        </w:tc>
        <w:tc>
          <w:tcPr>
            <w:tcW w:w="1020" w:type="dxa"/>
            <w:vAlign w:val="bottom"/>
            <w:tcBorders>
              <w:bottom w:val="single" w:sz="8" w:color="D7282F"/>
            </w:tcBorders>
          </w:tcPr>
          <w:p>
            <w:pPr>
              <w:spacing w:after="0"/>
              <w:rPr>
                <w:sz w:val="10"/>
                <w:szCs w:val="10"/>
                <w:color w:val="auto"/>
              </w:rPr>
            </w:pPr>
          </w:p>
        </w:tc>
        <w:tc>
          <w:tcPr>
            <w:tcW w:w="860" w:type="dxa"/>
            <w:vAlign w:val="bottom"/>
            <w:tcBorders>
              <w:bottom w:val="single" w:sz="8" w:color="D7282F"/>
              <w:right w:val="single" w:sz="8" w:color="D7282F"/>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280" w:right="100" w:hanging="254"/>
        <w:spacing w:after="0" w:line="237" w:lineRule="auto"/>
        <w:tabs>
          <w:tab w:leader="none" w:pos="269" w:val="left"/>
        </w:tabs>
        <w:numPr>
          <w:ilvl w:val="0"/>
          <w:numId w:val="170"/>
        </w:numPr>
        <w:rPr>
          <w:rFonts w:ascii="Arial" w:cs="Arial" w:eastAsia="Arial" w:hAnsi="Arial"/>
          <w:sz w:val="16"/>
          <w:szCs w:val="16"/>
          <w:color w:val="auto"/>
          <w:vertAlign w:val="superscript"/>
        </w:rPr>
      </w:pPr>
      <w:r>
        <w:rPr>
          <w:rFonts w:ascii="Arial" w:cs="Arial" w:eastAsia="Arial" w:hAnsi="Arial"/>
          <w:sz w:val="13"/>
          <w:szCs w:val="13"/>
          <w:color w:val="auto"/>
        </w:rPr>
        <w:t>Business unit executives have a portion of their Performance Plan payout based on performance against plan goals set at the business unit level (i.e., business unit three-year cumulative revenue, business unit average segment margin rate, and business unit three-year average ROI). Consistent with goal setting parameters, revenue was adjusted to exclude the impact of corporate transactions and fluctuations in foreign currency. Segment margin was adjusted to exclude the impact of corporate transactions. ROI was adjusted to exclude the impact of corporate transactions and the impact of pension income and asset fluctuations. Actual performance attainment also excludes the impact of the commercial agreement with Bombardier as an allowable exclusion (i.e., unusual and extraordinary item) under the terms of the Plan. Actual performance attainment was also adjusted to reflect a full year of the Solstice business, assuming November and December results aligned with the last forecast submitted prior to spin.</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2026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77</w:t>
            </w:r>
          </w:p>
        </w:tc>
      </w:tr>
      <w:tr>
        <w:trPr>
          <w:trHeight w:val="359"/>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-368300</wp:posOffset>
            </wp:positionV>
            <wp:extent cx="548640" cy="10287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000" w:gutter="0" w:footer="0" w:header="0"/>
        </w:sectPr>
      </w:pPr>
    </w:p>
    <w:bookmarkStart w:id="84" w:name="page85"/>
    <w:bookmarkEnd w:id="84"/>
    <w:p>
      <w:pPr>
        <w:spacing w:after="0"/>
        <w:rPr>
          <w:sz w:val="20"/>
          <w:szCs w:val="20"/>
          <w:color w:val="auto"/>
        </w:rPr>
      </w:pPr>
      <w:r>
        <w:rPr>
          <w:rFonts w:ascii="Arial" w:cs="Arial" w:eastAsia="Arial" w:hAnsi="Arial"/>
          <w:sz w:val="13"/>
          <w:szCs w:val="13"/>
          <w:b w:val="1"/>
          <w:bCs w:val="1"/>
          <w:color w:val="6D6E71"/>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The table below shows plan-basis TSR details for Honeywell and the 2023 Compensation Peer Group for the three-year performance period of January 1, 2023–December 31, 2025:</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80" w:type="dxa"/>
            <w:vAlign w:val="bottom"/>
          </w:tcPr>
          <w:p>
            <w:pPr>
              <w:spacing w:after="0"/>
              <w:rPr>
                <w:sz w:val="15"/>
                <w:szCs w:val="15"/>
                <w:color w:val="auto"/>
              </w:rPr>
            </w:pPr>
          </w:p>
        </w:tc>
        <w:tc>
          <w:tcPr>
            <w:tcW w:w="5340" w:type="dxa"/>
            <w:vAlign w:val="bottom"/>
          </w:tcPr>
          <w:p>
            <w:pPr>
              <w:jc w:val="right"/>
              <w:spacing w:after="0"/>
              <w:rPr>
                <w:sz w:val="20"/>
                <w:szCs w:val="20"/>
                <w:color w:val="auto"/>
              </w:rPr>
            </w:pPr>
            <w:r>
              <w:rPr>
                <w:rFonts w:ascii="Arial" w:cs="Arial" w:eastAsia="Arial" w:hAnsi="Arial"/>
                <w:sz w:val="14"/>
                <w:szCs w:val="14"/>
                <w:b w:val="1"/>
                <w:bCs w:val="1"/>
                <w:color w:val="auto"/>
              </w:rPr>
              <w:t>3-Year Relative</w:t>
            </w:r>
          </w:p>
        </w:tc>
      </w:tr>
      <w:tr>
        <w:trPr>
          <w:trHeight w:val="214"/>
        </w:trPr>
        <w:tc>
          <w:tcPr>
            <w:tcW w:w="58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Company Name</w:t>
            </w:r>
          </w:p>
        </w:tc>
        <w:tc>
          <w:tcPr>
            <w:tcW w:w="5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 xml:space="preserve">Percentile Ranking </w:t>
            </w:r>
            <w:r>
              <w:rPr>
                <w:rFonts w:ascii="Arial" w:cs="Arial" w:eastAsia="Arial" w:hAnsi="Arial"/>
                <w:sz w:val="18"/>
                <w:szCs w:val="18"/>
                <w:b w:val="1"/>
                <w:bCs w:val="1"/>
                <w:color w:val="auto"/>
                <w:vertAlign w:val="superscript"/>
              </w:rPr>
              <w:t>(1)</w:t>
            </w:r>
          </w:p>
        </w:tc>
      </w:tr>
      <w:tr>
        <w:trPr>
          <w:trHeight w:val="201"/>
        </w:trPr>
        <w:tc>
          <w:tcPr>
            <w:tcW w:w="5880" w:type="dxa"/>
            <w:vAlign w:val="bottom"/>
          </w:tcPr>
          <w:p>
            <w:pPr>
              <w:ind w:left="20"/>
              <w:spacing w:after="0"/>
              <w:rPr>
                <w:sz w:val="20"/>
                <w:szCs w:val="20"/>
                <w:color w:val="auto"/>
              </w:rPr>
            </w:pPr>
            <w:r>
              <w:rPr>
                <w:rFonts w:ascii="Arial" w:cs="Arial" w:eastAsia="Arial" w:hAnsi="Arial"/>
                <w:sz w:val="14"/>
                <w:szCs w:val="14"/>
                <w:color w:val="auto"/>
              </w:rPr>
              <w:t>General Electric Company</w:t>
            </w:r>
          </w:p>
        </w:tc>
        <w:tc>
          <w:tcPr>
            <w:tcW w:w="5340" w:type="dxa"/>
            <w:vAlign w:val="bottom"/>
          </w:tcPr>
          <w:p>
            <w:pPr>
              <w:jc w:val="right"/>
              <w:spacing w:after="0"/>
              <w:rPr>
                <w:sz w:val="20"/>
                <w:szCs w:val="20"/>
                <w:color w:val="auto"/>
              </w:rPr>
            </w:pPr>
            <w:r>
              <w:rPr>
                <w:rFonts w:ascii="Arial" w:cs="Arial" w:eastAsia="Arial" w:hAnsi="Arial"/>
                <w:sz w:val="14"/>
                <w:szCs w:val="14"/>
                <w:color w:val="auto"/>
              </w:rPr>
              <w:t>100.0%</w:t>
            </w:r>
          </w:p>
        </w:tc>
      </w:tr>
      <w:tr>
        <w:trPr>
          <w:trHeight w:val="22"/>
        </w:trPr>
        <w:tc>
          <w:tcPr>
            <w:tcW w:w="5880" w:type="dxa"/>
            <w:vAlign w:val="bottom"/>
            <w:tcBorders>
              <w:bottom w:val="single" w:sz="8" w:color="939598"/>
            </w:tcBorders>
          </w:tcPr>
          <w:p>
            <w:pPr>
              <w:spacing w:after="0" w:line="20" w:lineRule="exact"/>
              <w:rPr>
                <w:sz w:val="1"/>
                <w:szCs w:val="1"/>
                <w:color w:val="auto"/>
              </w:rPr>
            </w:pPr>
          </w:p>
        </w:tc>
        <w:tc>
          <w:tcPr>
            <w:tcW w:w="5340" w:type="dxa"/>
            <w:vAlign w:val="bottom"/>
            <w:tcBorders>
              <w:bottom w:val="single" w:sz="8" w:color="939598"/>
            </w:tcBorders>
          </w:tcPr>
          <w:p>
            <w:pPr>
              <w:spacing w:after="0" w:line="20" w:lineRule="exact"/>
              <w:rPr>
                <w:sz w:val="1"/>
                <w:szCs w:val="1"/>
                <w:color w:val="auto"/>
              </w:rPr>
            </w:pPr>
          </w:p>
        </w:tc>
      </w:tr>
      <w:tr>
        <w:trPr>
          <w:trHeight w:val="202"/>
        </w:trPr>
        <w:tc>
          <w:tcPr>
            <w:tcW w:w="5880" w:type="dxa"/>
            <w:vAlign w:val="bottom"/>
          </w:tcPr>
          <w:p>
            <w:pPr>
              <w:ind w:left="20"/>
              <w:spacing w:after="0"/>
              <w:rPr>
                <w:sz w:val="20"/>
                <w:szCs w:val="20"/>
                <w:color w:val="auto"/>
              </w:rPr>
            </w:pPr>
            <w:r>
              <w:rPr>
                <w:rFonts w:ascii="Arial" w:cs="Arial" w:eastAsia="Arial" w:hAnsi="Arial"/>
                <w:sz w:val="14"/>
                <w:szCs w:val="14"/>
                <w:color w:val="auto"/>
              </w:rPr>
              <w:t>Caterpillar Inc.</w:t>
            </w:r>
          </w:p>
        </w:tc>
        <w:tc>
          <w:tcPr>
            <w:tcW w:w="5340" w:type="dxa"/>
            <w:vAlign w:val="bottom"/>
          </w:tcPr>
          <w:p>
            <w:pPr>
              <w:jc w:val="right"/>
              <w:spacing w:after="0"/>
              <w:rPr>
                <w:sz w:val="20"/>
                <w:szCs w:val="20"/>
                <w:color w:val="auto"/>
              </w:rPr>
            </w:pPr>
            <w:r>
              <w:rPr>
                <w:rFonts w:ascii="Arial" w:cs="Arial" w:eastAsia="Arial" w:hAnsi="Arial"/>
                <w:sz w:val="14"/>
                <w:szCs w:val="14"/>
                <w:color w:val="auto"/>
              </w:rPr>
              <w:t>94.4%</w:t>
            </w:r>
          </w:p>
        </w:tc>
      </w:tr>
      <w:tr>
        <w:trPr>
          <w:trHeight w:val="22"/>
        </w:trPr>
        <w:tc>
          <w:tcPr>
            <w:tcW w:w="5880" w:type="dxa"/>
            <w:vAlign w:val="bottom"/>
            <w:tcBorders>
              <w:bottom w:val="single" w:sz="8" w:color="939598"/>
            </w:tcBorders>
          </w:tcPr>
          <w:p>
            <w:pPr>
              <w:spacing w:after="0" w:line="20" w:lineRule="exact"/>
              <w:rPr>
                <w:sz w:val="1"/>
                <w:szCs w:val="1"/>
                <w:color w:val="auto"/>
              </w:rPr>
            </w:pPr>
          </w:p>
        </w:tc>
        <w:tc>
          <w:tcPr>
            <w:tcW w:w="5340" w:type="dxa"/>
            <w:vAlign w:val="bottom"/>
            <w:tcBorders>
              <w:bottom w:val="single" w:sz="8" w:color="939598"/>
            </w:tcBorders>
          </w:tcPr>
          <w:p>
            <w:pPr>
              <w:spacing w:after="0" w:line="20" w:lineRule="exact"/>
              <w:rPr>
                <w:sz w:val="1"/>
                <w:szCs w:val="1"/>
                <w:color w:val="auto"/>
              </w:rPr>
            </w:pPr>
          </w:p>
        </w:tc>
      </w:tr>
      <w:tr>
        <w:trPr>
          <w:trHeight w:val="202"/>
        </w:trPr>
        <w:tc>
          <w:tcPr>
            <w:tcW w:w="5880" w:type="dxa"/>
            <w:vAlign w:val="bottom"/>
          </w:tcPr>
          <w:p>
            <w:pPr>
              <w:ind w:left="20"/>
              <w:spacing w:after="0"/>
              <w:rPr>
                <w:sz w:val="20"/>
                <w:szCs w:val="20"/>
                <w:color w:val="auto"/>
              </w:rPr>
            </w:pPr>
            <w:r>
              <w:rPr>
                <w:rFonts w:ascii="Arial" w:cs="Arial" w:eastAsia="Arial" w:hAnsi="Arial"/>
                <w:sz w:val="14"/>
                <w:szCs w:val="14"/>
                <w:color w:val="auto"/>
              </w:rPr>
              <w:t>Eaton Corporation plc</w:t>
            </w:r>
          </w:p>
        </w:tc>
        <w:tc>
          <w:tcPr>
            <w:tcW w:w="5340" w:type="dxa"/>
            <w:vAlign w:val="bottom"/>
          </w:tcPr>
          <w:p>
            <w:pPr>
              <w:jc w:val="right"/>
              <w:spacing w:after="0"/>
              <w:rPr>
                <w:sz w:val="20"/>
                <w:szCs w:val="20"/>
                <w:color w:val="auto"/>
              </w:rPr>
            </w:pPr>
            <w:r>
              <w:rPr>
                <w:rFonts w:ascii="Arial" w:cs="Arial" w:eastAsia="Arial" w:hAnsi="Arial"/>
                <w:sz w:val="14"/>
                <w:szCs w:val="14"/>
                <w:color w:val="auto"/>
              </w:rPr>
              <w:t>88.8%</w:t>
            </w:r>
          </w:p>
        </w:tc>
      </w:tr>
      <w:tr>
        <w:trPr>
          <w:trHeight w:val="22"/>
        </w:trPr>
        <w:tc>
          <w:tcPr>
            <w:tcW w:w="5880" w:type="dxa"/>
            <w:vAlign w:val="bottom"/>
            <w:tcBorders>
              <w:bottom w:val="single" w:sz="8" w:color="939598"/>
            </w:tcBorders>
          </w:tcPr>
          <w:p>
            <w:pPr>
              <w:spacing w:after="0" w:line="20" w:lineRule="exact"/>
              <w:rPr>
                <w:sz w:val="1"/>
                <w:szCs w:val="1"/>
                <w:color w:val="auto"/>
              </w:rPr>
            </w:pPr>
          </w:p>
        </w:tc>
        <w:tc>
          <w:tcPr>
            <w:tcW w:w="5340" w:type="dxa"/>
            <w:vAlign w:val="bottom"/>
            <w:tcBorders>
              <w:bottom w:val="single" w:sz="8" w:color="939598"/>
            </w:tcBorders>
          </w:tcPr>
          <w:p>
            <w:pPr>
              <w:spacing w:after="0" w:line="20" w:lineRule="exact"/>
              <w:rPr>
                <w:sz w:val="1"/>
                <w:szCs w:val="1"/>
                <w:color w:val="auto"/>
              </w:rPr>
            </w:pPr>
          </w:p>
        </w:tc>
      </w:tr>
      <w:tr>
        <w:trPr>
          <w:trHeight w:val="201"/>
        </w:trPr>
        <w:tc>
          <w:tcPr>
            <w:tcW w:w="5880" w:type="dxa"/>
            <w:vAlign w:val="bottom"/>
          </w:tcPr>
          <w:p>
            <w:pPr>
              <w:ind w:left="20"/>
              <w:spacing w:after="0"/>
              <w:rPr>
                <w:sz w:val="20"/>
                <w:szCs w:val="20"/>
                <w:color w:val="auto"/>
              </w:rPr>
            </w:pPr>
            <w:r>
              <w:rPr>
                <w:rFonts w:ascii="Arial" w:cs="Arial" w:eastAsia="Arial" w:hAnsi="Arial"/>
                <w:sz w:val="14"/>
                <w:szCs w:val="14"/>
                <w:color w:val="auto"/>
              </w:rPr>
              <w:t>Raytheon Technologies Corp.</w:t>
            </w:r>
          </w:p>
        </w:tc>
        <w:tc>
          <w:tcPr>
            <w:tcW w:w="5340" w:type="dxa"/>
            <w:vAlign w:val="bottom"/>
          </w:tcPr>
          <w:p>
            <w:pPr>
              <w:jc w:val="right"/>
              <w:spacing w:after="0"/>
              <w:rPr>
                <w:sz w:val="20"/>
                <w:szCs w:val="20"/>
                <w:color w:val="auto"/>
              </w:rPr>
            </w:pPr>
            <w:r>
              <w:rPr>
                <w:rFonts w:ascii="Arial" w:cs="Arial" w:eastAsia="Arial" w:hAnsi="Arial"/>
                <w:sz w:val="14"/>
                <w:szCs w:val="14"/>
                <w:color w:val="auto"/>
              </w:rPr>
              <w:t>83.3%</w:t>
            </w:r>
          </w:p>
        </w:tc>
      </w:tr>
      <w:tr>
        <w:trPr>
          <w:trHeight w:val="22"/>
        </w:trPr>
        <w:tc>
          <w:tcPr>
            <w:tcW w:w="5880" w:type="dxa"/>
            <w:vAlign w:val="bottom"/>
            <w:tcBorders>
              <w:bottom w:val="single" w:sz="8" w:color="939598"/>
            </w:tcBorders>
          </w:tcPr>
          <w:p>
            <w:pPr>
              <w:spacing w:after="0" w:line="20" w:lineRule="exact"/>
              <w:rPr>
                <w:sz w:val="1"/>
                <w:szCs w:val="1"/>
                <w:color w:val="auto"/>
              </w:rPr>
            </w:pPr>
          </w:p>
        </w:tc>
        <w:tc>
          <w:tcPr>
            <w:tcW w:w="5340" w:type="dxa"/>
            <w:vAlign w:val="bottom"/>
            <w:tcBorders>
              <w:bottom w:val="single" w:sz="8" w:color="939598"/>
            </w:tcBorders>
          </w:tcPr>
          <w:p>
            <w:pPr>
              <w:spacing w:after="0" w:line="20" w:lineRule="exact"/>
              <w:rPr>
                <w:sz w:val="1"/>
                <w:szCs w:val="1"/>
                <w:color w:val="auto"/>
              </w:rPr>
            </w:pPr>
          </w:p>
        </w:tc>
      </w:tr>
      <w:tr>
        <w:trPr>
          <w:trHeight w:val="202"/>
        </w:trPr>
        <w:tc>
          <w:tcPr>
            <w:tcW w:w="5880" w:type="dxa"/>
            <w:vAlign w:val="bottom"/>
          </w:tcPr>
          <w:p>
            <w:pPr>
              <w:ind w:left="20"/>
              <w:spacing w:after="0"/>
              <w:rPr>
                <w:sz w:val="20"/>
                <w:szCs w:val="20"/>
                <w:color w:val="auto"/>
              </w:rPr>
            </w:pPr>
            <w:r>
              <w:rPr>
                <w:rFonts w:ascii="Arial" w:cs="Arial" w:eastAsia="Arial" w:hAnsi="Arial"/>
                <w:sz w:val="14"/>
                <w:szCs w:val="14"/>
                <w:color w:val="auto"/>
              </w:rPr>
              <w:t>Johnson Controls Int. plc</w:t>
            </w:r>
          </w:p>
        </w:tc>
        <w:tc>
          <w:tcPr>
            <w:tcW w:w="5340" w:type="dxa"/>
            <w:vAlign w:val="bottom"/>
          </w:tcPr>
          <w:p>
            <w:pPr>
              <w:jc w:val="right"/>
              <w:spacing w:after="0"/>
              <w:rPr>
                <w:sz w:val="20"/>
                <w:szCs w:val="20"/>
                <w:color w:val="auto"/>
              </w:rPr>
            </w:pPr>
            <w:r>
              <w:rPr>
                <w:rFonts w:ascii="Arial" w:cs="Arial" w:eastAsia="Arial" w:hAnsi="Arial"/>
                <w:sz w:val="14"/>
                <w:szCs w:val="14"/>
                <w:color w:val="auto"/>
              </w:rPr>
              <w:t>77.7%</w:t>
            </w:r>
          </w:p>
        </w:tc>
      </w:tr>
      <w:tr>
        <w:trPr>
          <w:trHeight w:val="22"/>
        </w:trPr>
        <w:tc>
          <w:tcPr>
            <w:tcW w:w="5880" w:type="dxa"/>
            <w:vAlign w:val="bottom"/>
            <w:tcBorders>
              <w:bottom w:val="single" w:sz="8" w:color="939598"/>
            </w:tcBorders>
          </w:tcPr>
          <w:p>
            <w:pPr>
              <w:spacing w:after="0" w:line="20" w:lineRule="exact"/>
              <w:rPr>
                <w:sz w:val="1"/>
                <w:szCs w:val="1"/>
                <w:color w:val="auto"/>
              </w:rPr>
            </w:pPr>
          </w:p>
        </w:tc>
        <w:tc>
          <w:tcPr>
            <w:tcW w:w="5340" w:type="dxa"/>
            <w:vAlign w:val="bottom"/>
            <w:tcBorders>
              <w:bottom w:val="single" w:sz="8" w:color="939598"/>
            </w:tcBorders>
          </w:tcPr>
          <w:p>
            <w:pPr>
              <w:spacing w:after="0" w:line="20" w:lineRule="exact"/>
              <w:rPr>
                <w:sz w:val="1"/>
                <w:szCs w:val="1"/>
                <w:color w:val="auto"/>
              </w:rPr>
            </w:pPr>
          </w:p>
        </w:tc>
      </w:tr>
      <w:tr>
        <w:trPr>
          <w:trHeight w:val="201"/>
        </w:trPr>
        <w:tc>
          <w:tcPr>
            <w:tcW w:w="5880" w:type="dxa"/>
            <w:vAlign w:val="bottom"/>
          </w:tcPr>
          <w:p>
            <w:pPr>
              <w:ind w:left="20"/>
              <w:spacing w:after="0"/>
              <w:rPr>
                <w:sz w:val="20"/>
                <w:szCs w:val="20"/>
                <w:color w:val="auto"/>
              </w:rPr>
            </w:pPr>
            <w:r>
              <w:rPr>
                <w:rFonts w:ascii="Arial" w:cs="Arial" w:eastAsia="Arial" w:hAnsi="Arial"/>
                <w:sz w:val="14"/>
                <w:szCs w:val="14"/>
                <w:color w:val="auto"/>
              </w:rPr>
              <w:t>3M Company</w:t>
            </w:r>
          </w:p>
        </w:tc>
        <w:tc>
          <w:tcPr>
            <w:tcW w:w="5340" w:type="dxa"/>
            <w:vAlign w:val="bottom"/>
          </w:tcPr>
          <w:p>
            <w:pPr>
              <w:jc w:val="right"/>
              <w:spacing w:after="0"/>
              <w:rPr>
                <w:sz w:val="20"/>
                <w:szCs w:val="20"/>
                <w:color w:val="auto"/>
              </w:rPr>
            </w:pPr>
            <w:r>
              <w:rPr>
                <w:rFonts w:ascii="Arial" w:cs="Arial" w:eastAsia="Arial" w:hAnsi="Arial"/>
                <w:sz w:val="14"/>
                <w:szCs w:val="14"/>
                <w:color w:val="auto"/>
              </w:rPr>
              <w:t>72.2%</w:t>
            </w:r>
          </w:p>
        </w:tc>
      </w:tr>
      <w:tr>
        <w:trPr>
          <w:trHeight w:val="22"/>
        </w:trPr>
        <w:tc>
          <w:tcPr>
            <w:tcW w:w="5880" w:type="dxa"/>
            <w:vAlign w:val="bottom"/>
            <w:tcBorders>
              <w:bottom w:val="single" w:sz="8" w:color="939598"/>
            </w:tcBorders>
          </w:tcPr>
          <w:p>
            <w:pPr>
              <w:spacing w:after="0" w:line="20" w:lineRule="exact"/>
              <w:rPr>
                <w:sz w:val="1"/>
                <w:szCs w:val="1"/>
                <w:color w:val="auto"/>
              </w:rPr>
            </w:pPr>
          </w:p>
        </w:tc>
        <w:tc>
          <w:tcPr>
            <w:tcW w:w="5340" w:type="dxa"/>
            <w:vAlign w:val="bottom"/>
            <w:tcBorders>
              <w:bottom w:val="single" w:sz="8" w:color="939598"/>
            </w:tcBorders>
          </w:tcPr>
          <w:p>
            <w:pPr>
              <w:spacing w:after="0" w:line="20" w:lineRule="exact"/>
              <w:rPr>
                <w:sz w:val="1"/>
                <w:szCs w:val="1"/>
                <w:color w:val="auto"/>
              </w:rPr>
            </w:pPr>
          </w:p>
        </w:tc>
      </w:tr>
      <w:tr>
        <w:trPr>
          <w:trHeight w:val="202"/>
        </w:trPr>
        <w:tc>
          <w:tcPr>
            <w:tcW w:w="5880" w:type="dxa"/>
            <w:vAlign w:val="bottom"/>
          </w:tcPr>
          <w:p>
            <w:pPr>
              <w:ind w:left="20"/>
              <w:spacing w:after="0"/>
              <w:rPr>
                <w:sz w:val="20"/>
                <w:szCs w:val="20"/>
                <w:color w:val="auto"/>
              </w:rPr>
            </w:pPr>
            <w:r>
              <w:rPr>
                <w:rFonts w:ascii="Arial" w:cs="Arial" w:eastAsia="Arial" w:hAnsi="Arial"/>
                <w:sz w:val="14"/>
                <w:szCs w:val="14"/>
                <w:color w:val="auto"/>
              </w:rPr>
              <w:t>Cisco Systems, Inc.</w:t>
            </w:r>
          </w:p>
        </w:tc>
        <w:tc>
          <w:tcPr>
            <w:tcW w:w="5340" w:type="dxa"/>
            <w:vAlign w:val="bottom"/>
          </w:tcPr>
          <w:p>
            <w:pPr>
              <w:jc w:val="right"/>
              <w:spacing w:after="0"/>
              <w:rPr>
                <w:sz w:val="20"/>
                <w:szCs w:val="20"/>
                <w:color w:val="auto"/>
              </w:rPr>
            </w:pPr>
            <w:r>
              <w:rPr>
                <w:rFonts w:ascii="Arial" w:cs="Arial" w:eastAsia="Arial" w:hAnsi="Arial"/>
                <w:sz w:val="14"/>
                <w:szCs w:val="14"/>
                <w:color w:val="auto"/>
              </w:rPr>
              <w:t>64.7%</w:t>
            </w:r>
          </w:p>
        </w:tc>
      </w:tr>
      <w:tr>
        <w:trPr>
          <w:trHeight w:val="22"/>
        </w:trPr>
        <w:tc>
          <w:tcPr>
            <w:tcW w:w="5880" w:type="dxa"/>
            <w:vAlign w:val="bottom"/>
            <w:tcBorders>
              <w:bottom w:val="single" w:sz="8" w:color="939598"/>
            </w:tcBorders>
          </w:tcPr>
          <w:p>
            <w:pPr>
              <w:spacing w:after="0" w:line="20" w:lineRule="exact"/>
              <w:rPr>
                <w:sz w:val="1"/>
                <w:szCs w:val="1"/>
                <w:color w:val="auto"/>
              </w:rPr>
            </w:pPr>
          </w:p>
        </w:tc>
        <w:tc>
          <w:tcPr>
            <w:tcW w:w="5340" w:type="dxa"/>
            <w:vAlign w:val="bottom"/>
            <w:tcBorders>
              <w:bottom w:val="single" w:sz="8" w:color="939598"/>
            </w:tcBorders>
          </w:tcPr>
          <w:p>
            <w:pPr>
              <w:spacing w:after="0" w:line="20" w:lineRule="exact"/>
              <w:rPr>
                <w:sz w:val="1"/>
                <w:szCs w:val="1"/>
                <w:color w:val="auto"/>
              </w:rPr>
            </w:pPr>
          </w:p>
        </w:tc>
      </w:tr>
      <w:tr>
        <w:trPr>
          <w:trHeight w:val="202"/>
        </w:trPr>
        <w:tc>
          <w:tcPr>
            <w:tcW w:w="5880" w:type="dxa"/>
            <w:vAlign w:val="bottom"/>
          </w:tcPr>
          <w:p>
            <w:pPr>
              <w:ind w:left="20"/>
              <w:spacing w:after="0"/>
              <w:rPr>
                <w:sz w:val="20"/>
                <w:szCs w:val="20"/>
                <w:color w:val="auto"/>
              </w:rPr>
            </w:pPr>
            <w:r>
              <w:rPr>
                <w:rFonts w:ascii="Arial" w:cs="Arial" w:eastAsia="Arial" w:hAnsi="Arial"/>
                <w:sz w:val="14"/>
                <w:szCs w:val="14"/>
                <w:color w:val="auto"/>
              </w:rPr>
              <w:t>Emerson Electric Co.</w:t>
            </w:r>
          </w:p>
        </w:tc>
        <w:tc>
          <w:tcPr>
            <w:tcW w:w="5340" w:type="dxa"/>
            <w:vAlign w:val="bottom"/>
          </w:tcPr>
          <w:p>
            <w:pPr>
              <w:jc w:val="right"/>
              <w:spacing w:after="0"/>
              <w:rPr>
                <w:sz w:val="20"/>
                <w:szCs w:val="20"/>
                <w:color w:val="auto"/>
              </w:rPr>
            </w:pPr>
            <w:r>
              <w:rPr>
                <w:rFonts w:ascii="Arial" w:cs="Arial" w:eastAsia="Arial" w:hAnsi="Arial"/>
                <w:sz w:val="14"/>
                <w:szCs w:val="14"/>
                <w:color w:val="auto"/>
              </w:rPr>
              <w:t>61.1%</w:t>
            </w:r>
          </w:p>
        </w:tc>
      </w:tr>
      <w:tr>
        <w:trPr>
          <w:trHeight w:val="21"/>
        </w:trPr>
        <w:tc>
          <w:tcPr>
            <w:tcW w:w="5880" w:type="dxa"/>
            <w:vAlign w:val="bottom"/>
            <w:tcBorders>
              <w:bottom w:val="single" w:sz="8" w:color="939598"/>
            </w:tcBorders>
          </w:tcPr>
          <w:p>
            <w:pPr>
              <w:spacing w:after="0" w:line="20" w:lineRule="exact"/>
              <w:rPr>
                <w:sz w:val="1"/>
                <w:szCs w:val="1"/>
                <w:color w:val="auto"/>
              </w:rPr>
            </w:pPr>
          </w:p>
        </w:tc>
        <w:tc>
          <w:tcPr>
            <w:tcW w:w="5340" w:type="dxa"/>
            <w:vAlign w:val="bottom"/>
            <w:tcBorders>
              <w:bottom w:val="single" w:sz="8" w:color="939598"/>
            </w:tcBorders>
          </w:tcPr>
          <w:p>
            <w:pPr>
              <w:spacing w:after="0" w:line="20" w:lineRule="exact"/>
              <w:rPr>
                <w:sz w:val="1"/>
                <w:szCs w:val="1"/>
                <w:color w:val="auto"/>
              </w:rPr>
            </w:pPr>
          </w:p>
        </w:tc>
      </w:tr>
      <w:tr>
        <w:trPr>
          <w:trHeight w:val="202"/>
        </w:trPr>
        <w:tc>
          <w:tcPr>
            <w:tcW w:w="5880" w:type="dxa"/>
            <w:vAlign w:val="bottom"/>
          </w:tcPr>
          <w:p>
            <w:pPr>
              <w:ind w:left="20"/>
              <w:spacing w:after="0"/>
              <w:rPr>
                <w:sz w:val="20"/>
                <w:szCs w:val="20"/>
                <w:color w:val="auto"/>
              </w:rPr>
            </w:pPr>
            <w:r>
              <w:rPr>
                <w:rFonts w:ascii="Arial" w:cs="Arial" w:eastAsia="Arial" w:hAnsi="Arial"/>
                <w:sz w:val="14"/>
                <w:szCs w:val="14"/>
                <w:color w:val="auto"/>
              </w:rPr>
              <w:t>General Dynamics Corporation</w:t>
            </w:r>
          </w:p>
        </w:tc>
        <w:tc>
          <w:tcPr>
            <w:tcW w:w="5340" w:type="dxa"/>
            <w:vAlign w:val="bottom"/>
          </w:tcPr>
          <w:p>
            <w:pPr>
              <w:jc w:val="right"/>
              <w:spacing w:after="0"/>
              <w:rPr>
                <w:sz w:val="20"/>
                <w:szCs w:val="20"/>
                <w:color w:val="auto"/>
              </w:rPr>
            </w:pPr>
            <w:r>
              <w:rPr>
                <w:rFonts w:ascii="Arial" w:cs="Arial" w:eastAsia="Arial" w:hAnsi="Arial"/>
                <w:sz w:val="14"/>
                <w:szCs w:val="14"/>
                <w:color w:val="auto"/>
              </w:rPr>
              <w:t>55.5%</w:t>
            </w:r>
          </w:p>
        </w:tc>
      </w:tr>
      <w:tr>
        <w:trPr>
          <w:trHeight w:val="22"/>
        </w:trPr>
        <w:tc>
          <w:tcPr>
            <w:tcW w:w="5880" w:type="dxa"/>
            <w:vAlign w:val="bottom"/>
            <w:tcBorders>
              <w:bottom w:val="single" w:sz="8" w:color="939598"/>
            </w:tcBorders>
          </w:tcPr>
          <w:p>
            <w:pPr>
              <w:spacing w:after="0" w:line="20" w:lineRule="exact"/>
              <w:rPr>
                <w:sz w:val="1"/>
                <w:szCs w:val="1"/>
                <w:color w:val="auto"/>
              </w:rPr>
            </w:pPr>
          </w:p>
        </w:tc>
        <w:tc>
          <w:tcPr>
            <w:tcW w:w="5340" w:type="dxa"/>
            <w:vAlign w:val="bottom"/>
            <w:tcBorders>
              <w:bottom w:val="single" w:sz="8" w:color="939598"/>
            </w:tcBorders>
          </w:tcPr>
          <w:p>
            <w:pPr>
              <w:spacing w:after="0" w:line="20" w:lineRule="exact"/>
              <w:rPr>
                <w:sz w:val="1"/>
                <w:szCs w:val="1"/>
                <w:color w:val="auto"/>
              </w:rPr>
            </w:pPr>
          </w:p>
        </w:tc>
      </w:tr>
      <w:tr>
        <w:trPr>
          <w:trHeight w:val="202"/>
        </w:trPr>
        <w:tc>
          <w:tcPr>
            <w:tcW w:w="5880" w:type="dxa"/>
            <w:vAlign w:val="bottom"/>
          </w:tcPr>
          <w:p>
            <w:pPr>
              <w:ind w:left="20"/>
              <w:spacing w:after="0"/>
              <w:rPr>
                <w:sz w:val="20"/>
                <w:szCs w:val="20"/>
                <w:color w:val="auto"/>
              </w:rPr>
            </w:pPr>
            <w:r>
              <w:rPr>
                <w:rFonts w:ascii="Arial" w:cs="Arial" w:eastAsia="Arial" w:hAnsi="Arial"/>
                <w:sz w:val="14"/>
                <w:szCs w:val="14"/>
                <w:color w:val="auto"/>
              </w:rPr>
              <w:t>Illinois Tool Works Inc.</w:t>
            </w:r>
          </w:p>
        </w:tc>
        <w:tc>
          <w:tcPr>
            <w:tcW w:w="5340" w:type="dxa"/>
            <w:vAlign w:val="bottom"/>
          </w:tcPr>
          <w:p>
            <w:pPr>
              <w:jc w:val="right"/>
              <w:spacing w:after="0"/>
              <w:rPr>
                <w:sz w:val="20"/>
                <w:szCs w:val="20"/>
                <w:color w:val="auto"/>
              </w:rPr>
            </w:pPr>
            <w:r>
              <w:rPr>
                <w:rFonts w:ascii="Arial" w:cs="Arial" w:eastAsia="Arial" w:hAnsi="Arial"/>
                <w:sz w:val="14"/>
                <w:szCs w:val="14"/>
                <w:color w:val="auto"/>
              </w:rPr>
              <w:t>50.8%</w:t>
            </w:r>
          </w:p>
        </w:tc>
      </w:tr>
      <w:tr>
        <w:trPr>
          <w:trHeight w:val="22"/>
        </w:trPr>
        <w:tc>
          <w:tcPr>
            <w:tcW w:w="5880" w:type="dxa"/>
            <w:vAlign w:val="bottom"/>
            <w:tcBorders>
              <w:bottom w:val="single" w:sz="8" w:color="939598"/>
            </w:tcBorders>
          </w:tcPr>
          <w:p>
            <w:pPr>
              <w:spacing w:after="0" w:line="20" w:lineRule="exact"/>
              <w:rPr>
                <w:sz w:val="1"/>
                <w:szCs w:val="1"/>
                <w:color w:val="auto"/>
              </w:rPr>
            </w:pPr>
          </w:p>
        </w:tc>
        <w:tc>
          <w:tcPr>
            <w:tcW w:w="5340" w:type="dxa"/>
            <w:vAlign w:val="bottom"/>
            <w:tcBorders>
              <w:bottom w:val="single" w:sz="8" w:color="939598"/>
            </w:tcBorders>
          </w:tcPr>
          <w:p>
            <w:pPr>
              <w:spacing w:after="0" w:line="20" w:lineRule="exact"/>
              <w:rPr>
                <w:sz w:val="1"/>
                <w:szCs w:val="1"/>
                <w:color w:val="auto"/>
              </w:rPr>
            </w:pPr>
          </w:p>
        </w:tc>
      </w:tr>
      <w:tr>
        <w:trPr>
          <w:trHeight w:val="201"/>
        </w:trPr>
        <w:tc>
          <w:tcPr>
            <w:tcW w:w="5880" w:type="dxa"/>
            <w:vAlign w:val="bottom"/>
          </w:tcPr>
          <w:p>
            <w:pPr>
              <w:ind w:left="20"/>
              <w:spacing w:after="0"/>
              <w:rPr>
                <w:sz w:val="20"/>
                <w:szCs w:val="20"/>
                <w:color w:val="auto"/>
              </w:rPr>
            </w:pPr>
            <w:r>
              <w:rPr>
                <w:rFonts w:ascii="Arial" w:cs="Arial" w:eastAsia="Arial" w:hAnsi="Arial"/>
                <w:sz w:val="14"/>
                <w:szCs w:val="14"/>
                <w:color w:val="auto"/>
              </w:rPr>
              <w:t>Phillips 66</w:t>
            </w:r>
          </w:p>
        </w:tc>
        <w:tc>
          <w:tcPr>
            <w:tcW w:w="5340" w:type="dxa"/>
            <w:vAlign w:val="bottom"/>
          </w:tcPr>
          <w:p>
            <w:pPr>
              <w:jc w:val="right"/>
              <w:spacing w:after="0"/>
              <w:rPr>
                <w:sz w:val="20"/>
                <w:szCs w:val="20"/>
                <w:color w:val="auto"/>
              </w:rPr>
            </w:pPr>
            <w:r>
              <w:rPr>
                <w:rFonts w:ascii="Arial" w:cs="Arial" w:eastAsia="Arial" w:hAnsi="Arial"/>
                <w:sz w:val="14"/>
                <w:szCs w:val="14"/>
                <w:color w:val="auto"/>
              </w:rPr>
              <w:t>50.0%</w:t>
            </w:r>
          </w:p>
        </w:tc>
      </w:tr>
      <w:tr>
        <w:trPr>
          <w:trHeight w:val="22"/>
        </w:trPr>
        <w:tc>
          <w:tcPr>
            <w:tcW w:w="5880" w:type="dxa"/>
            <w:vAlign w:val="bottom"/>
            <w:tcBorders>
              <w:bottom w:val="single" w:sz="8" w:color="939598"/>
            </w:tcBorders>
          </w:tcPr>
          <w:p>
            <w:pPr>
              <w:spacing w:after="0" w:line="20" w:lineRule="exact"/>
              <w:rPr>
                <w:sz w:val="1"/>
                <w:szCs w:val="1"/>
                <w:color w:val="auto"/>
              </w:rPr>
            </w:pPr>
          </w:p>
        </w:tc>
        <w:tc>
          <w:tcPr>
            <w:tcW w:w="5340" w:type="dxa"/>
            <w:vAlign w:val="bottom"/>
            <w:tcBorders>
              <w:bottom w:val="single" w:sz="8" w:color="939598"/>
            </w:tcBorders>
          </w:tcPr>
          <w:p>
            <w:pPr>
              <w:spacing w:after="0" w:line="20" w:lineRule="exact"/>
              <w:rPr>
                <w:sz w:val="1"/>
                <w:szCs w:val="1"/>
                <w:color w:val="auto"/>
              </w:rPr>
            </w:pPr>
          </w:p>
        </w:tc>
      </w:tr>
      <w:tr>
        <w:trPr>
          <w:trHeight w:val="202"/>
        </w:trPr>
        <w:tc>
          <w:tcPr>
            <w:tcW w:w="5880" w:type="dxa"/>
            <w:vAlign w:val="bottom"/>
          </w:tcPr>
          <w:p>
            <w:pPr>
              <w:ind w:left="20"/>
              <w:spacing w:after="0"/>
              <w:rPr>
                <w:sz w:val="20"/>
                <w:szCs w:val="20"/>
                <w:color w:val="auto"/>
              </w:rPr>
            </w:pPr>
            <w:r>
              <w:rPr>
                <w:rFonts w:ascii="Arial" w:cs="Arial" w:eastAsia="Arial" w:hAnsi="Arial"/>
                <w:sz w:val="14"/>
                <w:szCs w:val="14"/>
                <w:color w:val="auto"/>
              </w:rPr>
              <w:t>Dupont de Nemours, Inc.</w:t>
            </w:r>
          </w:p>
        </w:tc>
        <w:tc>
          <w:tcPr>
            <w:tcW w:w="5340" w:type="dxa"/>
            <w:vAlign w:val="bottom"/>
          </w:tcPr>
          <w:p>
            <w:pPr>
              <w:jc w:val="right"/>
              <w:spacing w:after="0"/>
              <w:rPr>
                <w:sz w:val="20"/>
                <w:szCs w:val="20"/>
                <w:color w:val="auto"/>
              </w:rPr>
            </w:pPr>
            <w:r>
              <w:rPr>
                <w:rFonts w:ascii="Arial" w:cs="Arial" w:eastAsia="Arial" w:hAnsi="Arial"/>
                <w:sz w:val="14"/>
                <w:szCs w:val="14"/>
                <w:color w:val="auto"/>
              </w:rPr>
              <w:t>44.4%</w:t>
            </w:r>
          </w:p>
        </w:tc>
      </w:tr>
      <w:tr>
        <w:trPr>
          <w:trHeight w:val="22"/>
        </w:trPr>
        <w:tc>
          <w:tcPr>
            <w:tcW w:w="5880" w:type="dxa"/>
            <w:vAlign w:val="bottom"/>
            <w:tcBorders>
              <w:bottom w:val="single" w:sz="8" w:color="939598"/>
            </w:tcBorders>
          </w:tcPr>
          <w:p>
            <w:pPr>
              <w:spacing w:after="0" w:line="20" w:lineRule="exact"/>
              <w:rPr>
                <w:sz w:val="1"/>
                <w:szCs w:val="1"/>
                <w:color w:val="auto"/>
              </w:rPr>
            </w:pPr>
          </w:p>
        </w:tc>
        <w:tc>
          <w:tcPr>
            <w:tcW w:w="5340" w:type="dxa"/>
            <w:vAlign w:val="bottom"/>
            <w:tcBorders>
              <w:bottom w:val="single" w:sz="8" w:color="939598"/>
            </w:tcBorders>
          </w:tcPr>
          <w:p>
            <w:pPr>
              <w:spacing w:after="0" w:line="20" w:lineRule="exact"/>
              <w:rPr>
                <w:sz w:val="1"/>
                <w:szCs w:val="1"/>
                <w:color w:val="auto"/>
              </w:rPr>
            </w:pPr>
          </w:p>
        </w:tc>
      </w:tr>
      <w:tr>
        <w:trPr>
          <w:trHeight w:val="201"/>
        </w:trPr>
        <w:tc>
          <w:tcPr>
            <w:tcW w:w="5880" w:type="dxa"/>
            <w:vAlign w:val="bottom"/>
          </w:tcPr>
          <w:p>
            <w:pPr>
              <w:ind w:left="20"/>
              <w:spacing w:after="0"/>
              <w:rPr>
                <w:sz w:val="20"/>
                <w:szCs w:val="20"/>
                <w:color w:val="auto"/>
              </w:rPr>
            </w:pPr>
            <w:r>
              <w:rPr>
                <w:rFonts w:ascii="Arial" w:cs="Arial" w:eastAsia="Arial" w:hAnsi="Arial"/>
                <w:sz w:val="14"/>
                <w:szCs w:val="14"/>
                <w:color w:val="auto"/>
              </w:rPr>
              <w:t>Medtronic PLX</w:t>
            </w:r>
          </w:p>
        </w:tc>
        <w:tc>
          <w:tcPr>
            <w:tcW w:w="5340" w:type="dxa"/>
            <w:vAlign w:val="bottom"/>
          </w:tcPr>
          <w:p>
            <w:pPr>
              <w:jc w:val="right"/>
              <w:spacing w:after="0"/>
              <w:rPr>
                <w:sz w:val="20"/>
                <w:szCs w:val="20"/>
                <w:color w:val="auto"/>
              </w:rPr>
            </w:pPr>
            <w:r>
              <w:rPr>
                <w:rFonts w:ascii="Arial" w:cs="Arial" w:eastAsia="Arial" w:hAnsi="Arial"/>
                <w:sz w:val="14"/>
                <w:szCs w:val="14"/>
                <w:color w:val="auto"/>
              </w:rPr>
              <w:t>35.2%</w:t>
            </w:r>
          </w:p>
        </w:tc>
      </w:tr>
      <w:tr>
        <w:trPr>
          <w:trHeight w:val="22"/>
        </w:trPr>
        <w:tc>
          <w:tcPr>
            <w:tcW w:w="5880" w:type="dxa"/>
            <w:vAlign w:val="bottom"/>
            <w:tcBorders>
              <w:bottom w:val="single" w:sz="8" w:color="939598"/>
            </w:tcBorders>
          </w:tcPr>
          <w:p>
            <w:pPr>
              <w:spacing w:after="0" w:line="20" w:lineRule="exact"/>
              <w:rPr>
                <w:sz w:val="1"/>
                <w:szCs w:val="1"/>
                <w:color w:val="auto"/>
              </w:rPr>
            </w:pPr>
          </w:p>
        </w:tc>
        <w:tc>
          <w:tcPr>
            <w:tcW w:w="5340" w:type="dxa"/>
            <w:vAlign w:val="bottom"/>
            <w:tcBorders>
              <w:bottom w:val="single" w:sz="8" w:color="939598"/>
            </w:tcBorders>
          </w:tcPr>
          <w:p>
            <w:pPr>
              <w:spacing w:after="0" w:line="20" w:lineRule="exact"/>
              <w:rPr>
                <w:sz w:val="1"/>
                <w:szCs w:val="1"/>
                <w:color w:val="auto"/>
              </w:rPr>
            </w:pPr>
          </w:p>
        </w:tc>
      </w:tr>
      <w:tr>
        <w:trPr>
          <w:trHeight w:val="202"/>
        </w:trPr>
        <w:tc>
          <w:tcPr>
            <w:tcW w:w="5880" w:type="dxa"/>
            <w:vAlign w:val="bottom"/>
          </w:tcPr>
          <w:p>
            <w:pPr>
              <w:ind w:left="20"/>
              <w:spacing w:after="0"/>
              <w:rPr>
                <w:sz w:val="20"/>
                <w:szCs w:val="20"/>
                <w:color w:val="auto"/>
              </w:rPr>
            </w:pPr>
            <w:r>
              <w:rPr>
                <w:rFonts w:ascii="Arial" w:cs="Arial" w:eastAsia="Arial" w:hAnsi="Arial"/>
                <w:sz w:val="14"/>
                <w:szCs w:val="14"/>
                <w:color w:val="auto"/>
              </w:rPr>
              <w:t>Deere &amp; Company</w:t>
            </w:r>
          </w:p>
        </w:tc>
        <w:tc>
          <w:tcPr>
            <w:tcW w:w="5340" w:type="dxa"/>
            <w:vAlign w:val="bottom"/>
          </w:tcPr>
          <w:p>
            <w:pPr>
              <w:jc w:val="right"/>
              <w:spacing w:after="0"/>
              <w:rPr>
                <w:sz w:val="20"/>
                <w:szCs w:val="20"/>
                <w:color w:val="auto"/>
              </w:rPr>
            </w:pPr>
            <w:r>
              <w:rPr>
                <w:rFonts w:ascii="Arial" w:cs="Arial" w:eastAsia="Arial" w:hAnsi="Arial"/>
                <w:sz w:val="14"/>
                <w:szCs w:val="14"/>
                <w:color w:val="auto"/>
              </w:rPr>
              <w:t>33.3%</w:t>
            </w:r>
          </w:p>
        </w:tc>
      </w:tr>
      <w:tr>
        <w:trPr>
          <w:trHeight w:val="22"/>
        </w:trPr>
        <w:tc>
          <w:tcPr>
            <w:tcW w:w="5880" w:type="dxa"/>
            <w:vAlign w:val="bottom"/>
            <w:tcBorders>
              <w:bottom w:val="single" w:sz="8" w:color="939598"/>
            </w:tcBorders>
          </w:tcPr>
          <w:p>
            <w:pPr>
              <w:spacing w:after="0" w:line="20" w:lineRule="exact"/>
              <w:rPr>
                <w:sz w:val="1"/>
                <w:szCs w:val="1"/>
                <w:color w:val="auto"/>
              </w:rPr>
            </w:pPr>
          </w:p>
        </w:tc>
        <w:tc>
          <w:tcPr>
            <w:tcW w:w="5340" w:type="dxa"/>
            <w:vAlign w:val="bottom"/>
            <w:tcBorders>
              <w:bottom w:val="single" w:sz="8" w:color="939598"/>
            </w:tcBorders>
          </w:tcPr>
          <w:p>
            <w:pPr>
              <w:spacing w:after="0" w:line="20" w:lineRule="exact"/>
              <w:rPr>
                <w:sz w:val="1"/>
                <w:szCs w:val="1"/>
                <w:color w:val="auto"/>
              </w:rPr>
            </w:pPr>
          </w:p>
        </w:tc>
      </w:tr>
      <w:tr>
        <w:trPr>
          <w:trHeight w:val="202"/>
        </w:trPr>
        <w:tc>
          <w:tcPr>
            <w:tcW w:w="5880" w:type="dxa"/>
            <w:vAlign w:val="bottom"/>
          </w:tcPr>
          <w:p>
            <w:pPr>
              <w:ind w:left="20"/>
              <w:spacing w:after="0"/>
              <w:rPr>
                <w:sz w:val="20"/>
                <w:szCs w:val="20"/>
                <w:color w:val="auto"/>
              </w:rPr>
            </w:pPr>
            <w:r>
              <w:rPr>
                <w:rFonts w:ascii="Arial" w:cs="Arial" w:eastAsia="Arial" w:hAnsi="Arial"/>
                <w:sz w:val="14"/>
                <w:szCs w:val="14"/>
                <w:color w:val="auto"/>
              </w:rPr>
              <w:t>Lockheed Martin Corp.</w:t>
            </w:r>
          </w:p>
        </w:tc>
        <w:tc>
          <w:tcPr>
            <w:tcW w:w="5340" w:type="dxa"/>
            <w:vAlign w:val="bottom"/>
          </w:tcPr>
          <w:p>
            <w:pPr>
              <w:jc w:val="right"/>
              <w:spacing w:after="0"/>
              <w:rPr>
                <w:sz w:val="20"/>
                <w:szCs w:val="20"/>
                <w:color w:val="auto"/>
              </w:rPr>
            </w:pPr>
            <w:r>
              <w:rPr>
                <w:rFonts w:ascii="Arial" w:cs="Arial" w:eastAsia="Arial" w:hAnsi="Arial"/>
                <w:sz w:val="14"/>
                <w:szCs w:val="14"/>
                <w:color w:val="auto"/>
              </w:rPr>
              <w:t>22.2%</w:t>
            </w:r>
          </w:p>
        </w:tc>
      </w:tr>
      <w:tr>
        <w:trPr>
          <w:trHeight w:val="22"/>
        </w:trPr>
        <w:tc>
          <w:tcPr>
            <w:tcW w:w="5880" w:type="dxa"/>
            <w:vAlign w:val="bottom"/>
            <w:tcBorders>
              <w:bottom w:val="single" w:sz="8" w:color="939598"/>
            </w:tcBorders>
          </w:tcPr>
          <w:p>
            <w:pPr>
              <w:spacing w:after="0" w:line="20" w:lineRule="exact"/>
              <w:rPr>
                <w:sz w:val="1"/>
                <w:szCs w:val="1"/>
                <w:color w:val="auto"/>
              </w:rPr>
            </w:pPr>
          </w:p>
        </w:tc>
        <w:tc>
          <w:tcPr>
            <w:tcW w:w="5340" w:type="dxa"/>
            <w:vAlign w:val="bottom"/>
            <w:tcBorders>
              <w:bottom w:val="single" w:sz="8" w:color="939598"/>
            </w:tcBorders>
          </w:tcPr>
          <w:p>
            <w:pPr>
              <w:spacing w:after="0" w:line="20" w:lineRule="exact"/>
              <w:rPr>
                <w:sz w:val="1"/>
                <w:szCs w:val="1"/>
                <w:color w:val="auto"/>
              </w:rPr>
            </w:pPr>
          </w:p>
        </w:tc>
      </w:tr>
      <w:tr>
        <w:trPr>
          <w:trHeight w:val="201"/>
        </w:trPr>
        <w:tc>
          <w:tcPr>
            <w:tcW w:w="5880" w:type="dxa"/>
            <w:vAlign w:val="bottom"/>
          </w:tcPr>
          <w:p>
            <w:pPr>
              <w:ind w:left="20"/>
              <w:spacing w:after="0"/>
              <w:rPr>
                <w:sz w:val="20"/>
                <w:szCs w:val="20"/>
                <w:color w:val="auto"/>
              </w:rPr>
            </w:pPr>
            <w:r>
              <w:rPr>
                <w:rFonts w:ascii="Arial" w:cs="Arial" w:eastAsia="Arial" w:hAnsi="Arial"/>
                <w:sz w:val="14"/>
                <w:szCs w:val="14"/>
                <w:color w:val="auto"/>
              </w:rPr>
              <w:t>Boeing Co.</w:t>
            </w:r>
          </w:p>
        </w:tc>
        <w:tc>
          <w:tcPr>
            <w:tcW w:w="5340" w:type="dxa"/>
            <w:vAlign w:val="bottom"/>
          </w:tcPr>
          <w:p>
            <w:pPr>
              <w:jc w:val="right"/>
              <w:spacing w:after="0"/>
              <w:rPr>
                <w:sz w:val="20"/>
                <w:szCs w:val="20"/>
                <w:color w:val="auto"/>
              </w:rPr>
            </w:pPr>
            <w:r>
              <w:rPr>
                <w:rFonts w:ascii="Arial" w:cs="Arial" w:eastAsia="Arial" w:hAnsi="Arial"/>
                <w:sz w:val="14"/>
                <w:szCs w:val="14"/>
                <w:color w:val="auto"/>
              </w:rPr>
              <w:t>11.1%</w:t>
            </w:r>
          </w:p>
        </w:tc>
      </w:tr>
      <w:tr>
        <w:trPr>
          <w:trHeight w:val="22"/>
        </w:trPr>
        <w:tc>
          <w:tcPr>
            <w:tcW w:w="5880" w:type="dxa"/>
            <w:vAlign w:val="bottom"/>
            <w:tcBorders>
              <w:bottom w:val="single" w:sz="8" w:color="939598"/>
            </w:tcBorders>
          </w:tcPr>
          <w:p>
            <w:pPr>
              <w:spacing w:after="0" w:line="20" w:lineRule="exact"/>
              <w:rPr>
                <w:sz w:val="1"/>
                <w:szCs w:val="1"/>
                <w:color w:val="auto"/>
              </w:rPr>
            </w:pPr>
          </w:p>
        </w:tc>
        <w:tc>
          <w:tcPr>
            <w:tcW w:w="5340" w:type="dxa"/>
            <w:vAlign w:val="bottom"/>
            <w:tcBorders>
              <w:bottom w:val="single" w:sz="8" w:color="939598"/>
            </w:tcBorders>
          </w:tcPr>
          <w:p>
            <w:pPr>
              <w:spacing w:after="0" w:line="20" w:lineRule="exact"/>
              <w:rPr>
                <w:sz w:val="1"/>
                <w:szCs w:val="1"/>
                <w:color w:val="auto"/>
              </w:rPr>
            </w:pPr>
          </w:p>
        </w:tc>
      </w:tr>
      <w:tr>
        <w:trPr>
          <w:trHeight w:val="202"/>
        </w:trPr>
        <w:tc>
          <w:tcPr>
            <w:tcW w:w="5880" w:type="dxa"/>
            <w:vAlign w:val="bottom"/>
          </w:tcPr>
          <w:p>
            <w:pPr>
              <w:ind w:left="20"/>
              <w:spacing w:after="0"/>
              <w:rPr>
                <w:sz w:val="20"/>
                <w:szCs w:val="20"/>
                <w:color w:val="auto"/>
              </w:rPr>
            </w:pPr>
            <w:r>
              <w:rPr>
                <w:rFonts w:ascii="Arial" w:cs="Arial" w:eastAsia="Arial" w:hAnsi="Arial"/>
                <w:sz w:val="14"/>
                <w:szCs w:val="14"/>
                <w:color w:val="auto"/>
              </w:rPr>
              <w:t>Schlumberger Ltd.</w:t>
            </w:r>
          </w:p>
        </w:tc>
        <w:tc>
          <w:tcPr>
            <w:tcW w:w="534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22"/>
        </w:trPr>
        <w:tc>
          <w:tcPr>
            <w:tcW w:w="5880" w:type="dxa"/>
            <w:vAlign w:val="bottom"/>
            <w:tcBorders>
              <w:bottom w:val="single" w:sz="8" w:color="939598"/>
            </w:tcBorders>
          </w:tcPr>
          <w:p>
            <w:pPr>
              <w:spacing w:after="0" w:line="20" w:lineRule="exact"/>
              <w:rPr>
                <w:sz w:val="1"/>
                <w:szCs w:val="1"/>
                <w:color w:val="auto"/>
              </w:rPr>
            </w:pPr>
          </w:p>
        </w:tc>
        <w:tc>
          <w:tcPr>
            <w:tcW w:w="5340" w:type="dxa"/>
            <w:vAlign w:val="bottom"/>
            <w:tcBorders>
              <w:bottom w:val="single" w:sz="8" w:color="939598"/>
            </w:tcBorders>
          </w:tcPr>
          <w:p>
            <w:pPr>
              <w:spacing w:after="0" w:line="20" w:lineRule="exact"/>
              <w:rPr>
                <w:sz w:val="1"/>
                <w:szCs w:val="1"/>
                <w:color w:val="auto"/>
              </w:rPr>
            </w:pPr>
          </w:p>
        </w:tc>
      </w:tr>
      <w:tr>
        <w:trPr>
          <w:trHeight w:val="201"/>
        </w:trPr>
        <w:tc>
          <w:tcPr>
            <w:tcW w:w="5880" w:type="dxa"/>
            <w:vAlign w:val="bottom"/>
          </w:tcPr>
          <w:p>
            <w:pPr>
              <w:ind w:left="20"/>
              <w:spacing w:after="0"/>
              <w:rPr>
                <w:sz w:val="20"/>
                <w:szCs w:val="20"/>
                <w:color w:val="auto"/>
              </w:rPr>
            </w:pPr>
            <w:r>
              <w:rPr>
                <w:rFonts w:ascii="Arial" w:cs="Arial" w:eastAsia="Arial" w:hAnsi="Arial"/>
                <w:sz w:val="14"/>
                <w:szCs w:val="14"/>
                <w:color w:val="auto"/>
              </w:rPr>
              <w:t>Dow Inc.</w:t>
            </w:r>
          </w:p>
        </w:tc>
        <w:tc>
          <w:tcPr>
            <w:tcW w:w="53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5880" w:type="dxa"/>
            <w:vAlign w:val="bottom"/>
            <w:tcBorders>
              <w:bottom w:val="single" w:sz="8" w:color="D7282F"/>
            </w:tcBorders>
          </w:tcPr>
          <w:p>
            <w:pPr>
              <w:spacing w:after="0" w:line="20" w:lineRule="exact"/>
              <w:rPr>
                <w:sz w:val="1"/>
                <w:szCs w:val="1"/>
                <w:color w:val="auto"/>
              </w:rPr>
            </w:pPr>
          </w:p>
        </w:tc>
        <w:tc>
          <w:tcPr>
            <w:tcW w:w="5340" w:type="dxa"/>
            <w:vAlign w:val="bottom"/>
            <w:tcBorders>
              <w:bottom w:val="single" w:sz="8" w:color="D7282F"/>
            </w:tcBorders>
          </w:tcPr>
          <w:p>
            <w:pPr>
              <w:spacing w:after="0" w:line="20" w:lineRule="exact"/>
              <w:rPr>
                <w:sz w:val="1"/>
                <w:szCs w:val="1"/>
                <w:color w:val="auto"/>
              </w:rPr>
            </w:pPr>
          </w:p>
        </w:tc>
      </w:tr>
      <w:tr>
        <w:trPr>
          <w:trHeight w:val="315"/>
        </w:trPr>
        <w:tc>
          <w:tcPr>
            <w:tcW w:w="5880" w:type="dxa"/>
            <w:vAlign w:val="bottom"/>
            <w:shd w:val="clear" w:color="auto" w:fill="F2F2F2"/>
          </w:tcPr>
          <w:p>
            <w:pPr>
              <w:ind w:left="20"/>
              <w:spacing w:after="0"/>
              <w:rPr>
                <w:sz w:val="20"/>
                <w:szCs w:val="20"/>
                <w:color w:val="auto"/>
              </w:rPr>
            </w:pPr>
            <w:r>
              <w:rPr>
                <w:rFonts w:ascii="Arial" w:cs="Arial" w:eastAsia="Arial" w:hAnsi="Arial"/>
                <w:sz w:val="14"/>
                <w:szCs w:val="14"/>
                <w:b w:val="1"/>
                <w:bCs w:val="1"/>
                <w:color w:val="auto"/>
              </w:rPr>
              <w:t>Honeywell International Inc.</w:t>
            </w:r>
          </w:p>
        </w:tc>
        <w:tc>
          <w:tcPr>
            <w:tcW w:w="5340" w:type="dxa"/>
            <w:vAlign w:val="bottom"/>
            <w:shd w:val="clear" w:color="auto" w:fill="F2F2F2"/>
          </w:tcPr>
          <w:p>
            <w:pPr>
              <w:jc w:val="right"/>
              <w:spacing w:after="0"/>
              <w:rPr>
                <w:sz w:val="20"/>
                <w:szCs w:val="20"/>
                <w:color w:val="auto"/>
              </w:rPr>
            </w:pPr>
            <w:r>
              <w:rPr>
                <w:rFonts w:ascii="Arial" w:cs="Arial" w:eastAsia="Arial" w:hAnsi="Arial"/>
                <w:sz w:val="14"/>
                <w:szCs w:val="14"/>
                <w:b w:val="1"/>
                <w:bCs w:val="1"/>
                <w:color w:val="auto"/>
              </w:rPr>
              <w:t>16.2%</w:t>
            </w:r>
          </w:p>
        </w:tc>
      </w:tr>
      <w:tr>
        <w:trPr>
          <w:trHeight w:val="123"/>
        </w:trPr>
        <w:tc>
          <w:tcPr>
            <w:tcW w:w="5880" w:type="dxa"/>
            <w:vAlign w:val="bottom"/>
            <w:tcBorders>
              <w:bottom w:val="single" w:sz="8" w:color="D7282F"/>
            </w:tcBorders>
            <w:shd w:val="clear" w:color="auto" w:fill="F2F2F2"/>
          </w:tcPr>
          <w:p>
            <w:pPr>
              <w:spacing w:after="0"/>
              <w:rPr>
                <w:sz w:val="10"/>
                <w:szCs w:val="10"/>
                <w:color w:val="auto"/>
              </w:rPr>
            </w:pPr>
          </w:p>
        </w:tc>
        <w:tc>
          <w:tcPr>
            <w:tcW w:w="5340" w:type="dxa"/>
            <w:vAlign w:val="bottom"/>
            <w:tcBorders>
              <w:bottom w:val="single" w:sz="8" w:color="D7282F"/>
            </w:tcBorders>
            <w:shd w:val="clear" w:color="auto" w:fill="F2F2F2"/>
          </w:tcPr>
          <w:p>
            <w:pPr>
              <w:spacing w:after="0"/>
              <w:rPr>
                <w:sz w:val="10"/>
                <w:szCs w:val="10"/>
                <w:color w:val="auto"/>
              </w:rPr>
            </w:pPr>
          </w:p>
        </w:tc>
      </w:tr>
    </w:tbl>
    <w:p>
      <w:pPr>
        <w:spacing w:after="0" w:line="126" w:lineRule="exact"/>
        <w:rPr>
          <w:sz w:val="20"/>
          <w:szCs w:val="20"/>
          <w:color w:val="auto"/>
        </w:rPr>
      </w:pPr>
    </w:p>
    <w:p>
      <w:pPr>
        <w:ind w:left="200" w:hanging="192"/>
        <w:spacing w:after="0"/>
        <w:tabs>
          <w:tab w:leader="none" w:pos="200" w:val="left"/>
        </w:tabs>
        <w:numPr>
          <w:ilvl w:val="0"/>
          <w:numId w:val="171"/>
        </w:numPr>
        <w:rPr>
          <w:rFonts w:ascii="Arial" w:cs="Arial" w:eastAsia="Arial" w:hAnsi="Arial"/>
          <w:sz w:val="16"/>
          <w:szCs w:val="16"/>
          <w:color w:val="auto"/>
          <w:vertAlign w:val="superscript"/>
        </w:rPr>
      </w:pPr>
      <w:r>
        <w:rPr>
          <w:rFonts w:ascii="Arial" w:cs="Arial" w:eastAsia="Arial" w:hAnsi="Arial"/>
          <w:sz w:val="13"/>
          <w:szCs w:val="13"/>
          <w:color w:val="auto"/>
        </w:rPr>
        <w:t>Based on three-year TSR determined on a plan-basis, which uses a 30-trading-day average of stock prices from the beginning, and to the end, of the three-year performance period.</w:t>
      </w:r>
    </w:p>
    <w:p>
      <w:pPr>
        <w:spacing w:after="0" w:line="94"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Honeywell's plan-basis three-year relative percentile ranking of 16.2% was below threshold for this performance plan cycle. As a result, no portion of the 2023–2025 performance plan award was earned on this metric.</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Payout Decision</w:t>
      </w:r>
    </w:p>
    <w:p>
      <w:pPr>
        <w:spacing w:after="0" w:line="113"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In February 2026, the MDCC reviewed and assessed the overall formulaic PSU calculation for the 2023–2025 performance cycle for the NEOs that received them. Calculated performance equaled 59% for the Corporate NEOs (Mr. Kapur and Mr. Lewis). The calculated payout for Mr. Currier of 68% reflects a blended calculation of 50% AT performance and 50% Honeywell over the three-year performance period. The calculated payout for Mr. Hammoud of 58% reflects a blended calculation of 50% BA performance and 50% Honeywell over the three-year performance period.</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2023–2025 PSU Payouts</w:t>
      </w:r>
    </w:p>
    <w:p>
      <w:pPr>
        <w:spacing w:after="0" w:line="113"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Based on the final approved award payout percentages for the 2023–2025 performance period for those NEOs who received their 2023–2025 Performance Plan award in the form of PSUs, the MDCC approved the following individual awards to the NEOs: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NEO</w:t>
            </w:r>
          </w:p>
        </w:tc>
        <w:tc>
          <w:tcPr>
            <w:tcW w:w="4320" w:type="dxa"/>
            <w:vAlign w:val="bottom"/>
          </w:tcPr>
          <w:p>
            <w:pPr>
              <w:jc w:val="right"/>
              <w:ind w:right="288"/>
              <w:spacing w:after="0"/>
              <w:rPr>
                <w:sz w:val="20"/>
                <w:szCs w:val="20"/>
                <w:color w:val="auto"/>
              </w:rPr>
            </w:pPr>
            <w:r>
              <w:rPr>
                <w:rFonts w:ascii="Arial" w:cs="Arial" w:eastAsia="Arial" w:hAnsi="Arial"/>
                <w:sz w:val="14"/>
                <w:szCs w:val="14"/>
                <w:b w:val="1"/>
                <w:bCs w:val="1"/>
                <w:color w:val="auto"/>
              </w:rPr>
              <w:t>2023–2025 PSUs</w:t>
            </w:r>
          </w:p>
        </w:tc>
        <w:tc>
          <w:tcPr>
            <w:tcW w:w="17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Total 2023–2025</w:t>
            </w:r>
          </w:p>
        </w:tc>
        <w:tc>
          <w:tcPr>
            <w:tcW w:w="0" w:type="dxa"/>
            <w:vAlign w:val="bottom"/>
          </w:tcPr>
          <w:p>
            <w:pPr>
              <w:spacing w:after="0"/>
              <w:rPr>
                <w:sz w:val="1"/>
                <w:szCs w:val="1"/>
                <w:color w:val="auto"/>
              </w:rPr>
            </w:pPr>
          </w:p>
        </w:tc>
      </w:tr>
      <w:tr>
        <w:trPr>
          <w:trHeight w:val="91"/>
        </w:trPr>
        <w:tc>
          <w:tcPr>
            <w:tcW w:w="3800" w:type="dxa"/>
            <w:vAlign w:val="bottom"/>
            <w:vMerge w:val="continue"/>
          </w:tcPr>
          <w:p>
            <w:pPr>
              <w:spacing w:after="0"/>
              <w:rPr>
                <w:sz w:val="7"/>
                <w:szCs w:val="7"/>
                <w:color w:val="auto"/>
              </w:rPr>
            </w:pPr>
          </w:p>
        </w:tc>
        <w:tc>
          <w:tcPr>
            <w:tcW w:w="43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at Target</w:t>
            </w:r>
            <w:r>
              <w:rPr>
                <w:rFonts w:ascii="Arial" w:cs="Arial" w:eastAsia="Arial" w:hAnsi="Arial"/>
                <w:sz w:val="18"/>
                <w:szCs w:val="18"/>
                <w:b w:val="1"/>
                <w:bCs w:val="1"/>
                <w:color w:val="auto"/>
                <w:vertAlign w:val="superscript"/>
              </w:rPr>
              <w:t>(1)</w:t>
            </w:r>
          </w:p>
        </w:tc>
        <w:tc>
          <w:tcPr>
            <w:tcW w:w="170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Total Payout %</w:t>
            </w:r>
          </w:p>
        </w:tc>
        <w:tc>
          <w:tcPr>
            <w:tcW w:w="1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PSUs Earned</w:t>
            </w:r>
          </w:p>
        </w:tc>
        <w:tc>
          <w:tcPr>
            <w:tcW w:w="0" w:type="dxa"/>
            <w:vAlign w:val="bottom"/>
          </w:tcPr>
          <w:p>
            <w:pPr>
              <w:spacing w:after="0"/>
              <w:rPr>
                <w:sz w:val="1"/>
                <w:szCs w:val="1"/>
                <w:color w:val="auto"/>
              </w:rPr>
            </w:pPr>
          </w:p>
        </w:tc>
      </w:tr>
      <w:tr>
        <w:trPr>
          <w:trHeight w:val="123"/>
        </w:trPr>
        <w:tc>
          <w:tcPr>
            <w:tcW w:w="3800" w:type="dxa"/>
            <w:vAlign w:val="bottom"/>
            <w:tcBorders>
              <w:bottom w:val="single" w:sz="8" w:color="D7282F"/>
            </w:tcBorders>
          </w:tcPr>
          <w:p>
            <w:pPr>
              <w:spacing w:after="0"/>
              <w:rPr>
                <w:sz w:val="10"/>
                <w:szCs w:val="10"/>
                <w:color w:val="auto"/>
              </w:rPr>
            </w:pPr>
          </w:p>
        </w:tc>
        <w:tc>
          <w:tcPr>
            <w:tcW w:w="4320" w:type="dxa"/>
            <w:vAlign w:val="bottom"/>
            <w:tcBorders>
              <w:bottom w:val="single" w:sz="8" w:color="D7282F"/>
            </w:tcBorders>
            <w:vMerge w:val="continue"/>
          </w:tcPr>
          <w:p>
            <w:pPr>
              <w:spacing w:after="0"/>
              <w:rPr>
                <w:sz w:val="10"/>
                <w:szCs w:val="10"/>
                <w:color w:val="auto"/>
              </w:rPr>
            </w:pPr>
          </w:p>
        </w:tc>
        <w:tc>
          <w:tcPr>
            <w:tcW w:w="1700" w:type="dxa"/>
            <w:vAlign w:val="bottom"/>
            <w:tcBorders>
              <w:bottom w:val="single" w:sz="8" w:color="D7282F"/>
            </w:tcBorders>
            <w:vMerge w:val="continue"/>
          </w:tcPr>
          <w:p>
            <w:pPr>
              <w:spacing w:after="0"/>
              <w:rPr>
                <w:sz w:val="10"/>
                <w:szCs w:val="10"/>
                <w:color w:val="auto"/>
              </w:rPr>
            </w:pPr>
          </w:p>
        </w:tc>
        <w:tc>
          <w:tcPr>
            <w:tcW w:w="1400" w:type="dxa"/>
            <w:vAlign w:val="bottom"/>
            <w:tcBorders>
              <w:bottom w:val="single" w:sz="8" w:color="D7282F"/>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15"/>
        </w:trPr>
        <w:tc>
          <w:tcPr>
            <w:tcW w:w="3800" w:type="dxa"/>
            <w:vAlign w:val="bottom"/>
          </w:tcPr>
          <w:p>
            <w:pPr>
              <w:ind w:left="20"/>
              <w:spacing w:after="0"/>
              <w:rPr>
                <w:sz w:val="20"/>
                <w:szCs w:val="20"/>
                <w:color w:val="auto"/>
              </w:rPr>
            </w:pPr>
            <w:r>
              <w:rPr>
                <w:rFonts w:ascii="Arial" w:cs="Arial" w:eastAsia="Arial" w:hAnsi="Arial"/>
                <w:sz w:val="14"/>
                <w:szCs w:val="14"/>
                <w:b w:val="1"/>
                <w:bCs w:val="1"/>
                <w:color w:val="auto"/>
              </w:rPr>
              <w:t>Mr. Kapur</w:t>
            </w:r>
          </w:p>
        </w:tc>
        <w:tc>
          <w:tcPr>
            <w:tcW w:w="4320" w:type="dxa"/>
            <w:vAlign w:val="bottom"/>
          </w:tcPr>
          <w:p>
            <w:pPr>
              <w:jc w:val="right"/>
              <w:ind w:right="328"/>
              <w:spacing w:after="0"/>
              <w:rPr>
                <w:sz w:val="20"/>
                <w:szCs w:val="20"/>
                <w:color w:val="auto"/>
              </w:rPr>
            </w:pPr>
            <w:r>
              <w:rPr>
                <w:rFonts w:ascii="Arial" w:cs="Arial" w:eastAsia="Arial" w:hAnsi="Arial"/>
                <w:sz w:val="14"/>
                <w:szCs w:val="14"/>
                <w:color w:val="auto"/>
              </w:rPr>
              <w:t>27,880</w:t>
            </w:r>
          </w:p>
        </w:tc>
        <w:tc>
          <w:tcPr>
            <w:tcW w:w="1700" w:type="dxa"/>
            <w:vAlign w:val="bottom"/>
          </w:tcPr>
          <w:p>
            <w:pPr>
              <w:jc w:val="right"/>
              <w:ind w:right="248"/>
              <w:spacing w:after="0"/>
              <w:rPr>
                <w:sz w:val="20"/>
                <w:szCs w:val="20"/>
                <w:color w:val="auto"/>
              </w:rPr>
            </w:pPr>
            <w:r>
              <w:rPr>
                <w:rFonts w:ascii="Arial" w:cs="Arial" w:eastAsia="Arial" w:hAnsi="Arial"/>
                <w:sz w:val="14"/>
                <w:szCs w:val="14"/>
                <w:color w:val="auto"/>
              </w:rPr>
              <w:t>59%</w:t>
            </w:r>
          </w:p>
        </w:tc>
        <w:tc>
          <w:tcPr>
            <w:tcW w:w="1400" w:type="dxa"/>
            <w:vAlign w:val="bottom"/>
          </w:tcPr>
          <w:p>
            <w:pPr>
              <w:jc w:val="right"/>
              <w:spacing w:after="0"/>
              <w:rPr>
                <w:sz w:val="20"/>
                <w:szCs w:val="20"/>
                <w:color w:val="auto"/>
              </w:rPr>
            </w:pPr>
            <w:r>
              <w:rPr>
                <w:rFonts w:ascii="Arial" w:cs="Arial" w:eastAsia="Arial" w:hAnsi="Arial"/>
                <w:sz w:val="14"/>
                <w:szCs w:val="14"/>
                <w:color w:val="auto"/>
              </w:rPr>
              <w:t>16,450</w:t>
            </w:r>
          </w:p>
        </w:tc>
        <w:tc>
          <w:tcPr>
            <w:tcW w:w="0" w:type="dxa"/>
            <w:vAlign w:val="bottom"/>
          </w:tcPr>
          <w:p>
            <w:pPr>
              <w:spacing w:after="0"/>
              <w:rPr>
                <w:sz w:val="1"/>
                <w:szCs w:val="1"/>
                <w:color w:val="auto"/>
              </w:rPr>
            </w:pPr>
          </w:p>
        </w:tc>
      </w:tr>
      <w:tr>
        <w:trPr>
          <w:trHeight w:val="124"/>
        </w:trPr>
        <w:tc>
          <w:tcPr>
            <w:tcW w:w="3800" w:type="dxa"/>
            <w:vAlign w:val="bottom"/>
            <w:tcBorders>
              <w:bottom w:val="single" w:sz="8" w:color="939598"/>
            </w:tcBorders>
          </w:tcPr>
          <w:p>
            <w:pPr>
              <w:spacing w:after="0"/>
              <w:rPr>
                <w:sz w:val="10"/>
                <w:szCs w:val="10"/>
                <w:color w:val="auto"/>
              </w:rPr>
            </w:pPr>
          </w:p>
        </w:tc>
        <w:tc>
          <w:tcPr>
            <w:tcW w:w="4320" w:type="dxa"/>
            <w:vAlign w:val="bottom"/>
            <w:tcBorders>
              <w:bottom w:val="single" w:sz="8" w:color="939598"/>
            </w:tcBorders>
          </w:tcPr>
          <w:p>
            <w:pPr>
              <w:spacing w:after="0"/>
              <w:rPr>
                <w:sz w:val="10"/>
                <w:szCs w:val="10"/>
                <w:color w:val="auto"/>
              </w:rPr>
            </w:pPr>
          </w:p>
        </w:tc>
        <w:tc>
          <w:tcPr>
            <w:tcW w:w="1700" w:type="dxa"/>
            <w:vAlign w:val="bottom"/>
            <w:tcBorders>
              <w:bottom w:val="single" w:sz="8" w:color="939598"/>
            </w:tcBorders>
          </w:tcPr>
          <w:p>
            <w:pPr>
              <w:spacing w:after="0"/>
              <w:rPr>
                <w:sz w:val="10"/>
                <w:szCs w:val="10"/>
                <w:color w:val="auto"/>
              </w:rPr>
            </w:pPr>
          </w:p>
        </w:tc>
        <w:tc>
          <w:tcPr>
            <w:tcW w:w="140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315"/>
        </w:trPr>
        <w:tc>
          <w:tcPr>
            <w:tcW w:w="3800" w:type="dxa"/>
            <w:vAlign w:val="bottom"/>
          </w:tcPr>
          <w:p>
            <w:pPr>
              <w:ind w:left="20"/>
              <w:spacing w:after="0"/>
              <w:rPr>
                <w:sz w:val="20"/>
                <w:szCs w:val="20"/>
                <w:color w:val="auto"/>
              </w:rPr>
            </w:pPr>
            <w:r>
              <w:rPr>
                <w:rFonts w:ascii="Arial" w:cs="Arial" w:eastAsia="Arial" w:hAnsi="Arial"/>
                <w:sz w:val="14"/>
                <w:szCs w:val="14"/>
                <w:b w:val="1"/>
                <w:bCs w:val="1"/>
                <w:color w:val="auto"/>
              </w:rPr>
              <w:t>Mr. Currier</w:t>
            </w:r>
          </w:p>
        </w:tc>
        <w:tc>
          <w:tcPr>
            <w:tcW w:w="4320" w:type="dxa"/>
            <w:vAlign w:val="bottom"/>
          </w:tcPr>
          <w:p>
            <w:pPr>
              <w:jc w:val="right"/>
              <w:ind w:right="328"/>
              <w:spacing w:after="0"/>
              <w:rPr>
                <w:sz w:val="20"/>
                <w:szCs w:val="20"/>
                <w:color w:val="auto"/>
              </w:rPr>
            </w:pPr>
            <w:r>
              <w:rPr>
                <w:rFonts w:ascii="Arial" w:cs="Arial" w:eastAsia="Arial" w:hAnsi="Arial"/>
                <w:sz w:val="14"/>
                <w:szCs w:val="14"/>
                <w:color w:val="auto"/>
              </w:rPr>
              <w:t>9,458</w:t>
            </w:r>
          </w:p>
        </w:tc>
        <w:tc>
          <w:tcPr>
            <w:tcW w:w="1700" w:type="dxa"/>
            <w:vAlign w:val="bottom"/>
          </w:tcPr>
          <w:p>
            <w:pPr>
              <w:jc w:val="right"/>
              <w:ind w:right="248"/>
              <w:spacing w:after="0"/>
              <w:rPr>
                <w:sz w:val="20"/>
                <w:szCs w:val="20"/>
                <w:color w:val="auto"/>
              </w:rPr>
            </w:pPr>
            <w:r>
              <w:rPr>
                <w:rFonts w:ascii="Arial" w:cs="Arial" w:eastAsia="Arial" w:hAnsi="Arial"/>
                <w:sz w:val="14"/>
                <w:szCs w:val="14"/>
                <w:color w:val="auto"/>
              </w:rPr>
              <w:t>68%</w:t>
            </w:r>
          </w:p>
        </w:tc>
        <w:tc>
          <w:tcPr>
            <w:tcW w:w="1400" w:type="dxa"/>
            <w:vAlign w:val="bottom"/>
          </w:tcPr>
          <w:p>
            <w:pPr>
              <w:jc w:val="right"/>
              <w:spacing w:after="0"/>
              <w:rPr>
                <w:sz w:val="20"/>
                <w:szCs w:val="20"/>
                <w:color w:val="auto"/>
              </w:rPr>
            </w:pPr>
            <w:r>
              <w:rPr>
                <w:rFonts w:ascii="Arial" w:cs="Arial" w:eastAsia="Arial" w:hAnsi="Arial"/>
                <w:sz w:val="14"/>
                <w:szCs w:val="14"/>
                <w:color w:val="auto"/>
              </w:rPr>
              <w:t>6,432</w:t>
            </w:r>
          </w:p>
        </w:tc>
        <w:tc>
          <w:tcPr>
            <w:tcW w:w="0" w:type="dxa"/>
            <w:vAlign w:val="bottom"/>
          </w:tcPr>
          <w:p>
            <w:pPr>
              <w:spacing w:after="0"/>
              <w:rPr>
                <w:sz w:val="1"/>
                <w:szCs w:val="1"/>
                <w:color w:val="auto"/>
              </w:rPr>
            </w:pPr>
          </w:p>
        </w:tc>
      </w:tr>
      <w:tr>
        <w:trPr>
          <w:trHeight w:val="123"/>
        </w:trPr>
        <w:tc>
          <w:tcPr>
            <w:tcW w:w="3800" w:type="dxa"/>
            <w:vAlign w:val="bottom"/>
            <w:tcBorders>
              <w:bottom w:val="single" w:sz="8" w:color="939598"/>
            </w:tcBorders>
          </w:tcPr>
          <w:p>
            <w:pPr>
              <w:spacing w:after="0"/>
              <w:rPr>
                <w:sz w:val="10"/>
                <w:szCs w:val="10"/>
                <w:color w:val="auto"/>
              </w:rPr>
            </w:pPr>
          </w:p>
        </w:tc>
        <w:tc>
          <w:tcPr>
            <w:tcW w:w="4320" w:type="dxa"/>
            <w:vAlign w:val="bottom"/>
            <w:tcBorders>
              <w:bottom w:val="single" w:sz="8" w:color="939598"/>
            </w:tcBorders>
          </w:tcPr>
          <w:p>
            <w:pPr>
              <w:spacing w:after="0"/>
              <w:rPr>
                <w:sz w:val="10"/>
                <w:szCs w:val="10"/>
                <w:color w:val="auto"/>
              </w:rPr>
            </w:pPr>
          </w:p>
        </w:tc>
        <w:tc>
          <w:tcPr>
            <w:tcW w:w="1700" w:type="dxa"/>
            <w:vAlign w:val="bottom"/>
            <w:tcBorders>
              <w:bottom w:val="single" w:sz="8" w:color="939598"/>
            </w:tcBorders>
          </w:tcPr>
          <w:p>
            <w:pPr>
              <w:spacing w:after="0"/>
              <w:rPr>
                <w:sz w:val="10"/>
                <w:szCs w:val="10"/>
                <w:color w:val="auto"/>
              </w:rPr>
            </w:pPr>
          </w:p>
        </w:tc>
        <w:tc>
          <w:tcPr>
            <w:tcW w:w="140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316"/>
        </w:trPr>
        <w:tc>
          <w:tcPr>
            <w:tcW w:w="3800" w:type="dxa"/>
            <w:vAlign w:val="bottom"/>
          </w:tcPr>
          <w:p>
            <w:pPr>
              <w:ind w:left="20"/>
              <w:spacing w:after="0"/>
              <w:rPr>
                <w:sz w:val="20"/>
                <w:szCs w:val="20"/>
                <w:color w:val="auto"/>
              </w:rPr>
            </w:pPr>
            <w:r>
              <w:rPr>
                <w:rFonts w:ascii="Arial" w:cs="Arial" w:eastAsia="Arial" w:hAnsi="Arial"/>
                <w:sz w:val="14"/>
                <w:szCs w:val="14"/>
                <w:b w:val="1"/>
                <w:bCs w:val="1"/>
                <w:color w:val="auto"/>
              </w:rPr>
              <w:t>Mr. Hammoud</w:t>
            </w:r>
          </w:p>
        </w:tc>
        <w:tc>
          <w:tcPr>
            <w:tcW w:w="4320" w:type="dxa"/>
            <w:vAlign w:val="bottom"/>
          </w:tcPr>
          <w:p>
            <w:pPr>
              <w:jc w:val="right"/>
              <w:ind w:right="328"/>
              <w:spacing w:after="0"/>
              <w:rPr>
                <w:sz w:val="20"/>
                <w:szCs w:val="20"/>
                <w:color w:val="auto"/>
              </w:rPr>
            </w:pPr>
            <w:r>
              <w:rPr>
                <w:rFonts w:ascii="Arial" w:cs="Arial" w:eastAsia="Arial" w:hAnsi="Arial"/>
                <w:sz w:val="14"/>
                <w:szCs w:val="14"/>
                <w:color w:val="auto"/>
              </w:rPr>
              <w:t>2,766</w:t>
            </w:r>
          </w:p>
        </w:tc>
        <w:tc>
          <w:tcPr>
            <w:tcW w:w="1700" w:type="dxa"/>
            <w:vAlign w:val="bottom"/>
          </w:tcPr>
          <w:p>
            <w:pPr>
              <w:jc w:val="right"/>
              <w:ind w:right="248"/>
              <w:spacing w:after="0"/>
              <w:rPr>
                <w:sz w:val="20"/>
                <w:szCs w:val="20"/>
                <w:color w:val="auto"/>
              </w:rPr>
            </w:pPr>
            <w:r>
              <w:rPr>
                <w:rFonts w:ascii="Arial" w:cs="Arial" w:eastAsia="Arial" w:hAnsi="Arial"/>
                <w:sz w:val="14"/>
                <w:szCs w:val="14"/>
                <w:color w:val="auto"/>
              </w:rPr>
              <w:t>58%</w:t>
            </w:r>
          </w:p>
        </w:tc>
        <w:tc>
          <w:tcPr>
            <w:tcW w:w="1400" w:type="dxa"/>
            <w:vAlign w:val="bottom"/>
          </w:tcPr>
          <w:p>
            <w:pPr>
              <w:jc w:val="right"/>
              <w:spacing w:after="0"/>
              <w:rPr>
                <w:sz w:val="20"/>
                <w:szCs w:val="20"/>
                <w:color w:val="auto"/>
              </w:rPr>
            </w:pPr>
            <w:r>
              <w:rPr>
                <w:rFonts w:ascii="Arial" w:cs="Arial" w:eastAsia="Arial" w:hAnsi="Arial"/>
                <w:sz w:val="14"/>
                <w:szCs w:val="14"/>
                <w:color w:val="auto"/>
              </w:rPr>
              <w:t>1,604</w:t>
            </w:r>
          </w:p>
        </w:tc>
        <w:tc>
          <w:tcPr>
            <w:tcW w:w="0" w:type="dxa"/>
            <w:vAlign w:val="bottom"/>
          </w:tcPr>
          <w:p>
            <w:pPr>
              <w:spacing w:after="0"/>
              <w:rPr>
                <w:sz w:val="1"/>
                <w:szCs w:val="1"/>
                <w:color w:val="auto"/>
              </w:rPr>
            </w:pPr>
          </w:p>
        </w:tc>
      </w:tr>
      <w:tr>
        <w:trPr>
          <w:trHeight w:val="123"/>
        </w:trPr>
        <w:tc>
          <w:tcPr>
            <w:tcW w:w="3800" w:type="dxa"/>
            <w:vAlign w:val="bottom"/>
            <w:tcBorders>
              <w:bottom w:val="single" w:sz="8" w:color="939598"/>
            </w:tcBorders>
          </w:tcPr>
          <w:p>
            <w:pPr>
              <w:spacing w:after="0"/>
              <w:rPr>
                <w:sz w:val="10"/>
                <w:szCs w:val="10"/>
                <w:color w:val="auto"/>
              </w:rPr>
            </w:pPr>
          </w:p>
        </w:tc>
        <w:tc>
          <w:tcPr>
            <w:tcW w:w="4320" w:type="dxa"/>
            <w:vAlign w:val="bottom"/>
            <w:tcBorders>
              <w:bottom w:val="single" w:sz="8" w:color="939598"/>
            </w:tcBorders>
          </w:tcPr>
          <w:p>
            <w:pPr>
              <w:spacing w:after="0"/>
              <w:rPr>
                <w:sz w:val="10"/>
                <w:szCs w:val="10"/>
                <w:color w:val="auto"/>
              </w:rPr>
            </w:pPr>
          </w:p>
        </w:tc>
        <w:tc>
          <w:tcPr>
            <w:tcW w:w="1700" w:type="dxa"/>
            <w:vAlign w:val="bottom"/>
            <w:tcBorders>
              <w:bottom w:val="single" w:sz="8" w:color="939598"/>
            </w:tcBorders>
          </w:tcPr>
          <w:p>
            <w:pPr>
              <w:spacing w:after="0"/>
              <w:rPr>
                <w:sz w:val="10"/>
                <w:szCs w:val="10"/>
                <w:color w:val="auto"/>
              </w:rPr>
            </w:pPr>
          </w:p>
        </w:tc>
        <w:tc>
          <w:tcPr>
            <w:tcW w:w="140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316"/>
        </w:trPr>
        <w:tc>
          <w:tcPr>
            <w:tcW w:w="3800" w:type="dxa"/>
            <w:vAlign w:val="bottom"/>
          </w:tcPr>
          <w:p>
            <w:pPr>
              <w:ind w:left="20"/>
              <w:spacing w:after="0"/>
              <w:rPr>
                <w:sz w:val="20"/>
                <w:szCs w:val="20"/>
                <w:color w:val="auto"/>
              </w:rPr>
            </w:pPr>
            <w:r>
              <w:rPr>
                <w:rFonts w:ascii="Arial" w:cs="Arial" w:eastAsia="Arial" w:hAnsi="Arial"/>
                <w:sz w:val="14"/>
                <w:szCs w:val="14"/>
                <w:b w:val="1"/>
                <w:bCs w:val="1"/>
                <w:color w:val="auto"/>
              </w:rPr>
              <w:t>Mr. Lewis</w:t>
            </w:r>
          </w:p>
        </w:tc>
        <w:tc>
          <w:tcPr>
            <w:tcW w:w="4320" w:type="dxa"/>
            <w:vAlign w:val="bottom"/>
          </w:tcPr>
          <w:p>
            <w:pPr>
              <w:jc w:val="right"/>
              <w:ind w:right="328"/>
              <w:spacing w:after="0"/>
              <w:rPr>
                <w:sz w:val="20"/>
                <w:szCs w:val="20"/>
                <w:color w:val="auto"/>
              </w:rPr>
            </w:pPr>
            <w:r>
              <w:rPr>
                <w:rFonts w:ascii="Arial" w:cs="Arial" w:eastAsia="Arial" w:hAnsi="Arial"/>
                <w:sz w:val="14"/>
                <w:szCs w:val="14"/>
                <w:color w:val="auto"/>
              </w:rPr>
              <w:t>15,150</w:t>
            </w:r>
          </w:p>
        </w:tc>
        <w:tc>
          <w:tcPr>
            <w:tcW w:w="1700" w:type="dxa"/>
            <w:vAlign w:val="bottom"/>
          </w:tcPr>
          <w:p>
            <w:pPr>
              <w:jc w:val="right"/>
              <w:ind w:right="248"/>
              <w:spacing w:after="0"/>
              <w:rPr>
                <w:sz w:val="20"/>
                <w:szCs w:val="20"/>
                <w:color w:val="auto"/>
              </w:rPr>
            </w:pPr>
            <w:r>
              <w:rPr>
                <w:rFonts w:ascii="Arial" w:cs="Arial" w:eastAsia="Arial" w:hAnsi="Arial"/>
                <w:sz w:val="14"/>
                <w:szCs w:val="14"/>
                <w:color w:val="auto"/>
              </w:rPr>
              <w:t>59%</w:t>
            </w:r>
          </w:p>
        </w:tc>
        <w:tc>
          <w:tcPr>
            <w:tcW w:w="1400" w:type="dxa"/>
            <w:vAlign w:val="bottom"/>
          </w:tcPr>
          <w:p>
            <w:pPr>
              <w:jc w:val="right"/>
              <w:spacing w:after="0"/>
              <w:rPr>
                <w:sz w:val="20"/>
                <w:szCs w:val="20"/>
                <w:color w:val="auto"/>
              </w:rPr>
            </w:pPr>
            <w:r>
              <w:rPr>
                <w:rFonts w:ascii="Arial" w:cs="Arial" w:eastAsia="Arial" w:hAnsi="Arial"/>
                <w:sz w:val="14"/>
                <w:szCs w:val="14"/>
                <w:color w:val="auto"/>
              </w:rPr>
              <w:t>8,938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2343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43" w:lineRule="exact"/>
        <w:rPr>
          <w:sz w:val="20"/>
          <w:szCs w:val="20"/>
          <w:color w:val="auto"/>
        </w:rPr>
      </w:pPr>
    </w:p>
    <w:p>
      <w:pPr>
        <w:ind w:left="200" w:hanging="192"/>
        <w:spacing w:after="0"/>
        <w:tabs>
          <w:tab w:leader="none" w:pos="200" w:val="left"/>
        </w:tabs>
        <w:numPr>
          <w:ilvl w:val="0"/>
          <w:numId w:val="172"/>
        </w:numPr>
        <w:rPr>
          <w:rFonts w:ascii="Arial" w:cs="Arial" w:eastAsia="Arial" w:hAnsi="Arial"/>
          <w:sz w:val="16"/>
          <w:szCs w:val="16"/>
          <w:color w:val="auto"/>
          <w:vertAlign w:val="superscript"/>
        </w:rPr>
      </w:pPr>
      <w:r>
        <w:rPr>
          <w:rFonts w:ascii="Arial" w:cs="Arial" w:eastAsia="Arial" w:hAnsi="Arial"/>
          <w:sz w:val="13"/>
          <w:szCs w:val="13"/>
          <w:color w:val="auto"/>
        </w:rPr>
        <w:t>Includes additional PSUs from dividend equivalents.</w:t>
      </w:r>
    </w:p>
    <w:p>
      <w:pPr>
        <w:spacing w:after="0" w:line="94"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Earned awards became fully vested on February 10, 2026, with final performance certified by the MDCC at its meeting on February 12, 2026. 50% of the PSUs earned were converted to shares of Honeywell common stock, with the net shares paid subject to an additional one-year holding period, in accordance with the officer stock ownership guidelines. The remaining 50% was converted to cash based on the closing stock price of Honeywell common stock on December 31, 2025, and paid in March 2026.</w:t>
      </w:r>
    </w:p>
    <w:p>
      <w:pPr>
        <w:spacing w:after="0" w:line="215"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78</w:t>
      </w:r>
      <w:r>
        <w:rPr>
          <w:sz w:val="20"/>
          <w:szCs w:val="20"/>
          <w:color w:val="auto"/>
        </w:rPr>
        <w:tab/>
      </w:r>
      <w:r>
        <w:rPr>
          <w:sz w:val="1"/>
          <w:szCs w:val="1"/>
          <w:color w:val="auto"/>
        </w:rPr>
        <w:drawing>
          <wp:inline distT="0" distB="0" distL="0" distR="0">
            <wp:extent cx="548640" cy="102870"/>
            <wp:effectExtent l="0" t="0" r="0" b="0"/>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2026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sectPr>
      </w:pPr>
    </w:p>
    <w:bookmarkStart w:id="85" w:name="page86"/>
    <w:bookmarkEnd w:id="85"/>
    <w:p>
      <w:pPr>
        <w:jc w:val="right"/>
        <w:spacing w:after="0"/>
        <w:rPr>
          <w:sz w:val="20"/>
          <w:szCs w:val="20"/>
          <w:color w:val="auto"/>
        </w:rPr>
      </w:pPr>
      <w:r>
        <w:rPr>
          <w:rFonts w:ascii="Arial" w:cs="Arial" w:eastAsia="Arial" w:hAnsi="Arial"/>
          <w:sz w:val="13"/>
          <w:szCs w:val="13"/>
          <w:b w:val="1"/>
          <w:bCs w:val="1"/>
          <w:color w:val="6D6E71"/>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2023–2025 Performance Cash Unit Payouts (Mr. Stepniak, Mr. Currier, and Mr. Hammoud)</w:t>
      </w:r>
    </w:p>
    <w:p>
      <w:pPr>
        <w:spacing w:after="0" w:line="113" w:lineRule="exact"/>
        <w:rPr>
          <w:sz w:val="20"/>
          <w:szCs w:val="20"/>
          <w:color w:val="auto"/>
        </w:rPr>
      </w:pPr>
    </w:p>
    <w:p>
      <w:pPr>
        <w:jc w:val="both"/>
        <w:ind w:right="100"/>
        <w:spacing w:after="0" w:line="275" w:lineRule="auto"/>
        <w:rPr>
          <w:sz w:val="20"/>
          <w:szCs w:val="20"/>
          <w:color w:val="auto"/>
        </w:rPr>
      </w:pPr>
      <w:r>
        <w:rPr>
          <w:rFonts w:ascii="Arial" w:cs="Arial" w:eastAsia="Arial" w:hAnsi="Arial"/>
          <w:sz w:val="16"/>
          <w:szCs w:val="16"/>
          <w:color w:val="auto"/>
        </w:rPr>
        <w:t>In February 2026, the MDCC also reviewed the calculated outcomes for the 2023–2025 Performance Cash Units (PCUs) issued to non-officer executives in 2023 (which included Mr. Stepniak, Mr. Currier, and Mr. Hammoud who were non-officers at the time of grant). The non-officer performance plan follows the same structure as the 2023–2025 PSUs described above, but excludes the portion of the award that is tied to relative TSR.</w:t>
      </w:r>
    </w:p>
    <w:p>
      <w:pPr>
        <w:spacing w:after="0" w:line="128"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Actual Plan</w:t>
            </w:r>
          </w:p>
        </w:tc>
        <w:tc>
          <w:tcPr>
            <w:tcW w:w="1420" w:type="dxa"/>
            <w:vAlign w:val="bottom"/>
          </w:tcPr>
          <w:p>
            <w:pPr>
              <w:jc w:val="right"/>
              <w:ind w:right="228"/>
              <w:spacing w:after="0"/>
              <w:rPr>
                <w:sz w:val="20"/>
                <w:szCs w:val="20"/>
                <w:color w:val="auto"/>
              </w:rPr>
            </w:pPr>
            <w:r>
              <w:rPr>
                <w:rFonts w:ascii="Arial" w:cs="Arial" w:eastAsia="Arial" w:hAnsi="Arial"/>
                <w:sz w:val="14"/>
                <w:szCs w:val="14"/>
                <w:b w:val="1"/>
                <w:bCs w:val="1"/>
                <w:color w:val="auto"/>
              </w:rPr>
              <w:t>Payout</w:t>
            </w:r>
          </w:p>
        </w:tc>
        <w:tc>
          <w:tcPr>
            <w:tcW w:w="10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219"/>
        </w:trPr>
        <w:tc>
          <w:tcPr>
            <w:tcW w:w="2600" w:type="dxa"/>
            <w:vAlign w:val="bottom"/>
          </w:tcPr>
          <w:p>
            <w:pPr>
              <w:ind w:left="20"/>
              <w:spacing w:after="0"/>
              <w:rPr>
                <w:sz w:val="20"/>
                <w:szCs w:val="20"/>
                <w:color w:val="auto"/>
              </w:rPr>
            </w:pPr>
            <w:r>
              <w:rPr>
                <w:rFonts w:ascii="Arial" w:cs="Arial" w:eastAsia="Arial" w:hAnsi="Arial"/>
                <w:sz w:val="14"/>
                <w:szCs w:val="14"/>
                <w:b w:val="1"/>
                <w:bCs w:val="1"/>
                <w:color w:val="auto"/>
              </w:rPr>
              <w:t>Total Honeywell</w:t>
            </w:r>
          </w:p>
        </w:tc>
        <w:tc>
          <w:tcPr>
            <w:tcW w:w="1440" w:type="dxa"/>
            <w:vAlign w:val="bottom"/>
          </w:tcPr>
          <w:p>
            <w:pPr>
              <w:jc w:val="right"/>
              <w:ind w:right="328"/>
              <w:spacing w:after="0"/>
              <w:rPr>
                <w:sz w:val="20"/>
                <w:szCs w:val="20"/>
                <w:color w:val="auto"/>
              </w:rPr>
            </w:pPr>
            <w:r>
              <w:rPr>
                <w:rFonts w:ascii="Arial" w:cs="Arial" w:eastAsia="Arial" w:hAnsi="Arial"/>
                <w:sz w:val="14"/>
                <w:szCs w:val="14"/>
                <w:b w:val="1"/>
                <w:bCs w:val="1"/>
                <w:color w:val="auto"/>
              </w:rPr>
              <w:t>Threshold</w:t>
            </w:r>
          </w:p>
        </w:tc>
        <w:tc>
          <w:tcPr>
            <w:tcW w:w="1300" w:type="dxa"/>
            <w:vAlign w:val="bottom"/>
          </w:tcPr>
          <w:p>
            <w:pPr>
              <w:jc w:val="right"/>
              <w:ind w:right="208"/>
              <w:spacing w:after="0"/>
              <w:rPr>
                <w:sz w:val="20"/>
                <w:szCs w:val="20"/>
                <w:color w:val="auto"/>
              </w:rPr>
            </w:pPr>
            <w:r>
              <w:rPr>
                <w:rFonts w:ascii="Arial" w:cs="Arial" w:eastAsia="Arial" w:hAnsi="Arial"/>
                <w:sz w:val="14"/>
                <w:szCs w:val="14"/>
                <w:b w:val="1"/>
                <w:bCs w:val="1"/>
                <w:color w:val="auto"/>
              </w:rPr>
              <w:t>Target</w:t>
            </w: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Maximum</w:t>
            </w: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Performance</w:t>
            </w:r>
          </w:p>
        </w:tc>
        <w:tc>
          <w:tcPr>
            <w:tcW w:w="1420" w:type="dxa"/>
            <w:vAlign w:val="bottom"/>
          </w:tcPr>
          <w:p>
            <w:pPr>
              <w:jc w:val="right"/>
              <w:ind w:right="228"/>
              <w:spacing w:after="0"/>
              <w:rPr>
                <w:sz w:val="20"/>
                <w:szCs w:val="20"/>
                <w:color w:val="auto"/>
              </w:rPr>
            </w:pPr>
            <w:r>
              <w:rPr>
                <w:rFonts w:ascii="Arial" w:cs="Arial" w:eastAsia="Arial" w:hAnsi="Arial"/>
                <w:sz w:val="14"/>
                <w:szCs w:val="14"/>
                <w:b w:val="1"/>
                <w:bCs w:val="1"/>
                <w:color w:val="auto"/>
              </w:rPr>
              <w:t>Factor</w:t>
            </w:r>
          </w:p>
        </w:tc>
        <w:tc>
          <w:tcPr>
            <w:tcW w:w="1000" w:type="dxa"/>
            <w:vAlign w:val="bottom"/>
          </w:tcPr>
          <w:p>
            <w:pPr>
              <w:jc w:val="right"/>
              <w:ind w:right="148"/>
              <w:spacing w:after="0"/>
              <w:rPr>
                <w:sz w:val="20"/>
                <w:szCs w:val="20"/>
                <w:color w:val="auto"/>
              </w:rPr>
            </w:pPr>
            <w:r>
              <w:rPr>
                <w:rFonts w:ascii="Arial" w:cs="Arial" w:eastAsia="Arial" w:hAnsi="Arial"/>
                <w:sz w:val="14"/>
                <w:szCs w:val="14"/>
                <w:b w:val="1"/>
                <w:bCs w:val="1"/>
                <w:color w:val="auto"/>
              </w:rPr>
              <w:t>Weight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Payout %</w:t>
            </w:r>
          </w:p>
        </w:tc>
        <w:tc>
          <w:tcPr>
            <w:tcW w:w="0" w:type="dxa"/>
            <w:vAlign w:val="bottom"/>
          </w:tcPr>
          <w:p>
            <w:pPr>
              <w:spacing w:after="0"/>
              <w:rPr>
                <w:sz w:val="1"/>
                <w:szCs w:val="1"/>
                <w:color w:val="auto"/>
              </w:rPr>
            </w:pPr>
          </w:p>
        </w:tc>
      </w:tr>
      <w:tr>
        <w:trPr>
          <w:trHeight w:val="322"/>
        </w:trPr>
        <w:tc>
          <w:tcPr>
            <w:tcW w:w="2600" w:type="dxa"/>
            <w:vAlign w:val="bottom"/>
            <w:tcBorders>
              <w:top w:val="single" w:sz="8" w:color="D7282F"/>
            </w:tcBorders>
          </w:tcPr>
          <w:p>
            <w:pPr>
              <w:ind w:left="20"/>
              <w:spacing w:after="0"/>
              <w:rPr>
                <w:sz w:val="20"/>
                <w:szCs w:val="20"/>
                <w:color w:val="auto"/>
              </w:rPr>
            </w:pPr>
            <w:r>
              <w:rPr>
                <w:rFonts w:ascii="Arial" w:cs="Arial" w:eastAsia="Arial" w:hAnsi="Arial"/>
                <w:sz w:val="14"/>
                <w:szCs w:val="14"/>
                <w:b w:val="1"/>
                <w:bCs w:val="1"/>
                <w:color w:val="auto"/>
              </w:rPr>
              <w:t>HON Revenue</w:t>
            </w:r>
          </w:p>
        </w:tc>
        <w:tc>
          <w:tcPr>
            <w:tcW w:w="1440" w:type="dxa"/>
            <w:vAlign w:val="bottom"/>
            <w:tcBorders>
              <w:top w:val="single" w:sz="8" w:color="D7282F"/>
            </w:tcBorders>
          </w:tcPr>
          <w:p>
            <w:pPr>
              <w:jc w:val="right"/>
              <w:ind w:right="328"/>
              <w:spacing w:after="0"/>
              <w:rPr>
                <w:sz w:val="20"/>
                <w:szCs w:val="20"/>
                <w:color w:val="auto"/>
              </w:rPr>
            </w:pPr>
            <w:r>
              <w:rPr>
                <w:rFonts w:ascii="Arial" w:cs="Arial" w:eastAsia="Arial" w:hAnsi="Arial"/>
                <w:sz w:val="14"/>
                <w:szCs w:val="14"/>
                <w:color w:val="auto"/>
              </w:rPr>
              <w:t>$106,158</w:t>
            </w:r>
          </w:p>
        </w:tc>
        <w:tc>
          <w:tcPr>
            <w:tcW w:w="1300" w:type="dxa"/>
            <w:vAlign w:val="bottom"/>
            <w:tcBorders>
              <w:top w:val="single" w:sz="8" w:color="D7282F"/>
            </w:tcBorders>
          </w:tcPr>
          <w:p>
            <w:pPr>
              <w:jc w:val="right"/>
              <w:ind w:right="208"/>
              <w:spacing w:after="0"/>
              <w:rPr>
                <w:sz w:val="20"/>
                <w:szCs w:val="20"/>
                <w:color w:val="auto"/>
              </w:rPr>
            </w:pPr>
            <w:r>
              <w:rPr>
                <w:rFonts w:ascii="Arial" w:cs="Arial" w:eastAsia="Arial" w:hAnsi="Arial"/>
                <w:sz w:val="14"/>
                <w:szCs w:val="14"/>
                <w:color w:val="auto"/>
              </w:rPr>
              <w:t>$114,148</w:t>
            </w:r>
          </w:p>
        </w:tc>
        <w:tc>
          <w:tcPr>
            <w:tcW w:w="1080" w:type="dxa"/>
            <w:vAlign w:val="bottom"/>
            <w:tcBorders>
              <w:top w:val="single" w:sz="8" w:color="D7282F"/>
            </w:tcBorders>
          </w:tcPr>
          <w:p>
            <w:pPr>
              <w:ind w:left="320"/>
              <w:spacing w:after="0"/>
              <w:rPr>
                <w:sz w:val="20"/>
                <w:szCs w:val="20"/>
                <w:color w:val="auto"/>
              </w:rPr>
            </w:pPr>
            <w:r>
              <w:rPr>
                <w:rFonts w:ascii="Arial" w:cs="Arial" w:eastAsia="Arial" w:hAnsi="Arial"/>
                <w:sz w:val="14"/>
                <w:szCs w:val="14"/>
                <w:color w:val="auto"/>
              </w:rPr>
              <w:t>$118,143</w:t>
            </w:r>
          </w:p>
        </w:tc>
        <w:tc>
          <w:tcPr>
            <w:tcW w:w="1500" w:type="dxa"/>
            <w:vAlign w:val="bottom"/>
            <w:tcBorders>
              <w:top w:val="single" w:sz="8" w:color="D7282F"/>
            </w:tcBorders>
          </w:tcPr>
          <w:p>
            <w:pPr>
              <w:jc w:val="right"/>
              <w:spacing w:after="0"/>
              <w:rPr>
                <w:sz w:val="20"/>
                <w:szCs w:val="20"/>
                <w:color w:val="auto"/>
              </w:rPr>
            </w:pPr>
            <w:r>
              <w:rPr>
                <w:rFonts w:ascii="Arial" w:cs="Arial" w:eastAsia="Arial" w:hAnsi="Arial"/>
                <w:sz w:val="14"/>
                <w:szCs w:val="14"/>
                <w:color w:val="auto"/>
              </w:rPr>
              <w:t>$113,414</w:t>
            </w:r>
          </w:p>
        </w:tc>
        <w:tc>
          <w:tcPr>
            <w:tcW w:w="1420" w:type="dxa"/>
            <w:vAlign w:val="bottom"/>
            <w:tcBorders>
              <w:top w:val="single" w:sz="8" w:color="D7282F"/>
            </w:tcBorders>
            <w:vMerge w:val="restart"/>
          </w:tcPr>
          <w:p>
            <w:pPr>
              <w:jc w:val="right"/>
              <w:ind w:right="228"/>
              <w:spacing w:after="0"/>
              <w:rPr>
                <w:sz w:val="20"/>
                <w:szCs w:val="20"/>
                <w:color w:val="auto"/>
              </w:rPr>
            </w:pPr>
            <w:r>
              <w:rPr>
                <w:rFonts w:ascii="Arial" w:cs="Arial" w:eastAsia="Arial" w:hAnsi="Arial"/>
                <w:sz w:val="14"/>
                <w:szCs w:val="14"/>
                <w:color w:val="auto"/>
              </w:rPr>
              <w:t>95.4%</w:t>
            </w:r>
          </w:p>
        </w:tc>
        <w:tc>
          <w:tcPr>
            <w:tcW w:w="1000" w:type="dxa"/>
            <w:vAlign w:val="bottom"/>
            <w:tcBorders>
              <w:top w:val="single" w:sz="8" w:color="D7282F"/>
            </w:tcBorders>
          </w:tcPr>
          <w:p>
            <w:pPr>
              <w:jc w:val="right"/>
              <w:ind w:right="148"/>
              <w:spacing w:after="0"/>
              <w:rPr>
                <w:sz w:val="20"/>
                <w:szCs w:val="20"/>
                <w:color w:val="auto"/>
              </w:rPr>
            </w:pPr>
            <w:r>
              <w:rPr>
                <w:rFonts w:ascii="Arial" w:cs="Arial" w:eastAsia="Arial" w:hAnsi="Arial"/>
                <w:sz w:val="14"/>
                <w:szCs w:val="14"/>
                <w:color w:val="auto"/>
              </w:rPr>
              <w:t>33.3%</w:t>
            </w:r>
          </w:p>
        </w:tc>
        <w:tc>
          <w:tcPr>
            <w:tcW w:w="900" w:type="dxa"/>
            <w:vAlign w:val="bottom"/>
            <w:tcBorders>
              <w:top w:val="single" w:sz="8" w:color="D7282F"/>
            </w:tcBorders>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02"/>
        </w:trPr>
        <w:tc>
          <w:tcPr>
            <w:tcW w:w="26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2600" w:type="dxa"/>
            <w:vAlign w:val="bottom"/>
            <w:tcBorders>
              <w:bottom w:val="single" w:sz="8" w:color="939598"/>
            </w:tcBorders>
          </w:tcPr>
          <w:p>
            <w:pPr>
              <w:spacing w:after="0" w:line="20" w:lineRule="exact"/>
              <w:rPr>
                <w:sz w:val="1"/>
                <w:szCs w:val="1"/>
                <w:color w:val="auto"/>
              </w:rPr>
            </w:pPr>
          </w:p>
        </w:tc>
        <w:tc>
          <w:tcPr>
            <w:tcW w:w="1440" w:type="dxa"/>
            <w:vAlign w:val="bottom"/>
            <w:tcBorders>
              <w:bottom w:val="single" w:sz="8" w:color="939598"/>
            </w:tcBorders>
          </w:tcPr>
          <w:p>
            <w:pPr>
              <w:spacing w:after="0" w:line="20" w:lineRule="exact"/>
              <w:rPr>
                <w:sz w:val="1"/>
                <w:szCs w:val="1"/>
                <w:color w:val="auto"/>
              </w:rPr>
            </w:pPr>
          </w:p>
        </w:tc>
        <w:tc>
          <w:tcPr>
            <w:tcW w:w="1300" w:type="dxa"/>
            <w:vAlign w:val="bottom"/>
            <w:tcBorders>
              <w:bottom w:val="single" w:sz="8" w:color="939598"/>
            </w:tcBorders>
          </w:tcPr>
          <w:p>
            <w:pPr>
              <w:spacing w:after="0" w:line="20" w:lineRule="exact"/>
              <w:rPr>
                <w:sz w:val="1"/>
                <w:szCs w:val="1"/>
                <w:color w:val="auto"/>
              </w:rPr>
            </w:pPr>
          </w:p>
        </w:tc>
        <w:tc>
          <w:tcPr>
            <w:tcW w:w="1080" w:type="dxa"/>
            <w:vAlign w:val="bottom"/>
            <w:tcBorders>
              <w:bottom w:val="single" w:sz="8" w:color="939598"/>
            </w:tcBorders>
          </w:tcPr>
          <w:p>
            <w:pPr>
              <w:spacing w:after="0" w:line="20" w:lineRule="exact"/>
              <w:rPr>
                <w:sz w:val="1"/>
                <w:szCs w:val="1"/>
                <w:color w:val="auto"/>
              </w:rPr>
            </w:pPr>
          </w:p>
        </w:tc>
        <w:tc>
          <w:tcPr>
            <w:tcW w:w="1500" w:type="dxa"/>
            <w:vAlign w:val="bottom"/>
            <w:tcBorders>
              <w:bottom w:val="single" w:sz="8" w:color="939598"/>
            </w:tcBorders>
          </w:tcPr>
          <w:p>
            <w:pPr>
              <w:spacing w:after="0" w:line="20" w:lineRule="exact"/>
              <w:rPr>
                <w:sz w:val="1"/>
                <w:szCs w:val="1"/>
                <w:color w:val="auto"/>
              </w:rPr>
            </w:pPr>
          </w:p>
        </w:tc>
        <w:tc>
          <w:tcPr>
            <w:tcW w:w="1420" w:type="dxa"/>
            <w:vAlign w:val="bottom"/>
            <w:tcBorders>
              <w:bottom w:val="single" w:sz="8" w:color="939598"/>
            </w:tcBorders>
          </w:tcPr>
          <w:p>
            <w:pPr>
              <w:spacing w:after="0" w:line="20" w:lineRule="exact"/>
              <w:rPr>
                <w:sz w:val="1"/>
                <w:szCs w:val="1"/>
                <w:color w:val="auto"/>
              </w:rPr>
            </w:pPr>
          </w:p>
        </w:tc>
        <w:tc>
          <w:tcPr>
            <w:tcW w:w="1000" w:type="dxa"/>
            <w:vAlign w:val="bottom"/>
            <w:tcBorders>
              <w:bottom w:val="single" w:sz="8" w:color="939598"/>
            </w:tcBorders>
          </w:tcPr>
          <w:p>
            <w:pPr>
              <w:spacing w:after="0" w:line="20" w:lineRule="exact"/>
              <w:rPr>
                <w:sz w:val="1"/>
                <w:szCs w:val="1"/>
                <w:color w:val="auto"/>
              </w:rPr>
            </w:pPr>
          </w:p>
        </w:tc>
        <w:tc>
          <w:tcPr>
            <w:tcW w:w="900" w:type="dxa"/>
            <w:vAlign w:val="bottom"/>
            <w:tcBorders>
              <w:bottom w:val="single" w:sz="8" w:color="93959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5"/>
        </w:trPr>
        <w:tc>
          <w:tcPr>
            <w:tcW w:w="2600" w:type="dxa"/>
            <w:vAlign w:val="bottom"/>
          </w:tcPr>
          <w:p>
            <w:pPr>
              <w:ind w:left="20"/>
              <w:spacing w:after="0"/>
              <w:rPr>
                <w:sz w:val="20"/>
                <w:szCs w:val="20"/>
                <w:color w:val="auto"/>
              </w:rPr>
            </w:pPr>
            <w:r>
              <w:rPr>
                <w:rFonts w:ascii="Arial" w:cs="Arial" w:eastAsia="Arial" w:hAnsi="Arial"/>
                <w:sz w:val="14"/>
                <w:szCs w:val="14"/>
                <w:b w:val="1"/>
                <w:bCs w:val="1"/>
                <w:color w:val="auto"/>
              </w:rPr>
              <w:t>HON Segment Margin Rate</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22.5 %</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23.3%</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&gt;= 23.8%</w:t>
            </w:r>
          </w:p>
        </w:tc>
        <w:tc>
          <w:tcPr>
            <w:tcW w:w="1500" w:type="dxa"/>
            <w:vAlign w:val="bottom"/>
          </w:tcPr>
          <w:p>
            <w:pPr>
              <w:jc w:val="right"/>
              <w:spacing w:after="0"/>
              <w:rPr>
                <w:sz w:val="20"/>
                <w:szCs w:val="20"/>
                <w:color w:val="auto"/>
              </w:rPr>
            </w:pPr>
            <w:r>
              <w:rPr>
                <w:rFonts w:ascii="Arial" w:cs="Arial" w:eastAsia="Arial" w:hAnsi="Arial"/>
                <w:sz w:val="14"/>
                <w:szCs w:val="14"/>
                <w:color w:val="auto"/>
              </w:rPr>
              <w:t>22.8%</w:t>
            </w:r>
          </w:p>
        </w:tc>
        <w:tc>
          <w:tcPr>
            <w:tcW w:w="1420" w:type="dxa"/>
            <w:vAlign w:val="bottom"/>
            <w:vMerge w:val="restart"/>
          </w:tcPr>
          <w:p>
            <w:pPr>
              <w:jc w:val="right"/>
              <w:ind w:right="228"/>
              <w:spacing w:after="0"/>
              <w:rPr>
                <w:sz w:val="20"/>
                <w:szCs w:val="20"/>
                <w:color w:val="auto"/>
              </w:rPr>
            </w:pPr>
            <w:r>
              <w:rPr>
                <w:rFonts w:ascii="Arial" w:cs="Arial" w:eastAsia="Arial" w:hAnsi="Arial"/>
                <w:sz w:val="14"/>
                <w:szCs w:val="14"/>
                <w:color w:val="auto"/>
              </w:rPr>
              <w:t>68.8%</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33.3%</w:t>
            </w:r>
          </w:p>
        </w:tc>
        <w:tc>
          <w:tcPr>
            <w:tcW w:w="90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02"/>
        </w:trPr>
        <w:tc>
          <w:tcPr>
            <w:tcW w:w="26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2600" w:type="dxa"/>
            <w:vAlign w:val="bottom"/>
            <w:tcBorders>
              <w:bottom w:val="single" w:sz="8" w:color="939598"/>
            </w:tcBorders>
          </w:tcPr>
          <w:p>
            <w:pPr>
              <w:spacing w:after="0" w:line="20" w:lineRule="exact"/>
              <w:rPr>
                <w:sz w:val="1"/>
                <w:szCs w:val="1"/>
                <w:color w:val="auto"/>
              </w:rPr>
            </w:pPr>
          </w:p>
        </w:tc>
        <w:tc>
          <w:tcPr>
            <w:tcW w:w="1440" w:type="dxa"/>
            <w:vAlign w:val="bottom"/>
            <w:tcBorders>
              <w:bottom w:val="single" w:sz="8" w:color="939598"/>
            </w:tcBorders>
          </w:tcPr>
          <w:p>
            <w:pPr>
              <w:spacing w:after="0" w:line="20" w:lineRule="exact"/>
              <w:rPr>
                <w:sz w:val="1"/>
                <w:szCs w:val="1"/>
                <w:color w:val="auto"/>
              </w:rPr>
            </w:pPr>
          </w:p>
        </w:tc>
        <w:tc>
          <w:tcPr>
            <w:tcW w:w="1300" w:type="dxa"/>
            <w:vAlign w:val="bottom"/>
            <w:tcBorders>
              <w:bottom w:val="single" w:sz="8" w:color="939598"/>
            </w:tcBorders>
          </w:tcPr>
          <w:p>
            <w:pPr>
              <w:spacing w:after="0" w:line="20" w:lineRule="exact"/>
              <w:rPr>
                <w:sz w:val="1"/>
                <w:szCs w:val="1"/>
                <w:color w:val="auto"/>
              </w:rPr>
            </w:pPr>
          </w:p>
        </w:tc>
        <w:tc>
          <w:tcPr>
            <w:tcW w:w="1080" w:type="dxa"/>
            <w:vAlign w:val="bottom"/>
            <w:tcBorders>
              <w:bottom w:val="single" w:sz="8" w:color="939598"/>
            </w:tcBorders>
          </w:tcPr>
          <w:p>
            <w:pPr>
              <w:spacing w:after="0" w:line="20" w:lineRule="exact"/>
              <w:rPr>
                <w:sz w:val="1"/>
                <w:szCs w:val="1"/>
                <w:color w:val="auto"/>
              </w:rPr>
            </w:pPr>
          </w:p>
        </w:tc>
        <w:tc>
          <w:tcPr>
            <w:tcW w:w="1500" w:type="dxa"/>
            <w:vAlign w:val="bottom"/>
            <w:tcBorders>
              <w:bottom w:val="single" w:sz="8" w:color="939598"/>
            </w:tcBorders>
          </w:tcPr>
          <w:p>
            <w:pPr>
              <w:spacing w:after="0" w:line="20" w:lineRule="exact"/>
              <w:rPr>
                <w:sz w:val="1"/>
                <w:szCs w:val="1"/>
                <w:color w:val="auto"/>
              </w:rPr>
            </w:pPr>
          </w:p>
        </w:tc>
        <w:tc>
          <w:tcPr>
            <w:tcW w:w="1420" w:type="dxa"/>
            <w:vAlign w:val="bottom"/>
            <w:tcBorders>
              <w:bottom w:val="single" w:sz="8" w:color="939598"/>
            </w:tcBorders>
          </w:tcPr>
          <w:p>
            <w:pPr>
              <w:spacing w:after="0" w:line="20" w:lineRule="exact"/>
              <w:rPr>
                <w:sz w:val="1"/>
                <w:szCs w:val="1"/>
                <w:color w:val="auto"/>
              </w:rPr>
            </w:pPr>
          </w:p>
        </w:tc>
        <w:tc>
          <w:tcPr>
            <w:tcW w:w="1000" w:type="dxa"/>
            <w:vAlign w:val="bottom"/>
            <w:tcBorders>
              <w:bottom w:val="single" w:sz="8" w:color="939598"/>
            </w:tcBorders>
          </w:tcPr>
          <w:p>
            <w:pPr>
              <w:spacing w:after="0" w:line="20" w:lineRule="exact"/>
              <w:rPr>
                <w:sz w:val="1"/>
                <w:szCs w:val="1"/>
                <w:color w:val="auto"/>
              </w:rPr>
            </w:pPr>
          </w:p>
        </w:tc>
        <w:tc>
          <w:tcPr>
            <w:tcW w:w="900" w:type="dxa"/>
            <w:vAlign w:val="bottom"/>
            <w:tcBorders>
              <w:bottom w:val="single" w:sz="8" w:color="93959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5"/>
        </w:trPr>
        <w:tc>
          <w:tcPr>
            <w:tcW w:w="2600" w:type="dxa"/>
            <w:vAlign w:val="bottom"/>
          </w:tcPr>
          <w:p>
            <w:pPr>
              <w:ind w:left="20"/>
              <w:spacing w:after="0"/>
              <w:rPr>
                <w:sz w:val="20"/>
                <w:szCs w:val="20"/>
                <w:color w:val="auto"/>
              </w:rPr>
            </w:pPr>
            <w:r>
              <w:rPr>
                <w:rFonts w:ascii="Arial" w:cs="Arial" w:eastAsia="Arial" w:hAnsi="Arial"/>
                <w:sz w:val="14"/>
                <w:szCs w:val="14"/>
                <w:b w:val="1"/>
                <w:bCs w:val="1"/>
                <w:color w:val="auto"/>
              </w:rPr>
              <w:t>HON Average ROI</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22.9 %</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24.4%</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&gt;= 25.4%</w:t>
            </w:r>
          </w:p>
        </w:tc>
        <w:tc>
          <w:tcPr>
            <w:tcW w:w="1500" w:type="dxa"/>
            <w:vAlign w:val="bottom"/>
          </w:tcPr>
          <w:p>
            <w:pPr>
              <w:jc w:val="right"/>
              <w:spacing w:after="0"/>
              <w:rPr>
                <w:sz w:val="20"/>
                <w:szCs w:val="20"/>
                <w:color w:val="auto"/>
              </w:rPr>
            </w:pPr>
            <w:r>
              <w:rPr>
                <w:rFonts w:ascii="Arial" w:cs="Arial" w:eastAsia="Arial" w:hAnsi="Arial"/>
                <w:sz w:val="14"/>
                <w:szCs w:val="14"/>
                <w:color w:val="auto"/>
              </w:rPr>
              <w:t>23.5%</w:t>
            </w:r>
          </w:p>
        </w:tc>
        <w:tc>
          <w:tcPr>
            <w:tcW w:w="1420" w:type="dxa"/>
            <w:vAlign w:val="bottom"/>
            <w:vMerge w:val="restart"/>
          </w:tcPr>
          <w:p>
            <w:pPr>
              <w:jc w:val="right"/>
              <w:ind w:right="228"/>
              <w:spacing w:after="0"/>
              <w:rPr>
                <w:sz w:val="20"/>
                <w:szCs w:val="20"/>
                <w:color w:val="auto"/>
              </w:rPr>
            </w:pPr>
            <w:r>
              <w:rPr>
                <w:rFonts w:ascii="Arial" w:cs="Arial" w:eastAsia="Arial" w:hAnsi="Arial"/>
                <w:sz w:val="14"/>
                <w:szCs w:val="14"/>
                <w:color w:val="auto"/>
              </w:rPr>
              <w:t>70.0%</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33.3%</w:t>
            </w:r>
          </w:p>
        </w:tc>
        <w:tc>
          <w:tcPr>
            <w:tcW w:w="90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02"/>
        </w:trPr>
        <w:tc>
          <w:tcPr>
            <w:tcW w:w="26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2600" w:type="dxa"/>
            <w:vAlign w:val="bottom"/>
            <w:tcBorders>
              <w:bottom w:val="single" w:sz="8" w:color="D7282F"/>
            </w:tcBorders>
          </w:tcPr>
          <w:p>
            <w:pPr>
              <w:spacing w:after="0" w:line="20" w:lineRule="exact"/>
              <w:rPr>
                <w:sz w:val="1"/>
                <w:szCs w:val="1"/>
                <w:color w:val="auto"/>
              </w:rPr>
            </w:pPr>
          </w:p>
        </w:tc>
        <w:tc>
          <w:tcPr>
            <w:tcW w:w="1440" w:type="dxa"/>
            <w:vAlign w:val="bottom"/>
            <w:tcBorders>
              <w:bottom w:val="single" w:sz="8" w:color="D7282F"/>
            </w:tcBorders>
          </w:tcPr>
          <w:p>
            <w:pPr>
              <w:spacing w:after="0" w:line="20" w:lineRule="exact"/>
              <w:rPr>
                <w:sz w:val="1"/>
                <w:szCs w:val="1"/>
                <w:color w:val="auto"/>
              </w:rPr>
            </w:pPr>
          </w:p>
        </w:tc>
        <w:tc>
          <w:tcPr>
            <w:tcW w:w="1300" w:type="dxa"/>
            <w:vAlign w:val="bottom"/>
            <w:tcBorders>
              <w:bottom w:val="single" w:sz="8" w:color="D7282F"/>
            </w:tcBorders>
          </w:tcPr>
          <w:p>
            <w:pPr>
              <w:spacing w:after="0" w:line="20" w:lineRule="exact"/>
              <w:rPr>
                <w:sz w:val="1"/>
                <w:szCs w:val="1"/>
                <w:color w:val="auto"/>
              </w:rPr>
            </w:pPr>
          </w:p>
        </w:tc>
        <w:tc>
          <w:tcPr>
            <w:tcW w:w="1080" w:type="dxa"/>
            <w:vAlign w:val="bottom"/>
            <w:tcBorders>
              <w:bottom w:val="single" w:sz="8" w:color="D7282F"/>
            </w:tcBorders>
          </w:tcPr>
          <w:p>
            <w:pPr>
              <w:spacing w:after="0" w:line="20" w:lineRule="exact"/>
              <w:rPr>
                <w:sz w:val="1"/>
                <w:szCs w:val="1"/>
                <w:color w:val="auto"/>
              </w:rPr>
            </w:pPr>
          </w:p>
        </w:tc>
        <w:tc>
          <w:tcPr>
            <w:tcW w:w="1500" w:type="dxa"/>
            <w:vAlign w:val="bottom"/>
            <w:tcBorders>
              <w:bottom w:val="single" w:sz="8" w:color="D7282F"/>
            </w:tcBorders>
          </w:tcPr>
          <w:p>
            <w:pPr>
              <w:spacing w:after="0" w:line="20" w:lineRule="exact"/>
              <w:rPr>
                <w:sz w:val="1"/>
                <w:szCs w:val="1"/>
                <w:color w:val="auto"/>
              </w:rPr>
            </w:pPr>
          </w:p>
        </w:tc>
        <w:tc>
          <w:tcPr>
            <w:tcW w:w="1420" w:type="dxa"/>
            <w:vAlign w:val="bottom"/>
            <w:tcBorders>
              <w:bottom w:val="single" w:sz="8" w:color="D7282F"/>
            </w:tcBorders>
          </w:tcPr>
          <w:p>
            <w:pPr>
              <w:spacing w:after="0" w:line="20" w:lineRule="exact"/>
              <w:rPr>
                <w:sz w:val="1"/>
                <w:szCs w:val="1"/>
                <w:color w:val="auto"/>
              </w:rPr>
            </w:pPr>
          </w:p>
        </w:tc>
        <w:tc>
          <w:tcPr>
            <w:tcW w:w="1000" w:type="dxa"/>
            <w:vAlign w:val="bottom"/>
            <w:tcBorders>
              <w:bottom w:val="single" w:sz="8" w:color="D7282F"/>
            </w:tcBorders>
          </w:tcPr>
          <w:p>
            <w:pPr>
              <w:spacing w:after="0" w:line="20" w:lineRule="exact"/>
              <w:rPr>
                <w:sz w:val="1"/>
                <w:szCs w:val="1"/>
                <w:color w:val="auto"/>
              </w:rPr>
            </w:pPr>
          </w:p>
        </w:tc>
        <w:tc>
          <w:tcPr>
            <w:tcW w:w="900" w:type="dxa"/>
            <w:vAlign w:val="bottom"/>
            <w:tcBorders>
              <w:bottom w:val="single" w:sz="8" w:color="D7282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5"/>
        </w:trPr>
        <w:tc>
          <w:tcPr>
            <w:tcW w:w="2600" w:type="dxa"/>
            <w:vAlign w:val="bottom"/>
            <w:tcBorders>
              <w:left w:val="single" w:sz="8" w:color="D7282F"/>
            </w:tcBorders>
          </w:tcPr>
          <w:p>
            <w:pPr>
              <w:ind w:left="140"/>
              <w:spacing w:after="0"/>
              <w:rPr>
                <w:sz w:val="20"/>
                <w:szCs w:val="20"/>
                <w:color w:val="auto"/>
              </w:rPr>
            </w:pPr>
            <w:r>
              <w:rPr>
                <w:rFonts w:ascii="Arial" w:cs="Arial" w:eastAsia="Arial" w:hAnsi="Arial"/>
                <w:sz w:val="14"/>
                <w:szCs w:val="14"/>
                <w:b w:val="1"/>
                <w:bCs w:val="1"/>
                <w:color w:val="auto"/>
              </w:rPr>
              <w:t>Honeywell Total PCU Payout %</w:t>
            </w:r>
          </w:p>
        </w:tc>
        <w:tc>
          <w:tcPr>
            <w:tcW w:w="1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Borders>
              <w:right w:val="single" w:sz="8" w:color="D7282F"/>
            </w:tcBorders>
          </w:tcPr>
          <w:p>
            <w:pPr>
              <w:jc w:val="right"/>
              <w:spacing w:after="0"/>
              <w:rPr>
                <w:sz w:val="20"/>
                <w:szCs w:val="20"/>
                <w:color w:val="auto"/>
              </w:rPr>
            </w:pPr>
            <w:r>
              <w:rPr>
                <w:rFonts w:ascii="Arial" w:cs="Arial" w:eastAsia="Arial" w:hAnsi="Arial"/>
                <w:sz w:val="14"/>
                <w:szCs w:val="14"/>
                <w:b w:val="1"/>
                <w:bCs w:val="1"/>
                <w:color w:val="auto"/>
              </w:rPr>
              <w:t>78%</w:t>
            </w:r>
          </w:p>
        </w:tc>
        <w:tc>
          <w:tcPr>
            <w:tcW w:w="0" w:type="dxa"/>
            <w:vAlign w:val="bottom"/>
          </w:tcPr>
          <w:p>
            <w:pPr>
              <w:spacing w:after="0"/>
              <w:rPr>
                <w:sz w:val="1"/>
                <w:szCs w:val="1"/>
                <w:color w:val="auto"/>
              </w:rPr>
            </w:pPr>
          </w:p>
        </w:tc>
      </w:tr>
      <w:tr>
        <w:trPr>
          <w:trHeight w:val="123"/>
        </w:trPr>
        <w:tc>
          <w:tcPr>
            <w:tcW w:w="2600" w:type="dxa"/>
            <w:vAlign w:val="bottom"/>
            <w:tcBorders>
              <w:left w:val="single" w:sz="8" w:color="D7282F"/>
              <w:bottom w:val="single" w:sz="8" w:color="D7282F"/>
            </w:tcBorders>
          </w:tcPr>
          <w:p>
            <w:pPr>
              <w:spacing w:after="0"/>
              <w:rPr>
                <w:sz w:val="10"/>
                <w:szCs w:val="10"/>
                <w:color w:val="auto"/>
              </w:rPr>
            </w:pPr>
          </w:p>
        </w:tc>
        <w:tc>
          <w:tcPr>
            <w:tcW w:w="1440" w:type="dxa"/>
            <w:vAlign w:val="bottom"/>
            <w:tcBorders>
              <w:bottom w:val="single" w:sz="8" w:color="D7282F"/>
            </w:tcBorders>
          </w:tcPr>
          <w:p>
            <w:pPr>
              <w:spacing w:after="0"/>
              <w:rPr>
                <w:sz w:val="10"/>
                <w:szCs w:val="10"/>
                <w:color w:val="auto"/>
              </w:rPr>
            </w:pPr>
          </w:p>
        </w:tc>
        <w:tc>
          <w:tcPr>
            <w:tcW w:w="1300" w:type="dxa"/>
            <w:vAlign w:val="bottom"/>
            <w:tcBorders>
              <w:bottom w:val="single" w:sz="8" w:color="D7282F"/>
            </w:tcBorders>
          </w:tcPr>
          <w:p>
            <w:pPr>
              <w:spacing w:after="0"/>
              <w:rPr>
                <w:sz w:val="10"/>
                <w:szCs w:val="10"/>
                <w:color w:val="auto"/>
              </w:rPr>
            </w:pPr>
          </w:p>
        </w:tc>
        <w:tc>
          <w:tcPr>
            <w:tcW w:w="1080" w:type="dxa"/>
            <w:vAlign w:val="bottom"/>
            <w:tcBorders>
              <w:bottom w:val="single" w:sz="8" w:color="D7282F"/>
            </w:tcBorders>
          </w:tcPr>
          <w:p>
            <w:pPr>
              <w:spacing w:after="0"/>
              <w:rPr>
                <w:sz w:val="10"/>
                <w:szCs w:val="10"/>
                <w:color w:val="auto"/>
              </w:rPr>
            </w:pPr>
          </w:p>
        </w:tc>
        <w:tc>
          <w:tcPr>
            <w:tcW w:w="1500" w:type="dxa"/>
            <w:vAlign w:val="bottom"/>
            <w:tcBorders>
              <w:bottom w:val="single" w:sz="8" w:color="D7282F"/>
            </w:tcBorders>
          </w:tcPr>
          <w:p>
            <w:pPr>
              <w:spacing w:after="0"/>
              <w:rPr>
                <w:sz w:val="10"/>
                <w:szCs w:val="10"/>
                <w:color w:val="auto"/>
              </w:rPr>
            </w:pPr>
          </w:p>
        </w:tc>
        <w:tc>
          <w:tcPr>
            <w:tcW w:w="1420" w:type="dxa"/>
            <w:vAlign w:val="bottom"/>
            <w:tcBorders>
              <w:bottom w:val="single" w:sz="8" w:color="D7282F"/>
            </w:tcBorders>
          </w:tcPr>
          <w:p>
            <w:pPr>
              <w:spacing w:after="0"/>
              <w:rPr>
                <w:sz w:val="10"/>
                <w:szCs w:val="10"/>
                <w:color w:val="auto"/>
              </w:rPr>
            </w:pPr>
          </w:p>
        </w:tc>
        <w:tc>
          <w:tcPr>
            <w:tcW w:w="1000" w:type="dxa"/>
            <w:vAlign w:val="bottom"/>
            <w:tcBorders>
              <w:bottom w:val="single" w:sz="8" w:color="D7282F"/>
            </w:tcBorders>
          </w:tcPr>
          <w:p>
            <w:pPr>
              <w:spacing w:after="0"/>
              <w:rPr>
                <w:sz w:val="10"/>
                <w:szCs w:val="10"/>
                <w:color w:val="auto"/>
              </w:rPr>
            </w:pPr>
          </w:p>
        </w:tc>
        <w:tc>
          <w:tcPr>
            <w:tcW w:w="900" w:type="dxa"/>
            <w:vAlign w:val="bottom"/>
            <w:tcBorders>
              <w:bottom w:val="single" w:sz="8" w:color="D7282F"/>
              <w:right w:val="single" w:sz="8" w:color="D7282F"/>
            </w:tcBorders>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2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Borders>
              <w:bottom w:val="single" w:sz="8" w:color="D7282F"/>
            </w:tcBorders>
          </w:tcPr>
          <w:p>
            <w:pPr>
              <w:spacing w:after="0"/>
              <w:rPr>
                <w:sz w:val="18"/>
                <w:szCs w:val="18"/>
                <w:color w:val="auto"/>
              </w:rPr>
            </w:pPr>
          </w:p>
        </w:tc>
        <w:tc>
          <w:tcPr>
            <w:tcW w:w="1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6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80" w:type="dxa"/>
            <w:vAlign w:val="bottom"/>
            <w:tcBorders>
              <w:right w:val="single" w:sz="8" w:color="D7282F"/>
            </w:tcBorders>
          </w:tcPr>
          <w:p>
            <w:pPr>
              <w:spacing w:after="0"/>
              <w:rPr>
                <w:sz w:val="16"/>
                <w:szCs w:val="16"/>
                <w:color w:val="auto"/>
              </w:rPr>
            </w:pPr>
          </w:p>
        </w:tc>
        <w:tc>
          <w:tcPr>
            <w:tcW w:w="1500" w:type="dxa"/>
            <w:vAlign w:val="bottom"/>
            <w:tcBorders>
              <w:right w:val="single" w:sz="8" w:color="D7282F"/>
            </w:tcBorders>
          </w:tcPr>
          <w:p>
            <w:pPr>
              <w:jc w:val="right"/>
              <w:spacing w:after="0"/>
              <w:rPr>
                <w:sz w:val="20"/>
                <w:szCs w:val="20"/>
                <w:color w:val="auto"/>
              </w:rPr>
            </w:pPr>
            <w:r>
              <w:rPr>
                <w:rFonts w:ascii="Arial" w:cs="Arial" w:eastAsia="Arial" w:hAnsi="Arial"/>
                <w:sz w:val="14"/>
                <w:szCs w:val="14"/>
                <w:b w:val="1"/>
                <w:bCs w:val="1"/>
                <w:color w:val="auto"/>
              </w:rPr>
              <w:t>Actual Plan</w:t>
            </w:r>
          </w:p>
        </w:tc>
        <w:tc>
          <w:tcPr>
            <w:tcW w:w="1420" w:type="dxa"/>
            <w:vAlign w:val="bottom"/>
          </w:tcPr>
          <w:p>
            <w:pPr>
              <w:jc w:val="right"/>
              <w:ind w:right="228"/>
              <w:spacing w:after="0"/>
              <w:rPr>
                <w:sz w:val="20"/>
                <w:szCs w:val="20"/>
                <w:color w:val="auto"/>
              </w:rPr>
            </w:pPr>
            <w:r>
              <w:rPr>
                <w:rFonts w:ascii="Arial" w:cs="Arial" w:eastAsia="Arial" w:hAnsi="Arial"/>
                <w:sz w:val="14"/>
                <w:szCs w:val="14"/>
                <w:b w:val="1"/>
                <w:bCs w:val="1"/>
                <w:color w:val="auto"/>
              </w:rPr>
              <w:t>Payout</w:t>
            </w:r>
          </w:p>
        </w:tc>
        <w:tc>
          <w:tcPr>
            <w:tcW w:w="10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214"/>
        </w:trPr>
        <w:tc>
          <w:tcPr>
            <w:tcW w:w="2600" w:type="dxa"/>
            <w:vAlign w:val="bottom"/>
          </w:tcPr>
          <w:p>
            <w:pPr>
              <w:ind w:left="20"/>
              <w:spacing w:after="0"/>
              <w:rPr>
                <w:sz w:val="20"/>
                <w:szCs w:val="20"/>
                <w:color w:val="auto"/>
              </w:rPr>
            </w:pPr>
            <w:r>
              <w:rPr>
                <w:rFonts w:ascii="Arial" w:cs="Arial" w:eastAsia="Arial" w:hAnsi="Arial"/>
                <w:sz w:val="14"/>
                <w:szCs w:val="14"/>
                <w:b w:val="1"/>
                <w:bCs w:val="1"/>
                <w:color w:val="auto"/>
              </w:rPr>
              <w:t>Building Automation</w:t>
            </w:r>
          </w:p>
        </w:tc>
        <w:tc>
          <w:tcPr>
            <w:tcW w:w="1440" w:type="dxa"/>
            <w:vAlign w:val="bottom"/>
          </w:tcPr>
          <w:p>
            <w:pPr>
              <w:jc w:val="right"/>
              <w:ind w:right="328"/>
              <w:spacing w:after="0"/>
              <w:rPr>
                <w:sz w:val="20"/>
                <w:szCs w:val="20"/>
                <w:color w:val="auto"/>
              </w:rPr>
            </w:pPr>
            <w:r>
              <w:rPr>
                <w:rFonts w:ascii="Arial" w:cs="Arial" w:eastAsia="Arial" w:hAnsi="Arial"/>
                <w:sz w:val="14"/>
                <w:szCs w:val="14"/>
                <w:b w:val="1"/>
                <w:bCs w:val="1"/>
                <w:color w:val="auto"/>
              </w:rPr>
              <w:t>Threshold</w:t>
            </w:r>
          </w:p>
        </w:tc>
        <w:tc>
          <w:tcPr>
            <w:tcW w:w="1300" w:type="dxa"/>
            <w:vAlign w:val="bottom"/>
          </w:tcPr>
          <w:p>
            <w:pPr>
              <w:jc w:val="right"/>
              <w:ind w:right="248"/>
              <w:spacing w:after="0"/>
              <w:rPr>
                <w:sz w:val="20"/>
                <w:szCs w:val="20"/>
                <w:color w:val="auto"/>
              </w:rPr>
            </w:pPr>
            <w:r>
              <w:rPr>
                <w:rFonts w:ascii="Arial" w:cs="Arial" w:eastAsia="Arial" w:hAnsi="Arial"/>
                <w:sz w:val="14"/>
                <w:szCs w:val="14"/>
                <w:b w:val="1"/>
                <w:bCs w:val="1"/>
                <w:color w:val="auto"/>
              </w:rPr>
              <w:t>Target</w:t>
            </w:r>
          </w:p>
        </w:tc>
        <w:tc>
          <w:tcPr>
            <w:tcW w:w="1080" w:type="dxa"/>
            <w:vAlign w:val="bottom"/>
            <w:tcBorders>
              <w:right w:val="single" w:sz="8" w:color="D7282F"/>
            </w:tcBorders>
          </w:tcPr>
          <w:p>
            <w:pPr>
              <w:ind w:left="280"/>
              <w:spacing w:after="0"/>
              <w:rPr>
                <w:sz w:val="20"/>
                <w:szCs w:val="20"/>
                <w:color w:val="auto"/>
              </w:rPr>
            </w:pPr>
            <w:r>
              <w:rPr>
                <w:rFonts w:ascii="Arial" w:cs="Arial" w:eastAsia="Arial" w:hAnsi="Arial"/>
                <w:sz w:val="14"/>
                <w:szCs w:val="14"/>
                <w:b w:val="1"/>
                <w:bCs w:val="1"/>
                <w:color w:val="auto"/>
              </w:rPr>
              <w:t>Maximum</w:t>
            </w:r>
          </w:p>
        </w:tc>
        <w:tc>
          <w:tcPr>
            <w:tcW w:w="1500" w:type="dxa"/>
            <w:vAlign w:val="bottom"/>
            <w:tcBorders>
              <w:right w:val="single" w:sz="8" w:color="D7282F"/>
            </w:tcBorders>
          </w:tcPr>
          <w:p>
            <w:pPr>
              <w:jc w:val="right"/>
              <w:spacing w:after="0"/>
              <w:rPr>
                <w:sz w:val="20"/>
                <w:szCs w:val="20"/>
                <w:color w:val="auto"/>
              </w:rPr>
            </w:pPr>
            <w:r>
              <w:rPr>
                <w:rFonts w:ascii="Arial" w:cs="Arial" w:eastAsia="Arial" w:hAnsi="Arial"/>
                <w:sz w:val="14"/>
                <w:szCs w:val="14"/>
                <w:b w:val="1"/>
                <w:bCs w:val="1"/>
                <w:color w:val="auto"/>
              </w:rPr>
              <w:t>Performance</w:t>
            </w:r>
            <w:r>
              <w:rPr>
                <w:rFonts w:ascii="Arial" w:cs="Arial" w:eastAsia="Arial" w:hAnsi="Arial"/>
                <w:sz w:val="18"/>
                <w:szCs w:val="18"/>
                <w:b w:val="1"/>
                <w:bCs w:val="1"/>
                <w:color w:val="auto"/>
                <w:vertAlign w:val="superscript"/>
              </w:rPr>
              <w:t>(1)</w:t>
            </w:r>
          </w:p>
        </w:tc>
        <w:tc>
          <w:tcPr>
            <w:tcW w:w="1420" w:type="dxa"/>
            <w:vAlign w:val="bottom"/>
          </w:tcPr>
          <w:p>
            <w:pPr>
              <w:jc w:val="right"/>
              <w:ind w:right="228"/>
              <w:spacing w:after="0"/>
              <w:rPr>
                <w:sz w:val="20"/>
                <w:szCs w:val="20"/>
                <w:color w:val="auto"/>
              </w:rPr>
            </w:pPr>
            <w:r>
              <w:rPr>
                <w:rFonts w:ascii="Arial" w:cs="Arial" w:eastAsia="Arial" w:hAnsi="Arial"/>
                <w:sz w:val="14"/>
                <w:szCs w:val="14"/>
                <w:b w:val="1"/>
                <w:bCs w:val="1"/>
                <w:color w:val="auto"/>
              </w:rPr>
              <w:t>Factor</w:t>
            </w:r>
          </w:p>
        </w:tc>
        <w:tc>
          <w:tcPr>
            <w:tcW w:w="1000" w:type="dxa"/>
            <w:vAlign w:val="bottom"/>
          </w:tcPr>
          <w:p>
            <w:pPr>
              <w:jc w:val="right"/>
              <w:ind w:right="148"/>
              <w:spacing w:after="0"/>
              <w:rPr>
                <w:sz w:val="20"/>
                <w:szCs w:val="20"/>
                <w:color w:val="auto"/>
              </w:rPr>
            </w:pPr>
            <w:r>
              <w:rPr>
                <w:rFonts w:ascii="Arial" w:cs="Arial" w:eastAsia="Arial" w:hAnsi="Arial"/>
                <w:sz w:val="14"/>
                <w:szCs w:val="14"/>
                <w:b w:val="1"/>
                <w:bCs w:val="1"/>
                <w:color w:val="auto"/>
              </w:rPr>
              <w:t>Weight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Payout %</w:t>
            </w:r>
          </w:p>
        </w:tc>
        <w:tc>
          <w:tcPr>
            <w:tcW w:w="0" w:type="dxa"/>
            <w:vAlign w:val="bottom"/>
          </w:tcPr>
          <w:p>
            <w:pPr>
              <w:spacing w:after="0"/>
              <w:rPr>
                <w:sz w:val="1"/>
                <w:szCs w:val="1"/>
                <w:color w:val="auto"/>
              </w:rPr>
            </w:pPr>
          </w:p>
        </w:tc>
      </w:tr>
      <w:tr>
        <w:trPr>
          <w:trHeight w:val="315"/>
        </w:trPr>
        <w:tc>
          <w:tcPr>
            <w:tcW w:w="2600" w:type="dxa"/>
            <w:vAlign w:val="bottom"/>
            <w:tcBorders>
              <w:top w:val="single" w:sz="8" w:color="D7282F"/>
            </w:tcBorders>
          </w:tcPr>
          <w:p>
            <w:pPr>
              <w:ind w:left="20"/>
              <w:spacing w:after="0"/>
              <w:rPr>
                <w:sz w:val="20"/>
                <w:szCs w:val="20"/>
                <w:color w:val="auto"/>
              </w:rPr>
            </w:pPr>
            <w:r>
              <w:rPr>
                <w:rFonts w:ascii="Arial" w:cs="Arial" w:eastAsia="Arial" w:hAnsi="Arial"/>
                <w:sz w:val="14"/>
                <w:szCs w:val="14"/>
                <w:b w:val="1"/>
                <w:bCs w:val="1"/>
                <w:color w:val="auto"/>
              </w:rPr>
              <w:t>BA Revenue</w:t>
            </w:r>
          </w:p>
        </w:tc>
        <w:tc>
          <w:tcPr>
            <w:tcW w:w="1440" w:type="dxa"/>
            <w:vAlign w:val="bottom"/>
            <w:tcBorders>
              <w:top w:val="single" w:sz="8" w:color="D7282F"/>
            </w:tcBorders>
          </w:tcPr>
          <w:p>
            <w:pPr>
              <w:jc w:val="right"/>
              <w:ind w:right="328"/>
              <w:spacing w:after="0"/>
              <w:rPr>
                <w:sz w:val="20"/>
                <w:szCs w:val="20"/>
                <w:color w:val="auto"/>
              </w:rPr>
            </w:pPr>
            <w:r>
              <w:rPr>
                <w:rFonts w:ascii="Arial" w:cs="Arial" w:eastAsia="Arial" w:hAnsi="Arial"/>
                <w:sz w:val="14"/>
                <w:szCs w:val="14"/>
                <w:color w:val="auto"/>
              </w:rPr>
              <w:t>$17,751</w:t>
            </w:r>
          </w:p>
        </w:tc>
        <w:tc>
          <w:tcPr>
            <w:tcW w:w="1300" w:type="dxa"/>
            <w:vAlign w:val="bottom"/>
            <w:tcBorders>
              <w:top w:val="single" w:sz="8" w:color="D7282F"/>
            </w:tcBorders>
          </w:tcPr>
          <w:p>
            <w:pPr>
              <w:jc w:val="right"/>
              <w:ind w:right="248"/>
              <w:spacing w:after="0"/>
              <w:rPr>
                <w:sz w:val="20"/>
                <w:szCs w:val="20"/>
                <w:color w:val="auto"/>
              </w:rPr>
            </w:pPr>
            <w:r>
              <w:rPr>
                <w:rFonts w:ascii="Arial" w:cs="Arial" w:eastAsia="Arial" w:hAnsi="Arial"/>
                <w:sz w:val="14"/>
                <w:szCs w:val="14"/>
                <w:color w:val="auto"/>
              </w:rPr>
              <w:t>$19,087</w:t>
            </w:r>
          </w:p>
        </w:tc>
        <w:tc>
          <w:tcPr>
            <w:tcW w:w="1080" w:type="dxa"/>
            <w:vAlign w:val="bottom"/>
            <w:tcBorders>
              <w:top w:val="single" w:sz="8" w:color="D7282F"/>
              <w:right w:val="single" w:sz="8" w:color="D7282F"/>
            </w:tcBorders>
          </w:tcPr>
          <w:p>
            <w:pPr>
              <w:jc w:val="right"/>
              <w:ind w:right="108"/>
              <w:spacing w:after="0"/>
              <w:rPr>
                <w:sz w:val="20"/>
                <w:szCs w:val="20"/>
                <w:color w:val="auto"/>
              </w:rPr>
            </w:pPr>
            <w:r>
              <w:rPr>
                <w:rFonts w:ascii="Arial" w:cs="Arial" w:eastAsia="Arial" w:hAnsi="Arial"/>
                <w:sz w:val="14"/>
                <w:szCs w:val="14"/>
                <w:color w:val="auto"/>
              </w:rPr>
              <w:t>$19,755</w:t>
            </w:r>
          </w:p>
        </w:tc>
        <w:tc>
          <w:tcPr>
            <w:tcW w:w="1500" w:type="dxa"/>
            <w:vAlign w:val="bottom"/>
            <w:tcBorders>
              <w:top w:val="single" w:sz="8" w:color="D7282F"/>
              <w:right w:val="single" w:sz="8" w:color="D7282F"/>
            </w:tcBorders>
          </w:tcPr>
          <w:p>
            <w:pPr>
              <w:jc w:val="right"/>
              <w:spacing w:after="0"/>
              <w:rPr>
                <w:sz w:val="20"/>
                <w:szCs w:val="20"/>
                <w:color w:val="auto"/>
              </w:rPr>
            </w:pPr>
            <w:r>
              <w:rPr>
                <w:rFonts w:ascii="Arial" w:cs="Arial" w:eastAsia="Arial" w:hAnsi="Arial"/>
                <w:sz w:val="14"/>
                <w:szCs w:val="14"/>
                <w:color w:val="auto"/>
              </w:rPr>
              <w:t>$18,843</w:t>
            </w:r>
          </w:p>
        </w:tc>
        <w:tc>
          <w:tcPr>
            <w:tcW w:w="1420" w:type="dxa"/>
            <w:vAlign w:val="bottom"/>
            <w:tcBorders>
              <w:top w:val="single" w:sz="8" w:color="D7282F"/>
            </w:tcBorders>
          </w:tcPr>
          <w:p>
            <w:pPr>
              <w:jc w:val="right"/>
              <w:ind w:right="228"/>
              <w:spacing w:after="0"/>
              <w:rPr>
                <w:sz w:val="20"/>
                <w:szCs w:val="20"/>
                <w:color w:val="auto"/>
              </w:rPr>
            </w:pPr>
            <w:r>
              <w:rPr>
                <w:rFonts w:ascii="Arial" w:cs="Arial" w:eastAsia="Arial" w:hAnsi="Arial"/>
                <w:sz w:val="14"/>
                <w:szCs w:val="14"/>
                <w:color w:val="auto"/>
              </w:rPr>
              <w:t>90.9%</w:t>
            </w:r>
          </w:p>
        </w:tc>
        <w:tc>
          <w:tcPr>
            <w:tcW w:w="1000" w:type="dxa"/>
            <w:vAlign w:val="bottom"/>
            <w:tcBorders>
              <w:top w:val="single" w:sz="8" w:color="D7282F"/>
            </w:tcBorders>
          </w:tcPr>
          <w:p>
            <w:pPr>
              <w:jc w:val="right"/>
              <w:ind w:right="148"/>
              <w:spacing w:after="0"/>
              <w:rPr>
                <w:sz w:val="20"/>
                <w:szCs w:val="20"/>
                <w:color w:val="auto"/>
              </w:rPr>
            </w:pPr>
            <w:r>
              <w:rPr>
                <w:rFonts w:ascii="Arial" w:cs="Arial" w:eastAsia="Arial" w:hAnsi="Arial"/>
                <w:sz w:val="14"/>
                <w:szCs w:val="14"/>
                <w:color w:val="auto"/>
              </w:rPr>
              <w:t>16.7%</w:t>
            </w:r>
          </w:p>
        </w:tc>
        <w:tc>
          <w:tcPr>
            <w:tcW w:w="900" w:type="dxa"/>
            <w:vAlign w:val="bottom"/>
            <w:tcBorders>
              <w:top w:val="single" w:sz="8" w:color="D7282F"/>
            </w:tcBorders>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23"/>
        </w:trPr>
        <w:tc>
          <w:tcPr>
            <w:tcW w:w="2600" w:type="dxa"/>
            <w:vAlign w:val="bottom"/>
            <w:tcBorders>
              <w:bottom w:val="single" w:sz="8" w:color="939598"/>
            </w:tcBorders>
          </w:tcPr>
          <w:p>
            <w:pPr>
              <w:spacing w:after="0"/>
              <w:rPr>
                <w:sz w:val="10"/>
                <w:szCs w:val="10"/>
                <w:color w:val="auto"/>
              </w:rPr>
            </w:pPr>
          </w:p>
        </w:tc>
        <w:tc>
          <w:tcPr>
            <w:tcW w:w="1440" w:type="dxa"/>
            <w:vAlign w:val="bottom"/>
            <w:tcBorders>
              <w:bottom w:val="single" w:sz="8" w:color="939598"/>
            </w:tcBorders>
          </w:tcPr>
          <w:p>
            <w:pPr>
              <w:spacing w:after="0"/>
              <w:rPr>
                <w:sz w:val="10"/>
                <w:szCs w:val="10"/>
                <w:color w:val="auto"/>
              </w:rPr>
            </w:pPr>
          </w:p>
        </w:tc>
        <w:tc>
          <w:tcPr>
            <w:tcW w:w="1300" w:type="dxa"/>
            <w:vAlign w:val="bottom"/>
            <w:tcBorders>
              <w:bottom w:val="single" w:sz="8" w:color="939598"/>
            </w:tcBorders>
          </w:tcPr>
          <w:p>
            <w:pPr>
              <w:spacing w:after="0"/>
              <w:rPr>
                <w:sz w:val="10"/>
                <w:szCs w:val="10"/>
                <w:color w:val="auto"/>
              </w:rPr>
            </w:pPr>
          </w:p>
        </w:tc>
        <w:tc>
          <w:tcPr>
            <w:tcW w:w="1080" w:type="dxa"/>
            <w:vAlign w:val="bottom"/>
            <w:tcBorders>
              <w:bottom w:val="single" w:sz="8" w:color="939598"/>
              <w:right w:val="single" w:sz="8" w:color="D7282F"/>
            </w:tcBorders>
          </w:tcPr>
          <w:p>
            <w:pPr>
              <w:spacing w:after="0"/>
              <w:rPr>
                <w:sz w:val="10"/>
                <w:szCs w:val="10"/>
                <w:color w:val="auto"/>
              </w:rPr>
            </w:pPr>
          </w:p>
        </w:tc>
        <w:tc>
          <w:tcPr>
            <w:tcW w:w="1500" w:type="dxa"/>
            <w:vAlign w:val="bottom"/>
            <w:tcBorders>
              <w:bottom w:val="single" w:sz="8" w:color="939598"/>
              <w:right w:val="single" w:sz="8" w:color="D7282F"/>
            </w:tcBorders>
          </w:tcPr>
          <w:p>
            <w:pPr>
              <w:spacing w:after="0"/>
              <w:rPr>
                <w:sz w:val="10"/>
                <w:szCs w:val="10"/>
                <w:color w:val="auto"/>
              </w:rPr>
            </w:pPr>
          </w:p>
        </w:tc>
        <w:tc>
          <w:tcPr>
            <w:tcW w:w="1420" w:type="dxa"/>
            <w:vAlign w:val="bottom"/>
            <w:tcBorders>
              <w:bottom w:val="single" w:sz="8" w:color="939598"/>
            </w:tcBorders>
          </w:tcPr>
          <w:p>
            <w:pPr>
              <w:spacing w:after="0"/>
              <w:rPr>
                <w:sz w:val="10"/>
                <w:szCs w:val="10"/>
                <w:color w:val="auto"/>
              </w:rPr>
            </w:pPr>
          </w:p>
        </w:tc>
        <w:tc>
          <w:tcPr>
            <w:tcW w:w="1000" w:type="dxa"/>
            <w:vAlign w:val="bottom"/>
            <w:tcBorders>
              <w:bottom w:val="single" w:sz="8" w:color="939598"/>
            </w:tcBorders>
          </w:tcPr>
          <w:p>
            <w:pPr>
              <w:spacing w:after="0"/>
              <w:rPr>
                <w:sz w:val="10"/>
                <w:szCs w:val="10"/>
                <w:color w:val="auto"/>
              </w:rPr>
            </w:pPr>
          </w:p>
        </w:tc>
        <w:tc>
          <w:tcPr>
            <w:tcW w:w="90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316"/>
        </w:trPr>
        <w:tc>
          <w:tcPr>
            <w:tcW w:w="2600" w:type="dxa"/>
            <w:vAlign w:val="bottom"/>
          </w:tcPr>
          <w:p>
            <w:pPr>
              <w:ind w:left="20"/>
              <w:spacing w:after="0"/>
              <w:rPr>
                <w:sz w:val="20"/>
                <w:szCs w:val="20"/>
                <w:color w:val="auto"/>
              </w:rPr>
            </w:pPr>
            <w:r>
              <w:rPr>
                <w:rFonts w:ascii="Arial" w:cs="Arial" w:eastAsia="Arial" w:hAnsi="Arial"/>
                <w:sz w:val="14"/>
                <w:szCs w:val="14"/>
                <w:b w:val="1"/>
                <w:bCs w:val="1"/>
                <w:color w:val="auto"/>
              </w:rPr>
              <w:t>BA Margin</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24.4 %</w:t>
            </w:r>
          </w:p>
        </w:tc>
        <w:tc>
          <w:tcPr>
            <w:tcW w:w="1300" w:type="dxa"/>
            <w:vAlign w:val="bottom"/>
          </w:tcPr>
          <w:p>
            <w:pPr>
              <w:jc w:val="right"/>
              <w:ind w:right="248"/>
              <w:spacing w:after="0"/>
              <w:rPr>
                <w:sz w:val="20"/>
                <w:szCs w:val="20"/>
                <w:color w:val="auto"/>
              </w:rPr>
            </w:pPr>
            <w:r>
              <w:rPr>
                <w:rFonts w:ascii="Arial" w:cs="Arial" w:eastAsia="Arial" w:hAnsi="Arial"/>
                <w:sz w:val="14"/>
                <w:szCs w:val="14"/>
                <w:color w:val="auto"/>
              </w:rPr>
              <w:t>25.2%</w:t>
            </w:r>
          </w:p>
        </w:tc>
        <w:tc>
          <w:tcPr>
            <w:tcW w:w="1080" w:type="dxa"/>
            <w:vAlign w:val="bottom"/>
            <w:tcBorders>
              <w:right w:val="single" w:sz="8" w:color="D7282F"/>
            </w:tcBorders>
          </w:tcPr>
          <w:p>
            <w:pPr>
              <w:ind w:left="320"/>
              <w:spacing w:after="0"/>
              <w:rPr>
                <w:sz w:val="20"/>
                <w:szCs w:val="20"/>
                <w:color w:val="auto"/>
              </w:rPr>
            </w:pPr>
            <w:r>
              <w:rPr>
                <w:rFonts w:ascii="Arial" w:cs="Arial" w:eastAsia="Arial" w:hAnsi="Arial"/>
                <w:sz w:val="14"/>
                <w:szCs w:val="14"/>
                <w:color w:val="auto"/>
              </w:rPr>
              <w:t>&gt;= 25.7%</w:t>
            </w:r>
          </w:p>
        </w:tc>
        <w:tc>
          <w:tcPr>
            <w:tcW w:w="1500" w:type="dxa"/>
            <w:vAlign w:val="bottom"/>
            <w:tcBorders>
              <w:right w:val="single" w:sz="8" w:color="D7282F"/>
            </w:tcBorders>
          </w:tcPr>
          <w:p>
            <w:pPr>
              <w:jc w:val="right"/>
              <w:spacing w:after="0"/>
              <w:rPr>
                <w:sz w:val="20"/>
                <w:szCs w:val="20"/>
                <w:color w:val="auto"/>
              </w:rPr>
            </w:pPr>
            <w:r>
              <w:rPr>
                <w:rFonts w:ascii="Arial" w:cs="Arial" w:eastAsia="Arial" w:hAnsi="Arial"/>
                <w:sz w:val="14"/>
                <w:szCs w:val="14"/>
                <w:color w:val="auto"/>
              </w:rPr>
              <w:t>25.0%</w:t>
            </w:r>
          </w:p>
        </w:tc>
        <w:tc>
          <w:tcPr>
            <w:tcW w:w="1420" w:type="dxa"/>
            <w:vAlign w:val="bottom"/>
          </w:tcPr>
          <w:p>
            <w:pPr>
              <w:jc w:val="right"/>
              <w:ind w:right="228"/>
              <w:spacing w:after="0"/>
              <w:rPr>
                <w:sz w:val="20"/>
                <w:szCs w:val="20"/>
                <w:color w:val="auto"/>
              </w:rPr>
            </w:pPr>
            <w:r>
              <w:rPr>
                <w:rFonts w:ascii="Arial" w:cs="Arial" w:eastAsia="Arial" w:hAnsi="Arial"/>
                <w:sz w:val="14"/>
                <w:szCs w:val="14"/>
                <w:color w:val="auto"/>
              </w:rPr>
              <w:t>87.5%</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16.7%</w:t>
            </w:r>
          </w:p>
        </w:tc>
        <w:tc>
          <w:tcPr>
            <w:tcW w:w="90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23"/>
        </w:trPr>
        <w:tc>
          <w:tcPr>
            <w:tcW w:w="2600" w:type="dxa"/>
            <w:vAlign w:val="bottom"/>
            <w:tcBorders>
              <w:bottom w:val="single" w:sz="8" w:color="939598"/>
            </w:tcBorders>
          </w:tcPr>
          <w:p>
            <w:pPr>
              <w:spacing w:after="0"/>
              <w:rPr>
                <w:sz w:val="10"/>
                <w:szCs w:val="10"/>
                <w:color w:val="auto"/>
              </w:rPr>
            </w:pPr>
          </w:p>
        </w:tc>
        <w:tc>
          <w:tcPr>
            <w:tcW w:w="1440" w:type="dxa"/>
            <w:vAlign w:val="bottom"/>
            <w:tcBorders>
              <w:bottom w:val="single" w:sz="8" w:color="939598"/>
            </w:tcBorders>
          </w:tcPr>
          <w:p>
            <w:pPr>
              <w:spacing w:after="0"/>
              <w:rPr>
                <w:sz w:val="10"/>
                <w:szCs w:val="10"/>
                <w:color w:val="auto"/>
              </w:rPr>
            </w:pPr>
          </w:p>
        </w:tc>
        <w:tc>
          <w:tcPr>
            <w:tcW w:w="1300" w:type="dxa"/>
            <w:vAlign w:val="bottom"/>
            <w:tcBorders>
              <w:bottom w:val="single" w:sz="8" w:color="939598"/>
            </w:tcBorders>
          </w:tcPr>
          <w:p>
            <w:pPr>
              <w:spacing w:after="0"/>
              <w:rPr>
                <w:sz w:val="10"/>
                <w:szCs w:val="10"/>
                <w:color w:val="auto"/>
              </w:rPr>
            </w:pPr>
          </w:p>
        </w:tc>
        <w:tc>
          <w:tcPr>
            <w:tcW w:w="1080" w:type="dxa"/>
            <w:vAlign w:val="bottom"/>
            <w:tcBorders>
              <w:bottom w:val="single" w:sz="8" w:color="939598"/>
              <w:right w:val="single" w:sz="8" w:color="D7282F"/>
            </w:tcBorders>
          </w:tcPr>
          <w:p>
            <w:pPr>
              <w:spacing w:after="0"/>
              <w:rPr>
                <w:sz w:val="10"/>
                <w:szCs w:val="10"/>
                <w:color w:val="auto"/>
              </w:rPr>
            </w:pPr>
          </w:p>
        </w:tc>
        <w:tc>
          <w:tcPr>
            <w:tcW w:w="1500" w:type="dxa"/>
            <w:vAlign w:val="bottom"/>
            <w:tcBorders>
              <w:bottom w:val="single" w:sz="8" w:color="939598"/>
              <w:right w:val="single" w:sz="8" w:color="D7282F"/>
            </w:tcBorders>
          </w:tcPr>
          <w:p>
            <w:pPr>
              <w:spacing w:after="0"/>
              <w:rPr>
                <w:sz w:val="10"/>
                <w:szCs w:val="10"/>
                <w:color w:val="auto"/>
              </w:rPr>
            </w:pPr>
          </w:p>
        </w:tc>
        <w:tc>
          <w:tcPr>
            <w:tcW w:w="1420" w:type="dxa"/>
            <w:vAlign w:val="bottom"/>
            <w:tcBorders>
              <w:bottom w:val="single" w:sz="8" w:color="939598"/>
            </w:tcBorders>
          </w:tcPr>
          <w:p>
            <w:pPr>
              <w:spacing w:after="0"/>
              <w:rPr>
                <w:sz w:val="10"/>
                <w:szCs w:val="10"/>
                <w:color w:val="auto"/>
              </w:rPr>
            </w:pPr>
          </w:p>
        </w:tc>
        <w:tc>
          <w:tcPr>
            <w:tcW w:w="1000" w:type="dxa"/>
            <w:vAlign w:val="bottom"/>
            <w:tcBorders>
              <w:bottom w:val="single" w:sz="8" w:color="939598"/>
            </w:tcBorders>
          </w:tcPr>
          <w:p>
            <w:pPr>
              <w:spacing w:after="0"/>
              <w:rPr>
                <w:sz w:val="10"/>
                <w:szCs w:val="10"/>
                <w:color w:val="auto"/>
              </w:rPr>
            </w:pPr>
          </w:p>
        </w:tc>
        <w:tc>
          <w:tcPr>
            <w:tcW w:w="90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316"/>
        </w:trPr>
        <w:tc>
          <w:tcPr>
            <w:tcW w:w="2600" w:type="dxa"/>
            <w:vAlign w:val="bottom"/>
          </w:tcPr>
          <w:p>
            <w:pPr>
              <w:ind w:left="20"/>
              <w:spacing w:after="0"/>
              <w:rPr>
                <w:sz w:val="20"/>
                <w:szCs w:val="20"/>
                <w:color w:val="auto"/>
              </w:rPr>
            </w:pPr>
            <w:r>
              <w:rPr>
                <w:rFonts w:ascii="Arial" w:cs="Arial" w:eastAsia="Arial" w:hAnsi="Arial"/>
                <w:sz w:val="14"/>
                <w:szCs w:val="14"/>
                <w:b w:val="1"/>
                <w:bCs w:val="1"/>
                <w:color w:val="auto"/>
              </w:rPr>
              <w:t>BA ROI</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29.1 %</w:t>
            </w:r>
          </w:p>
        </w:tc>
        <w:tc>
          <w:tcPr>
            <w:tcW w:w="1300" w:type="dxa"/>
            <w:vAlign w:val="bottom"/>
          </w:tcPr>
          <w:p>
            <w:pPr>
              <w:jc w:val="right"/>
              <w:ind w:right="248"/>
              <w:spacing w:after="0"/>
              <w:rPr>
                <w:sz w:val="20"/>
                <w:szCs w:val="20"/>
                <w:color w:val="auto"/>
              </w:rPr>
            </w:pPr>
            <w:r>
              <w:rPr>
                <w:rFonts w:ascii="Arial" w:cs="Arial" w:eastAsia="Arial" w:hAnsi="Arial"/>
                <w:sz w:val="14"/>
                <w:szCs w:val="14"/>
                <w:color w:val="auto"/>
              </w:rPr>
              <w:t>30.6%</w:t>
            </w:r>
          </w:p>
        </w:tc>
        <w:tc>
          <w:tcPr>
            <w:tcW w:w="1080" w:type="dxa"/>
            <w:vAlign w:val="bottom"/>
            <w:tcBorders>
              <w:right w:val="single" w:sz="8" w:color="D7282F"/>
            </w:tcBorders>
          </w:tcPr>
          <w:p>
            <w:pPr>
              <w:ind w:left="320"/>
              <w:spacing w:after="0"/>
              <w:rPr>
                <w:sz w:val="20"/>
                <w:szCs w:val="20"/>
                <w:color w:val="auto"/>
              </w:rPr>
            </w:pPr>
            <w:r>
              <w:rPr>
                <w:rFonts w:ascii="Arial" w:cs="Arial" w:eastAsia="Arial" w:hAnsi="Arial"/>
                <w:sz w:val="14"/>
                <w:szCs w:val="14"/>
                <w:color w:val="auto"/>
              </w:rPr>
              <w:t>&gt;= 31.6%</w:t>
            </w:r>
          </w:p>
        </w:tc>
        <w:tc>
          <w:tcPr>
            <w:tcW w:w="1500" w:type="dxa"/>
            <w:vAlign w:val="bottom"/>
            <w:tcBorders>
              <w:right w:val="single" w:sz="8" w:color="D7282F"/>
            </w:tcBorders>
          </w:tcPr>
          <w:p>
            <w:pPr>
              <w:jc w:val="right"/>
              <w:spacing w:after="0"/>
              <w:rPr>
                <w:sz w:val="20"/>
                <w:szCs w:val="20"/>
                <w:color w:val="auto"/>
              </w:rPr>
            </w:pPr>
            <w:r>
              <w:rPr>
                <w:rFonts w:ascii="Arial" w:cs="Arial" w:eastAsia="Arial" w:hAnsi="Arial"/>
                <w:sz w:val="14"/>
                <w:szCs w:val="14"/>
                <w:color w:val="auto"/>
              </w:rPr>
              <w:t>29.2%</w:t>
            </w:r>
          </w:p>
        </w:tc>
        <w:tc>
          <w:tcPr>
            <w:tcW w:w="1420" w:type="dxa"/>
            <w:vAlign w:val="bottom"/>
          </w:tcPr>
          <w:p>
            <w:pPr>
              <w:jc w:val="right"/>
              <w:ind w:right="228"/>
              <w:spacing w:after="0"/>
              <w:rPr>
                <w:sz w:val="20"/>
                <w:szCs w:val="20"/>
                <w:color w:val="auto"/>
              </w:rPr>
            </w:pPr>
            <w:r>
              <w:rPr>
                <w:rFonts w:ascii="Arial" w:cs="Arial" w:eastAsia="Arial" w:hAnsi="Arial"/>
                <w:sz w:val="14"/>
                <w:szCs w:val="14"/>
                <w:color w:val="auto"/>
              </w:rPr>
              <w:t>53.3%</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16.7%</w:t>
            </w:r>
          </w:p>
        </w:tc>
        <w:tc>
          <w:tcPr>
            <w:tcW w:w="90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23"/>
        </w:trPr>
        <w:tc>
          <w:tcPr>
            <w:tcW w:w="2600" w:type="dxa"/>
            <w:vAlign w:val="bottom"/>
            <w:tcBorders>
              <w:bottom w:val="single" w:sz="8" w:color="939598"/>
            </w:tcBorders>
          </w:tcPr>
          <w:p>
            <w:pPr>
              <w:spacing w:after="0"/>
              <w:rPr>
                <w:sz w:val="10"/>
                <w:szCs w:val="10"/>
                <w:color w:val="auto"/>
              </w:rPr>
            </w:pPr>
          </w:p>
        </w:tc>
        <w:tc>
          <w:tcPr>
            <w:tcW w:w="1440" w:type="dxa"/>
            <w:vAlign w:val="bottom"/>
            <w:tcBorders>
              <w:bottom w:val="single" w:sz="8" w:color="939598"/>
            </w:tcBorders>
          </w:tcPr>
          <w:p>
            <w:pPr>
              <w:spacing w:after="0"/>
              <w:rPr>
                <w:sz w:val="10"/>
                <w:szCs w:val="10"/>
                <w:color w:val="auto"/>
              </w:rPr>
            </w:pPr>
          </w:p>
        </w:tc>
        <w:tc>
          <w:tcPr>
            <w:tcW w:w="1300" w:type="dxa"/>
            <w:vAlign w:val="bottom"/>
            <w:tcBorders>
              <w:bottom w:val="single" w:sz="8" w:color="939598"/>
            </w:tcBorders>
          </w:tcPr>
          <w:p>
            <w:pPr>
              <w:spacing w:after="0"/>
              <w:rPr>
                <w:sz w:val="10"/>
                <w:szCs w:val="10"/>
                <w:color w:val="auto"/>
              </w:rPr>
            </w:pPr>
          </w:p>
        </w:tc>
        <w:tc>
          <w:tcPr>
            <w:tcW w:w="1080" w:type="dxa"/>
            <w:vAlign w:val="bottom"/>
            <w:tcBorders>
              <w:bottom w:val="single" w:sz="8" w:color="939598"/>
              <w:right w:val="single" w:sz="8" w:color="D7282F"/>
            </w:tcBorders>
          </w:tcPr>
          <w:p>
            <w:pPr>
              <w:spacing w:after="0"/>
              <w:rPr>
                <w:sz w:val="10"/>
                <w:szCs w:val="10"/>
                <w:color w:val="auto"/>
              </w:rPr>
            </w:pPr>
          </w:p>
        </w:tc>
        <w:tc>
          <w:tcPr>
            <w:tcW w:w="1500" w:type="dxa"/>
            <w:vAlign w:val="bottom"/>
            <w:tcBorders>
              <w:bottom w:val="single" w:sz="8" w:color="939598"/>
              <w:right w:val="single" w:sz="8" w:color="D7282F"/>
            </w:tcBorders>
          </w:tcPr>
          <w:p>
            <w:pPr>
              <w:spacing w:after="0"/>
              <w:rPr>
                <w:sz w:val="10"/>
                <w:szCs w:val="10"/>
                <w:color w:val="auto"/>
              </w:rPr>
            </w:pPr>
          </w:p>
        </w:tc>
        <w:tc>
          <w:tcPr>
            <w:tcW w:w="1420" w:type="dxa"/>
            <w:vAlign w:val="bottom"/>
            <w:tcBorders>
              <w:bottom w:val="single" w:sz="8" w:color="939598"/>
            </w:tcBorders>
          </w:tcPr>
          <w:p>
            <w:pPr>
              <w:spacing w:after="0"/>
              <w:rPr>
                <w:sz w:val="10"/>
                <w:szCs w:val="10"/>
                <w:color w:val="auto"/>
              </w:rPr>
            </w:pPr>
          </w:p>
        </w:tc>
        <w:tc>
          <w:tcPr>
            <w:tcW w:w="1000" w:type="dxa"/>
            <w:vAlign w:val="bottom"/>
            <w:tcBorders>
              <w:bottom w:val="single" w:sz="8" w:color="939598"/>
            </w:tcBorders>
          </w:tcPr>
          <w:p>
            <w:pPr>
              <w:spacing w:after="0"/>
              <w:rPr>
                <w:sz w:val="10"/>
                <w:szCs w:val="10"/>
                <w:color w:val="auto"/>
              </w:rPr>
            </w:pPr>
          </w:p>
        </w:tc>
        <w:tc>
          <w:tcPr>
            <w:tcW w:w="90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316"/>
        </w:trPr>
        <w:tc>
          <w:tcPr>
            <w:tcW w:w="2600" w:type="dxa"/>
            <w:vAlign w:val="bottom"/>
          </w:tcPr>
          <w:p>
            <w:pPr>
              <w:ind w:left="20"/>
              <w:spacing w:after="0"/>
              <w:rPr>
                <w:sz w:val="20"/>
                <w:szCs w:val="20"/>
                <w:color w:val="auto"/>
              </w:rPr>
            </w:pPr>
            <w:r>
              <w:rPr>
                <w:rFonts w:ascii="Arial" w:cs="Arial" w:eastAsia="Arial" w:hAnsi="Arial"/>
                <w:sz w:val="14"/>
                <w:szCs w:val="14"/>
                <w:b w:val="1"/>
                <w:bCs w:val="1"/>
                <w:color w:val="auto"/>
              </w:rPr>
              <w:t>HON Revenue</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$106,158</w:t>
            </w:r>
          </w:p>
        </w:tc>
        <w:tc>
          <w:tcPr>
            <w:tcW w:w="1300" w:type="dxa"/>
            <w:vAlign w:val="bottom"/>
          </w:tcPr>
          <w:p>
            <w:pPr>
              <w:jc w:val="right"/>
              <w:ind w:right="248"/>
              <w:spacing w:after="0"/>
              <w:rPr>
                <w:sz w:val="20"/>
                <w:szCs w:val="20"/>
                <w:color w:val="auto"/>
              </w:rPr>
            </w:pPr>
            <w:r>
              <w:rPr>
                <w:rFonts w:ascii="Arial" w:cs="Arial" w:eastAsia="Arial" w:hAnsi="Arial"/>
                <w:sz w:val="14"/>
                <w:szCs w:val="14"/>
                <w:color w:val="auto"/>
              </w:rPr>
              <w:t>$114,148</w:t>
            </w:r>
          </w:p>
        </w:tc>
        <w:tc>
          <w:tcPr>
            <w:tcW w:w="1080" w:type="dxa"/>
            <w:vAlign w:val="bottom"/>
            <w:tcBorders>
              <w:right w:val="single" w:sz="8" w:color="D7282F"/>
            </w:tcBorders>
          </w:tcPr>
          <w:p>
            <w:pPr>
              <w:jc w:val="right"/>
              <w:ind w:right="108"/>
              <w:spacing w:after="0"/>
              <w:rPr>
                <w:sz w:val="20"/>
                <w:szCs w:val="20"/>
                <w:color w:val="auto"/>
              </w:rPr>
            </w:pPr>
            <w:r>
              <w:rPr>
                <w:rFonts w:ascii="Arial" w:cs="Arial" w:eastAsia="Arial" w:hAnsi="Arial"/>
                <w:sz w:val="14"/>
                <w:szCs w:val="14"/>
                <w:color w:val="auto"/>
              </w:rPr>
              <w:t>$118,143</w:t>
            </w:r>
          </w:p>
        </w:tc>
        <w:tc>
          <w:tcPr>
            <w:tcW w:w="1500" w:type="dxa"/>
            <w:vAlign w:val="bottom"/>
            <w:tcBorders>
              <w:right w:val="single" w:sz="8" w:color="D7282F"/>
            </w:tcBorders>
          </w:tcPr>
          <w:p>
            <w:pPr>
              <w:jc w:val="right"/>
              <w:spacing w:after="0"/>
              <w:rPr>
                <w:sz w:val="20"/>
                <w:szCs w:val="20"/>
                <w:color w:val="auto"/>
              </w:rPr>
            </w:pPr>
            <w:r>
              <w:rPr>
                <w:rFonts w:ascii="Arial" w:cs="Arial" w:eastAsia="Arial" w:hAnsi="Arial"/>
                <w:sz w:val="14"/>
                <w:szCs w:val="14"/>
                <w:color w:val="auto"/>
              </w:rPr>
              <w:t>$113,414</w:t>
            </w:r>
          </w:p>
        </w:tc>
        <w:tc>
          <w:tcPr>
            <w:tcW w:w="1420" w:type="dxa"/>
            <w:vAlign w:val="bottom"/>
          </w:tcPr>
          <w:p>
            <w:pPr>
              <w:jc w:val="right"/>
              <w:ind w:right="228"/>
              <w:spacing w:after="0"/>
              <w:rPr>
                <w:sz w:val="20"/>
                <w:szCs w:val="20"/>
                <w:color w:val="auto"/>
              </w:rPr>
            </w:pPr>
            <w:r>
              <w:rPr>
                <w:rFonts w:ascii="Arial" w:cs="Arial" w:eastAsia="Arial" w:hAnsi="Arial"/>
                <w:sz w:val="14"/>
                <w:szCs w:val="14"/>
                <w:color w:val="auto"/>
              </w:rPr>
              <w:t>95.4%</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16.7%</w:t>
            </w:r>
          </w:p>
        </w:tc>
        <w:tc>
          <w:tcPr>
            <w:tcW w:w="90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23"/>
        </w:trPr>
        <w:tc>
          <w:tcPr>
            <w:tcW w:w="2600" w:type="dxa"/>
            <w:vAlign w:val="bottom"/>
            <w:tcBorders>
              <w:bottom w:val="single" w:sz="8" w:color="939598"/>
            </w:tcBorders>
          </w:tcPr>
          <w:p>
            <w:pPr>
              <w:spacing w:after="0"/>
              <w:rPr>
                <w:sz w:val="10"/>
                <w:szCs w:val="10"/>
                <w:color w:val="auto"/>
              </w:rPr>
            </w:pPr>
          </w:p>
        </w:tc>
        <w:tc>
          <w:tcPr>
            <w:tcW w:w="1440" w:type="dxa"/>
            <w:vAlign w:val="bottom"/>
            <w:tcBorders>
              <w:bottom w:val="single" w:sz="8" w:color="939598"/>
            </w:tcBorders>
          </w:tcPr>
          <w:p>
            <w:pPr>
              <w:spacing w:after="0"/>
              <w:rPr>
                <w:sz w:val="10"/>
                <w:szCs w:val="10"/>
                <w:color w:val="auto"/>
              </w:rPr>
            </w:pPr>
          </w:p>
        </w:tc>
        <w:tc>
          <w:tcPr>
            <w:tcW w:w="1300" w:type="dxa"/>
            <w:vAlign w:val="bottom"/>
            <w:tcBorders>
              <w:bottom w:val="single" w:sz="8" w:color="939598"/>
            </w:tcBorders>
          </w:tcPr>
          <w:p>
            <w:pPr>
              <w:spacing w:after="0"/>
              <w:rPr>
                <w:sz w:val="10"/>
                <w:szCs w:val="10"/>
                <w:color w:val="auto"/>
              </w:rPr>
            </w:pPr>
          </w:p>
        </w:tc>
        <w:tc>
          <w:tcPr>
            <w:tcW w:w="1080" w:type="dxa"/>
            <w:vAlign w:val="bottom"/>
            <w:tcBorders>
              <w:bottom w:val="single" w:sz="8" w:color="939598"/>
              <w:right w:val="single" w:sz="8" w:color="D7282F"/>
            </w:tcBorders>
          </w:tcPr>
          <w:p>
            <w:pPr>
              <w:spacing w:after="0"/>
              <w:rPr>
                <w:sz w:val="10"/>
                <w:szCs w:val="10"/>
                <w:color w:val="auto"/>
              </w:rPr>
            </w:pPr>
          </w:p>
        </w:tc>
        <w:tc>
          <w:tcPr>
            <w:tcW w:w="1500" w:type="dxa"/>
            <w:vAlign w:val="bottom"/>
            <w:tcBorders>
              <w:bottom w:val="single" w:sz="8" w:color="939598"/>
              <w:right w:val="single" w:sz="8" w:color="D7282F"/>
            </w:tcBorders>
          </w:tcPr>
          <w:p>
            <w:pPr>
              <w:spacing w:after="0"/>
              <w:rPr>
                <w:sz w:val="10"/>
                <w:szCs w:val="10"/>
                <w:color w:val="auto"/>
              </w:rPr>
            </w:pPr>
          </w:p>
        </w:tc>
        <w:tc>
          <w:tcPr>
            <w:tcW w:w="1420" w:type="dxa"/>
            <w:vAlign w:val="bottom"/>
            <w:tcBorders>
              <w:bottom w:val="single" w:sz="8" w:color="939598"/>
            </w:tcBorders>
          </w:tcPr>
          <w:p>
            <w:pPr>
              <w:spacing w:after="0"/>
              <w:rPr>
                <w:sz w:val="10"/>
                <w:szCs w:val="10"/>
                <w:color w:val="auto"/>
              </w:rPr>
            </w:pPr>
          </w:p>
        </w:tc>
        <w:tc>
          <w:tcPr>
            <w:tcW w:w="1000" w:type="dxa"/>
            <w:vAlign w:val="bottom"/>
            <w:tcBorders>
              <w:bottom w:val="single" w:sz="8" w:color="939598"/>
            </w:tcBorders>
          </w:tcPr>
          <w:p>
            <w:pPr>
              <w:spacing w:after="0"/>
              <w:rPr>
                <w:sz w:val="10"/>
                <w:szCs w:val="10"/>
                <w:color w:val="auto"/>
              </w:rPr>
            </w:pPr>
          </w:p>
        </w:tc>
        <w:tc>
          <w:tcPr>
            <w:tcW w:w="90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315"/>
        </w:trPr>
        <w:tc>
          <w:tcPr>
            <w:tcW w:w="2600" w:type="dxa"/>
            <w:vAlign w:val="bottom"/>
          </w:tcPr>
          <w:p>
            <w:pPr>
              <w:ind w:left="20"/>
              <w:spacing w:after="0"/>
              <w:rPr>
                <w:sz w:val="20"/>
                <w:szCs w:val="20"/>
                <w:color w:val="auto"/>
              </w:rPr>
            </w:pPr>
            <w:r>
              <w:rPr>
                <w:rFonts w:ascii="Arial" w:cs="Arial" w:eastAsia="Arial" w:hAnsi="Arial"/>
                <w:sz w:val="14"/>
                <w:szCs w:val="14"/>
                <w:b w:val="1"/>
                <w:bCs w:val="1"/>
                <w:color w:val="auto"/>
              </w:rPr>
              <w:t>HON Segment Margin Rate</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22.5 %</w:t>
            </w:r>
          </w:p>
        </w:tc>
        <w:tc>
          <w:tcPr>
            <w:tcW w:w="1300" w:type="dxa"/>
            <w:vAlign w:val="bottom"/>
          </w:tcPr>
          <w:p>
            <w:pPr>
              <w:jc w:val="right"/>
              <w:ind w:right="248"/>
              <w:spacing w:after="0"/>
              <w:rPr>
                <w:sz w:val="20"/>
                <w:szCs w:val="20"/>
                <w:color w:val="auto"/>
              </w:rPr>
            </w:pPr>
            <w:r>
              <w:rPr>
                <w:rFonts w:ascii="Arial" w:cs="Arial" w:eastAsia="Arial" w:hAnsi="Arial"/>
                <w:sz w:val="14"/>
                <w:szCs w:val="14"/>
                <w:color w:val="auto"/>
              </w:rPr>
              <w:t>23.3%</w:t>
            </w:r>
          </w:p>
        </w:tc>
        <w:tc>
          <w:tcPr>
            <w:tcW w:w="1080" w:type="dxa"/>
            <w:vAlign w:val="bottom"/>
            <w:tcBorders>
              <w:right w:val="single" w:sz="8" w:color="D7282F"/>
            </w:tcBorders>
          </w:tcPr>
          <w:p>
            <w:pPr>
              <w:ind w:left="320"/>
              <w:spacing w:after="0"/>
              <w:rPr>
                <w:sz w:val="20"/>
                <w:szCs w:val="20"/>
                <w:color w:val="auto"/>
              </w:rPr>
            </w:pPr>
            <w:r>
              <w:rPr>
                <w:rFonts w:ascii="Arial" w:cs="Arial" w:eastAsia="Arial" w:hAnsi="Arial"/>
                <w:sz w:val="14"/>
                <w:szCs w:val="14"/>
                <w:color w:val="auto"/>
              </w:rPr>
              <w:t>&gt;= 23.8%</w:t>
            </w:r>
          </w:p>
        </w:tc>
        <w:tc>
          <w:tcPr>
            <w:tcW w:w="1500" w:type="dxa"/>
            <w:vAlign w:val="bottom"/>
            <w:tcBorders>
              <w:right w:val="single" w:sz="8" w:color="D7282F"/>
            </w:tcBorders>
          </w:tcPr>
          <w:p>
            <w:pPr>
              <w:jc w:val="right"/>
              <w:spacing w:after="0"/>
              <w:rPr>
                <w:sz w:val="20"/>
                <w:szCs w:val="20"/>
                <w:color w:val="auto"/>
              </w:rPr>
            </w:pPr>
            <w:r>
              <w:rPr>
                <w:rFonts w:ascii="Arial" w:cs="Arial" w:eastAsia="Arial" w:hAnsi="Arial"/>
                <w:sz w:val="14"/>
                <w:szCs w:val="14"/>
                <w:color w:val="auto"/>
              </w:rPr>
              <w:t>22.8%</w:t>
            </w:r>
          </w:p>
        </w:tc>
        <w:tc>
          <w:tcPr>
            <w:tcW w:w="1420" w:type="dxa"/>
            <w:vAlign w:val="bottom"/>
          </w:tcPr>
          <w:p>
            <w:pPr>
              <w:jc w:val="right"/>
              <w:ind w:right="228"/>
              <w:spacing w:after="0"/>
              <w:rPr>
                <w:sz w:val="20"/>
                <w:szCs w:val="20"/>
                <w:color w:val="auto"/>
              </w:rPr>
            </w:pPr>
            <w:r>
              <w:rPr>
                <w:rFonts w:ascii="Arial" w:cs="Arial" w:eastAsia="Arial" w:hAnsi="Arial"/>
                <w:sz w:val="14"/>
                <w:szCs w:val="14"/>
                <w:color w:val="auto"/>
              </w:rPr>
              <w:t>68.8%</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16.7%</w:t>
            </w:r>
          </w:p>
        </w:tc>
        <w:tc>
          <w:tcPr>
            <w:tcW w:w="90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23"/>
        </w:trPr>
        <w:tc>
          <w:tcPr>
            <w:tcW w:w="2600" w:type="dxa"/>
            <w:vAlign w:val="bottom"/>
            <w:tcBorders>
              <w:bottom w:val="single" w:sz="8" w:color="939598"/>
            </w:tcBorders>
          </w:tcPr>
          <w:p>
            <w:pPr>
              <w:spacing w:after="0"/>
              <w:rPr>
                <w:sz w:val="10"/>
                <w:szCs w:val="10"/>
                <w:color w:val="auto"/>
              </w:rPr>
            </w:pPr>
          </w:p>
        </w:tc>
        <w:tc>
          <w:tcPr>
            <w:tcW w:w="1440" w:type="dxa"/>
            <w:vAlign w:val="bottom"/>
            <w:tcBorders>
              <w:bottom w:val="single" w:sz="8" w:color="939598"/>
            </w:tcBorders>
          </w:tcPr>
          <w:p>
            <w:pPr>
              <w:spacing w:after="0"/>
              <w:rPr>
                <w:sz w:val="10"/>
                <w:szCs w:val="10"/>
                <w:color w:val="auto"/>
              </w:rPr>
            </w:pPr>
          </w:p>
        </w:tc>
        <w:tc>
          <w:tcPr>
            <w:tcW w:w="1300" w:type="dxa"/>
            <w:vAlign w:val="bottom"/>
            <w:tcBorders>
              <w:bottom w:val="single" w:sz="8" w:color="939598"/>
            </w:tcBorders>
          </w:tcPr>
          <w:p>
            <w:pPr>
              <w:spacing w:after="0"/>
              <w:rPr>
                <w:sz w:val="10"/>
                <w:szCs w:val="10"/>
                <w:color w:val="auto"/>
              </w:rPr>
            </w:pPr>
          </w:p>
        </w:tc>
        <w:tc>
          <w:tcPr>
            <w:tcW w:w="1080" w:type="dxa"/>
            <w:vAlign w:val="bottom"/>
            <w:tcBorders>
              <w:bottom w:val="single" w:sz="8" w:color="939598"/>
              <w:right w:val="single" w:sz="8" w:color="D7282F"/>
            </w:tcBorders>
          </w:tcPr>
          <w:p>
            <w:pPr>
              <w:spacing w:after="0"/>
              <w:rPr>
                <w:sz w:val="10"/>
                <w:szCs w:val="10"/>
                <w:color w:val="auto"/>
              </w:rPr>
            </w:pPr>
          </w:p>
        </w:tc>
        <w:tc>
          <w:tcPr>
            <w:tcW w:w="1500" w:type="dxa"/>
            <w:vAlign w:val="bottom"/>
            <w:tcBorders>
              <w:bottom w:val="single" w:sz="8" w:color="939598"/>
              <w:right w:val="single" w:sz="8" w:color="D7282F"/>
            </w:tcBorders>
          </w:tcPr>
          <w:p>
            <w:pPr>
              <w:spacing w:after="0"/>
              <w:rPr>
                <w:sz w:val="10"/>
                <w:szCs w:val="10"/>
                <w:color w:val="auto"/>
              </w:rPr>
            </w:pPr>
          </w:p>
        </w:tc>
        <w:tc>
          <w:tcPr>
            <w:tcW w:w="1420" w:type="dxa"/>
            <w:vAlign w:val="bottom"/>
            <w:tcBorders>
              <w:bottom w:val="single" w:sz="8" w:color="939598"/>
            </w:tcBorders>
          </w:tcPr>
          <w:p>
            <w:pPr>
              <w:spacing w:after="0"/>
              <w:rPr>
                <w:sz w:val="10"/>
                <w:szCs w:val="10"/>
                <w:color w:val="auto"/>
              </w:rPr>
            </w:pPr>
          </w:p>
        </w:tc>
        <w:tc>
          <w:tcPr>
            <w:tcW w:w="1000" w:type="dxa"/>
            <w:vAlign w:val="bottom"/>
            <w:tcBorders>
              <w:bottom w:val="single" w:sz="8" w:color="939598"/>
            </w:tcBorders>
          </w:tcPr>
          <w:p>
            <w:pPr>
              <w:spacing w:after="0"/>
              <w:rPr>
                <w:sz w:val="10"/>
                <w:szCs w:val="10"/>
                <w:color w:val="auto"/>
              </w:rPr>
            </w:pPr>
          </w:p>
        </w:tc>
        <w:tc>
          <w:tcPr>
            <w:tcW w:w="90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316"/>
        </w:trPr>
        <w:tc>
          <w:tcPr>
            <w:tcW w:w="2600" w:type="dxa"/>
            <w:vAlign w:val="bottom"/>
          </w:tcPr>
          <w:p>
            <w:pPr>
              <w:ind w:left="20"/>
              <w:spacing w:after="0"/>
              <w:rPr>
                <w:sz w:val="20"/>
                <w:szCs w:val="20"/>
                <w:color w:val="auto"/>
              </w:rPr>
            </w:pPr>
            <w:r>
              <w:rPr>
                <w:rFonts w:ascii="Arial" w:cs="Arial" w:eastAsia="Arial" w:hAnsi="Arial"/>
                <w:sz w:val="14"/>
                <w:szCs w:val="14"/>
                <w:b w:val="1"/>
                <w:bCs w:val="1"/>
                <w:color w:val="auto"/>
              </w:rPr>
              <w:t>HON Average ROI</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22.9 %</w:t>
            </w:r>
          </w:p>
        </w:tc>
        <w:tc>
          <w:tcPr>
            <w:tcW w:w="1300" w:type="dxa"/>
            <w:vAlign w:val="bottom"/>
          </w:tcPr>
          <w:p>
            <w:pPr>
              <w:jc w:val="right"/>
              <w:ind w:right="248"/>
              <w:spacing w:after="0"/>
              <w:rPr>
                <w:sz w:val="20"/>
                <w:szCs w:val="20"/>
                <w:color w:val="auto"/>
              </w:rPr>
            </w:pPr>
            <w:r>
              <w:rPr>
                <w:rFonts w:ascii="Arial" w:cs="Arial" w:eastAsia="Arial" w:hAnsi="Arial"/>
                <w:sz w:val="14"/>
                <w:szCs w:val="14"/>
                <w:color w:val="auto"/>
              </w:rPr>
              <w:t>24.4%</w:t>
            </w:r>
          </w:p>
        </w:tc>
        <w:tc>
          <w:tcPr>
            <w:tcW w:w="1080" w:type="dxa"/>
            <w:vAlign w:val="bottom"/>
            <w:tcBorders>
              <w:right w:val="single" w:sz="8" w:color="D7282F"/>
            </w:tcBorders>
          </w:tcPr>
          <w:p>
            <w:pPr>
              <w:ind w:left="320"/>
              <w:spacing w:after="0"/>
              <w:rPr>
                <w:sz w:val="20"/>
                <w:szCs w:val="20"/>
                <w:color w:val="auto"/>
              </w:rPr>
            </w:pPr>
            <w:r>
              <w:rPr>
                <w:rFonts w:ascii="Arial" w:cs="Arial" w:eastAsia="Arial" w:hAnsi="Arial"/>
                <w:sz w:val="14"/>
                <w:szCs w:val="14"/>
                <w:color w:val="auto"/>
              </w:rPr>
              <w:t>&gt;= 25.4%</w:t>
            </w:r>
          </w:p>
        </w:tc>
        <w:tc>
          <w:tcPr>
            <w:tcW w:w="1500" w:type="dxa"/>
            <w:vAlign w:val="bottom"/>
            <w:tcBorders>
              <w:right w:val="single" w:sz="8" w:color="D7282F"/>
            </w:tcBorders>
          </w:tcPr>
          <w:p>
            <w:pPr>
              <w:jc w:val="right"/>
              <w:spacing w:after="0"/>
              <w:rPr>
                <w:sz w:val="20"/>
                <w:szCs w:val="20"/>
                <w:color w:val="auto"/>
              </w:rPr>
            </w:pPr>
            <w:r>
              <w:rPr>
                <w:rFonts w:ascii="Arial" w:cs="Arial" w:eastAsia="Arial" w:hAnsi="Arial"/>
                <w:sz w:val="14"/>
                <w:szCs w:val="14"/>
                <w:color w:val="auto"/>
              </w:rPr>
              <w:t>23.5%</w:t>
            </w:r>
          </w:p>
        </w:tc>
        <w:tc>
          <w:tcPr>
            <w:tcW w:w="1420" w:type="dxa"/>
            <w:vAlign w:val="bottom"/>
          </w:tcPr>
          <w:p>
            <w:pPr>
              <w:jc w:val="right"/>
              <w:ind w:right="228"/>
              <w:spacing w:after="0"/>
              <w:rPr>
                <w:sz w:val="20"/>
                <w:szCs w:val="20"/>
                <w:color w:val="auto"/>
              </w:rPr>
            </w:pPr>
            <w:r>
              <w:rPr>
                <w:rFonts w:ascii="Arial" w:cs="Arial" w:eastAsia="Arial" w:hAnsi="Arial"/>
                <w:sz w:val="14"/>
                <w:szCs w:val="14"/>
                <w:color w:val="auto"/>
              </w:rPr>
              <w:t>70.0%</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16.7%</w:t>
            </w:r>
          </w:p>
        </w:tc>
        <w:tc>
          <w:tcPr>
            <w:tcW w:w="90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23"/>
        </w:trPr>
        <w:tc>
          <w:tcPr>
            <w:tcW w:w="2600" w:type="dxa"/>
            <w:vAlign w:val="bottom"/>
            <w:tcBorders>
              <w:bottom w:val="single" w:sz="8" w:color="D7282F"/>
            </w:tcBorders>
          </w:tcPr>
          <w:p>
            <w:pPr>
              <w:spacing w:after="0"/>
              <w:rPr>
                <w:sz w:val="10"/>
                <w:szCs w:val="10"/>
                <w:color w:val="auto"/>
              </w:rPr>
            </w:pPr>
          </w:p>
        </w:tc>
        <w:tc>
          <w:tcPr>
            <w:tcW w:w="1440" w:type="dxa"/>
            <w:vAlign w:val="bottom"/>
            <w:tcBorders>
              <w:bottom w:val="single" w:sz="8" w:color="D7282F"/>
            </w:tcBorders>
          </w:tcPr>
          <w:p>
            <w:pPr>
              <w:spacing w:after="0"/>
              <w:rPr>
                <w:sz w:val="10"/>
                <w:szCs w:val="10"/>
                <w:color w:val="auto"/>
              </w:rPr>
            </w:pPr>
          </w:p>
        </w:tc>
        <w:tc>
          <w:tcPr>
            <w:tcW w:w="1300" w:type="dxa"/>
            <w:vAlign w:val="bottom"/>
            <w:tcBorders>
              <w:bottom w:val="single" w:sz="8" w:color="D7282F"/>
            </w:tcBorders>
          </w:tcPr>
          <w:p>
            <w:pPr>
              <w:spacing w:after="0"/>
              <w:rPr>
                <w:sz w:val="10"/>
                <w:szCs w:val="10"/>
                <w:color w:val="auto"/>
              </w:rPr>
            </w:pPr>
          </w:p>
        </w:tc>
        <w:tc>
          <w:tcPr>
            <w:tcW w:w="1080" w:type="dxa"/>
            <w:vAlign w:val="bottom"/>
            <w:tcBorders>
              <w:bottom w:val="single" w:sz="8" w:color="D7282F"/>
              <w:right w:val="single" w:sz="8" w:color="D7282F"/>
            </w:tcBorders>
          </w:tcPr>
          <w:p>
            <w:pPr>
              <w:spacing w:after="0"/>
              <w:rPr>
                <w:sz w:val="10"/>
                <w:szCs w:val="10"/>
                <w:color w:val="auto"/>
              </w:rPr>
            </w:pPr>
          </w:p>
        </w:tc>
        <w:tc>
          <w:tcPr>
            <w:tcW w:w="1500" w:type="dxa"/>
            <w:vAlign w:val="bottom"/>
            <w:tcBorders>
              <w:bottom w:val="single" w:sz="8" w:color="D7282F"/>
              <w:right w:val="single" w:sz="8" w:color="D7282F"/>
            </w:tcBorders>
          </w:tcPr>
          <w:p>
            <w:pPr>
              <w:spacing w:after="0"/>
              <w:rPr>
                <w:sz w:val="10"/>
                <w:szCs w:val="10"/>
                <w:color w:val="auto"/>
              </w:rPr>
            </w:pPr>
          </w:p>
        </w:tc>
        <w:tc>
          <w:tcPr>
            <w:tcW w:w="1420" w:type="dxa"/>
            <w:vAlign w:val="bottom"/>
            <w:tcBorders>
              <w:bottom w:val="single" w:sz="8" w:color="D7282F"/>
            </w:tcBorders>
          </w:tcPr>
          <w:p>
            <w:pPr>
              <w:spacing w:after="0"/>
              <w:rPr>
                <w:sz w:val="10"/>
                <w:szCs w:val="10"/>
                <w:color w:val="auto"/>
              </w:rPr>
            </w:pPr>
          </w:p>
        </w:tc>
        <w:tc>
          <w:tcPr>
            <w:tcW w:w="1000" w:type="dxa"/>
            <w:vAlign w:val="bottom"/>
            <w:tcBorders>
              <w:bottom w:val="single" w:sz="8" w:color="D7282F"/>
            </w:tcBorders>
          </w:tcPr>
          <w:p>
            <w:pPr>
              <w:spacing w:after="0"/>
              <w:rPr>
                <w:sz w:val="10"/>
                <w:szCs w:val="10"/>
                <w:color w:val="auto"/>
              </w:rPr>
            </w:pPr>
          </w:p>
        </w:tc>
        <w:tc>
          <w:tcPr>
            <w:tcW w:w="900" w:type="dxa"/>
            <w:vAlign w:val="bottom"/>
            <w:tcBorders>
              <w:bottom w:val="single" w:sz="8" w:color="D7282F"/>
            </w:tcBorders>
          </w:tcPr>
          <w:p>
            <w:pPr>
              <w:spacing w:after="0"/>
              <w:rPr>
                <w:sz w:val="10"/>
                <w:szCs w:val="10"/>
                <w:color w:val="auto"/>
              </w:rPr>
            </w:pPr>
          </w:p>
        </w:tc>
        <w:tc>
          <w:tcPr>
            <w:tcW w:w="0" w:type="dxa"/>
            <w:vAlign w:val="bottom"/>
          </w:tcPr>
          <w:p>
            <w:pPr>
              <w:spacing w:after="0"/>
              <w:rPr>
                <w:sz w:val="1"/>
                <w:szCs w:val="1"/>
                <w:color w:val="auto"/>
              </w:rPr>
            </w:pPr>
          </w:p>
        </w:tc>
      </w:tr>
      <w:tr>
        <w:trPr>
          <w:trHeight w:val="315"/>
        </w:trPr>
        <w:tc>
          <w:tcPr>
            <w:tcW w:w="2600" w:type="dxa"/>
            <w:vAlign w:val="bottom"/>
            <w:tcBorders>
              <w:left w:val="single" w:sz="8" w:color="D7282F"/>
            </w:tcBorders>
          </w:tcPr>
          <w:p>
            <w:pPr>
              <w:ind w:left="140"/>
              <w:spacing w:after="0"/>
              <w:rPr>
                <w:sz w:val="20"/>
                <w:szCs w:val="20"/>
                <w:color w:val="auto"/>
              </w:rPr>
            </w:pPr>
            <w:r>
              <w:rPr>
                <w:rFonts w:ascii="Arial" w:cs="Arial" w:eastAsia="Arial" w:hAnsi="Arial"/>
                <w:sz w:val="14"/>
                <w:szCs w:val="14"/>
                <w:b w:val="1"/>
                <w:bCs w:val="1"/>
                <w:color w:val="auto"/>
              </w:rPr>
              <w:t>BA Total PCU Payout %</w:t>
            </w:r>
          </w:p>
        </w:tc>
        <w:tc>
          <w:tcPr>
            <w:tcW w:w="1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Borders>
              <w:right w:val="single" w:sz="8" w:color="D7282F"/>
            </w:tcBorders>
          </w:tcPr>
          <w:p>
            <w:pPr>
              <w:jc w:val="right"/>
              <w:spacing w:after="0"/>
              <w:rPr>
                <w:sz w:val="20"/>
                <w:szCs w:val="20"/>
                <w:color w:val="auto"/>
              </w:rPr>
            </w:pPr>
            <w:r>
              <w:rPr>
                <w:rFonts w:ascii="Arial" w:cs="Arial" w:eastAsia="Arial" w:hAnsi="Arial"/>
                <w:sz w:val="14"/>
                <w:szCs w:val="14"/>
                <w:b w:val="1"/>
                <w:bCs w:val="1"/>
                <w:color w:val="auto"/>
              </w:rPr>
              <w:t>78%</w:t>
            </w:r>
          </w:p>
        </w:tc>
        <w:tc>
          <w:tcPr>
            <w:tcW w:w="0" w:type="dxa"/>
            <w:vAlign w:val="bottom"/>
          </w:tcPr>
          <w:p>
            <w:pPr>
              <w:spacing w:after="0"/>
              <w:rPr>
                <w:sz w:val="1"/>
                <w:szCs w:val="1"/>
                <w:color w:val="auto"/>
              </w:rPr>
            </w:pPr>
          </w:p>
        </w:tc>
      </w:tr>
      <w:tr>
        <w:trPr>
          <w:trHeight w:val="123"/>
        </w:trPr>
        <w:tc>
          <w:tcPr>
            <w:tcW w:w="2600" w:type="dxa"/>
            <w:vAlign w:val="bottom"/>
            <w:tcBorders>
              <w:left w:val="single" w:sz="8" w:color="D7282F"/>
              <w:bottom w:val="single" w:sz="8" w:color="D7282F"/>
            </w:tcBorders>
          </w:tcPr>
          <w:p>
            <w:pPr>
              <w:spacing w:after="0"/>
              <w:rPr>
                <w:sz w:val="10"/>
                <w:szCs w:val="10"/>
                <w:color w:val="auto"/>
              </w:rPr>
            </w:pPr>
          </w:p>
        </w:tc>
        <w:tc>
          <w:tcPr>
            <w:tcW w:w="1440" w:type="dxa"/>
            <w:vAlign w:val="bottom"/>
            <w:tcBorders>
              <w:bottom w:val="single" w:sz="8" w:color="D7282F"/>
            </w:tcBorders>
          </w:tcPr>
          <w:p>
            <w:pPr>
              <w:spacing w:after="0"/>
              <w:rPr>
                <w:sz w:val="10"/>
                <w:szCs w:val="10"/>
                <w:color w:val="auto"/>
              </w:rPr>
            </w:pPr>
          </w:p>
        </w:tc>
        <w:tc>
          <w:tcPr>
            <w:tcW w:w="1300" w:type="dxa"/>
            <w:vAlign w:val="bottom"/>
            <w:tcBorders>
              <w:bottom w:val="single" w:sz="8" w:color="D7282F"/>
            </w:tcBorders>
          </w:tcPr>
          <w:p>
            <w:pPr>
              <w:spacing w:after="0"/>
              <w:rPr>
                <w:sz w:val="10"/>
                <w:szCs w:val="10"/>
                <w:color w:val="auto"/>
              </w:rPr>
            </w:pPr>
          </w:p>
        </w:tc>
        <w:tc>
          <w:tcPr>
            <w:tcW w:w="1080" w:type="dxa"/>
            <w:vAlign w:val="bottom"/>
            <w:tcBorders>
              <w:bottom w:val="single" w:sz="8" w:color="D7282F"/>
            </w:tcBorders>
          </w:tcPr>
          <w:p>
            <w:pPr>
              <w:spacing w:after="0"/>
              <w:rPr>
                <w:sz w:val="10"/>
                <w:szCs w:val="10"/>
                <w:color w:val="auto"/>
              </w:rPr>
            </w:pPr>
          </w:p>
        </w:tc>
        <w:tc>
          <w:tcPr>
            <w:tcW w:w="1500" w:type="dxa"/>
            <w:vAlign w:val="bottom"/>
            <w:tcBorders>
              <w:bottom w:val="single" w:sz="8" w:color="D7282F"/>
            </w:tcBorders>
          </w:tcPr>
          <w:p>
            <w:pPr>
              <w:spacing w:after="0"/>
              <w:rPr>
                <w:sz w:val="10"/>
                <w:szCs w:val="10"/>
                <w:color w:val="auto"/>
              </w:rPr>
            </w:pPr>
          </w:p>
        </w:tc>
        <w:tc>
          <w:tcPr>
            <w:tcW w:w="1420" w:type="dxa"/>
            <w:vAlign w:val="bottom"/>
            <w:tcBorders>
              <w:bottom w:val="single" w:sz="8" w:color="D7282F"/>
            </w:tcBorders>
          </w:tcPr>
          <w:p>
            <w:pPr>
              <w:spacing w:after="0"/>
              <w:rPr>
                <w:sz w:val="10"/>
                <w:szCs w:val="10"/>
                <w:color w:val="auto"/>
              </w:rPr>
            </w:pPr>
          </w:p>
        </w:tc>
        <w:tc>
          <w:tcPr>
            <w:tcW w:w="1000" w:type="dxa"/>
            <w:vAlign w:val="bottom"/>
            <w:tcBorders>
              <w:bottom w:val="single" w:sz="8" w:color="D7282F"/>
            </w:tcBorders>
          </w:tcPr>
          <w:p>
            <w:pPr>
              <w:spacing w:after="0"/>
              <w:rPr>
                <w:sz w:val="10"/>
                <w:szCs w:val="10"/>
                <w:color w:val="auto"/>
              </w:rPr>
            </w:pPr>
          </w:p>
        </w:tc>
        <w:tc>
          <w:tcPr>
            <w:tcW w:w="900" w:type="dxa"/>
            <w:vAlign w:val="bottom"/>
            <w:tcBorders>
              <w:bottom w:val="single" w:sz="8" w:color="D7282F"/>
              <w:right w:val="single" w:sz="8" w:color="D7282F"/>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200" w:hanging="192"/>
        <w:spacing w:after="0"/>
        <w:tabs>
          <w:tab w:leader="none" w:pos="200" w:val="left"/>
        </w:tabs>
        <w:numPr>
          <w:ilvl w:val="0"/>
          <w:numId w:val="173"/>
        </w:numPr>
        <w:rPr>
          <w:rFonts w:ascii="Arial" w:cs="Arial" w:eastAsia="Arial" w:hAnsi="Arial"/>
          <w:sz w:val="16"/>
          <w:szCs w:val="16"/>
          <w:color w:val="auto"/>
          <w:vertAlign w:val="superscript"/>
        </w:rPr>
      </w:pPr>
      <w:r>
        <w:rPr>
          <w:rFonts w:ascii="Arial" w:cs="Arial" w:eastAsia="Arial" w:hAnsi="Arial"/>
          <w:sz w:val="13"/>
          <w:szCs w:val="13"/>
          <w:color w:val="auto"/>
        </w:rPr>
        <w:t>Results for BA executives based 50% on performance against Total Honeywell targets and 50% on performance against Building Automation targets.</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204"/>
        </w:trPr>
        <w:tc>
          <w:tcPr>
            <w:tcW w:w="24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Borders>
              <w:right w:val="single" w:sz="8" w:color="D7282F"/>
            </w:tcBorders>
          </w:tcPr>
          <w:p>
            <w:pPr>
              <w:spacing w:after="0"/>
              <w:rPr>
                <w:sz w:val="17"/>
                <w:szCs w:val="17"/>
                <w:color w:val="auto"/>
              </w:rPr>
            </w:pPr>
          </w:p>
        </w:tc>
        <w:tc>
          <w:tcPr>
            <w:tcW w:w="1500" w:type="dxa"/>
            <w:vAlign w:val="bottom"/>
            <w:tcBorders>
              <w:top w:val="single" w:sz="8" w:color="D7282F"/>
              <w:right w:val="single" w:sz="8" w:color="D7282F"/>
            </w:tcBorders>
          </w:tcPr>
          <w:p>
            <w:pPr>
              <w:jc w:val="right"/>
              <w:spacing w:after="0"/>
              <w:rPr>
                <w:sz w:val="20"/>
                <w:szCs w:val="20"/>
                <w:color w:val="auto"/>
              </w:rPr>
            </w:pPr>
            <w:r>
              <w:rPr>
                <w:rFonts w:ascii="Arial" w:cs="Arial" w:eastAsia="Arial" w:hAnsi="Arial"/>
                <w:sz w:val="14"/>
                <w:szCs w:val="14"/>
                <w:b w:val="1"/>
                <w:bCs w:val="1"/>
                <w:color w:val="auto"/>
              </w:rPr>
              <w:t>Actual Plan</w:t>
            </w:r>
          </w:p>
        </w:tc>
        <w:tc>
          <w:tcPr>
            <w:tcW w:w="1420" w:type="dxa"/>
            <w:vAlign w:val="bottom"/>
          </w:tcPr>
          <w:p>
            <w:pPr>
              <w:jc w:val="right"/>
              <w:ind w:right="228"/>
              <w:spacing w:after="0"/>
              <w:rPr>
                <w:sz w:val="20"/>
                <w:szCs w:val="20"/>
                <w:color w:val="auto"/>
              </w:rPr>
            </w:pPr>
            <w:r>
              <w:rPr>
                <w:rFonts w:ascii="Arial" w:cs="Arial" w:eastAsia="Arial" w:hAnsi="Arial"/>
                <w:sz w:val="14"/>
                <w:szCs w:val="14"/>
                <w:b w:val="1"/>
                <w:bCs w:val="1"/>
                <w:color w:val="auto"/>
              </w:rPr>
              <w:t>Payout</w:t>
            </w:r>
          </w:p>
        </w:tc>
        <w:tc>
          <w:tcPr>
            <w:tcW w:w="10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Weighted</w:t>
            </w:r>
          </w:p>
        </w:tc>
      </w:tr>
      <w:tr>
        <w:trPr>
          <w:trHeight w:val="214"/>
        </w:trPr>
        <w:tc>
          <w:tcPr>
            <w:tcW w:w="24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Aerospace Technologies</w:t>
            </w:r>
          </w:p>
        </w:tc>
        <w:tc>
          <w:tcPr>
            <w:tcW w:w="1640" w:type="dxa"/>
            <w:vAlign w:val="bottom"/>
            <w:tcBorders>
              <w:bottom w:val="single" w:sz="8" w:color="D7282F"/>
            </w:tcBorders>
          </w:tcPr>
          <w:p>
            <w:pPr>
              <w:jc w:val="right"/>
              <w:ind w:right="328"/>
              <w:spacing w:after="0"/>
              <w:rPr>
                <w:sz w:val="20"/>
                <w:szCs w:val="20"/>
                <w:color w:val="auto"/>
              </w:rPr>
            </w:pPr>
            <w:r>
              <w:rPr>
                <w:rFonts w:ascii="Arial" w:cs="Arial" w:eastAsia="Arial" w:hAnsi="Arial"/>
                <w:sz w:val="14"/>
                <w:szCs w:val="14"/>
                <w:b w:val="1"/>
                <w:bCs w:val="1"/>
                <w:color w:val="auto"/>
              </w:rPr>
              <w:t>Threshold</w:t>
            </w:r>
          </w:p>
        </w:tc>
        <w:tc>
          <w:tcPr>
            <w:tcW w:w="128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Target</w:t>
            </w:r>
          </w:p>
        </w:tc>
        <w:tc>
          <w:tcPr>
            <w:tcW w:w="1100" w:type="dxa"/>
            <w:vAlign w:val="bottom"/>
            <w:tcBorders>
              <w:bottom w:val="single" w:sz="8" w:color="D7282F"/>
              <w:right w:val="single" w:sz="8" w:color="D7282F"/>
            </w:tcBorders>
          </w:tcPr>
          <w:p>
            <w:pPr>
              <w:jc w:val="center"/>
              <w:ind w:left="88"/>
              <w:spacing w:after="0"/>
              <w:rPr>
                <w:sz w:val="20"/>
                <w:szCs w:val="20"/>
                <w:color w:val="auto"/>
              </w:rPr>
            </w:pPr>
            <w:r>
              <w:rPr>
                <w:rFonts w:ascii="Arial" w:cs="Arial" w:eastAsia="Arial" w:hAnsi="Arial"/>
                <w:sz w:val="14"/>
                <w:szCs w:val="14"/>
                <w:b w:val="1"/>
                <w:bCs w:val="1"/>
                <w:color w:val="auto"/>
              </w:rPr>
              <w:t>Maximum</w:t>
            </w:r>
          </w:p>
        </w:tc>
        <w:tc>
          <w:tcPr>
            <w:tcW w:w="1500" w:type="dxa"/>
            <w:vAlign w:val="bottom"/>
            <w:tcBorders>
              <w:bottom w:val="single" w:sz="8" w:color="D7282F"/>
              <w:right w:val="single" w:sz="8" w:color="D7282F"/>
            </w:tcBorders>
          </w:tcPr>
          <w:p>
            <w:pPr>
              <w:jc w:val="right"/>
              <w:spacing w:after="0"/>
              <w:rPr>
                <w:sz w:val="20"/>
                <w:szCs w:val="20"/>
                <w:color w:val="auto"/>
              </w:rPr>
            </w:pPr>
            <w:r>
              <w:rPr>
                <w:rFonts w:ascii="Arial" w:cs="Arial" w:eastAsia="Arial" w:hAnsi="Arial"/>
                <w:sz w:val="14"/>
                <w:szCs w:val="14"/>
                <w:b w:val="1"/>
                <w:bCs w:val="1"/>
                <w:color w:val="auto"/>
              </w:rPr>
              <w:t>Performance</w:t>
            </w:r>
            <w:r>
              <w:rPr>
                <w:rFonts w:ascii="Arial" w:cs="Arial" w:eastAsia="Arial" w:hAnsi="Arial"/>
                <w:sz w:val="18"/>
                <w:szCs w:val="18"/>
                <w:b w:val="1"/>
                <w:bCs w:val="1"/>
                <w:color w:val="auto"/>
                <w:vertAlign w:val="superscript"/>
              </w:rPr>
              <w:t>(1)</w:t>
            </w:r>
          </w:p>
        </w:tc>
        <w:tc>
          <w:tcPr>
            <w:tcW w:w="142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Factor</w:t>
            </w:r>
          </w:p>
        </w:tc>
        <w:tc>
          <w:tcPr>
            <w:tcW w:w="10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Weight</w:t>
            </w: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Payout %</w:t>
            </w:r>
          </w:p>
        </w:tc>
      </w:tr>
      <w:tr>
        <w:trPr>
          <w:trHeight w:val="315"/>
        </w:trPr>
        <w:tc>
          <w:tcPr>
            <w:tcW w:w="2400" w:type="dxa"/>
            <w:vAlign w:val="bottom"/>
          </w:tcPr>
          <w:p>
            <w:pPr>
              <w:ind w:left="20"/>
              <w:spacing w:after="0"/>
              <w:rPr>
                <w:sz w:val="20"/>
                <w:szCs w:val="20"/>
                <w:color w:val="auto"/>
              </w:rPr>
            </w:pPr>
            <w:r>
              <w:rPr>
                <w:rFonts w:ascii="Arial" w:cs="Arial" w:eastAsia="Arial" w:hAnsi="Arial"/>
                <w:sz w:val="14"/>
                <w:szCs w:val="14"/>
                <w:b w:val="1"/>
                <w:bCs w:val="1"/>
                <w:color w:val="auto"/>
              </w:rPr>
              <w:t>AT Revenue</w:t>
            </w:r>
          </w:p>
        </w:tc>
        <w:tc>
          <w:tcPr>
            <w:tcW w:w="1640" w:type="dxa"/>
            <w:vAlign w:val="bottom"/>
          </w:tcPr>
          <w:p>
            <w:pPr>
              <w:jc w:val="right"/>
              <w:ind w:right="328"/>
              <w:spacing w:after="0"/>
              <w:rPr>
                <w:sz w:val="20"/>
                <w:szCs w:val="20"/>
                <w:color w:val="auto"/>
              </w:rPr>
            </w:pPr>
            <w:r>
              <w:rPr>
                <w:rFonts w:ascii="Arial" w:cs="Arial" w:eastAsia="Arial" w:hAnsi="Arial"/>
                <w:sz w:val="14"/>
                <w:szCs w:val="14"/>
                <w:color w:val="auto"/>
              </w:rPr>
              <w:t>$39,532</w:t>
            </w:r>
          </w:p>
        </w:tc>
        <w:tc>
          <w:tcPr>
            <w:tcW w:w="1280" w:type="dxa"/>
            <w:vAlign w:val="bottom"/>
          </w:tcPr>
          <w:p>
            <w:pPr>
              <w:jc w:val="right"/>
              <w:ind w:right="228"/>
              <w:spacing w:after="0"/>
              <w:rPr>
                <w:sz w:val="20"/>
                <w:szCs w:val="20"/>
                <w:color w:val="auto"/>
              </w:rPr>
            </w:pPr>
            <w:r>
              <w:rPr>
                <w:rFonts w:ascii="Arial" w:cs="Arial" w:eastAsia="Arial" w:hAnsi="Arial"/>
                <w:sz w:val="14"/>
                <w:szCs w:val="14"/>
                <w:color w:val="auto"/>
              </w:rPr>
              <w:t>$42,507</w:t>
            </w:r>
          </w:p>
        </w:tc>
        <w:tc>
          <w:tcPr>
            <w:tcW w:w="1100" w:type="dxa"/>
            <w:vAlign w:val="bottom"/>
            <w:tcBorders>
              <w:right w:val="single" w:sz="8" w:color="D7282F"/>
            </w:tcBorders>
          </w:tcPr>
          <w:p>
            <w:pPr>
              <w:jc w:val="center"/>
              <w:ind w:left="148"/>
              <w:spacing w:after="0"/>
              <w:rPr>
                <w:sz w:val="20"/>
                <w:szCs w:val="20"/>
                <w:color w:val="auto"/>
              </w:rPr>
            </w:pPr>
            <w:r>
              <w:rPr>
                <w:rFonts w:ascii="Arial" w:cs="Arial" w:eastAsia="Arial" w:hAnsi="Arial"/>
                <w:sz w:val="14"/>
                <w:szCs w:val="14"/>
                <w:color w:val="auto"/>
              </w:rPr>
              <w:t>$43,995</w:t>
            </w:r>
          </w:p>
        </w:tc>
        <w:tc>
          <w:tcPr>
            <w:tcW w:w="1500" w:type="dxa"/>
            <w:vAlign w:val="bottom"/>
            <w:tcBorders>
              <w:right w:val="single" w:sz="8" w:color="D7282F"/>
            </w:tcBorders>
          </w:tcPr>
          <w:p>
            <w:pPr>
              <w:jc w:val="right"/>
              <w:spacing w:after="0"/>
              <w:rPr>
                <w:sz w:val="20"/>
                <w:szCs w:val="20"/>
                <w:color w:val="auto"/>
              </w:rPr>
            </w:pPr>
            <w:r>
              <w:rPr>
                <w:rFonts w:ascii="Arial" w:cs="Arial" w:eastAsia="Arial" w:hAnsi="Arial"/>
                <w:sz w:val="14"/>
                <w:szCs w:val="14"/>
                <w:color w:val="auto"/>
              </w:rPr>
              <w:t>$46,087</w:t>
            </w:r>
          </w:p>
        </w:tc>
        <w:tc>
          <w:tcPr>
            <w:tcW w:w="1420" w:type="dxa"/>
            <w:vAlign w:val="bottom"/>
          </w:tcPr>
          <w:p>
            <w:pPr>
              <w:jc w:val="right"/>
              <w:ind w:right="228"/>
              <w:spacing w:after="0"/>
              <w:rPr>
                <w:sz w:val="20"/>
                <w:szCs w:val="20"/>
                <w:color w:val="auto"/>
              </w:rPr>
            </w:pPr>
            <w:r>
              <w:rPr>
                <w:rFonts w:ascii="Arial" w:cs="Arial" w:eastAsia="Arial" w:hAnsi="Arial"/>
                <w:sz w:val="14"/>
                <w:szCs w:val="14"/>
                <w:color w:val="auto"/>
              </w:rPr>
              <w:t>200.0%</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16.7%</w:t>
            </w:r>
          </w:p>
        </w:tc>
        <w:tc>
          <w:tcPr>
            <w:tcW w:w="90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124"/>
        </w:trPr>
        <w:tc>
          <w:tcPr>
            <w:tcW w:w="2400" w:type="dxa"/>
            <w:vAlign w:val="bottom"/>
            <w:tcBorders>
              <w:bottom w:val="single" w:sz="8" w:color="939598"/>
            </w:tcBorders>
          </w:tcPr>
          <w:p>
            <w:pPr>
              <w:spacing w:after="0"/>
              <w:rPr>
                <w:sz w:val="10"/>
                <w:szCs w:val="10"/>
                <w:color w:val="auto"/>
              </w:rPr>
            </w:pPr>
          </w:p>
        </w:tc>
        <w:tc>
          <w:tcPr>
            <w:tcW w:w="1640" w:type="dxa"/>
            <w:vAlign w:val="bottom"/>
            <w:tcBorders>
              <w:bottom w:val="single" w:sz="8" w:color="939598"/>
            </w:tcBorders>
          </w:tcPr>
          <w:p>
            <w:pPr>
              <w:spacing w:after="0"/>
              <w:rPr>
                <w:sz w:val="10"/>
                <w:szCs w:val="10"/>
                <w:color w:val="auto"/>
              </w:rPr>
            </w:pPr>
          </w:p>
        </w:tc>
        <w:tc>
          <w:tcPr>
            <w:tcW w:w="1280" w:type="dxa"/>
            <w:vAlign w:val="bottom"/>
            <w:tcBorders>
              <w:bottom w:val="single" w:sz="8" w:color="939598"/>
            </w:tcBorders>
          </w:tcPr>
          <w:p>
            <w:pPr>
              <w:spacing w:after="0"/>
              <w:rPr>
                <w:sz w:val="10"/>
                <w:szCs w:val="10"/>
                <w:color w:val="auto"/>
              </w:rPr>
            </w:pPr>
          </w:p>
        </w:tc>
        <w:tc>
          <w:tcPr>
            <w:tcW w:w="1100" w:type="dxa"/>
            <w:vAlign w:val="bottom"/>
            <w:tcBorders>
              <w:bottom w:val="single" w:sz="8" w:color="939598"/>
              <w:right w:val="single" w:sz="8" w:color="D7282F"/>
            </w:tcBorders>
          </w:tcPr>
          <w:p>
            <w:pPr>
              <w:spacing w:after="0"/>
              <w:rPr>
                <w:sz w:val="10"/>
                <w:szCs w:val="10"/>
                <w:color w:val="auto"/>
              </w:rPr>
            </w:pPr>
          </w:p>
        </w:tc>
        <w:tc>
          <w:tcPr>
            <w:tcW w:w="1500" w:type="dxa"/>
            <w:vAlign w:val="bottom"/>
            <w:tcBorders>
              <w:bottom w:val="single" w:sz="8" w:color="939598"/>
              <w:right w:val="single" w:sz="8" w:color="D7282F"/>
            </w:tcBorders>
          </w:tcPr>
          <w:p>
            <w:pPr>
              <w:spacing w:after="0"/>
              <w:rPr>
                <w:sz w:val="10"/>
                <w:szCs w:val="10"/>
                <w:color w:val="auto"/>
              </w:rPr>
            </w:pPr>
          </w:p>
        </w:tc>
        <w:tc>
          <w:tcPr>
            <w:tcW w:w="1420" w:type="dxa"/>
            <w:vAlign w:val="bottom"/>
            <w:tcBorders>
              <w:bottom w:val="single" w:sz="8" w:color="939598"/>
            </w:tcBorders>
          </w:tcPr>
          <w:p>
            <w:pPr>
              <w:spacing w:after="0"/>
              <w:rPr>
                <w:sz w:val="10"/>
                <w:szCs w:val="10"/>
                <w:color w:val="auto"/>
              </w:rPr>
            </w:pPr>
          </w:p>
        </w:tc>
        <w:tc>
          <w:tcPr>
            <w:tcW w:w="1000" w:type="dxa"/>
            <w:vAlign w:val="bottom"/>
            <w:tcBorders>
              <w:bottom w:val="single" w:sz="8" w:color="939598"/>
            </w:tcBorders>
          </w:tcPr>
          <w:p>
            <w:pPr>
              <w:spacing w:after="0"/>
              <w:rPr>
                <w:sz w:val="10"/>
                <w:szCs w:val="10"/>
                <w:color w:val="auto"/>
              </w:rPr>
            </w:pPr>
          </w:p>
        </w:tc>
        <w:tc>
          <w:tcPr>
            <w:tcW w:w="900" w:type="dxa"/>
            <w:vAlign w:val="bottom"/>
            <w:tcBorders>
              <w:bottom w:val="single" w:sz="8" w:color="939598"/>
            </w:tcBorders>
          </w:tcPr>
          <w:p>
            <w:pPr>
              <w:spacing w:after="0"/>
              <w:rPr>
                <w:sz w:val="10"/>
                <w:szCs w:val="10"/>
                <w:color w:val="auto"/>
              </w:rPr>
            </w:pPr>
          </w:p>
        </w:tc>
      </w:tr>
      <w:tr>
        <w:trPr>
          <w:trHeight w:val="315"/>
        </w:trPr>
        <w:tc>
          <w:tcPr>
            <w:tcW w:w="2400" w:type="dxa"/>
            <w:vAlign w:val="bottom"/>
          </w:tcPr>
          <w:p>
            <w:pPr>
              <w:ind w:left="20"/>
              <w:spacing w:after="0"/>
              <w:rPr>
                <w:sz w:val="20"/>
                <w:szCs w:val="20"/>
                <w:color w:val="auto"/>
              </w:rPr>
            </w:pPr>
            <w:r>
              <w:rPr>
                <w:rFonts w:ascii="Arial" w:cs="Arial" w:eastAsia="Arial" w:hAnsi="Arial"/>
                <w:sz w:val="14"/>
                <w:szCs w:val="14"/>
                <w:b w:val="1"/>
                <w:bCs w:val="1"/>
                <w:color w:val="auto"/>
              </w:rPr>
              <w:t>AT Margin</w:t>
            </w:r>
          </w:p>
        </w:tc>
        <w:tc>
          <w:tcPr>
            <w:tcW w:w="1640" w:type="dxa"/>
            <w:vAlign w:val="bottom"/>
          </w:tcPr>
          <w:p>
            <w:pPr>
              <w:jc w:val="right"/>
              <w:ind w:right="328"/>
              <w:spacing w:after="0"/>
              <w:rPr>
                <w:sz w:val="20"/>
                <w:szCs w:val="20"/>
                <w:color w:val="auto"/>
              </w:rPr>
            </w:pPr>
            <w:r>
              <w:rPr>
                <w:rFonts w:ascii="Arial" w:cs="Arial" w:eastAsia="Arial" w:hAnsi="Arial"/>
                <w:sz w:val="14"/>
                <w:szCs w:val="14"/>
                <w:color w:val="auto"/>
              </w:rPr>
              <w:t>27.4%</w:t>
            </w:r>
          </w:p>
        </w:tc>
        <w:tc>
          <w:tcPr>
            <w:tcW w:w="1280" w:type="dxa"/>
            <w:vAlign w:val="bottom"/>
          </w:tcPr>
          <w:p>
            <w:pPr>
              <w:jc w:val="right"/>
              <w:ind w:right="228"/>
              <w:spacing w:after="0"/>
              <w:rPr>
                <w:sz w:val="20"/>
                <w:szCs w:val="20"/>
                <w:color w:val="auto"/>
              </w:rPr>
            </w:pPr>
            <w:r>
              <w:rPr>
                <w:rFonts w:ascii="Arial" w:cs="Arial" w:eastAsia="Arial" w:hAnsi="Arial"/>
                <w:sz w:val="14"/>
                <w:szCs w:val="14"/>
                <w:color w:val="auto"/>
              </w:rPr>
              <w:t>28.2%</w:t>
            </w:r>
          </w:p>
        </w:tc>
        <w:tc>
          <w:tcPr>
            <w:tcW w:w="1100" w:type="dxa"/>
            <w:vAlign w:val="bottom"/>
            <w:tcBorders>
              <w:right w:val="single" w:sz="8" w:color="D7282F"/>
            </w:tcBorders>
          </w:tcPr>
          <w:p>
            <w:pPr>
              <w:jc w:val="center"/>
              <w:ind w:left="128"/>
              <w:spacing w:after="0"/>
              <w:rPr>
                <w:sz w:val="20"/>
                <w:szCs w:val="20"/>
                <w:color w:val="auto"/>
              </w:rPr>
            </w:pPr>
            <w:r>
              <w:rPr>
                <w:rFonts w:ascii="Arial" w:cs="Arial" w:eastAsia="Arial" w:hAnsi="Arial"/>
                <w:sz w:val="14"/>
                <w:szCs w:val="14"/>
                <w:color w:val="auto"/>
              </w:rPr>
              <w:t>&gt;= 28.7%</w:t>
            </w:r>
          </w:p>
        </w:tc>
        <w:tc>
          <w:tcPr>
            <w:tcW w:w="1500" w:type="dxa"/>
            <w:vAlign w:val="bottom"/>
            <w:tcBorders>
              <w:right w:val="single" w:sz="8" w:color="D7282F"/>
            </w:tcBorders>
          </w:tcPr>
          <w:p>
            <w:pPr>
              <w:jc w:val="right"/>
              <w:spacing w:after="0"/>
              <w:rPr>
                <w:sz w:val="20"/>
                <w:szCs w:val="20"/>
                <w:color w:val="auto"/>
              </w:rPr>
            </w:pPr>
            <w:r>
              <w:rPr>
                <w:rFonts w:ascii="Arial" w:cs="Arial" w:eastAsia="Arial" w:hAnsi="Arial"/>
                <w:sz w:val="14"/>
                <w:szCs w:val="14"/>
                <w:color w:val="auto"/>
              </w:rPr>
              <w:t>27.1%</w:t>
            </w:r>
          </w:p>
        </w:tc>
        <w:tc>
          <w:tcPr>
            <w:tcW w:w="1420" w:type="dxa"/>
            <w:vAlign w:val="bottom"/>
          </w:tcPr>
          <w:p>
            <w:pPr>
              <w:jc w:val="right"/>
              <w:ind w:right="228"/>
              <w:spacing w:after="0"/>
              <w:rPr>
                <w:sz w:val="20"/>
                <w:szCs w:val="20"/>
                <w:color w:val="auto"/>
              </w:rPr>
            </w:pPr>
            <w:r>
              <w:rPr>
                <w:rFonts w:ascii="Arial" w:cs="Arial" w:eastAsia="Arial" w:hAnsi="Arial"/>
                <w:sz w:val="14"/>
                <w:szCs w:val="14"/>
                <w:color w:val="auto"/>
              </w:rPr>
              <w:t>0.0%</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16.7%</w:t>
            </w:r>
          </w:p>
        </w:tc>
        <w:tc>
          <w:tcPr>
            <w:tcW w:w="90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23"/>
        </w:trPr>
        <w:tc>
          <w:tcPr>
            <w:tcW w:w="2400" w:type="dxa"/>
            <w:vAlign w:val="bottom"/>
            <w:tcBorders>
              <w:bottom w:val="single" w:sz="8" w:color="939598"/>
            </w:tcBorders>
          </w:tcPr>
          <w:p>
            <w:pPr>
              <w:spacing w:after="0"/>
              <w:rPr>
                <w:sz w:val="10"/>
                <w:szCs w:val="10"/>
                <w:color w:val="auto"/>
              </w:rPr>
            </w:pPr>
          </w:p>
        </w:tc>
        <w:tc>
          <w:tcPr>
            <w:tcW w:w="1640" w:type="dxa"/>
            <w:vAlign w:val="bottom"/>
            <w:tcBorders>
              <w:bottom w:val="single" w:sz="8" w:color="939598"/>
            </w:tcBorders>
          </w:tcPr>
          <w:p>
            <w:pPr>
              <w:spacing w:after="0"/>
              <w:rPr>
                <w:sz w:val="10"/>
                <w:szCs w:val="10"/>
                <w:color w:val="auto"/>
              </w:rPr>
            </w:pPr>
          </w:p>
        </w:tc>
        <w:tc>
          <w:tcPr>
            <w:tcW w:w="1280" w:type="dxa"/>
            <w:vAlign w:val="bottom"/>
            <w:tcBorders>
              <w:bottom w:val="single" w:sz="8" w:color="939598"/>
            </w:tcBorders>
          </w:tcPr>
          <w:p>
            <w:pPr>
              <w:spacing w:after="0"/>
              <w:rPr>
                <w:sz w:val="10"/>
                <w:szCs w:val="10"/>
                <w:color w:val="auto"/>
              </w:rPr>
            </w:pPr>
          </w:p>
        </w:tc>
        <w:tc>
          <w:tcPr>
            <w:tcW w:w="1100" w:type="dxa"/>
            <w:vAlign w:val="bottom"/>
            <w:tcBorders>
              <w:bottom w:val="single" w:sz="8" w:color="939598"/>
              <w:right w:val="single" w:sz="8" w:color="D7282F"/>
            </w:tcBorders>
          </w:tcPr>
          <w:p>
            <w:pPr>
              <w:spacing w:after="0"/>
              <w:rPr>
                <w:sz w:val="10"/>
                <w:szCs w:val="10"/>
                <w:color w:val="auto"/>
              </w:rPr>
            </w:pPr>
          </w:p>
        </w:tc>
        <w:tc>
          <w:tcPr>
            <w:tcW w:w="1500" w:type="dxa"/>
            <w:vAlign w:val="bottom"/>
            <w:tcBorders>
              <w:bottom w:val="single" w:sz="8" w:color="939598"/>
              <w:right w:val="single" w:sz="8" w:color="D7282F"/>
            </w:tcBorders>
          </w:tcPr>
          <w:p>
            <w:pPr>
              <w:spacing w:after="0"/>
              <w:rPr>
                <w:sz w:val="10"/>
                <w:szCs w:val="10"/>
                <w:color w:val="auto"/>
              </w:rPr>
            </w:pPr>
          </w:p>
        </w:tc>
        <w:tc>
          <w:tcPr>
            <w:tcW w:w="1420" w:type="dxa"/>
            <w:vAlign w:val="bottom"/>
            <w:tcBorders>
              <w:bottom w:val="single" w:sz="8" w:color="939598"/>
            </w:tcBorders>
          </w:tcPr>
          <w:p>
            <w:pPr>
              <w:spacing w:after="0"/>
              <w:rPr>
                <w:sz w:val="10"/>
                <w:szCs w:val="10"/>
                <w:color w:val="auto"/>
              </w:rPr>
            </w:pPr>
          </w:p>
        </w:tc>
        <w:tc>
          <w:tcPr>
            <w:tcW w:w="1000" w:type="dxa"/>
            <w:vAlign w:val="bottom"/>
            <w:tcBorders>
              <w:bottom w:val="single" w:sz="8" w:color="939598"/>
            </w:tcBorders>
          </w:tcPr>
          <w:p>
            <w:pPr>
              <w:spacing w:after="0"/>
              <w:rPr>
                <w:sz w:val="10"/>
                <w:szCs w:val="10"/>
                <w:color w:val="auto"/>
              </w:rPr>
            </w:pPr>
          </w:p>
        </w:tc>
        <w:tc>
          <w:tcPr>
            <w:tcW w:w="900" w:type="dxa"/>
            <w:vAlign w:val="bottom"/>
            <w:tcBorders>
              <w:bottom w:val="single" w:sz="8" w:color="939598"/>
            </w:tcBorders>
          </w:tcPr>
          <w:p>
            <w:pPr>
              <w:spacing w:after="0"/>
              <w:rPr>
                <w:sz w:val="10"/>
                <w:szCs w:val="10"/>
                <w:color w:val="auto"/>
              </w:rPr>
            </w:pPr>
          </w:p>
        </w:tc>
      </w:tr>
      <w:tr>
        <w:trPr>
          <w:trHeight w:val="315"/>
        </w:trPr>
        <w:tc>
          <w:tcPr>
            <w:tcW w:w="2400" w:type="dxa"/>
            <w:vAlign w:val="bottom"/>
          </w:tcPr>
          <w:p>
            <w:pPr>
              <w:ind w:left="20"/>
              <w:spacing w:after="0"/>
              <w:rPr>
                <w:sz w:val="20"/>
                <w:szCs w:val="20"/>
                <w:color w:val="auto"/>
              </w:rPr>
            </w:pPr>
            <w:r>
              <w:rPr>
                <w:rFonts w:ascii="Arial" w:cs="Arial" w:eastAsia="Arial" w:hAnsi="Arial"/>
                <w:sz w:val="14"/>
                <w:szCs w:val="14"/>
                <w:b w:val="1"/>
                <w:bCs w:val="1"/>
                <w:color w:val="auto"/>
              </w:rPr>
              <w:t>AT ROI</w:t>
            </w:r>
          </w:p>
        </w:tc>
        <w:tc>
          <w:tcPr>
            <w:tcW w:w="1640" w:type="dxa"/>
            <w:vAlign w:val="bottom"/>
          </w:tcPr>
          <w:p>
            <w:pPr>
              <w:jc w:val="right"/>
              <w:ind w:right="328"/>
              <w:spacing w:after="0"/>
              <w:rPr>
                <w:sz w:val="20"/>
                <w:szCs w:val="20"/>
                <w:color w:val="auto"/>
              </w:rPr>
            </w:pPr>
            <w:r>
              <w:rPr>
                <w:rFonts w:ascii="Arial" w:cs="Arial" w:eastAsia="Arial" w:hAnsi="Arial"/>
                <w:sz w:val="14"/>
                <w:szCs w:val="14"/>
                <w:color w:val="auto"/>
              </w:rPr>
              <w:t>43.3%</w:t>
            </w:r>
          </w:p>
        </w:tc>
        <w:tc>
          <w:tcPr>
            <w:tcW w:w="1280" w:type="dxa"/>
            <w:vAlign w:val="bottom"/>
          </w:tcPr>
          <w:p>
            <w:pPr>
              <w:jc w:val="right"/>
              <w:ind w:right="228"/>
              <w:spacing w:after="0"/>
              <w:rPr>
                <w:sz w:val="20"/>
                <w:szCs w:val="20"/>
                <w:color w:val="auto"/>
              </w:rPr>
            </w:pPr>
            <w:r>
              <w:rPr>
                <w:rFonts w:ascii="Arial" w:cs="Arial" w:eastAsia="Arial" w:hAnsi="Arial"/>
                <w:sz w:val="14"/>
                <w:szCs w:val="14"/>
                <w:color w:val="auto"/>
              </w:rPr>
              <w:t>45.6%</w:t>
            </w:r>
          </w:p>
        </w:tc>
        <w:tc>
          <w:tcPr>
            <w:tcW w:w="1100" w:type="dxa"/>
            <w:vAlign w:val="bottom"/>
            <w:tcBorders>
              <w:right w:val="single" w:sz="8" w:color="D7282F"/>
            </w:tcBorders>
          </w:tcPr>
          <w:p>
            <w:pPr>
              <w:jc w:val="center"/>
              <w:ind w:left="128"/>
              <w:spacing w:after="0"/>
              <w:rPr>
                <w:sz w:val="20"/>
                <w:szCs w:val="20"/>
                <w:color w:val="auto"/>
              </w:rPr>
            </w:pPr>
            <w:r>
              <w:rPr>
                <w:rFonts w:ascii="Arial" w:cs="Arial" w:eastAsia="Arial" w:hAnsi="Arial"/>
                <w:sz w:val="14"/>
                <w:szCs w:val="14"/>
                <w:color w:val="auto"/>
              </w:rPr>
              <w:t>&gt;= 47.1%</w:t>
            </w:r>
          </w:p>
        </w:tc>
        <w:tc>
          <w:tcPr>
            <w:tcW w:w="1500" w:type="dxa"/>
            <w:vAlign w:val="bottom"/>
            <w:tcBorders>
              <w:right w:val="single" w:sz="8" w:color="D7282F"/>
            </w:tcBorders>
          </w:tcPr>
          <w:p>
            <w:pPr>
              <w:jc w:val="right"/>
              <w:spacing w:after="0"/>
              <w:rPr>
                <w:sz w:val="20"/>
                <w:szCs w:val="20"/>
                <w:color w:val="auto"/>
              </w:rPr>
            </w:pPr>
            <w:r>
              <w:rPr>
                <w:rFonts w:ascii="Arial" w:cs="Arial" w:eastAsia="Arial" w:hAnsi="Arial"/>
                <w:sz w:val="14"/>
                <w:szCs w:val="14"/>
                <w:color w:val="auto"/>
              </w:rPr>
              <w:t>45.7%</w:t>
            </w:r>
          </w:p>
        </w:tc>
        <w:tc>
          <w:tcPr>
            <w:tcW w:w="1420" w:type="dxa"/>
            <w:vAlign w:val="bottom"/>
          </w:tcPr>
          <w:p>
            <w:pPr>
              <w:jc w:val="right"/>
              <w:ind w:right="228"/>
              <w:spacing w:after="0"/>
              <w:rPr>
                <w:sz w:val="20"/>
                <w:szCs w:val="20"/>
                <w:color w:val="auto"/>
              </w:rPr>
            </w:pPr>
            <w:r>
              <w:rPr>
                <w:rFonts w:ascii="Arial" w:cs="Arial" w:eastAsia="Arial" w:hAnsi="Arial"/>
                <w:sz w:val="14"/>
                <w:szCs w:val="14"/>
                <w:color w:val="auto"/>
              </w:rPr>
              <w:t>106.7%</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16.7%</w:t>
            </w:r>
          </w:p>
        </w:tc>
        <w:tc>
          <w:tcPr>
            <w:tcW w:w="90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124"/>
        </w:trPr>
        <w:tc>
          <w:tcPr>
            <w:tcW w:w="2400" w:type="dxa"/>
            <w:vAlign w:val="bottom"/>
            <w:tcBorders>
              <w:bottom w:val="single" w:sz="8" w:color="939598"/>
            </w:tcBorders>
          </w:tcPr>
          <w:p>
            <w:pPr>
              <w:spacing w:after="0"/>
              <w:rPr>
                <w:sz w:val="10"/>
                <w:szCs w:val="10"/>
                <w:color w:val="auto"/>
              </w:rPr>
            </w:pPr>
          </w:p>
        </w:tc>
        <w:tc>
          <w:tcPr>
            <w:tcW w:w="1640" w:type="dxa"/>
            <w:vAlign w:val="bottom"/>
            <w:tcBorders>
              <w:bottom w:val="single" w:sz="8" w:color="939598"/>
            </w:tcBorders>
          </w:tcPr>
          <w:p>
            <w:pPr>
              <w:spacing w:after="0"/>
              <w:rPr>
                <w:sz w:val="10"/>
                <w:szCs w:val="10"/>
                <w:color w:val="auto"/>
              </w:rPr>
            </w:pPr>
          </w:p>
        </w:tc>
        <w:tc>
          <w:tcPr>
            <w:tcW w:w="1280" w:type="dxa"/>
            <w:vAlign w:val="bottom"/>
            <w:tcBorders>
              <w:bottom w:val="single" w:sz="8" w:color="939598"/>
            </w:tcBorders>
          </w:tcPr>
          <w:p>
            <w:pPr>
              <w:spacing w:after="0"/>
              <w:rPr>
                <w:sz w:val="10"/>
                <w:szCs w:val="10"/>
                <w:color w:val="auto"/>
              </w:rPr>
            </w:pPr>
          </w:p>
        </w:tc>
        <w:tc>
          <w:tcPr>
            <w:tcW w:w="1100" w:type="dxa"/>
            <w:vAlign w:val="bottom"/>
            <w:tcBorders>
              <w:bottom w:val="single" w:sz="8" w:color="939598"/>
              <w:right w:val="single" w:sz="8" w:color="D7282F"/>
            </w:tcBorders>
          </w:tcPr>
          <w:p>
            <w:pPr>
              <w:spacing w:after="0"/>
              <w:rPr>
                <w:sz w:val="10"/>
                <w:szCs w:val="10"/>
                <w:color w:val="auto"/>
              </w:rPr>
            </w:pPr>
          </w:p>
        </w:tc>
        <w:tc>
          <w:tcPr>
            <w:tcW w:w="1500" w:type="dxa"/>
            <w:vAlign w:val="bottom"/>
            <w:tcBorders>
              <w:bottom w:val="single" w:sz="8" w:color="939598"/>
              <w:right w:val="single" w:sz="8" w:color="D7282F"/>
            </w:tcBorders>
          </w:tcPr>
          <w:p>
            <w:pPr>
              <w:spacing w:after="0"/>
              <w:rPr>
                <w:sz w:val="10"/>
                <w:szCs w:val="10"/>
                <w:color w:val="auto"/>
              </w:rPr>
            </w:pPr>
          </w:p>
        </w:tc>
        <w:tc>
          <w:tcPr>
            <w:tcW w:w="1420" w:type="dxa"/>
            <w:vAlign w:val="bottom"/>
            <w:tcBorders>
              <w:bottom w:val="single" w:sz="8" w:color="939598"/>
            </w:tcBorders>
          </w:tcPr>
          <w:p>
            <w:pPr>
              <w:spacing w:after="0"/>
              <w:rPr>
                <w:sz w:val="10"/>
                <w:szCs w:val="10"/>
                <w:color w:val="auto"/>
              </w:rPr>
            </w:pPr>
          </w:p>
        </w:tc>
        <w:tc>
          <w:tcPr>
            <w:tcW w:w="1000" w:type="dxa"/>
            <w:vAlign w:val="bottom"/>
            <w:tcBorders>
              <w:bottom w:val="single" w:sz="8" w:color="939598"/>
            </w:tcBorders>
          </w:tcPr>
          <w:p>
            <w:pPr>
              <w:spacing w:after="0"/>
              <w:rPr>
                <w:sz w:val="10"/>
                <w:szCs w:val="10"/>
                <w:color w:val="auto"/>
              </w:rPr>
            </w:pPr>
          </w:p>
        </w:tc>
        <w:tc>
          <w:tcPr>
            <w:tcW w:w="900" w:type="dxa"/>
            <w:vAlign w:val="bottom"/>
            <w:tcBorders>
              <w:bottom w:val="single" w:sz="8" w:color="939598"/>
            </w:tcBorders>
          </w:tcPr>
          <w:p>
            <w:pPr>
              <w:spacing w:after="0"/>
              <w:rPr>
                <w:sz w:val="10"/>
                <w:szCs w:val="10"/>
                <w:color w:val="auto"/>
              </w:rPr>
            </w:pPr>
          </w:p>
        </w:tc>
      </w:tr>
      <w:tr>
        <w:trPr>
          <w:trHeight w:val="315"/>
        </w:trPr>
        <w:tc>
          <w:tcPr>
            <w:tcW w:w="2400" w:type="dxa"/>
            <w:vAlign w:val="bottom"/>
          </w:tcPr>
          <w:p>
            <w:pPr>
              <w:ind w:left="20"/>
              <w:spacing w:after="0"/>
              <w:rPr>
                <w:sz w:val="20"/>
                <w:szCs w:val="20"/>
                <w:color w:val="auto"/>
              </w:rPr>
            </w:pPr>
            <w:r>
              <w:rPr>
                <w:rFonts w:ascii="Arial" w:cs="Arial" w:eastAsia="Arial" w:hAnsi="Arial"/>
                <w:sz w:val="14"/>
                <w:szCs w:val="14"/>
                <w:b w:val="1"/>
                <w:bCs w:val="1"/>
                <w:color w:val="auto"/>
              </w:rPr>
              <w:t>HON Revenue</w:t>
            </w:r>
          </w:p>
        </w:tc>
        <w:tc>
          <w:tcPr>
            <w:tcW w:w="1640" w:type="dxa"/>
            <w:vAlign w:val="bottom"/>
          </w:tcPr>
          <w:p>
            <w:pPr>
              <w:jc w:val="right"/>
              <w:ind w:right="328"/>
              <w:spacing w:after="0"/>
              <w:rPr>
                <w:sz w:val="20"/>
                <w:szCs w:val="20"/>
                <w:color w:val="auto"/>
              </w:rPr>
            </w:pPr>
            <w:r>
              <w:rPr>
                <w:rFonts w:ascii="Arial" w:cs="Arial" w:eastAsia="Arial" w:hAnsi="Arial"/>
                <w:sz w:val="14"/>
                <w:szCs w:val="14"/>
                <w:color w:val="auto"/>
              </w:rPr>
              <w:t>$106,158</w:t>
            </w:r>
          </w:p>
        </w:tc>
        <w:tc>
          <w:tcPr>
            <w:tcW w:w="1280" w:type="dxa"/>
            <w:vAlign w:val="bottom"/>
          </w:tcPr>
          <w:p>
            <w:pPr>
              <w:jc w:val="right"/>
              <w:ind w:right="228"/>
              <w:spacing w:after="0"/>
              <w:rPr>
                <w:sz w:val="20"/>
                <w:szCs w:val="20"/>
                <w:color w:val="auto"/>
              </w:rPr>
            </w:pPr>
            <w:r>
              <w:rPr>
                <w:rFonts w:ascii="Arial" w:cs="Arial" w:eastAsia="Arial" w:hAnsi="Arial"/>
                <w:sz w:val="14"/>
                <w:szCs w:val="14"/>
                <w:color w:val="auto"/>
              </w:rPr>
              <w:t>$114,148</w:t>
            </w:r>
          </w:p>
        </w:tc>
        <w:tc>
          <w:tcPr>
            <w:tcW w:w="1100" w:type="dxa"/>
            <w:vAlign w:val="bottom"/>
            <w:tcBorders>
              <w:right w:val="single" w:sz="8" w:color="D7282F"/>
            </w:tcBorders>
          </w:tcPr>
          <w:p>
            <w:pPr>
              <w:jc w:val="right"/>
              <w:ind w:right="108"/>
              <w:spacing w:after="0"/>
              <w:rPr>
                <w:sz w:val="20"/>
                <w:szCs w:val="20"/>
                <w:color w:val="auto"/>
              </w:rPr>
            </w:pPr>
            <w:r>
              <w:rPr>
                <w:rFonts w:ascii="Arial" w:cs="Arial" w:eastAsia="Arial" w:hAnsi="Arial"/>
                <w:sz w:val="14"/>
                <w:szCs w:val="14"/>
                <w:color w:val="auto"/>
              </w:rPr>
              <w:t>$118,143</w:t>
            </w:r>
          </w:p>
        </w:tc>
        <w:tc>
          <w:tcPr>
            <w:tcW w:w="1500" w:type="dxa"/>
            <w:vAlign w:val="bottom"/>
            <w:tcBorders>
              <w:right w:val="single" w:sz="8" w:color="D7282F"/>
            </w:tcBorders>
          </w:tcPr>
          <w:p>
            <w:pPr>
              <w:jc w:val="right"/>
              <w:spacing w:after="0"/>
              <w:rPr>
                <w:sz w:val="20"/>
                <w:szCs w:val="20"/>
                <w:color w:val="auto"/>
              </w:rPr>
            </w:pPr>
            <w:r>
              <w:rPr>
                <w:rFonts w:ascii="Arial" w:cs="Arial" w:eastAsia="Arial" w:hAnsi="Arial"/>
                <w:sz w:val="14"/>
                <w:szCs w:val="14"/>
                <w:color w:val="auto"/>
              </w:rPr>
              <w:t>$113,414</w:t>
            </w:r>
          </w:p>
        </w:tc>
        <w:tc>
          <w:tcPr>
            <w:tcW w:w="1420" w:type="dxa"/>
            <w:vAlign w:val="bottom"/>
          </w:tcPr>
          <w:p>
            <w:pPr>
              <w:jc w:val="right"/>
              <w:ind w:right="228"/>
              <w:spacing w:after="0"/>
              <w:rPr>
                <w:sz w:val="20"/>
                <w:szCs w:val="20"/>
                <w:color w:val="auto"/>
              </w:rPr>
            </w:pPr>
            <w:r>
              <w:rPr>
                <w:rFonts w:ascii="Arial" w:cs="Arial" w:eastAsia="Arial" w:hAnsi="Arial"/>
                <w:sz w:val="14"/>
                <w:szCs w:val="14"/>
                <w:color w:val="auto"/>
              </w:rPr>
              <w:t>95.4%</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16.7%</w:t>
            </w:r>
          </w:p>
        </w:tc>
        <w:tc>
          <w:tcPr>
            <w:tcW w:w="90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123"/>
        </w:trPr>
        <w:tc>
          <w:tcPr>
            <w:tcW w:w="2400" w:type="dxa"/>
            <w:vAlign w:val="bottom"/>
            <w:tcBorders>
              <w:bottom w:val="single" w:sz="8" w:color="939598"/>
            </w:tcBorders>
          </w:tcPr>
          <w:p>
            <w:pPr>
              <w:spacing w:after="0"/>
              <w:rPr>
                <w:sz w:val="10"/>
                <w:szCs w:val="10"/>
                <w:color w:val="auto"/>
              </w:rPr>
            </w:pPr>
          </w:p>
        </w:tc>
        <w:tc>
          <w:tcPr>
            <w:tcW w:w="1640" w:type="dxa"/>
            <w:vAlign w:val="bottom"/>
            <w:tcBorders>
              <w:bottom w:val="single" w:sz="8" w:color="939598"/>
            </w:tcBorders>
          </w:tcPr>
          <w:p>
            <w:pPr>
              <w:spacing w:after="0"/>
              <w:rPr>
                <w:sz w:val="10"/>
                <w:szCs w:val="10"/>
                <w:color w:val="auto"/>
              </w:rPr>
            </w:pPr>
          </w:p>
        </w:tc>
        <w:tc>
          <w:tcPr>
            <w:tcW w:w="1280" w:type="dxa"/>
            <w:vAlign w:val="bottom"/>
            <w:tcBorders>
              <w:bottom w:val="single" w:sz="8" w:color="939598"/>
            </w:tcBorders>
          </w:tcPr>
          <w:p>
            <w:pPr>
              <w:spacing w:after="0"/>
              <w:rPr>
                <w:sz w:val="10"/>
                <w:szCs w:val="10"/>
                <w:color w:val="auto"/>
              </w:rPr>
            </w:pPr>
          </w:p>
        </w:tc>
        <w:tc>
          <w:tcPr>
            <w:tcW w:w="1100" w:type="dxa"/>
            <w:vAlign w:val="bottom"/>
            <w:tcBorders>
              <w:bottom w:val="single" w:sz="8" w:color="939598"/>
              <w:right w:val="single" w:sz="8" w:color="D7282F"/>
            </w:tcBorders>
          </w:tcPr>
          <w:p>
            <w:pPr>
              <w:spacing w:after="0"/>
              <w:rPr>
                <w:sz w:val="10"/>
                <w:szCs w:val="10"/>
                <w:color w:val="auto"/>
              </w:rPr>
            </w:pPr>
          </w:p>
        </w:tc>
        <w:tc>
          <w:tcPr>
            <w:tcW w:w="1500" w:type="dxa"/>
            <w:vAlign w:val="bottom"/>
            <w:tcBorders>
              <w:bottom w:val="single" w:sz="8" w:color="939598"/>
              <w:right w:val="single" w:sz="8" w:color="D7282F"/>
            </w:tcBorders>
          </w:tcPr>
          <w:p>
            <w:pPr>
              <w:spacing w:after="0"/>
              <w:rPr>
                <w:sz w:val="10"/>
                <w:szCs w:val="10"/>
                <w:color w:val="auto"/>
              </w:rPr>
            </w:pPr>
          </w:p>
        </w:tc>
        <w:tc>
          <w:tcPr>
            <w:tcW w:w="1420" w:type="dxa"/>
            <w:vAlign w:val="bottom"/>
            <w:tcBorders>
              <w:bottom w:val="single" w:sz="8" w:color="939598"/>
            </w:tcBorders>
          </w:tcPr>
          <w:p>
            <w:pPr>
              <w:spacing w:after="0"/>
              <w:rPr>
                <w:sz w:val="10"/>
                <w:szCs w:val="10"/>
                <w:color w:val="auto"/>
              </w:rPr>
            </w:pPr>
          </w:p>
        </w:tc>
        <w:tc>
          <w:tcPr>
            <w:tcW w:w="1000" w:type="dxa"/>
            <w:vAlign w:val="bottom"/>
            <w:tcBorders>
              <w:bottom w:val="single" w:sz="8" w:color="939598"/>
            </w:tcBorders>
          </w:tcPr>
          <w:p>
            <w:pPr>
              <w:spacing w:after="0"/>
              <w:rPr>
                <w:sz w:val="10"/>
                <w:szCs w:val="10"/>
                <w:color w:val="auto"/>
              </w:rPr>
            </w:pPr>
          </w:p>
        </w:tc>
        <w:tc>
          <w:tcPr>
            <w:tcW w:w="900" w:type="dxa"/>
            <w:vAlign w:val="bottom"/>
            <w:tcBorders>
              <w:bottom w:val="single" w:sz="8" w:color="939598"/>
            </w:tcBorders>
          </w:tcPr>
          <w:p>
            <w:pPr>
              <w:spacing w:after="0"/>
              <w:rPr>
                <w:sz w:val="10"/>
                <w:szCs w:val="10"/>
                <w:color w:val="auto"/>
              </w:rPr>
            </w:pPr>
          </w:p>
        </w:tc>
      </w:tr>
      <w:tr>
        <w:trPr>
          <w:trHeight w:val="316"/>
        </w:trPr>
        <w:tc>
          <w:tcPr>
            <w:tcW w:w="2400" w:type="dxa"/>
            <w:vAlign w:val="bottom"/>
          </w:tcPr>
          <w:p>
            <w:pPr>
              <w:ind w:left="20"/>
              <w:spacing w:after="0"/>
              <w:rPr>
                <w:sz w:val="20"/>
                <w:szCs w:val="20"/>
                <w:color w:val="auto"/>
              </w:rPr>
            </w:pPr>
            <w:r>
              <w:rPr>
                <w:rFonts w:ascii="Arial" w:cs="Arial" w:eastAsia="Arial" w:hAnsi="Arial"/>
                <w:sz w:val="14"/>
                <w:szCs w:val="14"/>
                <w:b w:val="1"/>
                <w:bCs w:val="1"/>
                <w:color w:val="auto"/>
              </w:rPr>
              <w:t>HON Segment Margin Rate</w:t>
            </w:r>
          </w:p>
        </w:tc>
        <w:tc>
          <w:tcPr>
            <w:tcW w:w="1640" w:type="dxa"/>
            <w:vAlign w:val="bottom"/>
          </w:tcPr>
          <w:p>
            <w:pPr>
              <w:jc w:val="right"/>
              <w:ind w:right="328"/>
              <w:spacing w:after="0"/>
              <w:rPr>
                <w:sz w:val="20"/>
                <w:szCs w:val="20"/>
                <w:color w:val="auto"/>
              </w:rPr>
            </w:pPr>
            <w:r>
              <w:rPr>
                <w:rFonts w:ascii="Arial" w:cs="Arial" w:eastAsia="Arial" w:hAnsi="Arial"/>
                <w:sz w:val="14"/>
                <w:szCs w:val="14"/>
                <w:color w:val="auto"/>
              </w:rPr>
              <w:t>22.5%</w:t>
            </w:r>
          </w:p>
        </w:tc>
        <w:tc>
          <w:tcPr>
            <w:tcW w:w="1280" w:type="dxa"/>
            <w:vAlign w:val="bottom"/>
          </w:tcPr>
          <w:p>
            <w:pPr>
              <w:jc w:val="right"/>
              <w:ind w:right="228"/>
              <w:spacing w:after="0"/>
              <w:rPr>
                <w:sz w:val="20"/>
                <w:szCs w:val="20"/>
                <w:color w:val="auto"/>
              </w:rPr>
            </w:pPr>
            <w:r>
              <w:rPr>
                <w:rFonts w:ascii="Arial" w:cs="Arial" w:eastAsia="Arial" w:hAnsi="Arial"/>
                <w:sz w:val="14"/>
                <w:szCs w:val="14"/>
                <w:color w:val="auto"/>
              </w:rPr>
              <w:t>23.3%</w:t>
            </w:r>
          </w:p>
        </w:tc>
        <w:tc>
          <w:tcPr>
            <w:tcW w:w="1100" w:type="dxa"/>
            <w:vAlign w:val="bottom"/>
            <w:tcBorders>
              <w:right w:val="single" w:sz="8" w:color="D7282F"/>
            </w:tcBorders>
          </w:tcPr>
          <w:p>
            <w:pPr>
              <w:jc w:val="center"/>
              <w:ind w:left="128"/>
              <w:spacing w:after="0"/>
              <w:rPr>
                <w:sz w:val="20"/>
                <w:szCs w:val="20"/>
                <w:color w:val="auto"/>
              </w:rPr>
            </w:pPr>
            <w:r>
              <w:rPr>
                <w:rFonts w:ascii="Arial" w:cs="Arial" w:eastAsia="Arial" w:hAnsi="Arial"/>
                <w:sz w:val="14"/>
                <w:szCs w:val="14"/>
                <w:color w:val="auto"/>
              </w:rPr>
              <w:t>&gt;= 23.8%</w:t>
            </w:r>
          </w:p>
        </w:tc>
        <w:tc>
          <w:tcPr>
            <w:tcW w:w="1500" w:type="dxa"/>
            <w:vAlign w:val="bottom"/>
            <w:tcBorders>
              <w:right w:val="single" w:sz="8" w:color="D7282F"/>
            </w:tcBorders>
          </w:tcPr>
          <w:p>
            <w:pPr>
              <w:jc w:val="right"/>
              <w:spacing w:after="0"/>
              <w:rPr>
                <w:sz w:val="20"/>
                <w:szCs w:val="20"/>
                <w:color w:val="auto"/>
              </w:rPr>
            </w:pPr>
            <w:r>
              <w:rPr>
                <w:rFonts w:ascii="Arial" w:cs="Arial" w:eastAsia="Arial" w:hAnsi="Arial"/>
                <w:sz w:val="14"/>
                <w:szCs w:val="14"/>
                <w:color w:val="auto"/>
              </w:rPr>
              <w:t>22.8%</w:t>
            </w:r>
          </w:p>
        </w:tc>
        <w:tc>
          <w:tcPr>
            <w:tcW w:w="1420" w:type="dxa"/>
            <w:vAlign w:val="bottom"/>
          </w:tcPr>
          <w:p>
            <w:pPr>
              <w:jc w:val="right"/>
              <w:ind w:right="228"/>
              <w:spacing w:after="0"/>
              <w:rPr>
                <w:sz w:val="20"/>
                <w:szCs w:val="20"/>
                <w:color w:val="auto"/>
              </w:rPr>
            </w:pPr>
            <w:r>
              <w:rPr>
                <w:rFonts w:ascii="Arial" w:cs="Arial" w:eastAsia="Arial" w:hAnsi="Arial"/>
                <w:sz w:val="14"/>
                <w:szCs w:val="14"/>
                <w:color w:val="auto"/>
              </w:rPr>
              <w:t>68.8%</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16.7%</w:t>
            </w:r>
          </w:p>
        </w:tc>
        <w:tc>
          <w:tcPr>
            <w:tcW w:w="90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123"/>
        </w:trPr>
        <w:tc>
          <w:tcPr>
            <w:tcW w:w="2400" w:type="dxa"/>
            <w:vAlign w:val="bottom"/>
            <w:tcBorders>
              <w:bottom w:val="single" w:sz="8" w:color="939598"/>
            </w:tcBorders>
          </w:tcPr>
          <w:p>
            <w:pPr>
              <w:spacing w:after="0"/>
              <w:rPr>
                <w:sz w:val="10"/>
                <w:szCs w:val="10"/>
                <w:color w:val="auto"/>
              </w:rPr>
            </w:pPr>
          </w:p>
        </w:tc>
        <w:tc>
          <w:tcPr>
            <w:tcW w:w="1640" w:type="dxa"/>
            <w:vAlign w:val="bottom"/>
            <w:tcBorders>
              <w:bottom w:val="single" w:sz="8" w:color="939598"/>
            </w:tcBorders>
          </w:tcPr>
          <w:p>
            <w:pPr>
              <w:spacing w:after="0"/>
              <w:rPr>
                <w:sz w:val="10"/>
                <w:szCs w:val="10"/>
                <w:color w:val="auto"/>
              </w:rPr>
            </w:pPr>
          </w:p>
        </w:tc>
        <w:tc>
          <w:tcPr>
            <w:tcW w:w="1280" w:type="dxa"/>
            <w:vAlign w:val="bottom"/>
            <w:tcBorders>
              <w:bottom w:val="single" w:sz="8" w:color="939598"/>
            </w:tcBorders>
          </w:tcPr>
          <w:p>
            <w:pPr>
              <w:spacing w:after="0"/>
              <w:rPr>
                <w:sz w:val="10"/>
                <w:szCs w:val="10"/>
                <w:color w:val="auto"/>
              </w:rPr>
            </w:pPr>
          </w:p>
        </w:tc>
        <w:tc>
          <w:tcPr>
            <w:tcW w:w="1100" w:type="dxa"/>
            <w:vAlign w:val="bottom"/>
            <w:tcBorders>
              <w:bottom w:val="single" w:sz="8" w:color="939598"/>
              <w:right w:val="single" w:sz="8" w:color="D7282F"/>
            </w:tcBorders>
          </w:tcPr>
          <w:p>
            <w:pPr>
              <w:spacing w:after="0"/>
              <w:rPr>
                <w:sz w:val="10"/>
                <w:szCs w:val="10"/>
                <w:color w:val="auto"/>
              </w:rPr>
            </w:pPr>
          </w:p>
        </w:tc>
        <w:tc>
          <w:tcPr>
            <w:tcW w:w="1500" w:type="dxa"/>
            <w:vAlign w:val="bottom"/>
            <w:tcBorders>
              <w:bottom w:val="single" w:sz="8" w:color="939598"/>
              <w:right w:val="single" w:sz="8" w:color="D7282F"/>
            </w:tcBorders>
          </w:tcPr>
          <w:p>
            <w:pPr>
              <w:spacing w:after="0"/>
              <w:rPr>
                <w:sz w:val="10"/>
                <w:szCs w:val="10"/>
                <w:color w:val="auto"/>
              </w:rPr>
            </w:pPr>
          </w:p>
        </w:tc>
        <w:tc>
          <w:tcPr>
            <w:tcW w:w="1420" w:type="dxa"/>
            <w:vAlign w:val="bottom"/>
            <w:tcBorders>
              <w:bottom w:val="single" w:sz="8" w:color="939598"/>
            </w:tcBorders>
          </w:tcPr>
          <w:p>
            <w:pPr>
              <w:spacing w:after="0"/>
              <w:rPr>
                <w:sz w:val="10"/>
                <w:szCs w:val="10"/>
                <w:color w:val="auto"/>
              </w:rPr>
            </w:pPr>
          </w:p>
        </w:tc>
        <w:tc>
          <w:tcPr>
            <w:tcW w:w="1000" w:type="dxa"/>
            <w:vAlign w:val="bottom"/>
            <w:tcBorders>
              <w:bottom w:val="single" w:sz="8" w:color="939598"/>
            </w:tcBorders>
          </w:tcPr>
          <w:p>
            <w:pPr>
              <w:spacing w:after="0"/>
              <w:rPr>
                <w:sz w:val="10"/>
                <w:szCs w:val="10"/>
                <w:color w:val="auto"/>
              </w:rPr>
            </w:pPr>
          </w:p>
        </w:tc>
        <w:tc>
          <w:tcPr>
            <w:tcW w:w="900" w:type="dxa"/>
            <w:vAlign w:val="bottom"/>
            <w:tcBorders>
              <w:bottom w:val="single" w:sz="8" w:color="939598"/>
            </w:tcBorders>
          </w:tcPr>
          <w:p>
            <w:pPr>
              <w:spacing w:after="0"/>
              <w:rPr>
                <w:sz w:val="10"/>
                <w:szCs w:val="10"/>
                <w:color w:val="auto"/>
              </w:rPr>
            </w:pPr>
          </w:p>
        </w:tc>
      </w:tr>
      <w:tr>
        <w:trPr>
          <w:trHeight w:val="315"/>
        </w:trPr>
        <w:tc>
          <w:tcPr>
            <w:tcW w:w="2400" w:type="dxa"/>
            <w:vAlign w:val="bottom"/>
          </w:tcPr>
          <w:p>
            <w:pPr>
              <w:ind w:left="20"/>
              <w:spacing w:after="0"/>
              <w:rPr>
                <w:sz w:val="20"/>
                <w:szCs w:val="20"/>
                <w:color w:val="auto"/>
              </w:rPr>
            </w:pPr>
            <w:r>
              <w:rPr>
                <w:rFonts w:ascii="Arial" w:cs="Arial" w:eastAsia="Arial" w:hAnsi="Arial"/>
                <w:sz w:val="14"/>
                <w:szCs w:val="14"/>
                <w:b w:val="1"/>
                <w:bCs w:val="1"/>
                <w:color w:val="auto"/>
              </w:rPr>
              <w:t>HON Average ROI</w:t>
            </w:r>
          </w:p>
        </w:tc>
        <w:tc>
          <w:tcPr>
            <w:tcW w:w="1640" w:type="dxa"/>
            <w:vAlign w:val="bottom"/>
          </w:tcPr>
          <w:p>
            <w:pPr>
              <w:jc w:val="right"/>
              <w:ind w:right="328"/>
              <w:spacing w:after="0"/>
              <w:rPr>
                <w:sz w:val="20"/>
                <w:szCs w:val="20"/>
                <w:color w:val="auto"/>
              </w:rPr>
            </w:pPr>
            <w:r>
              <w:rPr>
                <w:rFonts w:ascii="Arial" w:cs="Arial" w:eastAsia="Arial" w:hAnsi="Arial"/>
                <w:sz w:val="14"/>
                <w:szCs w:val="14"/>
                <w:color w:val="auto"/>
              </w:rPr>
              <w:t>22.9%</w:t>
            </w:r>
          </w:p>
        </w:tc>
        <w:tc>
          <w:tcPr>
            <w:tcW w:w="1280" w:type="dxa"/>
            <w:vAlign w:val="bottom"/>
          </w:tcPr>
          <w:p>
            <w:pPr>
              <w:jc w:val="right"/>
              <w:ind w:right="228"/>
              <w:spacing w:after="0"/>
              <w:rPr>
                <w:sz w:val="20"/>
                <w:szCs w:val="20"/>
                <w:color w:val="auto"/>
              </w:rPr>
            </w:pPr>
            <w:r>
              <w:rPr>
                <w:rFonts w:ascii="Arial" w:cs="Arial" w:eastAsia="Arial" w:hAnsi="Arial"/>
                <w:sz w:val="14"/>
                <w:szCs w:val="14"/>
                <w:color w:val="auto"/>
              </w:rPr>
              <w:t>24.4%</w:t>
            </w:r>
          </w:p>
        </w:tc>
        <w:tc>
          <w:tcPr>
            <w:tcW w:w="1100" w:type="dxa"/>
            <w:vAlign w:val="bottom"/>
            <w:tcBorders>
              <w:right w:val="single" w:sz="8" w:color="D7282F"/>
            </w:tcBorders>
          </w:tcPr>
          <w:p>
            <w:pPr>
              <w:jc w:val="center"/>
              <w:ind w:left="128"/>
              <w:spacing w:after="0"/>
              <w:rPr>
                <w:sz w:val="20"/>
                <w:szCs w:val="20"/>
                <w:color w:val="auto"/>
              </w:rPr>
            </w:pPr>
            <w:r>
              <w:rPr>
                <w:rFonts w:ascii="Arial" w:cs="Arial" w:eastAsia="Arial" w:hAnsi="Arial"/>
                <w:sz w:val="14"/>
                <w:szCs w:val="14"/>
                <w:color w:val="auto"/>
              </w:rPr>
              <w:t>&gt;= 25.4%</w:t>
            </w:r>
          </w:p>
        </w:tc>
        <w:tc>
          <w:tcPr>
            <w:tcW w:w="1500" w:type="dxa"/>
            <w:vAlign w:val="bottom"/>
            <w:tcBorders>
              <w:right w:val="single" w:sz="8" w:color="D7282F"/>
            </w:tcBorders>
          </w:tcPr>
          <w:p>
            <w:pPr>
              <w:jc w:val="right"/>
              <w:spacing w:after="0"/>
              <w:rPr>
                <w:sz w:val="20"/>
                <w:szCs w:val="20"/>
                <w:color w:val="auto"/>
              </w:rPr>
            </w:pPr>
            <w:r>
              <w:rPr>
                <w:rFonts w:ascii="Arial" w:cs="Arial" w:eastAsia="Arial" w:hAnsi="Arial"/>
                <w:sz w:val="14"/>
                <w:szCs w:val="14"/>
                <w:color w:val="auto"/>
              </w:rPr>
              <w:t>23.5%</w:t>
            </w:r>
          </w:p>
        </w:tc>
        <w:tc>
          <w:tcPr>
            <w:tcW w:w="1420" w:type="dxa"/>
            <w:vAlign w:val="bottom"/>
          </w:tcPr>
          <w:p>
            <w:pPr>
              <w:jc w:val="right"/>
              <w:ind w:right="228"/>
              <w:spacing w:after="0"/>
              <w:rPr>
                <w:sz w:val="20"/>
                <w:szCs w:val="20"/>
                <w:color w:val="auto"/>
              </w:rPr>
            </w:pPr>
            <w:r>
              <w:rPr>
                <w:rFonts w:ascii="Arial" w:cs="Arial" w:eastAsia="Arial" w:hAnsi="Arial"/>
                <w:sz w:val="14"/>
                <w:szCs w:val="14"/>
                <w:color w:val="auto"/>
              </w:rPr>
              <w:t>70.0%</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16.7%</w:t>
            </w:r>
          </w:p>
        </w:tc>
        <w:tc>
          <w:tcPr>
            <w:tcW w:w="90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123"/>
        </w:trPr>
        <w:tc>
          <w:tcPr>
            <w:tcW w:w="2400" w:type="dxa"/>
            <w:vAlign w:val="bottom"/>
            <w:tcBorders>
              <w:bottom w:val="single" w:sz="8" w:color="D7282F"/>
            </w:tcBorders>
          </w:tcPr>
          <w:p>
            <w:pPr>
              <w:spacing w:after="0"/>
              <w:rPr>
                <w:sz w:val="10"/>
                <w:szCs w:val="10"/>
                <w:color w:val="auto"/>
              </w:rPr>
            </w:pPr>
          </w:p>
        </w:tc>
        <w:tc>
          <w:tcPr>
            <w:tcW w:w="1640" w:type="dxa"/>
            <w:vAlign w:val="bottom"/>
            <w:tcBorders>
              <w:bottom w:val="single" w:sz="8" w:color="D7282F"/>
            </w:tcBorders>
          </w:tcPr>
          <w:p>
            <w:pPr>
              <w:spacing w:after="0"/>
              <w:rPr>
                <w:sz w:val="10"/>
                <w:szCs w:val="10"/>
                <w:color w:val="auto"/>
              </w:rPr>
            </w:pPr>
          </w:p>
        </w:tc>
        <w:tc>
          <w:tcPr>
            <w:tcW w:w="1280" w:type="dxa"/>
            <w:vAlign w:val="bottom"/>
            <w:tcBorders>
              <w:bottom w:val="single" w:sz="8" w:color="D7282F"/>
            </w:tcBorders>
          </w:tcPr>
          <w:p>
            <w:pPr>
              <w:spacing w:after="0"/>
              <w:rPr>
                <w:sz w:val="10"/>
                <w:szCs w:val="10"/>
                <w:color w:val="auto"/>
              </w:rPr>
            </w:pPr>
          </w:p>
        </w:tc>
        <w:tc>
          <w:tcPr>
            <w:tcW w:w="1100" w:type="dxa"/>
            <w:vAlign w:val="bottom"/>
            <w:tcBorders>
              <w:bottom w:val="single" w:sz="8" w:color="D7282F"/>
              <w:right w:val="single" w:sz="8" w:color="D7282F"/>
            </w:tcBorders>
          </w:tcPr>
          <w:p>
            <w:pPr>
              <w:spacing w:after="0"/>
              <w:rPr>
                <w:sz w:val="10"/>
                <w:szCs w:val="10"/>
                <w:color w:val="auto"/>
              </w:rPr>
            </w:pPr>
          </w:p>
        </w:tc>
        <w:tc>
          <w:tcPr>
            <w:tcW w:w="1500" w:type="dxa"/>
            <w:vAlign w:val="bottom"/>
            <w:tcBorders>
              <w:bottom w:val="single" w:sz="8" w:color="D7282F"/>
              <w:right w:val="single" w:sz="8" w:color="D7282F"/>
            </w:tcBorders>
          </w:tcPr>
          <w:p>
            <w:pPr>
              <w:spacing w:after="0"/>
              <w:rPr>
                <w:sz w:val="10"/>
                <w:szCs w:val="10"/>
                <w:color w:val="auto"/>
              </w:rPr>
            </w:pPr>
          </w:p>
        </w:tc>
        <w:tc>
          <w:tcPr>
            <w:tcW w:w="1420" w:type="dxa"/>
            <w:vAlign w:val="bottom"/>
            <w:tcBorders>
              <w:bottom w:val="single" w:sz="8" w:color="D7282F"/>
            </w:tcBorders>
          </w:tcPr>
          <w:p>
            <w:pPr>
              <w:spacing w:after="0"/>
              <w:rPr>
                <w:sz w:val="10"/>
                <w:szCs w:val="10"/>
                <w:color w:val="auto"/>
              </w:rPr>
            </w:pPr>
          </w:p>
        </w:tc>
        <w:tc>
          <w:tcPr>
            <w:tcW w:w="1000" w:type="dxa"/>
            <w:vAlign w:val="bottom"/>
            <w:tcBorders>
              <w:bottom w:val="single" w:sz="8" w:color="D7282F"/>
            </w:tcBorders>
          </w:tcPr>
          <w:p>
            <w:pPr>
              <w:spacing w:after="0"/>
              <w:rPr>
                <w:sz w:val="10"/>
                <w:szCs w:val="10"/>
                <w:color w:val="auto"/>
              </w:rPr>
            </w:pPr>
          </w:p>
        </w:tc>
        <w:tc>
          <w:tcPr>
            <w:tcW w:w="900" w:type="dxa"/>
            <w:vAlign w:val="bottom"/>
            <w:tcBorders>
              <w:bottom w:val="single" w:sz="8" w:color="D7282F"/>
            </w:tcBorders>
          </w:tcPr>
          <w:p>
            <w:pPr>
              <w:spacing w:after="0"/>
              <w:rPr>
                <w:sz w:val="10"/>
                <w:szCs w:val="10"/>
                <w:color w:val="auto"/>
              </w:rPr>
            </w:pPr>
          </w:p>
        </w:tc>
      </w:tr>
      <w:tr>
        <w:trPr>
          <w:trHeight w:val="316"/>
        </w:trPr>
        <w:tc>
          <w:tcPr>
            <w:tcW w:w="2400" w:type="dxa"/>
            <w:vAlign w:val="bottom"/>
            <w:tcBorders>
              <w:left w:val="single" w:sz="8" w:color="D7282F"/>
            </w:tcBorders>
          </w:tcPr>
          <w:p>
            <w:pPr>
              <w:ind w:left="140"/>
              <w:spacing w:after="0"/>
              <w:rPr>
                <w:sz w:val="20"/>
                <w:szCs w:val="20"/>
                <w:color w:val="auto"/>
              </w:rPr>
            </w:pPr>
            <w:r>
              <w:rPr>
                <w:rFonts w:ascii="Arial" w:cs="Arial" w:eastAsia="Arial" w:hAnsi="Arial"/>
                <w:sz w:val="14"/>
                <w:szCs w:val="14"/>
                <w:b w:val="1"/>
                <w:bCs w:val="1"/>
                <w:color w:val="auto"/>
              </w:rPr>
              <w:t>AT Total PCU Payout %</w:t>
            </w:r>
          </w:p>
        </w:tc>
        <w:tc>
          <w:tcPr>
            <w:tcW w:w="1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Borders>
              <w:right w:val="single" w:sz="8" w:color="D7282F"/>
            </w:tcBorders>
          </w:tcPr>
          <w:p>
            <w:pPr>
              <w:jc w:val="right"/>
              <w:spacing w:after="0"/>
              <w:rPr>
                <w:sz w:val="20"/>
                <w:szCs w:val="20"/>
                <w:color w:val="auto"/>
              </w:rPr>
            </w:pPr>
            <w:r>
              <w:rPr>
                <w:rFonts w:ascii="Arial" w:cs="Arial" w:eastAsia="Arial" w:hAnsi="Arial"/>
                <w:sz w:val="14"/>
                <w:szCs w:val="14"/>
                <w:b w:val="1"/>
                <w:bCs w:val="1"/>
                <w:color w:val="auto"/>
              </w:rPr>
              <w:t>90%</w:t>
            </w:r>
          </w:p>
        </w:tc>
      </w:tr>
      <w:tr>
        <w:trPr>
          <w:trHeight w:val="123"/>
        </w:trPr>
        <w:tc>
          <w:tcPr>
            <w:tcW w:w="2400" w:type="dxa"/>
            <w:vAlign w:val="bottom"/>
            <w:tcBorders>
              <w:left w:val="single" w:sz="8" w:color="D7282F"/>
              <w:bottom w:val="single" w:sz="8" w:color="D7282F"/>
            </w:tcBorders>
          </w:tcPr>
          <w:p>
            <w:pPr>
              <w:spacing w:after="0"/>
              <w:rPr>
                <w:sz w:val="10"/>
                <w:szCs w:val="10"/>
                <w:color w:val="auto"/>
              </w:rPr>
            </w:pPr>
          </w:p>
        </w:tc>
        <w:tc>
          <w:tcPr>
            <w:tcW w:w="1640" w:type="dxa"/>
            <w:vAlign w:val="bottom"/>
            <w:tcBorders>
              <w:bottom w:val="single" w:sz="8" w:color="D7282F"/>
            </w:tcBorders>
          </w:tcPr>
          <w:p>
            <w:pPr>
              <w:spacing w:after="0"/>
              <w:rPr>
                <w:sz w:val="10"/>
                <w:szCs w:val="10"/>
                <w:color w:val="auto"/>
              </w:rPr>
            </w:pPr>
          </w:p>
        </w:tc>
        <w:tc>
          <w:tcPr>
            <w:tcW w:w="1280" w:type="dxa"/>
            <w:vAlign w:val="bottom"/>
            <w:tcBorders>
              <w:bottom w:val="single" w:sz="8" w:color="D7282F"/>
            </w:tcBorders>
          </w:tcPr>
          <w:p>
            <w:pPr>
              <w:spacing w:after="0"/>
              <w:rPr>
                <w:sz w:val="10"/>
                <w:szCs w:val="10"/>
                <w:color w:val="auto"/>
              </w:rPr>
            </w:pPr>
          </w:p>
        </w:tc>
        <w:tc>
          <w:tcPr>
            <w:tcW w:w="1100" w:type="dxa"/>
            <w:vAlign w:val="bottom"/>
            <w:tcBorders>
              <w:bottom w:val="single" w:sz="8" w:color="D7282F"/>
            </w:tcBorders>
          </w:tcPr>
          <w:p>
            <w:pPr>
              <w:spacing w:after="0"/>
              <w:rPr>
                <w:sz w:val="10"/>
                <w:szCs w:val="10"/>
                <w:color w:val="auto"/>
              </w:rPr>
            </w:pPr>
          </w:p>
        </w:tc>
        <w:tc>
          <w:tcPr>
            <w:tcW w:w="1500" w:type="dxa"/>
            <w:vAlign w:val="bottom"/>
            <w:tcBorders>
              <w:bottom w:val="single" w:sz="8" w:color="D7282F"/>
            </w:tcBorders>
          </w:tcPr>
          <w:p>
            <w:pPr>
              <w:spacing w:after="0"/>
              <w:rPr>
                <w:sz w:val="10"/>
                <w:szCs w:val="10"/>
                <w:color w:val="auto"/>
              </w:rPr>
            </w:pPr>
          </w:p>
        </w:tc>
        <w:tc>
          <w:tcPr>
            <w:tcW w:w="1420" w:type="dxa"/>
            <w:vAlign w:val="bottom"/>
            <w:tcBorders>
              <w:bottom w:val="single" w:sz="8" w:color="D7282F"/>
            </w:tcBorders>
          </w:tcPr>
          <w:p>
            <w:pPr>
              <w:spacing w:after="0"/>
              <w:rPr>
                <w:sz w:val="10"/>
                <w:szCs w:val="10"/>
                <w:color w:val="auto"/>
              </w:rPr>
            </w:pPr>
          </w:p>
        </w:tc>
        <w:tc>
          <w:tcPr>
            <w:tcW w:w="1000" w:type="dxa"/>
            <w:vAlign w:val="bottom"/>
            <w:tcBorders>
              <w:bottom w:val="single" w:sz="8" w:color="D7282F"/>
            </w:tcBorders>
          </w:tcPr>
          <w:p>
            <w:pPr>
              <w:spacing w:after="0"/>
              <w:rPr>
                <w:sz w:val="10"/>
                <w:szCs w:val="10"/>
                <w:color w:val="auto"/>
              </w:rPr>
            </w:pPr>
          </w:p>
        </w:tc>
        <w:tc>
          <w:tcPr>
            <w:tcW w:w="900" w:type="dxa"/>
            <w:vAlign w:val="bottom"/>
            <w:tcBorders>
              <w:bottom w:val="single" w:sz="8" w:color="D7282F"/>
              <w:right w:val="single" w:sz="8" w:color="D7282F"/>
            </w:tcBorders>
          </w:tcPr>
          <w:p>
            <w:pPr>
              <w:spacing w:after="0"/>
              <w:rPr>
                <w:sz w:val="10"/>
                <w:szCs w:val="10"/>
                <w:color w:val="auto"/>
              </w:rPr>
            </w:pPr>
          </w:p>
        </w:tc>
      </w:tr>
    </w:tbl>
    <w:p>
      <w:pPr>
        <w:spacing w:after="0" w:line="126" w:lineRule="exact"/>
        <w:rPr>
          <w:sz w:val="20"/>
          <w:szCs w:val="20"/>
          <w:color w:val="auto"/>
        </w:rPr>
      </w:pPr>
    </w:p>
    <w:p>
      <w:pPr>
        <w:ind w:left="200" w:hanging="192"/>
        <w:spacing w:after="0"/>
        <w:tabs>
          <w:tab w:leader="none" w:pos="200" w:val="left"/>
        </w:tabs>
        <w:numPr>
          <w:ilvl w:val="0"/>
          <w:numId w:val="174"/>
        </w:numPr>
        <w:rPr>
          <w:rFonts w:ascii="Arial" w:cs="Arial" w:eastAsia="Arial" w:hAnsi="Arial"/>
          <w:sz w:val="16"/>
          <w:szCs w:val="16"/>
          <w:color w:val="auto"/>
          <w:vertAlign w:val="superscript"/>
        </w:rPr>
      </w:pPr>
      <w:r>
        <w:rPr>
          <w:rFonts w:ascii="Arial" w:cs="Arial" w:eastAsia="Arial" w:hAnsi="Arial"/>
          <w:sz w:val="13"/>
          <w:szCs w:val="13"/>
          <w:color w:val="auto"/>
        </w:rPr>
        <w:t>Results for AT executives based 50% on performance against Total Honeywell targets and 50% on performance against Aerospace Technologies targets.</w:t>
      </w:r>
    </w:p>
    <w:p>
      <w:pPr>
        <w:sectPr>
          <w:pgSz w:w="11900" w:h="16838" w:orient="portrait"/>
          <w:cols w:equalWidth="0" w:num="1">
            <w:col w:w="11240"/>
          </w:cols>
          <w:pgMar w:left="320" w:top="230" w:right="339" w:bottom="1440" w:gutter="0" w:footer="0" w:header="0"/>
        </w:sectPr>
      </w:pPr>
    </w:p>
    <w:bookmarkStart w:id="86" w:name="page87"/>
    <w:bookmarkEnd w:id="86"/>
    <w:tbl>
      <w:tblPr>
        <w:tblLayout w:type="fixed"/>
        <w:tblInd w:w="10" w:type="dxa"/>
        <w:tblCellMar>
          <w:top w:w="0" w:type="dxa"/>
          <w:left w:w="0" w:type="dxa"/>
          <w:bottom w:w="0" w:type="dxa"/>
          <w:right w:w="0" w:type="dxa"/>
        </w:tblCellMar>
      </w:tblPr>
      <w:tr>
        <w:trPr>
          <w:trHeight w:val="204"/>
        </w:trPr>
        <w:tc>
          <w:tcPr>
            <w:tcW w:w="2400" w:type="dxa"/>
            <w:vAlign w:val="bottom"/>
          </w:tcPr>
          <w:p>
            <w:pPr>
              <w:ind w:left="20"/>
              <w:spacing w:after="0"/>
              <w:rPr>
                <w:sz w:val="20"/>
                <w:szCs w:val="20"/>
                <w:color w:val="auto"/>
              </w:rPr>
            </w:pPr>
            <w:r>
              <w:rPr>
                <w:rFonts w:ascii="Arial" w:cs="Arial" w:eastAsia="Arial" w:hAnsi="Arial"/>
                <w:sz w:val="14"/>
                <w:szCs w:val="14"/>
                <w:b w:val="1"/>
                <w:bCs w:val="1"/>
                <w:color w:val="auto"/>
              </w:rPr>
              <w:t>Energy and Sustainability</w:t>
            </w:r>
          </w:p>
        </w:tc>
        <w:tc>
          <w:tcPr>
            <w:tcW w:w="1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Borders>
              <w:right w:val="single" w:sz="8" w:color="D7282F"/>
            </w:tcBorders>
          </w:tcPr>
          <w:p>
            <w:pPr>
              <w:spacing w:after="0"/>
              <w:rPr>
                <w:sz w:val="17"/>
                <w:szCs w:val="17"/>
                <w:color w:val="auto"/>
              </w:rPr>
            </w:pPr>
          </w:p>
        </w:tc>
        <w:tc>
          <w:tcPr>
            <w:tcW w:w="1500" w:type="dxa"/>
            <w:vAlign w:val="bottom"/>
            <w:tcBorders>
              <w:top w:val="single" w:sz="8" w:color="D7282F"/>
              <w:right w:val="single" w:sz="8" w:color="D7282F"/>
            </w:tcBorders>
          </w:tcPr>
          <w:p>
            <w:pPr>
              <w:jc w:val="right"/>
              <w:spacing w:after="0"/>
              <w:rPr>
                <w:sz w:val="20"/>
                <w:szCs w:val="20"/>
                <w:color w:val="auto"/>
              </w:rPr>
            </w:pPr>
            <w:r>
              <w:rPr>
                <w:rFonts w:ascii="Arial" w:cs="Arial" w:eastAsia="Arial" w:hAnsi="Arial"/>
                <w:sz w:val="14"/>
                <w:szCs w:val="14"/>
                <w:b w:val="1"/>
                <w:bCs w:val="1"/>
                <w:color w:val="auto"/>
              </w:rPr>
              <w:t>Actual Plan</w:t>
            </w:r>
          </w:p>
        </w:tc>
        <w:tc>
          <w:tcPr>
            <w:tcW w:w="1420" w:type="dxa"/>
            <w:vAlign w:val="bottom"/>
          </w:tcPr>
          <w:p>
            <w:pPr>
              <w:jc w:val="right"/>
              <w:ind w:right="228"/>
              <w:spacing w:after="0"/>
              <w:rPr>
                <w:sz w:val="20"/>
                <w:szCs w:val="20"/>
                <w:color w:val="auto"/>
              </w:rPr>
            </w:pPr>
            <w:r>
              <w:rPr>
                <w:rFonts w:ascii="Arial" w:cs="Arial" w:eastAsia="Arial" w:hAnsi="Arial"/>
                <w:sz w:val="14"/>
                <w:szCs w:val="14"/>
                <w:b w:val="1"/>
                <w:bCs w:val="1"/>
                <w:color w:val="auto"/>
              </w:rPr>
              <w:t>Payout</w:t>
            </w:r>
          </w:p>
        </w:tc>
        <w:tc>
          <w:tcPr>
            <w:tcW w:w="10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Weighted</w:t>
            </w:r>
          </w:p>
        </w:tc>
      </w:tr>
      <w:tr>
        <w:trPr>
          <w:trHeight w:val="214"/>
        </w:trPr>
        <w:tc>
          <w:tcPr>
            <w:tcW w:w="2400" w:type="dxa"/>
            <w:vAlign w:val="bottom"/>
          </w:tcPr>
          <w:p>
            <w:pPr>
              <w:ind w:left="20"/>
              <w:spacing w:after="0"/>
              <w:rPr>
                <w:sz w:val="20"/>
                <w:szCs w:val="20"/>
                <w:color w:val="auto"/>
              </w:rPr>
            </w:pPr>
            <w:r>
              <w:rPr>
                <w:rFonts w:ascii="Arial" w:cs="Arial" w:eastAsia="Arial" w:hAnsi="Arial"/>
                <w:sz w:val="14"/>
                <w:szCs w:val="14"/>
                <w:b w:val="1"/>
                <w:bCs w:val="1"/>
                <w:color w:val="auto"/>
              </w:rPr>
              <w:t>Solutions</w:t>
            </w:r>
          </w:p>
        </w:tc>
        <w:tc>
          <w:tcPr>
            <w:tcW w:w="1640" w:type="dxa"/>
            <w:vAlign w:val="bottom"/>
          </w:tcPr>
          <w:p>
            <w:pPr>
              <w:jc w:val="right"/>
              <w:ind w:right="328"/>
              <w:spacing w:after="0"/>
              <w:rPr>
                <w:sz w:val="20"/>
                <w:szCs w:val="20"/>
                <w:color w:val="auto"/>
              </w:rPr>
            </w:pPr>
            <w:r>
              <w:rPr>
                <w:rFonts w:ascii="Arial" w:cs="Arial" w:eastAsia="Arial" w:hAnsi="Arial"/>
                <w:sz w:val="14"/>
                <w:szCs w:val="14"/>
                <w:b w:val="1"/>
                <w:bCs w:val="1"/>
                <w:color w:val="auto"/>
              </w:rPr>
              <w:t>Threshold</w:t>
            </w:r>
          </w:p>
        </w:tc>
        <w:tc>
          <w:tcPr>
            <w:tcW w:w="1280" w:type="dxa"/>
            <w:vAlign w:val="bottom"/>
          </w:tcPr>
          <w:p>
            <w:pPr>
              <w:jc w:val="right"/>
              <w:ind w:right="228"/>
              <w:spacing w:after="0"/>
              <w:rPr>
                <w:sz w:val="20"/>
                <w:szCs w:val="20"/>
                <w:color w:val="auto"/>
              </w:rPr>
            </w:pPr>
            <w:r>
              <w:rPr>
                <w:rFonts w:ascii="Arial" w:cs="Arial" w:eastAsia="Arial" w:hAnsi="Arial"/>
                <w:sz w:val="14"/>
                <w:szCs w:val="14"/>
                <w:b w:val="1"/>
                <w:bCs w:val="1"/>
                <w:color w:val="auto"/>
              </w:rPr>
              <w:t>Target</w:t>
            </w:r>
          </w:p>
        </w:tc>
        <w:tc>
          <w:tcPr>
            <w:tcW w:w="1100" w:type="dxa"/>
            <w:vAlign w:val="bottom"/>
            <w:tcBorders>
              <w:right w:val="single" w:sz="8" w:color="D7282F"/>
            </w:tcBorders>
          </w:tcPr>
          <w:p>
            <w:pPr>
              <w:jc w:val="center"/>
              <w:ind w:left="88"/>
              <w:spacing w:after="0"/>
              <w:rPr>
                <w:sz w:val="20"/>
                <w:szCs w:val="20"/>
                <w:color w:val="auto"/>
              </w:rPr>
            </w:pPr>
            <w:r>
              <w:rPr>
                <w:rFonts w:ascii="Arial" w:cs="Arial" w:eastAsia="Arial" w:hAnsi="Arial"/>
                <w:sz w:val="14"/>
                <w:szCs w:val="14"/>
                <w:b w:val="1"/>
                <w:bCs w:val="1"/>
                <w:color w:val="auto"/>
              </w:rPr>
              <w:t>Maximum</w:t>
            </w:r>
          </w:p>
        </w:tc>
        <w:tc>
          <w:tcPr>
            <w:tcW w:w="1500" w:type="dxa"/>
            <w:vAlign w:val="bottom"/>
            <w:tcBorders>
              <w:right w:val="single" w:sz="8" w:color="D7282F"/>
            </w:tcBorders>
          </w:tcPr>
          <w:p>
            <w:pPr>
              <w:jc w:val="right"/>
              <w:spacing w:after="0"/>
              <w:rPr>
                <w:sz w:val="20"/>
                <w:szCs w:val="20"/>
                <w:color w:val="auto"/>
              </w:rPr>
            </w:pPr>
            <w:r>
              <w:rPr>
                <w:rFonts w:ascii="Arial" w:cs="Arial" w:eastAsia="Arial" w:hAnsi="Arial"/>
                <w:sz w:val="14"/>
                <w:szCs w:val="14"/>
                <w:b w:val="1"/>
                <w:bCs w:val="1"/>
                <w:color w:val="auto"/>
              </w:rPr>
              <w:t>Performance</w:t>
            </w:r>
            <w:r>
              <w:rPr>
                <w:rFonts w:ascii="Arial" w:cs="Arial" w:eastAsia="Arial" w:hAnsi="Arial"/>
                <w:sz w:val="18"/>
                <w:szCs w:val="18"/>
                <w:b w:val="1"/>
                <w:bCs w:val="1"/>
                <w:color w:val="auto"/>
                <w:vertAlign w:val="superscript"/>
              </w:rPr>
              <w:t>(1)</w:t>
            </w:r>
          </w:p>
        </w:tc>
        <w:tc>
          <w:tcPr>
            <w:tcW w:w="1420" w:type="dxa"/>
            <w:vAlign w:val="bottom"/>
          </w:tcPr>
          <w:p>
            <w:pPr>
              <w:jc w:val="right"/>
              <w:ind w:right="228"/>
              <w:spacing w:after="0"/>
              <w:rPr>
                <w:sz w:val="20"/>
                <w:szCs w:val="20"/>
                <w:color w:val="auto"/>
              </w:rPr>
            </w:pPr>
            <w:r>
              <w:rPr>
                <w:rFonts w:ascii="Arial" w:cs="Arial" w:eastAsia="Arial" w:hAnsi="Arial"/>
                <w:sz w:val="14"/>
                <w:szCs w:val="14"/>
                <w:b w:val="1"/>
                <w:bCs w:val="1"/>
                <w:color w:val="auto"/>
              </w:rPr>
              <w:t>Factor</w:t>
            </w:r>
          </w:p>
        </w:tc>
        <w:tc>
          <w:tcPr>
            <w:tcW w:w="1000" w:type="dxa"/>
            <w:vAlign w:val="bottom"/>
          </w:tcPr>
          <w:p>
            <w:pPr>
              <w:jc w:val="right"/>
              <w:ind w:right="148"/>
              <w:spacing w:after="0"/>
              <w:rPr>
                <w:sz w:val="20"/>
                <w:szCs w:val="20"/>
                <w:color w:val="auto"/>
              </w:rPr>
            </w:pPr>
            <w:r>
              <w:rPr>
                <w:rFonts w:ascii="Arial" w:cs="Arial" w:eastAsia="Arial" w:hAnsi="Arial"/>
                <w:sz w:val="14"/>
                <w:szCs w:val="14"/>
                <w:b w:val="1"/>
                <w:bCs w:val="1"/>
                <w:color w:val="auto"/>
              </w:rPr>
              <w:t>Weight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Payout %</w:t>
            </w:r>
          </w:p>
        </w:tc>
      </w:tr>
      <w:tr>
        <w:trPr>
          <w:trHeight w:val="316"/>
        </w:trPr>
        <w:tc>
          <w:tcPr>
            <w:tcW w:w="2400" w:type="dxa"/>
            <w:vAlign w:val="bottom"/>
            <w:tcBorders>
              <w:top w:val="single" w:sz="8" w:color="D7282F"/>
            </w:tcBorders>
          </w:tcPr>
          <w:p>
            <w:pPr>
              <w:ind w:left="20"/>
              <w:spacing w:after="0"/>
              <w:rPr>
                <w:sz w:val="20"/>
                <w:szCs w:val="20"/>
                <w:color w:val="auto"/>
              </w:rPr>
            </w:pPr>
            <w:r>
              <w:rPr>
                <w:rFonts w:ascii="Arial" w:cs="Arial" w:eastAsia="Arial" w:hAnsi="Arial"/>
                <w:sz w:val="14"/>
                <w:szCs w:val="14"/>
                <w:b w:val="1"/>
                <w:bCs w:val="1"/>
                <w:color w:val="auto"/>
              </w:rPr>
              <w:t>ESS Revenue</w:t>
            </w:r>
          </w:p>
        </w:tc>
        <w:tc>
          <w:tcPr>
            <w:tcW w:w="1640" w:type="dxa"/>
            <w:vAlign w:val="bottom"/>
            <w:tcBorders>
              <w:top w:val="single" w:sz="8" w:color="D7282F"/>
            </w:tcBorders>
          </w:tcPr>
          <w:p>
            <w:pPr>
              <w:jc w:val="right"/>
              <w:ind w:right="328"/>
              <w:spacing w:after="0"/>
              <w:rPr>
                <w:sz w:val="20"/>
                <w:szCs w:val="20"/>
                <w:color w:val="auto"/>
              </w:rPr>
            </w:pPr>
            <w:r>
              <w:rPr>
                <w:rFonts w:ascii="Arial" w:cs="Arial" w:eastAsia="Arial" w:hAnsi="Arial"/>
                <w:sz w:val="14"/>
                <w:szCs w:val="14"/>
                <w:color w:val="auto"/>
              </w:rPr>
              <w:t>$23,335</w:t>
            </w:r>
          </w:p>
        </w:tc>
        <w:tc>
          <w:tcPr>
            <w:tcW w:w="1280" w:type="dxa"/>
            <w:vAlign w:val="bottom"/>
            <w:tcBorders>
              <w:top w:val="single" w:sz="8" w:color="D7282F"/>
            </w:tcBorders>
          </w:tcPr>
          <w:p>
            <w:pPr>
              <w:jc w:val="right"/>
              <w:ind w:right="228"/>
              <w:spacing w:after="0"/>
              <w:rPr>
                <w:sz w:val="20"/>
                <w:szCs w:val="20"/>
                <w:color w:val="auto"/>
              </w:rPr>
            </w:pPr>
            <w:r>
              <w:rPr>
                <w:rFonts w:ascii="Arial" w:cs="Arial" w:eastAsia="Arial" w:hAnsi="Arial"/>
                <w:sz w:val="14"/>
                <w:szCs w:val="14"/>
                <w:color w:val="auto"/>
              </w:rPr>
              <w:t>$25,091</w:t>
            </w:r>
          </w:p>
        </w:tc>
        <w:tc>
          <w:tcPr>
            <w:tcW w:w="1100" w:type="dxa"/>
            <w:vAlign w:val="bottom"/>
            <w:tcBorders>
              <w:top w:val="single" w:sz="8" w:color="D7282F"/>
              <w:right w:val="single" w:sz="8" w:color="D7282F"/>
            </w:tcBorders>
          </w:tcPr>
          <w:p>
            <w:pPr>
              <w:jc w:val="center"/>
              <w:ind w:left="148"/>
              <w:spacing w:after="0"/>
              <w:rPr>
                <w:sz w:val="20"/>
                <w:szCs w:val="20"/>
                <w:color w:val="auto"/>
              </w:rPr>
            </w:pPr>
            <w:r>
              <w:rPr>
                <w:rFonts w:ascii="Arial" w:cs="Arial" w:eastAsia="Arial" w:hAnsi="Arial"/>
                <w:sz w:val="14"/>
                <w:szCs w:val="14"/>
                <w:color w:val="auto"/>
              </w:rPr>
              <w:t>$25,969</w:t>
            </w:r>
          </w:p>
        </w:tc>
        <w:tc>
          <w:tcPr>
            <w:tcW w:w="1500" w:type="dxa"/>
            <w:vAlign w:val="bottom"/>
            <w:tcBorders>
              <w:top w:val="single" w:sz="8" w:color="D7282F"/>
              <w:right w:val="single" w:sz="8" w:color="D7282F"/>
            </w:tcBorders>
          </w:tcPr>
          <w:p>
            <w:pPr>
              <w:jc w:val="right"/>
              <w:spacing w:after="0"/>
              <w:rPr>
                <w:sz w:val="20"/>
                <w:szCs w:val="20"/>
                <w:color w:val="auto"/>
              </w:rPr>
            </w:pPr>
            <w:r>
              <w:rPr>
                <w:rFonts w:ascii="Arial" w:cs="Arial" w:eastAsia="Arial" w:hAnsi="Arial"/>
                <w:sz w:val="14"/>
                <w:szCs w:val="14"/>
                <w:color w:val="auto"/>
              </w:rPr>
              <w:t>$24,197</w:t>
            </w:r>
          </w:p>
        </w:tc>
        <w:tc>
          <w:tcPr>
            <w:tcW w:w="1420" w:type="dxa"/>
            <w:vAlign w:val="bottom"/>
            <w:tcBorders>
              <w:top w:val="single" w:sz="8" w:color="D7282F"/>
            </w:tcBorders>
          </w:tcPr>
          <w:p>
            <w:pPr>
              <w:jc w:val="right"/>
              <w:ind w:right="228"/>
              <w:spacing w:after="0"/>
              <w:rPr>
                <w:sz w:val="20"/>
                <w:szCs w:val="20"/>
                <w:color w:val="auto"/>
              </w:rPr>
            </w:pPr>
            <w:r>
              <w:rPr>
                <w:rFonts w:ascii="Arial" w:cs="Arial" w:eastAsia="Arial" w:hAnsi="Arial"/>
                <w:sz w:val="14"/>
                <w:szCs w:val="14"/>
                <w:color w:val="auto"/>
              </w:rPr>
              <w:t>74.5%</w:t>
            </w:r>
          </w:p>
        </w:tc>
        <w:tc>
          <w:tcPr>
            <w:tcW w:w="1000" w:type="dxa"/>
            <w:vAlign w:val="bottom"/>
            <w:tcBorders>
              <w:top w:val="single" w:sz="8" w:color="D7282F"/>
            </w:tcBorders>
          </w:tcPr>
          <w:p>
            <w:pPr>
              <w:jc w:val="right"/>
              <w:ind w:right="148"/>
              <w:spacing w:after="0"/>
              <w:rPr>
                <w:sz w:val="20"/>
                <w:szCs w:val="20"/>
                <w:color w:val="auto"/>
              </w:rPr>
            </w:pPr>
            <w:r>
              <w:rPr>
                <w:rFonts w:ascii="Arial" w:cs="Arial" w:eastAsia="Arial" w:hAnsi="Arial"/>
                <w:sz w:val="14"/>
                <w:szCs w:val="14"/>
                <w:color w:val="auto"/>
              </w:rPr>
              <w:t>16.7%</w:t>
            </w:r>
          </w:p>
        </w:tc>
        <w:tc>
          <w:tcPr>
            <w:tcW w:w="900" w:type="dxa"/>
            <w:vAlign w:val="bottom"/>
            <w:tcBorders>
              <w:top w:val="single" w:sz="8" w:color="D7282F"/>
            </w:tcBorders>
          </w:tcPr>
          <w:p>
            <w:pPr>
              <w:jc w:val="right"/>
              <w:spacing w:after="0"/>
              <w:rPr>
                <w:sz w:val="20"/>
                <w:szCs w:val="20"/>
                <w:color w:val="auto"/>
              </w:rPr>
            </w:pPr>
            <w:r>
              <w:rPr>
                <w:rFonts w:ascii="Arial" w:cs="Arial" w:eastAsia="Arial" w:hAnsi="Arial"/>
                <w:sz w:val="14"/>
                <w:szCs w:val="14"/>
                <w:color w:val="auto"/>
              </w:rPr>
              <w:t>12%</w:t>
            </w:r>
          </w:p>
        </w:tc>
      </w:tr>
      <w:tr>
        <w:trPr>
          <w:trHeight w:val="124"/>
        </w:trPr>
        <w:tc>
          <w:tcPr>
            <w:tcW w:w="2400" w:type="dxa"/>
            <w:vAlign w:val="bottom"/>
            <w:tcBorders>
              <w:bottom w:val="single" w:sz="8" w:color="939598"/>
            </w:tcBorders>
          </w:tcPr>
          <w:p>
            <w:pPr>
              <w:spacing w:after="0"/>
              <w:rPr>
                <w:sz w:val="10"/>
                <w:szCs w:val="10"/>
                <w:color w:val="auto"/>
              </w:rPr>
            </w:pPr>
          </w:p>
        </w:tc>
        <w:tc>
          <w:tcPr>
            <w:tcW w:w="1640" w:type="dxa"/>
            <w:vAlign w:val="bottom"/>
            <w:tcBorders>
              <w:bottom w:val="single" w:sz="8" w:color="939598"/>
            </w:tcBorders>
          </w:tcPr>
          <w:p>
            <w:pPr>
              <w:spacing w:after="0"/>
              <w:rPr>
                <w:sz w:val="10"/>
                <w:szCs w:val="10"/>
                <w:color w:val="auto"/>
              </w:rPr>
            </w:pPr>
          </w:p>
        </w:tc>
        <w:tc>
          <w:tcPr>
            <w:tcW w:w="1280" w:type="dxa"/>
            <w:vAlign w:val="bottom"/>
            <w:tcBorders>
              <w:bottom w:val="single" w:sz="8" w:color="939598"/>
            </w:tcBorders>
          </w:tcPr>
          <w:p>
            <w:pPr>
              <w:spacing w:after="0"/>
              <w:rPr>
                <w:sz w:val="10"/>
                <w:szCs w:val="10"/>
                <w:color w:val="auto"/>
              </w:rPr>
            </w:pPr>
          </w:p>
        </w:tc>
        <w:tc>
          <w:tcPr>
            <w:tcW w:w="1100" w:type="dxa"/>
            <w:vAlign w:val="bottom"/>
            <w:tcBorders>
              <w:bottom w:val="single" w:sz="8" w:color="939598"/>
              <w:right w:val="single" w:sz="8" w:color="D7282F"/>
            </w:tcBorders>
          </w:tcPr>
          <w:p>
            <w:pPr>
              <w:spacing w:after="0"/>
              <w:rPr>
                <w:sz w:val="10"/>
                <w:szCs w:val="10"/>
                <w:color w:val="auto"/>
              </w:rPr>
            </w:pPr>
          </w:p>
        </w:tc>
        <w:tc>
          <w:tcPr>
            <w:tcW w:w="1500" w:type="dxa"/>
            <w:vAlign w:val="bottom"/>
            <w:tcBorders>
              <w:bottom w:val="single" w:sz="8" w:color="939598"/>
              <w:right w:val="single" w:sz="8" w:color="D7282F"/>
            </w:tcBorders>
          </w:tcPr>
          <w:p>
            <w:pPr>
              <w:spacing w:after="0"/>
              <w:rPr>
                <w:sz w:val="10"/>
                <w:szCs w:val="10"/>
                <w:color w:val="auto"/>
              </w:rPr>
            </w:pPr>
          </w:p>
        </w:tc>
        <w:tc>
          <w:tcPr>
            <w:tcW w:w="1420" w:type="dxa"/>
            <w:vAlign w:val="bottom"/>
            <w:tcBorders>
              <w:bottom w:val="single" w:sz="8" w:color="939598"/>
            </w:tcBorders>
          </w:tcPr>
          <w:p>
            <w:pPr>
              <w:spacing w:after="0"/>
              <w:rPr>
                <w:sz w:val="10"/>
                <w:szCs w:val="10"/>
                <w:color w:val="auto"/>
              </w:rPr>
            </w:pPr>
          </w:p>
        </w:tc>
        <w:tc>
          <w:tcPr>
            <w:tcW w:w="1000" w:type="dxa"/>
            <w:vAlign w:val="bottom"/>
            <w:tcBorders>
              <w:bottom w:val="single" w:sz="8" w:color="939598"/>
            </w:tcBorders>
          </w:tcPr>
          <w:p>
            <w:pPr>
              <w:spacing w:after="0"/>
              <w:rPr>
                <w:sz w:val="10"/>
                <w:szCs w:val="10"/>
                <w:color w:val="auto"/>
              </w:rPr>
            </w:pPr>
          </w:p>
        </w:tc>
        <w:tc>
          <w:tcPr>
            <w:tcW w:w="900" w:type="dxa"/>
            <w:vAlign w:val="bottom"/>
            <w:tcBorders>
              <w:bottom w:val="single" w:sz="8" w:color="939598"/>
            </w:tcBorders>
          </w:tcPr>
          <w:p>
            <w:pPr>
              <w:spacing w:after="0"/>
              <w:rPr>
                <w:sz w:val="10"/>
                <w:szCs w:val="10"/>
                <w:color w:val="auto"/>
              </w:rPr>
            </w:pPr>
          </w:p>
        </w:tc>
      </w:tr>
      <w:tr>
        <w:trPr>
          <w:trHeight w:val="315"/>
        </w:trPr>
        <w:tc>
          <w:tcPr>
            <w:tcW w:w="2400" w:type="dxa"/>
            <w:vAlign w:val="bottom"/>
          </w:tcPr>
          <w:p>
            <w:pPr>
              <w:ind w:left="20"/>
              <w:spacing w:after="0"/>
              <w:rPr>
                <w:sz w:val="20"/>
                <w:szCs w:val="20"/>
                <w:color w:val="auto"/>
              </w:rPr>
            </w:pPr>
            <w:r>
              <w:rPr>
                <w:rFonts w:ascii="Arial" w:cs="Arial" w:eastAsia="Arial" w:hAnsi="Arial"/>
                <w:sz w:val="14"/>
                <w:szCs w:val="14"/>
                <w:b w:val="1"/>
                <w:bCs w:val="1"/>
                <w:color w:val="auto"/>
              </w:rPr>
              <w:t>ESS Margin</w:t>
            </w:r>
          </w:p>
        </w:tc>
        <w:tc>
          <w:tcPr>
            <w:tcW w:w="1640" w:type="dxa"/>
            <w:vAlign w:val="bottom"/>
          </w:tcPr>
          <w:p>
            <w:pPr>
              <w:jc w:val="right"/>
              <w:ind w:right="328"/>
              <w:spacing w:after="0"/>
              <w:rPr>
                <w:sz w:val="20"/>
                <w:szCs w:val="20"/>
                <w:color w:val="auto"/>
              </w:rPr>
            </w:pPr>
            <w:r>
              <w:rPr>
                <w:rFonts w:ascii="Arial" w:cs="Arial" w:eastAsia="Arial" w:hAnsi="Arial"/>
                <w:sz w:val="14"/>
                <w:szCs w:val="14"/>
                <w:color w:val="auto"/>
              </w:rPr>
              <w:t>24.9%</w:t>
            </w:r>
          </w:p>
        </w:tc>
        <w:tc>
          <w:tcPr>
            <w:tcW w:w="1280" w:type="dxa"/>
            <w:vAlign w:val="bottom"/>
          </w:tcPr>
          <w:p>
            <w:pPr>
              <w:jc w:val="right"/>
              <w:ind w:right="228"/>
              <w:spacing w:after="0"/>
              <w:rPr>
                <w:sz w:val="20"/>
                <w:szCs w:val="20"/>
                <w:color w:val="auto"/>
              </w:rPr>
            </w:pPr>
            <w:r>
              <w:rPr>
                <w:rFonts w:ascii="Arial" w:cs="Arial" w:eastAsia="Arial" w:hAnsi="Arial"/>
                <w:sz w:val="14"/>
                <w:szCs w:val="14"/>
                <w:color w:val="auto"/>
              </w:rPr>
              <w:t>25.7%</w:t>
            </w:r>
          </w:p>
        </w:tc>
        <w:tc>
          <w:tcPr>
            <w:tcW w:w="1100" w:type="dxa"/>
            <w:vAlign w:val="bottom"/>
            <w:tcBorders>
              <w:right w:val="single" w:sz="8" w:color="D7282F"/>
            </w:tcBorders>
          </w:tcPr>
          <w:p>
            <w:pPr>
              <w:jc w:val="center"/>
              <w:ind w:left="128"/>
              <w:spacing w:after="0"/>
              <w:rPr>
                <w:sz w:val="20"/>
                <w:szCs w:val="20"/>
                <w:color w:val="auto"/>
              </w:rPr>
            </w:pPr>
            <w:r>
              <w:rPr>
                <w:rFonts w:ascii="Arial" w:cs="Arial" w:eastAsia="Arial" w:hAnsi="Arial"/>
                <w:sz w:val="14"/>
                <w:szCs w:val="14"/>
                <w:color w:val="auto"/>
              </w:rPr>
              <w:t>&gt;= 26.2%</w:t>
            </w:r>
          </w:p>
        </w:tc>
        <w:tc>
          <w:tcPr>
            <w:tcW w:w="1500" w:type="dxa"/>
            <w:vAlign w:val="bottom"/>
            <w:tcBorders>
              <w:right w:val="single" w:sz="8" w:color="D7282F"/>
            </w:tcBorders>
          </w:tcPr>
          <w:p>
            <w:pPr>
              <w:jc w:val="right"/>
              <w:spacing w:after="0"/>
              <w:rPr>
                <w:sz w:val="20"/>
                <w:szCs w:val="20"/>
                <w:color w:val="auto"/>
              </w:rPr>
            </w:pPr>
            <w:r>
              <w:rPr>
                <w:rFonts w:ascii="Arial" w:cs="Arial" w:eastAsia="Arial" w:hAnsi="Arial"/>
                <w:sz w:val="14"/>
                <w:szCs w:val="14"/>
                <w:color w:val="auto"/>
              </w:rPr>
              <w:t>22.2%</w:t>
            </w:r>
          </w:p>
        </w:tc>
        <w:tc>
          <w:tcPr>
            <w:tcW w:w="1420" w:type="dxa"/>
            <w:vAlign w:val="bottom"/>
          </w:tcPr>
          <w:p>
            <w:pPr>
              <w:jc w:val="right"/>
              <w:ind w:right="228"/>
              <w:spacing w:after="0"/>
              <w:rPr>
                <w:sz w:val="20"/>
                <w:szCs w:val="20"/>
                <w:color w:val="auto"/>
              </w:rPr>
            </w:pPr>
            <w:r>
              <w:rPr>
                <w:rFonts w:ascii="Arial" w:cs="Arial" w:eastAsia="Arial" w:hAnsi="Arial"/>
                <w:sz w:val="14"/>
                <w:szCs w:val="14"/>
                <w:color w:val="auto"/>
              </w:rPr>
              <w:t>0.0%</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16.7%</w:t>
            </w:r>
          </w:p>
        </w:tc>
        <w:tc>
          <w:tcPr>
            <w:tcW w:w="90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24"/>
        </w:trPr>
        <w:tc>
          <w:tcPr>
            <w:tcW w:w="2400" w:type="dxa"/>
            <w:vAlign w:val="bottom"/>
            <w:tcBorders>
              <w:bottom w:val="single" w:sz="8" w:color="939598"/>
            </w:tcBorders>
          </w:tcPr>
          <w:p>
            <w:pPr>
              <w:spacing w:after="0"/>
              <w:rPr>
                <w:sz w:val="10"/>
                <w:szCs w:val="10"/>
                <w:color w:val="auto"/>
              </w:rPr>
            </w:pPr>
          </w:p>
        </w:tc>
        <w:tc>
          <w:tcPr>
            <w:tcW w:w="1640" w:type="dxa"/>
            <w:vAlign w:val="bottom"/>
            <w:tcBorders>
              <w:bottom w:val="single" w:sz="8" w:color="939598"/>
            </w:tcBorders>
          </w:tcPr>
          <w:p>
            <w:pPr>
              <w:spacing w:after="0"/>
              <w:rPr>
                <w:sz w:val="10"/>
                <w:szCs w:val="10"/>
                <w:color w:val="auto"/>
              </w:rPr>
            </w:pPr>
          </w:p>
        </w:tc>
        <w:tc>
          <w:tcPr>
            <w:tcW w:w="1280" w:type="dxa"/>
            <w:vAlign w:val="bottom"/>
            <w:tcBorders>
              <w:bottom w:val="single" w:sz="8" w:color="939598"/>
            </w:tcBorders>
          </w:tcPr>
          <w:p>
            <w:pPr>
              <w:spacing w:after="0"/>
              <w:rPr>
                <w:sz w:val="10"/>
                <w:szCs w:val="10"/>
                <w:color w:val="auto"/>
              </w:rPr>
            </w:pPr>
          </w:p>
        </w:tc>
        <w:tc>
          <w:tcPr>
            <w:tcW w:w="1100" w:type="dxa"/>
            <w:vAlign w:val="bottom"/>
            <w:tcBorders>
              <w:bottom w:val="single" w:sz="8" w:color="939598"/>
              <w:right w:val="single" w:sz="8" w:color="D7282F"/>
            </w:tcBorders>
          </w:tcPr>
          <w:p>
            <w:pPr>
              <w:spacing w:after="0"/>
              <w:rPr>
                <w:sz w:val="10"/>
                <w:szCs w:val="10"/>
                <w:color w:val="auto"/>
              </w:rPr>
            </w:pPr>
          </w:p>
        </w:tc>
        <w:tc>
          <w:tcPr>
            <w:tcW w:w="1500" w:type="dxa"/>
            <w:vAlign w:val="bottom"/>
            <w:tcBorders>
              <w:bottom w:val="single" w:sz="8" w:color="939598"/>
              <w:right w:val="single" w:sz="8" w:color="D7282F"/>
            </w:tcBorders>
          </w:tcPr>
          <w:p>
            <w:pPr>
              <w:spacing w:after="0"/>
              <w:rPr>
                <w:sz w:val="10"/>
                <w:szCs w:val="10"/>
                <w:color w:val="auto"/>
              </w:rPr>
            </w:pPr>
          </w:p>
        </w:tc>
        <w:tc>
          <w:tcPr>
            <w:tcW w:w="1420" w:type="dxa"/>
            <w:vAlign w:val="bottom"/>
            <w:tcBorders>
              <w:bottom w:val="single" w:sz="8" w:color="939598"/>
            </w:tcBorders>
          </w:tcPr>
          <w:p>
            <w:pPr>
              <w:spacing w:after="0"/>
              <w:rPr>
                <w:sz w:val="10"/>
                <w:szCs w:val="10"/>
                <w:color w:val="auto"/>
              </w:rPr>
            </w:pPr>
          </w:p>
        </w:tc>
        <w:tc>
          <w:tcPr>
            <w:tcW w:w="1000" w:type="dxa"/>
            <w:vAlign w:val="bottom"/>
            <w:tcBorders>
              <w:bottom w:val="single" w:sz="8" w:color="939598"/>
            </w:tcBorders>
          </w:tcPr>
          <w:p>
            <w:pPr>
              <w:spacing w:after="0"/>
              <w:rPr>
                <w:sz w:val="10"/>
                <w:szCs w:val="10"/>
                <w:color w:val="auto"/>
              </w:rPr>
            </w:pPr>
          </w:p>
        </w:tc>
        <w:tc>
          <w:tcPr>
            <w:tcW w:w="900" w:type="dxa"/>
            <w:vAlign w:val="bottom"/>
            <w:tcBorders>
              <w:bottom w:val="single" w:sz="8" w:color="939598"/>
            </w:tcBorders>
          </w:tcPr>
          <w:p>
            <w:pPr>
              <w:spacing w:after="0"/>
              <w:rPr>
                <w:sz w:val="10"/>
                <w:szCs w:val="10"/>
                <w:color w:val="auto"/>
              </w:rPr>
            </w:pPr>
          </w:p>
        </w:tc>
      </w:tr>
      <w:tr>
        <w:trPr>
          <w:trHeight w:val="315"/>
        </w:trPr>
        <w:tc>
          <w:tcPr>
            <w:tcW w:w="2400" w:type="dxa"/>
            <w:vAlign w:val="bottom"/>
          </w:tcPr>
          <w:p>
            <w:pPr>
              <w:ind w:left="20"/>
              <w:spacing w:after="0"/>
              <w:rPr>
                <w:sz w:val="20"/>
                <w:szCs w:val="20"/>
                <w:color w:val="auto"/>
              </w:rPr>
            </w:pPr>
            <w:r>
              <w:rPr>
                <w:rFonts w:ascii="Arial" w:cs="Arial" w:eastAsia="Arial" w:hAnsi="Arial"/>
                <w:sz w:val="14"/>
                <w:szCs w:val="14"/>
                <w:b w:val="1"/>
                <w:bCs w:val="1"/>
                <w:color w:val="auto"/>
              </w:rPr>
              <w:t>ESS ROI</w:t>
            </w:r>
          </w:p>
        </w:tc>
        <w:tc>
          <w:tcPr>
            <w:tcW w:w="1640" w:type="dxa"/>
            <w:vAlign w:val="bottom"/>
          </w:tcPr>
          <w:p>
            <w:pPr>
              <w:jc w:val="right"/>
              <w:ind w:right="328"/>
              <w:spacing w:after="0"/>
              <w:rPr>
                <w:sz w:val="20"/>
                <w:szCs w:val="20"/>
                <w:color w:val="auto"/>
              </w:rPr>
            </w:pPr>
            <w:r>
              <w:rPr>
                <w:rFonts w:ascii="Arial" w:cs="Arial" w:eastAsia="Arial" w:hAnsi="Arial"/>
                <w:sz w:val="14"/>
                <w:szCs w:val="14"/>
                <w:color w:val="auto"/>
              </w:rPr>
              <w:t>29.0%</w:t>
            </w:r>
          </w:p>
        </w:tc>
        <w:tc>
          <w:tcPr>
            <w:tcW w:w="1280" w:type="dxa"/>
            <w:vAlign w:val="bottom"/>
          </w:tcPr>
          <w:p>
            <w:pPr>
              <w:jc w:val="right"/>
              <w:ind w:right="228"/>
              <w:spacing w:after="0"/>
              <w:rPr>
                <w:sz w:val="20"/>
                <w:szCs w:val="20"/>
                <w:color w:val="auto"/>
              </w:rPr>
            </w:pPr>
            <w:r>
              <w:rPr>
                <w:rFonts w:ascii="Arial" w:cs="Arial" w:eastAsia="Arial" w:hAnsi="Arial"/>
                <w:sz w:val="14"/>
                <w:szCs w:val="14"/>
                <w:color w:val="auto"/>
              </w:rPr>
              <w:t>29.8%</w:t>
            </w:r>
          </w:p>
        </w:tc>
        <w:tc>
          <w:tcPr>
            <w:tcW w:w="1100" w:type="dxa"/>
            <w:vAlign w:val="bottom"/>
            <w:tcBorders>
              <w:right w:val="single" w:sz="8" w:color="D7282F"/>
            </w:tcBorders>
          </w:tcPr>
          <w:p>
            <w:pPr>
              <w:jc w:val="center"/>
              <w:ind w:left="128"/>
              <w:spacing w:after="0"/>
              <w:rPr>
                <w:sz w:val="20"/>
                <w:szCs w:val="20"/>
                <w:color w:val="auto"/>
              </w:rPr>
            </w:pPr>
            <w:r>
              <w:rPr>
                <w:rFonts w:ascii="Arial" w:cs="Arial" w:eastAsia="Arial" w:hAnsi="Arial"/>
                <w:sz w:val="14"/>
                <w:szCs w:val="14"/>
                <w:color w:val="auto"/>
              </w:rPr>
              <w:t>&gt;= 30.3%</w:t>
            </w:r>
          </w:p>
        </w:tc>
        <w:tc>
          <w:tcPr>
            <w:tcW w:w="1500" w:type="dxa"/>
            <w:vAlign w:val="bottom"/>
            <w:tcBorders>
              <w:right w:val="single" w:sz="8" w:color="D7282F"/>
            </w:tcBorders>
          </w:tcPr>
          <w:p>
            <w:pPr>
              <w:jc w:val="right"/>
              <w:spacing w:after="0"/>
              <w:rPr>
                <w:sz w:val="20"/>
                <w:szCs w:val="20"/>
                <w:color w:val="auto"/>
              </w:rPr>
            </w:pPr>
            <w:r>
              <w:rPr>
                <w:rFonts w:ascii="Arial" w:cs="Arial" w:eastAsia="Arial" w:hAnsi="Arial"/>
                <w:sz w:val="14"/>
                <w:szCs w:val="14"/>
                <w:color w:val="auto"/>
              </w:rPr>
              <w:t>21.8%</w:t>
            </w:r>
          </w:p>
        </w:tc>
        <w:tc>
          <w:tcPr>
            <w:tcW w:w="1420" w:type="dxa"/>
            <w:vAlign w:val="bottom"/>
          </w:tcPr>
          <w:p>
            <w:pPr>
              <w:jc w:val="right"/>
              <w:ind w:right="228"/>
              <w:spacing w:after="0"/>
              <w:rPr>
                <w:sz w:val="20"/>
                <w:szCs w:val="20"/>
                <w:color w:val="auto"/>
              </w:rPr>
            </w:pPr>
            <w:r>
              <w:rPr>
                <w:rFonts w:ascii="Arial" w:cs="Arial" w:eastAsia="Arial" w:hAnsi="Arial"/>
                <w:sz w:val="14"/>
                <w:szCs w:val="14"/>
                <w:color w:val="auto"/>
              </w:rPr>
              <w:t>0.0%</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16.7%</w:t>
            </w:r>
          </w:p>
        </w:tc>
        <w:tc>
          <w:tcPr>
            <w:tcW w:w="90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24"/>
        </w:trPr>
        <w:tc>
          <w:tcPr>
            <w:tcW w:w="2400" w:type="dxa"/>
            <w:vAlign w:val="bottom"/>
            <w:tcBorders>
              <w:bottom w:val="single" w:sz="8" w:color="939598"/>
            </w:tcBorders>
          </w:tcPr>
          <w:p>
            <w:pPr>
              <w:spacing w:after="0"/>
              <w:rPr>
                <w:sz w:val="10"/>
                <w:szCs w:val="10"/>
                <w:color w:val="auto"/>
              </w:rPr>
            </w:pPr>
          </w:p>
        </w:tc>
        <w:tc>
          <w:tcPr>
            <w:tcW w:w="1640" w:type="dxa"/>
            <w:vAlign w:val="bottom"/>
            <w:tcBorders>
              <w:bottom w:val="single" w:sz="8" w:color="939598"/>
            </w:tcBorders>
          </w:tcPr>
          <w:p>
            <w:pPr>
              <w:spacing w:after="0"/>
              <w:rPr>
                <w:sz w:val="10"/>
                <w:szCs w:val="10"/>
                <w:color w:val="auto"/>
              </w:rPr>
            </w:pPr>
          </w:p>
        </w:tc>
        <w:tc>
          <w:tcPr>
            <w:tcW w:w="1280" w:type="dxa"/>
            <w:vAlign w:val="bottom"/>
            <w:tcBorders>
              <w:bottom w:val="single" w:sz="8" w:color="939598"/>
            </w:tcBorders>
          </w:tcPr>
          <w:p>
            <w:pPr>
              <w:spacing w:after="0"/>
              <w:rPr>
                <w:sz w:val="10"/>
                <w:szCs w:val="10"/>
                <w:color w:val="auto"/>
              </w:rPr>
            </w:pPr>
          </w:p>
        </w:tc>
        <w:tc>
          <w:tcPr>
            <w:tcW w:w="1100" w:type="dxa"/>
            <w:vAlign w:val="bottom"/>
            <w:tcBorders>
              <w:bottom w:val="single" w:sz="8" w:color="939598"/>
              <w:right w:val="single" w:sz="8" w:color="D7282F"/>
            </w:tcBorders>
          </w:tcPr>
          <w:p>
            <w:pPr>
              <w:spacing w:after="0"/>
              <w:rPr>
                <w:sz w:val="10"/>
                <w:szCs w:val="10"/>
                <w:color w:val="auto"/>
              </w:rPr>
            </w:pPr>
          </w:p>
        </w:tc>
        <w:tc>
          <w:tcPr>
            <w:tcW w:w="1500" w:type="dxa"/>
            <w:vAlign w:val="bottom"/>
            <w:tcBorders>
              <w:bottom w:val="single" w:sz="8" w:color="939598"/>
              <w:right w:val="single" w:sz="8" w:color="D7282F"/>
            </w:tcBorders>
          </w:tcPr>
          <w:p>
            <w:pPr>
              <w:spacing w:after="0"/>
              <w:rPr>
                <w:sz w:val="10"/>
                <w:szCs w:val="10"/>
                <w:color w:val="auto"/>
              </w:rPr>
            </w:pPr>
          </w:p>
        </w:tc>
        <w:tc>
          <w:tcPr>
            <w:tcW w:w="1420" w:type="dxa"/>
            <w:vAlign w:val="bottom"/>
            <w:tcBorders>
              <w:bottom w:val="single" w:sz="8" w:color="939598"/>
            </w:tcBorders>
          </w:tcPr>
          <w:p>
            <w:pPr>
              <w:spacing w:after="0"/>
              <w:rPr>
                <w:sz w:val="10"/>
                <w:szCs w:val="10"/>
                <w:color w:val="auto"/>
              </w:rPr>
            </w:pPr>
          </w:p>
        </w:tc>
        <w:tc>
          <w:tcPr>
            <w:tcW w:w="1000" w:type="dxa"/>
            <w:vAlign w:val="bottom"/>
            <w:tcBorders>
              <w:bottom w:val="single" w:sz="8" w:color="939598"/>
            </w:tcBorders>
          </w:tcPr>
          <w:p>
            <w:pPr>
              <w:spacing w:after="0"/>
              <w:rPr>
                <w:sz w:val="10"/>
                <w:szCs w:val="10"/>
                <w:color w:val="auto"/>
              </w:rPr>
            </w:pPr>
          </w:p>
        </w:tc>
        <w:tc>
          <w:tcPr>
            <w:tcW w:w="900" w:type="dxa"/>
            <w:vAlign w:val="bottom"/>
            <w:tcBorders>
              <w:bottom w:val="single" w:sz="8" w:color="939598"/>
            </w:tcBorders>
          </w:tcPr>
          <w:p>
            <w:pPr>
              <w:spacing w:after="0"/>
              <w:rPr>
                <w:sz w:val="10"/>
                <w:szCs w:val="10"/>
                <w:color w:val="auto"/>
              </w:rPr>
            </w:pPr>
          </w:p>
        </w:tc>
      </w:tr>
      <w:tr>
        <w:trPr>
          <w:trHeight w:val="315"/>
        </w:trPr>
        <w:tc>
          <w:tcPr>
            <w:tcW w:w="2400" w:type="dxa"/>
            <w:vAlign w:val="bottom"/>
          </w:tcPr>
          <w:p>
            <w:pPr>
              <w:ind w:left="20"/>
              <w:spacing w:after="0"/>
              <w:rPr>
                <w:sz w:val="20"/>
                <w:szCs w:val="20"/>
                <w:color w:val="auto"/>
              </w:rPr>
            </w:pPr>
            <w:r>
              <w:rPr>
                <w:rFonts w:ascii="Arial" w:cs="Arial" w:eastAsia="Arial" w:hAnsi="Arial"/>
                <w:sz w:val="14"/>
                <w:szCs w:val="14"/>
                <w:b w:val="1"/>
                <w:bCs w:val="1"/>
                <w:color w:val="auto"/>
              </w:rPr>
              <w:t>HON Revenue</w:t>
            </w:r>
          </w:p>
        </w:tc>
        <w:tc>
          <w:tcPr>
            <w:tcW w:w="1640" w:type="dxa"/>
            <w:vAlign w:val="bottom"/>
          </w:tcPr>
          <w:p>
            <w:pPr>
              <w:jc w:val="right"/>
              <w:ind w:right="328"/>
              <w:spacing w:after="0"/>
              <w:rPr>
                <w:sz w:val="20"/>
                <w:szCs w:val="20"/>
                <w:color w:val="auto"/>
              </w:rPr>
            </w:pPr>
            <w:r>
              <w:rPr>
                <w:rFonts w:ascii="Arial" w:cs="Arial" w:eastAsia="Arial" w:hAnsi="Arial"/>
                <w:sz w:val="14"/>
                <w:szCs w:val="14"/>
                <w:color w:val="auto"/>
              </w:rPr>
              <w:t>$106,158</w:t>
            </w:r>
          </w:p>
        </w:tc>
        <w:tc>
          <w:tcPr>
            <w:tcW w:w="1280" w:type="dxa"/>
            <w:vAlign w:val="bottom"/>
          </w:tcPr>
          <w:p>
            <w:pPr>
              <w:jc w:val="right"/>
              <w:ind w:right="228"/>
              <w:spacing w:after="0"/>
              <w:rPr>
                <w:sz w:val="20"/>
                <w:szCs w:val="20"/>
                <w:color w:val="auto"/>
              </w:rPr>
            </w:pPr>
            <w:r>
              <w:rPr>
                <w:rFonts w:ascii="Arial" w:cs="Arial" w:eastAsia="Arial" w:hAnsi="Arial"/>
                <w:sz w:val="14"/>
                <w:szCs w:val="14"/>
                <w:color w:val="auto"/>
              </w:rPr>
              <w:t>$114,148</w:t>
            </w:r>
          </w:p>
        </w:tc>
        <w:tc>
          <w:tcPr>
            <w:tcW w:w="1100" w:type="dxa"/>
            <w:vAlign w:val="bottom"/>
            <w:tcBorders>
              <w:right w:val="single" w:sz="8" w:color="D7282F"/>
            </w:tcBorders>
          </w:tcPr>
          <w:p>
            <w:pPr>
              <w:jc w:val="right"/>
              <w:ind w:right="108"/>
              <w:spacing w:after="0"/>
              <w:rPr>
                <w:sz w:val="20"/>
                <w:szCs w:val="20"/>
                <w:color w:val="auto"/>
              </w:rPr>
            </w:pPr>
            <w:r>
              <w:rPr>
                <w:rFonts w:ascii="Arial" w:cs="Arial" w:eastAsia="Arial" w:hAnsi="Arial"/>
                <w:sz w:val="14"/>
                <w:szCs w:val="14"/>
                <w:color w:val="auto"/>
              </w:rPr>
              <w:t>$118,143</w:t>
            </w:r>
          </w:p>
        </w:tc>
        <w:tc>
          <w:tcPr>
            <w:tcW w:w="1500" w:type="dxa"/>
            <w:vAlign w:val="bottom"/>
            <w:tcBorders>
              <w:right w:val="single" w:sz="8" w:color="D7282F"/>
            </w:tcBorders>
          </w:tcPr>
          <w:p>
            <w:pPr>
              <w:jc w:val="right"/>
              <w:spacing w:after="0"/>
              <w:rPr>
                <w:sz w:val="20"/>
                <w:szCs w:val="20"/>
                <w:color w:val="auto"/>
              </w:rPr>
            </w:pPr>
            <w:r>
              <w:rPr>
                <w:rFonts w:ascii="Arial" w:cs="Arial" w:eastAsia="Arial" w:hAnsi="Arial"/>
                <w:sz w:val="14"/>
                <w:szCs w:val="14"/>
                <w:color w:val="auto"/>
              </w:rPr>
              <w:t>$113,414</w:t>
            </w:r>
          </w:p>
        </w:tc>
        <w:tc>
          <w:tcPr>
            <w:tcW w:w="1420" w:type="dxa"/>
            <w:vAlign w:val="bottom"/>
          </w:tcPr>
          <w:p>
            <w:pPr>
              <w:jc w:val="right"/>
              <w:ind w:right="228"/>
              <w:spacing w:after="0"/>
              <w:rPr>
                <w:sz w:val="20"/>
                <w:szCs w:val="20"/>
                <w:color w:val="auto"/>
              </w:rPr>
            </w:pPr>
            <w:r>
              <w:rPr>
                <w:rFonts w:ascii="Arial" w:cs="Arial" w:eastAsia="Arial" w:hAnsi="Arial"/>
                <w:sz w:val="14"/>
                <w:szCs w:val="14"/>
                <w:color w:val="auto"/>
              </w:rPr>
              <w:t>95.4%</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16.7%</w:t>
            </w:r>
          </w:p>
        </w:tc>
        <w:tc>
          <w:tcPr>
            <w:tcW w:w="90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123"/>
        </w:trPr>
        <w:tc>
          <w:tcPr>
            <w:tcW w:w="2400" w:type="dxa"/>
            <w:vAlign w:val="bottom"/>
            <w:tcBorders>
              <w:bottom w:val="single" w:sz="8" w:color="939598"/>
            </w:tcBorders>
          </w:tcPr>
          <w:p>
            <w:pPr>
              <w:spacing w:after="0"/>
              <w:rPr>
                <w:sz w:val="10"/>
                <w:szCs w:val="10"/>
                <w:color w:val="auto"/>
              </w:rPr>
            </w:pPr>
          </w:p>
        </w:tc>
        <w:tc>
          <w:tcPr>
            <w:tcW w:w="1640" w:type="dxa"/>
            <w:vAlign w:val="bottom"/>
            <w:tcBorders>
              <w:bottom w:val="single" w:sz="8" w:color="939598"/>
            </w:tcBorders>
          </w:tcPr>
          <w:p>
            <w:pPr>
              <w:spacing w:after="0"/>
              <w:rPr>
                <w:sz w:val="10"/>
                <w:szCs w:val="10"/>
                <w:color w:val="auto"/>
              </w:rPr>
            </w:pPr>
          </w:p>
        </w:tc>
        <w:tc>
          <w:tcPr>
            <w:tcW w:w="1280" w:type="dxa"/>
            <w:vAlign w:val="bottom"/>
            <w:tcBorders>
              <w:bottom w:val="single" w:sz="8" w:color="939598"/>
            </w:tcBorders>
          </w:tcPr>
          <w:p>
            <w:pPr>
              <w:spacing w:after="0"/>
              <w:rPr>
                <w:sz w:val="10"/>
                <w:szCs w:val="10"/>
                <w:color w:val="auto"/>
              </w:rPr>
            </w:pPr>
          </w:p>
        </w:tc>
        <w:tc>
          <w:tcPr>
            <w:tcW w:w="1100" w:type="dxa"/>
            <w:vAlign w:val="bottom"/>
            <w:tcBorders>
              <w:bottom w:val="single" w:sz="8" w:color="939598"/>
              <w:right w:val="single" w:sz="8" w:color="D7282F"/>
            </w:tcBorders>
          </w:tcPr>
          <w:p>
            <w:pPr>
              <w:spacing w:after="0"/>
              <w:rPr>
                <w:sz w:val="10"/>
                <w:szCs w:val="10"/>
                <w:color w:val="auto"/>
              </w:rPr>
            </w:pPr>
          </w:p>
        </w:tc>
        <w:tc>
          <w:tcPr>
            <w:tcW w:w="1500" w:type="dxa"/>
            <w:vAlign w:val="bottom"/>
            <w:tcBorders>
              <w:bottom w:val="single" w:sz="8" w:color="939598"/>
              <w:right w:val="single" w:sz="8" w:color="D7282F"/>
            </w:tcBorders>
          </w:tcPr>
          <w:p>
            <w:pPr>
              <w:spacing w:after="0"/>
              <w:rPr>
                <w:sz w:val="10"/>
                <w:szCs w:val="10"/>
                <w:color w:val="auto"/>
              </w:rPr>
            </w:pPr>
          </w:p>
        </w:tc>
        <w:tc>
          <w:tcPr>
            <w:tcW w:w="1420" w:type="dxa"/>
            <w:vAlign w:val="bottom"/>
            <w:tcBorders>
              <w:bottom w:val="single" w:sz="8" w:color="939598"/>
            </w:tcBorders>
          </w:tcPr>
          <w:p>
            <w:pPr>
              <w:spacing w:after="0"/>
              <w:rPr>
                <w:sz w:val="10"/>
                <w:szCs w:val="10"/>
                <w:color w:val="auto"/>
              </w:rPr>
            </w:pPr>
          </w:p>
        </w:tc>
        <w:tc>
          <w:tcPr>
            <w:tcW w:w="1000" w:type="dxa"/>
            <w:vAlign w:val="bottom"/>
            <w:tcBorders>
              <w:bottom w:val="single" w:sz="8" w:color="939598"/>
            </w:tcBorders>
          </w:tcPr>
          <w:p>
            <w:pPr>
              <w:spacing w:after="0"/>
              <w:rPr>
                <w:sz w:val="10"/>
                <w:szCs w:val="10"/>
                <w:color w:val="auto"/>
              </w:rPr>
            </w:pPr>
          </w:p>
        </w:tc>
        <w:tc>
          <w:tcPr>
            <w:tcW w:w="900" w:type="dxa"/>
            <w:vAlign w:val="bottom"/>
            <w:tcBorders>
              <w:bottom w:val="single" w:sz="8" w:color="939598"/>
            </w:tcBorders>
          </w:tcPr>
          <w:p>
            <w:pPr>
              <w:spacing w:after="0"/>
              <w:rPr>
                <w:sz w:val="10"/>
                <w:szCs w:val="10"/>
                <w:color w:val="auto"/>
              </w:rPr>
            </w:pPr>
          </w:p>
        </w:tc>
      </w:tr>
      <w:tr>
        <w:trPr>
          <w:trHeight w:val="316"/>
        </w:trPr>
        <w:tc>
          <w:tcPr>
            <w:tcW w:w="2400" w:type="dxa"/>
            <w:vAlign w:val="bottom"/>
          </w:tcPr>
          <w:p>
            <w:pPr>
              <w:ind w:left="20"/>
              <w:spacing w:after="0"/>
              <w:rPr>
                <w:sz w:val="20"/>
                <w:szCs w:val="20"/>
                <w:color w:val="auto"/>
              </w:rPr>
            </w:pPr>
            <w:r>
              <w:rPr>
                <w:rFonts w:ascii="Arial" w:cs="Arial" w:eastAsia="Arial" w:hAnsi="Arial"/>
                <w:sz w:val="14"/>
                <w:szCs w:val="14"/>
                <w:b w:val="1"/>
                <w:bCs w:val="1"/>
                <w:color w:val="auto"/>
              </w:rPr>
              <w:t>HON Segment Margin Rate</w:t>
            </w:r>
          </w:p>
        </w:tc>
        <w:tc>
          <w:tcPr>
            <w:tcW w:w="1640" w:type="dxa"/>
            <w:vAlign w:val="bottom"/>
          </w:tcPr>
          <w:p>
            <w:pPr>
              <w:jc w:val="right"/>
              <w:ind w:right="328"/>
              <w:spacing w:after="0"/>
              <w:rPr>
                <w:sz w:val="20"/>
                <w:szCs w:val="20"/>
                <w:color w:val="auto"/>
              </w:rPr>
            </w:pPr>
            <w:r>
              <w:rPr>
                <w:rFonts w:ascii="Arial" w:cs="Arial" w:eastAsia="Arial" w:hAnsi="Arial"/>
                <w:sz w:val="14"/>
                <w:szCs w:val="14"/>
                <w:color w:val="auto"/>
              </w:rPr>
              <w:t>22.5%</w:t>
            </w:r>
          </w:p>
        </w:tc>
        <w:tc>
          <w:tcPr>
            <w:tcW w:w="1280" w:type="dxa"/>
            <w:vAlign w:val="bottom"/>
          </w:tcPr>
          <w:p>
            <w:pPr>
              <w:jc w:val="right"/>
              <w:ind w:right="228"/>
              <w:spacing w:after="0"/>
              <w:rPr>
                <w:sz w:val="20"/>
                <w:szCs w:val="20"/>
                <w:color w:val="auto"/>
              </w:rPr>
            </w:pPr>
            <w:r>
              <w:rPr>
                <w:rFonts w:ascii="Arial" w:cs="Arial" w:eastAsia="Arial" w:hAnsi="Arial"/>
                <w:sz w:val="14"/>
                <w:szCs w:val="14"/>
                <w:color w:val="auto"/>
              </w:rPr>
              <w:t>23.3%</w:t>
            </w:r>
          </w:p>
        </w:tc>
        <w:tc>
          <w:tcPr>
            <w:tcW w:w="1100" w:type="dxa"/>
            <w:vAlign w:val="bottom"/>
            <w:tcBorders>
              <w:right w:val="single" w:sz="8" w:color="D7282F"/>
            </w:tcBorders>
          </w:tcPr>
          <w:p>
            <w:pPr>
              <w:jc w:val="center"/>
              <w:ind w:left="128"/>
              <w:spacing w:after="0"/>
              <w:rPr>
                <w:sz w:val="20"/>
                <w:szCs w:val="20"/>
                <w:color w:val="auto"/>
              </w:rPr>
            </w:pPr>
            <w:r>
              <w:rPr>
                <w:rFonts w:ascii="Arial" w:cs="Arial" w:eastAsia="Arial" w:hAnsi="Arial"/>
                <w:sz w:val="14"/>
                <w:szCs w:val="14"/>
                <w:color w:val="auto"/>
              </w:rPr>
              <w:t>&gt;= 23.8%</w:t>
            </w:r>
          </w:p>
        </w:tc>
        <w:tc>
          <w:tcPr>
            <w:tcW w:w="1500" w:type="dxa"/>
            <w:vAlign w:val="bottom"/>
            <w:tcBorders>
              <w:right w:val="single" w:sz="8" w:color="D7282F"/>
            </w:tcBorders>
          </w:tcPr>
          <w:p>
            <w:pPr>
              <w:jc w:val="right"/>
              <w:spacing w:after="0"/>
              <w:rPr>
                <w:sz w:val="20"/>
                <w:szCs w:val="20"/>
                <w:color w:val="auto"/>
              </w:rPr>
            </w:pPr>
            <w:r>
              <w:rPr>
                <w:rFonts w:ascii="Arial" w:cs="Arial" w:eastAsia="Arial" w:hAnsi="Arial"/>
                <w:sz w:val="14"/>
                <w:szCs w:val="14"/>
                <w:color w:val="auto"/>
              </w:rPr>
              <w:t>22.8%</w:t>
            </w:r>
          </w:p>
        </w:tc>
        <w:tc>
          <w:tcPr>
            <w:tcW w:w="1420" w:type="dxa"/>
            <w:vAlign w:val="bottom"/>
          </w:tcPr>
          <w:p>
            <w:pPr>
              <w:jc w:val="right"/>
              <w:ind w:right="228"/>
              <w:spacing w:after="0"/>
              <w:rPr>
                <w:sz w:val="20"/>
                <w:szCs w:val="20"/>
                <w:color w:val="auto"/>
              </w:rPr>
            </w:pPr>
            <w:r>
              <w:rPr>
                <w:rFonts w:ascii="Arial" w:cs="Arial" w:eastAsia="Arial" w:hAnsi="Arial"/>
                <w:sz w:val="14"/>
                <w:szCs w:val="14"/>
                <w:color w:val="auto"/>
              </w:rPr>
              <w:t>68.8%</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16.7%</w:t>
            </w:r>
          </w:p>
        </w:tc>
        <w:tc>
          <w:tcPr>
            <w:tcW w:w="90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123"/>
        </w:trPr>
        <w:tc>
          <w:tcPr>
            <w:tcW w:w="2400" w:type="dxa"/>
            <w:vAlign w:val="bottom"/>
            <w:tcBorders>
              <w:bottom w:val="single" w:sz="8" w:color="939598"/>
            </w:tcBorders>
          </w:tcPr>
          <w:p>
            <w:pPr>
              <w:spacing w:after="0"/>
              <w:rPr>
                <w:sz w:val="10"/>
                <w:szCs w:val="10"/>
                <w:color w:val="auto"/>
              </w:rPr>
            </w:pPr>
          </w:p>
        </w:tc>
        <w:tc>
          <w:tcPr>
            <w:tcW w:w="1640" w:type="dxa"/>
            <w:vAlign w:val="bottom"/>
            <w:tcBorders>
              <w:bottom w:val="single" w:sz="8" w:color="939598"/>
            </w:tcBorders>
          </w:tcPr>
          <w:p>
            <w:pPr>
              <w:spacing w:after="0"/>
              <w:rPr>
                <w:sz w:val="10"/>
                <w:szCs w:val="10"/>
                <w:color w:val="auto"/>
              </w:rPr>
            </w:pPr>
          </w:p>
        </w:tc>
        <w:tc>
          <w:tcPr>
            <w:tcW w:w="1280" w:type="dxa"/>
            <w:vAlign w:val="bottom"/>
            <w:tcBorders>
              <w:bottom w:val="single" w:sz="8" w:color="939598"/>
            </w:tcBorders>
          </w:tcPr>
          <w:p>
            <w:pPr>
              <w:spacing w:after="0"/>
              <w:rPr>
                <w:sz w:val="10"/>
                <w:szCs w:val="10"/>
                <w:color w:val="auto"/>
              </w:rPr>
            </w:pPr>
          </w:p>
        </w:tc>
        <w:tc>
          <w:tcPr>
            <w:tcW w:w="1100" w:type="dxa"/>
            <w:vAlign w:val="bottom"/>
            <w:tcBorders>
              <w:bottom w:val="single" w:sz="8" w:color="939598"/>
              <w:right w:val="single" w:sz="8" w:color="D7282F"/>
            </w:tcBorders>
          </w:tcPr>
          <w:p>
            <w:pPr>
              <w:spacing w:after="0"/>
              <w:rPr>
                <w:sz w:val="10"/>
                <w:szCs w:val="10"/>
                <w:color w:val="auto"/>
              </w:rPr>
            </w:pPr>
          </w:p>
        </w:tc>
        <w:tc>
          <w:tcPr>
            <w:tcW w:w="1500" w:type="dxa"/>
            <w:vAlign w:val="bottom"/>
            <w:tcBorders>
              <w:bottom w:val="single" w:sz="8" w:color="939598"/>
              <w:right w:val="single" w:sz="8" w:color="D7282F"/>
            </w:tcBorders>
          </w:tcPr>
          <w:p>
            <w:pPr>
              <w:spacing w:after="0"/>
              <w:rPr>
                <w:sz w:val="10"/>
                <w:szCs w:val="10"/>
                <w:color w:val="auto"/>
              </w:rPr>
            </w:pPr>
          </w:p>
        </w:tc>
        <w:tc>
          <w:tcPr>
            <w:tcW w:w="1420" w:type="dxa"/>
            <w:vAlign w:val="bottom"/>
            <w:tcBorders>
              <w:bottom w:val="single" w:sz="8" w:color="939598"/>
            </w:tcBorders>
          </w:tcPr>
          <w:p>
            <w:pPr>
              <w:spacing w:after="0"/>
              <w:rPr>
                <w:sz w:val="10"/>
                <w:szCs w:val="10"/>
                <w:color w:val="auto"/>
              </w:rPr>
            </w:pPr>
          </w:p>
        </w:tc>
        <w:tc>
          <w:tcPr>
            <w:tcW w:w="1000" w:type="dxa"/>
            <w:vAlign w:val="bottom"/>
            <w:tcBorders>
              <w:bottom w:val="single" w:sz="8" w:color="939598"/>
            </w:tcBorders>
          </w:tcPr>
          <w:p>
            <w:pPr>
              <w:spacing w:after="0"/>
              <w:rPr>
                <w:sz w:val="10"/>
                <w:szCs w:val="10"/>
                <w:color w:val="auto"/>
              </w:rPr>
            </w:pPr>
          </w:p>
        </w:tc>
        <w:tc>
          <w:tcPr>
            <w:tcW w:w="900" w:type="dxa"/>
            <w:vAlign w:val="bottom"/>
            <w:tcBorders>
              <w:bottom w:val="single" w:sz="8" w:color="939598"/>
            </w:tcBorders>
          </w:tcPr>
          <w:p>
            <w:pPr>
              <w:spacing w:after="0"/>
              <w:rPr>
                <w:sz w:val="10"/>
                <w:szCs w:val="10"/>
                <w:color w:val="auto"/>
              </w:rPr>
            </w:pPr>
          </w:p>
        </w:tc>
      </w:tr>
      <w:tr>
        <w:trPr>
          <w:trHeight w:val="315"/>
        </w:trPr>
        <w:tc>
          <w:tcPr>
            <w:tcW w:w="2400" w:type="dxa"/>
            <w:vAlign w:val="bottom"/>
          </w:tcPr>
          <w:p>
            <w:pPr>
              <w:ind w:left="20"/>
              <w:spacing w:after="0"/>
              <w:rPr>
                <w:sz w:val="20"/>
                <w:szCs w:val="20"/>
                <w:color w:val="auto"/>
              </w:rPr>
            </w:pPr>
            <w:r>
              <w:rPr>
                <w:rFonts w:ascii="Arial" w:cs="Arial" w:eastAsia="Arial" w:hAnsi="Arial"/>
                <w:sz w:val="14"/>
                <w:szCs w:val="14"/>
                <w:b w:val="1"/>
                <w:bCs w:val="1"/>
                <w:color w:val="auto"/>
              </w:rPr>
              <w:t>HON Average ROI</w:t>
            </w:r>
          </w:p>
        </w:tc>
        <w:tc>
          <w:tcPr>
            <w:tcW w:w="1640" w:type="dxa"/>
            <w:vAlign w:val="bottom"/>
          </w:tcPr>
          <w:p>
            <w:pPr>
              <w:jc w:val="right"/>
              <w:ind w:right="328"/>
              <w:spacing w:after="0"/>
              <w:rPr>
                <w:sz w:val="20"/>
                <w:szCs w:val="20"/>
                <w:color w:val="auto"/>
              </w:rPr>
            </w:pPr>
            <w:r>
              <w:rPr>
                <w:rFonts w:ascii="Arial" w:cs="Arial" w:eastAsia="Arial" w:hAnsi="Arial"/>
                <w:sz w:val="14"/>
                <w:szCs w:val="14"/>
                <w:color w:val="auto"/>
              </w:rPr>
              <w:t>22.9%</w:t>
            </w:r>
          </w:p>
        </w:tc>
        <w:tc>
          <w:tcPr>
            <w:tcW w:w="1280" w:type="dxa"/>
            <w:vAlign w:val="bottom"/>
          </w:tcPr>
          <w:p>
            <w:pPr>
              <w:jc w:val="right"/>
              <w:ind w:right="228"/>
              <w:spacing w:after="0"/>
              <w:rPr>
                <w:sz w:val="20"/>
                <w:szCs w:val="20"/>
                <w:color w:val="auto"/>
              </w:rPr>
            </w:pPr>
            <w:r>
              <w:rPr>
                <w:rFonts w:ascii="Arial" w:cs="Arial" w:eastAsia="Arial" w:hAnsi="Arial"/>
                <w:sz w:val="14"/>
                <w:szCs w:val="14"/>
                <w:color w:val="auto"/>
              </w:rPr>
              <w:t>24.4%</w:t>
            </w:r>
          </w:p>
        </w:tc>
        <w:tc>
          <w:tcPr>
            <w:tcW w:w="1100" w:type="dxa"/>
            <w:vAlign w:val="bottom"/>
            <w:tcBorders>
              <w:right w:val="single" w:sz="8" w:color="D7282F"/>
            </w:tcBorders>
          </w:tcPr>
          <w:p>
            <w:pPr>
              <w:jc w:val="center"/>
              <w:ind w:left="128"/>
              <w:spacing w:after="0"/>
              <w:rPr>
                <w:sz w:val="20"/>
                <w:szCs w:val="20"/>
                <w:color w:val="auto"/>
              </w:rPr>
            </w:pPr>
            <w:r>
              <w:rPr>
                <w:rFonts w:ascii="Arial" w:cs="Arial" w:eastAsia="Arial" w:hAnsi="Arial"/>
                <w:sz w:val="14"/>
                <w:szCs w:val="14"/>
                <w:color w:val="auto"/>
              </w:rPr>
              <w:t>&gt;= 25.4%</w:t>
            </w:r>
          </w:p>
        </w:tc>
        <w:tc>
          <w:tcPr>
            <w:tcW w:w="1500" w:type="dxa"/>
            <w:vAlign w:val="bottom"/>
            <w:tcBorders>
              <w:right w:val="single" w:sz="8" w:color="D7282F"/>
            </w:tcBorders>
          </w:tcPr>
          <w:p>
            <w:pPr>
              <w:jc w:val="right"/>
              <w:spacing w:after="0"/>
              <w:rPr>
                <w:sz w:val="20"/>
                <w:szCs w:val="20"/>
                <w:color w:val="auto"/>
              </w:rPr>
            </w:pPr>
            <w:r>
              <w:rPr>
                <w:rFonts w:ascii="Arial" w:cs="Arial" w:eastAsia="Arial" w:hAnsi="Arial"/>
                <w:sz w:val="14"/>
                <w:szCs w:val="14"/>
                <w:color w:val="auto"/>
              </w:rPr>
              <w:t>23.5%</w:t>
            </w:r>
          </w:p>
        </w:tc>
        <w:tc>
          <w:tcPr>
            <w:tcW w:w="1420" w:type="dxa"/>
            <w:vAlign w:val="bottom"/>
          </w:tcPr>
          <w:p>
            <w:pPr>
              <w:jc w:val="right"/>
              <w:ind w:right="228"/>
              <w:spacing w:after="0"/>
              <w:rPr>
                <w:sz w:val="20"/>
                <w:szCs w:val="20"/>
                <w:color w:val="auto"/>
              </w:rPr>
            </w:pPr>
            <w:r>
              <w:rPr>
                <w:rFonts w:ascii="Arial" w:cs="Arial" w:eastAsia="Arial" w:hAnsi="Arial"/>
                <w:sz w:val="14"/>
                <w:szCs w:val="14"/>
                <w:color w:val="auto"/>
              </w:rPr>
              <w:t>70.0%</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16.7%</w:t>
            </w:r>
          </w:p>
        </w:tc>
        <w:tc>
          <w:tcPr>
            <w:tcW w:w="90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124"/>
        </w:trPr>
        <w:tc>
          <w:tcPr>
            <w:tcW w:w="2400" w:type="dxa"/>
            <w:vAlign w:val="bottom"/>
            <w:tcBorders>
              <w:bottom w:val="single" w:sz="8" w:color="D7282F"/>
            </w:tcBorders>
          </w:tcPr>
          <w:p>
            <w:pPr>
              <w:spacing w:after="0"/>
              <w:rPr>
                <w:sz w:val="10"/>
                <w:szCs w:val="10"/>
                <w:color w:val="auto"/>
              </w:rPr>
            </w:pPr>
          </w:p>
        </w:tc>
        <w:tc>
          <w:tcPr>
            <w:tcW w:w="1640" w:type="dxa"/>
            <w:vAlign w:val="bottom"/>
            <w:tcBorders>
              <w:bottom w:val="single" w:sz="8" w:color="D7282F"/>
            </w:tcBorders>
          </w:tcPr>
          <w:p>
            <w:pPr>
              <w:spacing w:after="0"/>
              <w:rPr>
                <w:sz w:val="10"/>
                <w:szCs w:val="10"/>
                <w:color w:val="auto"/>
              </w:rPr>
            </w:pPr>
          </w:p>
        </w:tc>
        <w:tc>
          <w:tcPr>
            <w:tcW w:w="1280" w:type="dxa"/>
            <w:vAlign w:val="bottom"/>
            <w:tcBorders>
              <w:bottom w:val="single" w:sz="8" w:color="D7282F"/>
            </w:tcBorders>
          </w:tcPr>
          <w:p>
            <w:pPr>
              <w:spacing w:after="0"/>
              <w:rPr>
                <w:sz w:val="10"/>
                <w:szCs w:val="10"/>
                <w:color w:val="auto"/>
              </w:rPr>
            </w:pPr>
          </w:p>
        </w:tc>
        <w:tc>
          <w:tcPr>
            <w:tcW w:w="1100" w:type="dxa"/>
            <w:vAlign w:val="bottom"/>
            <w:tcBorders>
              <w:bottom w:val="single" w:sz="8" w:color="D7282F"/>
              <w:right w:val="single" w:sz="8" w:color="D7282F"/>
            </w:tcBorders>
          </w:tcPr>
          <w:p>
            <w:pPr>
              <w:spacing w:after="0"/>
              <w:rPr>
                <w:sz w:val="10"/>
                <w:szCs w:val="10"/>
                <w:color w:val="auto"/>
              </w:rPr>
            </w:pPr>
          </w:p>
        </w:tc>
        <w:tc>
          <w:tcPr>
            <w:tcW w:w="1500" w:type="dxa"/>
            <w:vAlign w:val="bottom"/>
            <w:tcBorders>
              <w:bottom w:val="single" w:sz="8" w:color="D7282F"/>
              <w:right w:val="single" w:sz="8" w:color="D7282F"/>
            </w:tcBorders>
          </w:tcPr>
          <w:p>
            <w:pPr>
              <w:spacing w:after="0"/>
              <w:rPr>
                <w:sz w:val="10"/>
                <w:szCs w:val="10"/>
                <w:color w:val="auto"/>
              </w:rPr>
            </w:pPr>
          </w:p>
        </w:tc>
        <w:tc>
          <w:tcPr>
            <w:tcW w:w="1420" w:type="dxa"/>
            <w:vAlign w:val="bottom"/>
            <w:tcBorders>
              <w:bottom w:val="single" w:sz="8" w:color="D7282F"/>
            </w:tcBorders>
          </w:tcPr>
          <w:p>
            <w:pPr>
              <w:spacing w:after="0"/>
              <w:rPr>
                <w:sz w:val="10"/>
                <w:szCs w:val="10"/>
                <w:color w:val="auto"/>
              </w:rPr>
            </w:pPr>
          </w:p>
        </w:tc>
        <w:tc>
          <w:tcPr>
            <w:tcW w:w="1000" w:type="dxa"/>
            <w:vAlign w:val="bottom"/>
            <w:tcBorders>
              <w:bottom w:val="single" w:sz="8" w:color="D7282F"/>
            </w:tcBorders>
          </w:tcPr>
          <w:p>
            <w:pPr>
              <w:spacing w:after="0"/>
              <w:rPr>
                <w:sz w:val="10"/>
                <w:szCs w:val="10"/>
                <w:color w:val="auto"/>
              </w:rPr>
            </w:pPr>
          </w:p>
        </w:tc>
        <w:tc>
          <w:tcPr>
            <w:tcW w:w="900" w:type="dxa"/>
            <w:vAlign w:val="bottom"/>
            <w:tcBorders>
              <w:bottom w:val="single" w:sz="8" w:color="D7282F"/>
            </w:tcBorders>
          </w:tcPr>
          <w:p>
            <w:pPr>
              <w:spacing w:after="0"/>
              <w:rPr>
                <w:sz w:val="10"/>
                <w:szCs w:val="10"/>
                <w:color w:val="auto"/>
              </w:rPr>
            </w:pPr>
          </w:p>
        </w:tc>
      </w:tr>
      <w:tr>
        <w:trPr>
          <w:trHeight w:val="315"/>
        </w:trPr>
        <w:tc>
          <w:tcPr>
            <w:tcW w:w="2400" w:type="dxa"/>
            <w:vAlign w:val="bottom"/>
            <w:tcBorders>
              <w:left w:val="single" w:sz="8" w:color="D7282F"/>
            </w:tcBorders>
          </w:tcPr>
          <w:p>
            <w:pPr>
              <w:ind w:left="140"/>
              <w:spacing w:after="0"/>
              <w:rPr>
                <w:sz w:val="20"/>
                <w:szCs w:val="20"/>
                <w:color w:val="auto"/>
              </w:rPr>
            </w:pPr>
            <w:r>
              <w:rPr>
                <w:rFonts w:ascii="Arial" w:cs="Arial" w:eastAsia="Arial" w:hAnsi="Arial"/>
                <w:sz w:val="14"/>
                <w:szCs w:val="14"/>
                <w:b w:val="1"/>
                <w:bCs w:val="1"/>
                <w:color w:val="auto"/>
              </w:rPr>
              <w:t>ESS Total PCU Payout %</w:t>
            </w:r>
          </w:p>
        </w:tc>
        <w:tc>
          <w:tcPr>
            <w:tcW w:w="1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Borders>
              <w:right w:val="single" w:sz="8" w:color="D7282F"/>
            </w:tcBorders>
          </w:tcPr>
          <w:p>
            <w:pPr>
              <w:jc w:val="right"/>
              <w:spacing w:after="0"/>
              <w:rPr>
                <w:sz w:val="20"/>
                <w:szCs w:val="20"/>
                <w:color w:val="auto"/>
              </w:rPr>
            </w:pPr>
            <w:r>
              <w:rPr>
                <w:rFonts w:ascii="Arial" w:cs="Arial" w:eastAsia="Arial" w:hAnsi="Arial"/>
                <w:sz w:val="14"/>
                <w:szCs w:val="14"/>
                <w:b w:val="1"/>
                <w:bCs w:val="1"/>
                <w:color w:val="auto"/>
              </w:rPr>
              <w:t>51%</w:t>
            </w:r>
          </w:p>
        </w:tc>
      </w:tr>
      <w:tr>
        <w:trPr>
          <w:trHeight w:val="124"/>
        </w:trPr>
        <w:tc>
          <w:tcPr>
            <w:tcW w:w="2400" w:type="dxa"/>
            <w:vAlign w:val="bottom"/>
            <w:tcBorders>
              <w:left w:val="single" w:sz="8" w:color="D7282F"/>
              <w:bottom w:val="single" w:sz="8" w:color="D7282F"/>
            </w:tcBorders>
          </w:tcPr>
          <w:p>
            <w:pPr>
              <w:spacing w:after="0"/>
              <w:rPr>
                <w:sz w:val="10"/>
                <w:szCs w:val="10"/>
                <w:color w:val="auto"/>
              </w:rPr>
            </w:pPr>
          </w:p>
        </w:tc>
        <w:tc>
          <w:tcPr>
            <w:tcW w:w="1640" w:type="dxa"/>
            <w:vAlign w:val="bottom"/>
            <w:tcBorders>
              <w:bottom w:val="single" w:sz="8" w:color="D7282F"/>
            </w:tcBorders>
          </w:tcPr>
          <w:p>
            <w:pPr>
              <w:spacing w:after="0"/>
              <w:rPr>
                <w:sz w:val="10"/>
                <w:szCs w:val="10"/>
                <w:color w:val="auto"/>
              </w:rPr>
            </w:pPr>
          </w:p>
        </w:tc>
        <w:tc>
          <w:tcPr>
            <w:tcW w:w="1280" w:type="dxa"/>
            <w:vAlign w:val="bottom"/>
            <w:tcBorders>
              <w:bottom w:val="single" w:sz="8" w:color="D7282F"/>
            </w:tcBorders>
          </w:tcPr>
          <w:p>
            <w:pPr>
              <w:spacing w:after="0"/>
              <w:rPr>
                <w:sz w:val="10"/>
                <w:szCs w:val="10"/>
                <w:color w:val="auto"/>
              </w:rPr>
            </w:pPr>
          </w:p>
        </w:tc>
        <w:tc>
          <w:tcPr>
            <w:tcW w:w="1100" w:type="dxa"/>
            <w:vAlign w:val="bottom"/>
            <w:tcBorders>
              <w:bottom w:val="single" w:sz="8" w:color="D7282F"/>
            </w:tcBorders>
          </w:tcPr>
          <w:p>
            <w:pPr>
              <w:spacing w:after="0"/>
              <w:rPr>
                <w:sz w:val="10"/>
                <w:szCs w:val="10"/>
                <w:color w:val="auto"/>
              </w:rPr>
            </w:pPr>
          </w:p>
        </w:tc>
        <w:tc>
          <w:tcPr>
            <w:tcW w:w="1500" w:type="dxa"/>
            <w:vAlign w:val="bottom"/>
            <w:tcBorders>
              <w:bottom w:val="single" w:sz="8" w:color="D7282F"/>
            </w:tcBorders>
          </w:tcPr>
          <w:p>
            <w:pPr>
              <w:spacing w:after="0"/>
              <w:rPr>
                <w:sz w:val="10"/>
                <w:szCs w:val="10"/>
                <w:color w:val="auto"/>
              </w:rPr>
            </w:pPr>
          </w:p>
        </w:tc>
        <w:tc>
          <w:tcPr>
            <w:tcW w:w="1420" w:type="dxa"/>
            <w:vAlign w:val="bottom"/>
            <w:tcBorders>
              <w:bottom w:val="single" w:sz="8" w:color="D7282F"/>
            </w:tcBorders>
          </w:tcPr>
          <w:p>
            <w:pPr>
              <w:spacing w:after="0"/>
              <w:rPr>
                <w:sz w:val="10"/>
                <w:szCs w:val="10"/>
                <w:color w:val="auto"/>
              </w:rPr>
            </w:pPr>
          </w:p>
        </w:tc>
        <w:tc>
          <w:tcPr>
            <w:tcW w:w="1000" w:type="dxa"/>
            <w:vAlign w:val="bottom"/>
            <w:tcBorders>
              <w:bottom w:val="single" w:sz="8" w:color="D7282F"/>
            </w:tcBorders>
          </w:tcPr>
          <w:p>
            <w:pPr>
              <w:spacing w:after="0"/>
              <w:rPr>
                <w:sz w:val="10"/>
                <w:szCs w:val="10"/>
                <w:color w:val="auto"/>
              </w:rPr>
            </w:pPr>
          </w:p>
        </w:tc>
        <w:tc>
          <w:tcPr>
            <w:tcW w:w="900" w:type="dxa"/>
            <w:vAlign w:val="bottom"/>
            <w:tcBorders>
              <w:bottom w:val="single" w:sz="8" w:color="D7282F"/>
              <w:right w:val="single" w:sz="8" w:color="D7282F"/>
            </w:tcBorders>
          </w:tcPr>
          <w:p>
            <w:pPr>
              <w:spacing w:after="0"/>
              <w:rPr>
                <w:sz w:val="10"/>
                <w:szCs w:val="10"/>
                <w:color w:val="auto"/>
              </w:rPr>
            </w:pPr>
          </w:p>
        </w:tc>
      </w:tr>
    </w:tbl>
    <w:p>
      <w:pPr>
        <w:spacing w:after="0" w:line="167" w:lineRule="exact"/>
        <w:rPr>
          <w:sz w:val="20"/>
          <w:szCs w:val="20"/>
          <w:color w:val="auto"/>
        </w:rPr>
      </w:pPr>
    </w:p>
    <w:p>
      <w:pPr>
        <w:ind w:left="200" w:hanging="192"/>
        <w:spacing w:after="0"/>
        <w:tabs>
          <w:tab w:leader="none" w:pos="200" w:val="left"/>
        </w:tabs>
        <w:numPr>
          <w:ilvl w:val="0"/>
          <w:numId w:val="175"/>
        </w:numPr>
        <w:rPr>
          <w:rFonts w:ascii="Arial" w:cs="Arial" w:eastAsia="Arial" w:hAnsi="Arial"/>
          <w:sz w:val="16"/>
          <w:szCs w:val="16"/>
          <w:color w:val="auto"/>
          <w:vertAlign w:val="superscript"/>
        </w:rPr>
      </w:pPr>
      <w:r>
        <w:rPr>
          <w:rFonts w:ascii="Arial" w:cs="Arial" w:eastAsia="Arial" w:hAnsi="Arial"/>
          <w:sz w:val="13"/>
          <w:szCs w:val="13"/>
          <w:color w:val="auto"/>
        </w:rPr>
        <w:t>Results for ESS executives based 50% on performance against Total Honeywell targets and 50% on performance against Energy and Sustainability Solutions targets.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2026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79</w:t>
            </w:r>
          </w:p>
        </w:tc>
      </w:tr>
      <w:tr>
        <w:trPr>
          <w:trHeight w:val="373"/>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147" w:right="339" w:bottom="1440" w:gutter="0" w:footer="0" w:header="0"/>
        </w:sectPr>
      </w:pPr>
    </w:p>
    <w:bookmarkStart w:id="87" w:name="page88"/>
    <w:bookmarkEnd w:id="87"/>
    <w:p>
      <w:pPr>
        <w:spacing w:after="0"/>
        <w:rPr>
          <w:sz w:val="20"/>
          <w:szCs w:val="20"/>
          <w:color w:val="auto"/>
        </w:rPr>
      </w:pPr>
      <w:r>
        <w:rPr>
          <w:rFonts w:ascii="Arial" w:cs="Arial" w:eastAsia="Arial" w:hAnsi="Arial"/>
          <w:sz w:val="13"/>
          <w:szCs w:val="13"/>
          <w:b w:val="1"/>
          <w:bCs w:val="1"/>
          <w:color w:val="6D6E71"/>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660"/>
        <w:spacing w:after="0" w:line="268" w:lineRule="auto"/>
        <w:rPr>
          <w:sz w:val="20"/>
          <w:szCs w:val="20"/>
          <w:color w:val="auto"/>
        </w:rPr>
      </w:pPr>
      <w:r>
        <w:rPr>
          <w:rFonts w:ascii="Arial" w:cs="Arial" w:eastAsia="Arial" w:hAnsi="Arial"/>
          <w:sz w:val="16"/>
          <w:szCs w:val="16"/>
          <w:color w:val="auto"/>
        </w:rPr>
        <w:t>Based on the final approved award payout percentage for non-officer executives who received a 2023–2025 Performance Plan award in the form of performance cash units, the following individual awards were earned:</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16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Total 2023–2025</w:t>
            </w:r>
          </w:p>
        </w:tc>
        <w:tc>
          <w:tcPr>
            <w:tcW w:w="0" w:type="dxa"/>
            <w:vAlign w:val="bottom"/>
          </w:tcPr>
          <w:p>
            <w:pPr>
              <w:spacing w:after="0"/>
              <w:rPr>
                <w:sz w:val="1"/>
                <w:szCs w:val="1"/>
                <w:color w:val="auto"/>
              </w:rPr>
            </w:pPr>
          </w:p>
        </w:tc>
      </w:tr>
      <w:tr>
        <w:trPr>
          <w:trHeight w:val="162"/>
        </w:trPr>
        <w:tc>
          <w:tcPr>
            <w:tcW w:w="3160" w:type="dxa"/>
            <w:vAlign w:val="bottom"/>
          </w:tcPr>
          <w:p>
            <w:pPr>
              <w:spacing w:after="0"/>
              <w:rPr>
                <w:sz w:val="14"/>
                <w:szCs w:val="14"/>
                <w:color w:val="auto"/>
              </w:rPr>
            </w:pPr>
          </w:p>
        </w:tc>
        <w:tc>
          <w:tcPr>
            <w:tcW w:w="3720" w:type="dxa"/>
            <w:vAlign w:val="bottom"/>
          </w:tcPr>
          <w:p>
            <w:pPr>
              <w:jc w:val="right"/>
              <w:ind w:right="168"/>
              <w:spacing w:after="0"/>
              <w:rPr>
                <w:sz w:val="20"/>
                <w:szCs w:val="20"/>
                <w:color w:val="auto"/>
              </w:rPr>
            </w:pPr>
            <w:r>
              <w:rPr>
                <w:rFonts w:ascii="Arial" w:cs="Arial" w:eastAsia="Arial" w:hAnsi="Arial"/>
                <w:sz w:val="14"/>
                <w:szCs w:val="14"/>
                <w:b w:val="1"/>
                <w:bCs w:val="1"/>
                <w:color w:val="auto"/>
              </w:rPr>
              <w:t>2023–2025</w:t>
            </w:r>
          </w:p>
        </w:tc>
        <w:tc>
          <w:tcPr>
            <w:tcW w:w="1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Performance</w:t>
            </w:r>
          </w:p>
        </w:tc>
        <w:tc>
          <w:tcPr>
            <w:tcW w:w="0" w:type="dxa"/>
            <w:vAlign w:val="bottom"/>
          </w:tcPr>
          <w:p>
            <w:pPr>
              <w:spacing w:after="0"/>
              <w:rPr>
                <w:sz w:val="1"/>
                <w:szCs w:val="1"/>
                <w:color w:val="auto"/>
              </w:rPr>
            </w:pPr>
          </w:p>
        </w:tc>
      </w:tr>
      <w:tr>
        <w:trPr>
          <w:trHeight w:val="176"/>
        </w:trPr>
        <w:tc>
          <w:tcPr>
            <w:tcW w:w="3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NEO</w:t>
            </w:r>
          </w:p>
        </w:tc>
        <w:tc>
          <w:tcPr>
            <w:tcW w:w="3720" w:type="dxa"/>
            <w:vAlign w:val="bottom"/>
          </w:tcPr>
          <w:p>
            <w:pPr>
              <w:jc w:val="right"/>
              <w:ind w:right="168"/>
              <w:spacing w:after="0"/>
              <w:rPr>
                <w:sz w:val="20"/>
                <w:szCs w:val="20"/>
                <w:color w:val="auto"/>
              </w:rPr>
            </w:pPr>
            <w:r>
              <w:rPr>
                <w:rFonts w:ascii="Arial" w:cs="Arial" w:eastAsia="Arial" w:hAnsi="Arial"/>
                <w:sz w:val="14"/>
                <w:szCs w:val="14"/>
                <w:b w:val="1"/>
                <w:bCs w:val="1"/>
                <w:color w:val="auto"/>
              </w:rPr>
              <w:t>Performance Cash</w:t>
            </w:r>
          </w:p>
        </w:tc>
        <w:tc>
          <w:tcPr>
            <w:tcW w:w="1540" w:type="dxa"/>
            <w:vAlign w:val="bottom"/>
          </w:tcPr>
          <w:p>
            <w:pPr>
              <w:spacing w:after="0"/>
              <w:rPr>
                <w:sz w:val="15"/>
                <w:szCs w:val="15"/>
                <w:color w:val="auto"/>
              </w:rPr>
            </w:pPr>
          </w:p>
        </w:tc>
        <w:tc>
          <w:tcPr>
            <w:tcW w:w="1440" w:type="dxa"/>
            <w:vAlign w:val="bottom"/>
          </w:tcPr>
          <w:p>
            <w:pPr>
              <w:jc w:val="right"/>
              <w:ind w:right="188"/>
              <w:spacing w:after="0"/>
              <w:rPr>
                <w:sz w:val="20"/>
                <w:szCs w:val="20"/>
                <w:color w:val="auto"/>
              </w:rPr>
            </w:pPr>
            <w:r>
              <w:rPr>
                <w:rFonts w:ascii="Arial" w:cs="Arial" w:eastAsia="Arial" w:hAnsi="Arial"/>
                <w:sz w:val="14"/>
                <w:szCs w:val="14"/>
                <w:b w:val="1"/>
                <w:bCs w:val="1"/>
                <w:color w:val="auto"/>
              </w:rPr>
              <w:t>Total Earned</w:t>
            </w: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Cash Award</w:t>
            </w:r>
          </w:p>
        </w:tc>
        <w:tc>
          <w:tcPr>
            <w:tcW w:w="0" w:type="dxa"/>
            <w:vAlign w:val="bottom"/>
          </w:tcPr>
          <w:p>
            <w:pPr>
              <w:spacing w:after="0"/>
              <w:rPr>
                <w:sz w:val="1"/>
                <w:szCs w:val="1"/>
                <w:color w:val="auto"/>
              </w:rPr>
            </w:pPr>
          </w:p>
        </w:tc>
      </w:tr>
      <w:tr>
        <w:trPr>
          <w:trHeight w:val="88"/>
        </w:trPr>
        <w:tc>
          <w:tcPr>
            <w:tcW w:w="3160" w:type="dxa"/>
            <w:vAlign w:val="bottom"/>
            <w:vMerge w:val="continue"/>
          </w:tcPr>
          <w:p>
            <w:pPr>
              <w:spacing w:after="0"/>
              <w:rPr>
                <w:sz w:val="7"/>
                <w:szCs w:val="7"/>
                <w:color w:val="auto"/>
              </w:rPr>
            </w:pPr>
          </w:p>
        </w:tc>
        <w:tc>
          <w:tcPr>
            <w:tcW w:w="37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Units at Target</w:t>
            </w:r>
          </w:p>
        </w:tc>
        <w:tc>
          <w:tcPr>
            <w:tcW w:w="15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Value Per Unit</w:t>
            </w:r>
          </w:p>
        </w:tc>
        <w:tc>
          <w:tcPr>
            <w:tcW w:w="14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Award</w:t>
            </w:r>
          </w:p>
        </w:tc>
        <w:tc>
          <w:tcPr>
            <w:tcW w:w="13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Earned</w:t>
            </w:r>
          </w:p>
        </w:tc>
        <w:tc>
          <w:tcPr>
            <w:tcW w:w="0" w:type="dxa"/>
            <w:vAlign w:val="bottom"/>
          </w:tcPr>
          <w:p>
            <w:pPr>
              <w:spacing w:after="0"/>
              <w:rPr>
                <w:sz w:val="1"/>
                <w:szCs w:val="1"/>
                <w:color w:val="auto"/>
              </w:rPr>
            </w:pPr>
          </w:p>
        </w:tc>
      </w:tr>
      <w:tr>
        <w:trPr>
          <w:trHeight w:val="117"/>
        </w:trPr>
        <w:tc>
          <w:tcPr>
            <w:tcW w:w="3160" w:type="dxa"/>
            <w:vAlign w:val="bottom"/>
            <w:tcBorders>
              <w:bottom w:val="single" w:sz="8" w:color="D7282F"/>
            </w:tcBorders>
          </w:tcPr>
          <w:p>
            <w:pPr>
              <w:spacing w:after="0"/>
              <w:rPr>
                <w:sz w:val="10"/>
                <w:szCs w:val="10"/>
                <w:color w:val="auto"/>
              </w:rPr>
            </w:pPr>
          </w:p>
        </w:tc>
        <w:tc>
          <w:tcPr>
            <w:tcW w:w="3720" w:type="dxa"/>
            <w:vAlign w:val="bottom"/>
            <w:tcBorders>
              <w:bottom w:val="single" w:sz="8" w:color="D7282F"/>
            </w:tcBorders>
            <w:vMerge w:val="continue"/>
          </w:tcPr>
          <w:p>
            <w:pPr>
              <w:spacing w:after="0"/>
              <w:rPr>
                <w:sz w:val="10"/>
                <w:szCs w:val="10"/>
                <w:color w:val="auto"/>
              </w:rPr>
            </w:pPr>
          </w:p>
        </w:tc>
        <w:tc>
          <w:tcPr>
            <w:tcW w:w="1540" w:type="dxa"/>
            <w:vAlign w:val="bottom"/>
            <w:tcBorders>
              <w:bottom w:val="single" w:sz="8" w:color="D7282F"/>
            </w:tcBorders>
            <w:vMerge w:val="continue"/>
          </w:tcPr>
          <w:p>
            <w:pPr>
              <w:spacing w:after="0"/>
              <w:rPr>
                <w:sz w:val="10"/>
                <w:szCs w:val="10"/>
                <w:color w:val="auto"/>
              </w:rPr>
            </w:pPr>
          </w:p>
        </w:tc>
        <w:tc>
          <w:tcPr>
            <w:tcW w:w="1440" w:type="dxa"/>
            <w:vAlign w:val="bottom"/>
            <w:tcBorders>
              <w:bottom w:val="single" w:sz="8" w:color="D7282F"/>
            </w:tcBorders>
            <w:vMerge w:val="continue"/>
          </w:tcPr>
          <w:p>
            <w:pPr>
              <w:spacing w:after="0"/>
              <w:rPr>
                <w:sz w:val="10"/>
                <w:szCs w:val="10"/>
                <w:color w:val="auto"/>
              </w:rPr>
            </w:pPr>
          </w:p>
        </w:tc>
        <w:tc>
          <w:tcPr>
            <w:tcW w:w="1360" w:type="dxa"/>
            <w:vAlign w:val="bottom"/>
            <w:tcBorders>
              <w:bottom w:val="single" w:sz="8" w:color="D7282F"/>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22"/>
        </w:trPr>
        <w:tc>
          <w:tcPr>
            <w:tcW w:w="3160" w:type="dxa"/>
            <w:vAlign w:val="bottom"/>
          </w:tcPr>
          <w:p>
            <w:pPr>
              <w:ind w:left="20"/>
              <w:spacing w:after="0"/>
              <w:rPr>
                <w:sz w:val="20"/>
                <w:szCs w:val="20"/>
                <w:color w:val="auto"/>
              </w:rPr>
            </w:pPr>
            <w:r>
              <w:rPr>
                <w:rFonts w:ascii="Arial" w:cs="Arial" w:eastAsia="Arial" w:hAnsi="Arial"/>
                <w:sz w:val="14"/>
                <w:szCs w:val="14"/>
                <w:b w:val="1"/>
                <w:bCs w:val="1"/>
                <w:color w:val="auto"/>
              </w:rPr>
              <w:t>Mr. Stepniak</w:t>
            </w:r>
          </w:p>
        </w:tc>
        <w:tc>
          <w:tcPr>
            <w:tcW w:w="3720" w:type="dxa"/>
            <w:vAlign w:val="bottom"/>
          </w:tcPr>
          <w:p>
            <w:pPr>
              <w:jc w:val="right"/>
              <w:ind w:right="228"/>
              <w:spacing w:after="0"/>
              <w:rPr>
                <w:sz w:val="20"/>
                <w:szCs w:val="20"/>
                <w:color w:val="auto"/>
              </w:rPr>
            </w:pPr>
            <w:r>
              <w:rPr>
                <w:rFonts w:ascii="Arial" w:cs="Arial" w:eastAsia="Arial" w:hAnsi="Arial"/>
                <w:sz w:val="14"/>
                <w:szCs w:val="14"/>
                <w:color w:val="auto"/>
              </w:rPr>
              <w:t>2,517</w:t>
            </w:r>
          </w:p>
        </w:tc>
        <w:tc>
          <w:tcPr>
            <w:tcW w:w="1540" w:type="dxa"/>
            <w:vAlign w:val="bottom"/>
          </w:tcPr>
          <w:p>
            <w:pPr>
              <w:jc w:val="right"/>
              <w:ind w:right="308"/>
              <w:spacing w:after="0"/>
              <w:rPr>
                <w:sz w:val="20"/>
                <w:szCs w:val="20"/>
                <w:color w:val="auto"/>
              </w:rPr>
            </w:pPr>
            <w:r>
              <w:rPr>
                <w:rFonts w:ascii="Arial" w:cs="Arial" w:eastAsia="Arial" w:hAnsi="Arial"/>
                <w:sz w:val="14"/>
                <w:szCs w:val="14"/>
                <w:color w:val="auto"/>
              </w:rPr>
              <w:t>$100.00</w:t>
            </w:r>
          </w:p>
        </w:tc>
        <w:tc>
          <w:tcPr>
            <w:tcW w:w="1440" w:type="dxa"/>
            <w:vAlign w:val="bottom"/>
          </w:tcPr>
          <w:p>
            <w:pPr>
              <w:jc w:val="right"/>
              <w:ind w:right="188"/>
              <w:spacing w:after="0"/>
              <w:rPr>
                <w:sz w:val="20"/>
                <w:szCs w:val="20"/>
                <w:color w:val="auto"/>
              </w:rPr>
            </w:pPr>
            <w:r>
              <w:rPr>
                <w:rFonts w:ascii="Arial" w:cs="Arial" w:eastAsia="Arial" w:hAnsi="Arial"/>
                <w:sz w:val="14"/>
                <w:szCs w:val="14"/>
                <w:color w:val="auto"/>
              </w:rPr>
              <w:t>85.1%</w:t>
            </w:r>
          </w:p>
        </w:tc>
        <w:tc>
          <w:tcPr>
            <w:tcW w:w="1360" w:type="dxa"/>
            <w:vAlign w:val="bottom"/>
          </w:tcPr>
          <w:p>
            <w:pPr>
              <w:jc w:val="right"/>
              <w:spacing w:after="0"/>
              <w:rPr>
                <w:sz w:val="20"/>
                <w:szCs w:val="20"/>
                <w:color w:val="auto"/>
              </w:rPr>
            </w:pPr>
            <w:r>
              <w:rPr>
                <w:rFonts w:ascii="Arial" w:cs="Arial" w:eastAsia="Arial" w:hAnsi="Arial"/>
                <w:sz w:val="14"/>
                <w:szCs w:val="14"/>
                <w:color w:val="auto"/>
              </w:rPr>
              <w:t>$214,197</w:t>
            </w:r>
          </w:p>
        </w:tc>
        <w:tc>
          <w:tcPr>
            <w:tcW w:w="0" w:type="dxa"/>
            <w:vAlign w:val="bottom"/>
          </w:tcPr>
          <w:p>
            <w:pPr>
              <w:spacing w:after="0"/>
              <w:rPr>
                <w:sz w:val="1"/>
                <w:szCs w:val="1"/>
                <w:color w:val="auto"/>
              </w:rPr>
            </w:pPr>
          </w:p>
        </w:tc>
      </w:tr>
      <w:tr>
        <w:trPr>
          <w:trHeight w:val="124"/>
        </w:trPr>
        <w:tc>
          <w:tcPr>
            <w:tcW w:w="3160" w:type="dxa"/>
            <w:vAlign w:val="bottom"/>
            <w:tcBorders>
              <w:bottom w:val="single" w:sz="8" w:color="939598"/>
            </w:tcBorders>
          </w:tcPr>
          <w:p>
            <w:pPr>
              <w:spacing w:after="0"/>
              <w:rPr>
                <w:sz w:val="10"/>
                <w:szCs w:val="10"/>
                <w:color w:val="auto"/>
              </w:rPr>
            </w:pPr>
          </w:p>
        </w:tc>
        <w:tc>
          <w:tcPr>
            <w:tcW w:w="3720" w:type="dxa"/>
            <w:vAlign w:val="bottom"/>
            <w:tcBorders>
              <w:bottom w:val="single" w:sz="8" w:color="939598"/>
            </w:tcBorders>
          </w:tcPr>
          <w:p>
            <w:pPr>
              <w:spacing w:after="0"/>
              <w:rPr>
                <w:sz w:val="10"/>
                <w:szCs w:val="10"/>
                <w:color w:val="auto"/>
              </w:rPr>
            </w:pPr>
          </w:p>
        </w:tc>
        <w:tc>
          <w:tcPr>
            <w:tcW w:w="1540" w:type="dxa"/>
            <w:vAlign w:val="bottom"/>
            <w:tcBorders>
              <w:bottom w:val="single" w:sz="8" w:color="939598"/>
            </w:tcBorders>
          </w:tcPr>
          <w:p>
            <w:pPr>
              <w:spacing w:after="0"/>
              <w:rPr>
                <w:sz w:val="10"/>
                <w:szCs w:val="10"/>
                <w:color w:val="auto"/>
              </w:rPr>
            </w:pPr>
          </w:p>
        </w:tc>
        <w:tc>
          <w:tcPr>
            <w:tcW w:w="1440" w:type="dxa"/>
            <w:vAlign w:val="bottom"/>
            <w:tcBorders>
              <w:bottom w:val="single" w:sz="8" w:color="939598"/>
            </w:tcBorders>
          </w:tcPr>
          <w:p>
            <w:pPr>
              <w:spacing w:after="0"/>
              <w:rPr>
                <w:sz w:val="10"/>
                <w:szCs w:val="10"/>
                <w:color w:val="auto"/>
              </w:rPr>
            </w:pPr>
          </w:p>
        </w:tc>
        <w:tc>
          <w:tcPr>
            <w:tcW w:w="136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315"/>
        </w:trPr>
        <w:tc>
          <w:tcPr>
            <w:tcW w:w="3160" w:type="dxa"/>
            <w:vAlign w:val="bottom"/>
          </w:tcPr>
          <w:p>
            <w:pPr>
              <w:ind w:left="20"/>
              <w:spacing w:after="0"/>
              <w:rPr>
                <w:sz w:val="20"/>
                <w:szCs w:val="20"/>
                <w:color w:val="auto"/>
              </w:rPr>
            </w:pPr>
            <w:r>
              <w:rPr>
                <w:rFonts w:ascii="Arial" w:cs="Arial" w:eastAsia="Arial" w:hAnsi="Arial"/>
                <w:sz w:val="14"/>
                <w:szCs w:val="14"/>
                <w:b w:val="1"/>
                <w:bCs w:val="1"/>
                <w:color w:val="auto"/>
              </w:rPr>
              <w:t>Mr. Currier</w:t>
            </w:r>
          </w:p>
        </w:tc>
        <w:tc>
          <w:tcPr>
            <w:tcW w:w="3720" w:type="dxa"/>
            <w:vAlign w:val="bottom"/>
          </w:tcPr>
          <w:p>
            <w:pPr>
              <w:jc w:val="right"/>
              <w:ind w:right="228"/>
              <w:spacing w:after="0"/>
              <w:rPr>
                <w:sz w:val="20"/>
                <w:szCs w:val="20"/>
                <w:color w:val="auto"/>
              </w:rPr>
            </w:pPr>
            <w:r>
              <w:rPr>
                <w:rFonts w:ascii="Arial" w:cs="Arial" w:eastAsia="Arial" w:hAnsi="Arial"/>
                <w:sz w:val="14"/>
                <w:szCs w:val="14"/>
                <w:color w:val="auto"/>
              </w:rPr>
              <w:t>1,440</w:t>
            </w:r>
          </w:p>
        </w:tc>
        <w:tc>
          <w:tcPr>
            <w:tcW w:w="1540" w:type="dxa"/>
            <w:vAlign w:val="bottom"/>
          </w:tcPr>
          <w:p>
            <w:pPr>
              <w:jc w:val="right"/>
              <w:ind w:right="308"/>
              <w:spacing w:after="0"/>
              <w:rPr>
                <w:sz w:val="20"/>
                <w:szCs w:val="20"/>
                <w:color w:val="auto"/>
              </w:rPr>
            </w:pPr>
            <w:r>
              <w:rPr>
                <w:rFonts w:ascii="Arial" w:cs="Arial" w:eastAsia="Arial" w:hAnsi="Arial"/>
                <w:sz w:val="14"/>
                <w:szCs w:val="14"/>
                <w:color w:val="auto"/>
              </w:rPr>
              <w:t>100.00</w:t>
            </w:r>
          </w:p>
        </w:tc>
        <w:tc>
          <w:tcPr>
            <w:tcW w:w="1440" w:type="dxa"/>
            <w:vAlign w:val="bottom"/>
          </w:tcPr>
          <w:p>
            <w:pPr>
              <w:jc w:val="right"/>
              <w:ind w:right="188"/>
              <w:spacing w:after="0"/>
              <w:rPr>
                <w:sz w:val="20"/>
                <w:szCs w:val="20"/>
                <w:color w:val="auto"/>
              </w:rPr>
            </w:pPr>
            <w:r>
              <w:rPr>
                <w:rFonts w:ascii="Arial" w:cs="Arial" w:eastAsia="Arial" w:hAnsi="Arial"/>
                <w:sz w:val="14"/>
                <w:szCs w:val="14"/>
                <w:color w:val="auto"/>
              </w:rPr>
              <w:t>90.0%</w:t>
            </w:r>
          </w:p>
        </w:tc>
        <w:tc>
          <w:tcPr>
            <w:tcW w:w="1360" w:type="dxa"/>
            <w:vAlign w:val="bottom"/>
          </w:tcPr>
          <w:p>
            <w:pPr>
              <w:jc w:val="right"/>
              <w:spacing w:after="0"/>
              <w:rPr>
                <w:sz w:val="20"/>
                <w:szCs w:val="20"/>
                <w:color w:val="auto"/>
              </w:rPr>
            </w:pPr>
            <w:r>
              <w:rPr>
                <w:rFonts w:ascii="Arial" w:cs="Arial" w:eastAsia="Arial" w:hAnsi="Arial"/>
                <w:sz w:val="14"/>
                <w:szCs w:val="14"/>
                <w:color w:val="auto"/>
              </w:rPr>
              <w:t>129,600</w:t>
            </w:r>
          </w:p>
        </w:tc>
        <w:tc>
          <w:tcPr>
            <w:tcW w:w="0" w:type="dxa"/>
            <w:vAlign w:val="bottom"/>
          </w:tcPr>
          <w:p>
            <w:pPr>
              <w:spacing w:after="0"/>
              <w:rPr>
                <w:sz w:val="1"/>
                <w:szCs w:val="1"/>
                <w:color w:val="auto"/>
              </w:rPr>
            </w:pPr>
          </w:p>
        </w:tc>
      </w:tr>
      <w:tr>
        <w:trPr>
          <w:trHeight w:val="123"/>
        </w:trPr>
        <w:tc>
          <w:tcPr>
            <w:tcW w:w="3160" w:type="dxa"/>
            <w:vAlign w:val="bottom"/>
            <w:tcBorders>
              <w:bottom w:val="single" w:sz="8" w:color="939598"/>
            </w:tcBorders>
          </w:tcPr>
          <w:p>
            <w:pPr>
              <w:spacing w:after="0"/>
              <w:rPr>
                <w:sz w:val="10"/>
                <w:szCs w:val="10"/>
                <w:color w:val="auto"/>
              </w:rPr>
            </w:pPr>
          </w:p>
        </w:tc>
        <w:tc>
          <w:tcPr>
            <w:tcW w:w="3720" w:type="dxa"/>
            <w:vAlign w:val="bottom"/>
            <w:tcBorders>
              <w:bottom w:val="single" w:sz="8" w:color="939598"/>
            </w:tcBorders>
          </w:tcPr>
          <w:p>
            <w:pPr>
              <w:spacing w:after="0"/>
              <w:rPr>
                <w:sz w:val="10"/>
                <w:szCs w:val="10"/>
                <w:color w:val="auto"/>
              </w:rPr>
            </w:pPr>
          </w:p>
        </w:tc>
        <w:tc>
          <w:tcPr>
            <w:tcW w:w="1540" w:type="dxa"/>
            <w:vAlign w:val="bottom"/>
            <w:tcBorders>
              <w:bottom w:val="single" w:sz="8" w:color="939598"/>
            </w:tcBorders>
          </w:tcPr>
          <w:p>
            <w:pPr>
              <w:spacing w:after="0"/>
              <w:rPr>
                <w:sz w:val="10"/>
                <w:szCs w:val="10"/>
                <w:color w:val="auto"/>
              </w:rPr>
            </w:pPr>
          </w:p>
        </w:tc>
        <w:tc>
          <w:tcPr>
            <w:tcW w:w="1440" w:type="dxa"/>
            <w:vAlign w:val="bottom"/>
            <w:tcBorders>
              <w:bottom w:val="single" w:sz="8" w:color="939598"/>
            </w:tcBorders>
          </w:tcPr>
          <w:p>
            <w:pPr>
              <w:spacing w:after="0"/>
              <w:rPr>
                <w:sz w:val="10"/>
                <w:szCs w:val="10"/>
                <w:color w:val="auto"/>
              </w:rPr>
            </w:pPr>
          </w:p>
        </w:tc>
        <w:tc>
          <w:tcPr>
            <w:tcW w:w="136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316"/>
        </w:trPr>
        <w:tc>
          <w:tcPr>
            <w:tcW w:w="3160" w:type="dxa"/>
            <w:vAlign w:val="bottom"/>
          </w:tcPr>
          <w:p>
            <w:pPr>
              <w:ind w:left="20"/>
              <w:spacing w:after="0"/>
              <w:rPr>
                <w:sz w:val="20"/>
                <w:szCs w:val="20"/>
                <w:color w:val="auto"/>
              </w:rPr>
            </w:pPr>
            <w:r>
              <w:rPr>
                <w:rFonts w:ascii="Arial" w:cs="Arial" w:eastAsia="Arial" w:hAnsi="Arial"/>
                <w:sz w:val="14"/>
                <w:szCs w:val="14"/>
                <w:b w:val="1"/>
                <w:bCs w:val="1"/>
                <w:color w:val="auto"/>
              </w:rPr>
              <w:t>Mr. Hammoud</w:t>
            </w:r>
          </w:p>
        </w:tc>
        <w:tc>
          <w:tcPr>
            <w:tcW w:w="3720" w:type="dxa"/>
            <w:vAlign w:val="bottom"/>
          </w:tcPr>
          <w:p>
            <w:pPr>
              <w:jc w:val="right"/>
              <w:ind w:right="228"/>
              <w:spacing w:after="0"/>
              <w:rPr>
                <w:sz w:val="20"/>
                <w:szCs w:val="20"/>
                <w:color w:val="auto"/>
              </w:rPr>
            </w:pPr>
            <w:r>
              <w:rPr>
                <w:rFonts w:ascii="Arial" w:cs="Arial" w:eastAsia="Arial" w:hAnsi="Arial"/>
                <w:sz w:val="14"/>
                <w:szCs w:val="14"/>
                <w:color w:val="auto"/>
              </w:rPr>
              <w:t>1,734</w:t>
            </w:r>
          </w:p>
        </w:tc>
        <w:tc>
          <w:tcPr>
            <w:tcW w:w="1540" w:type="dxa"/>
            <w:vAlign w:val="bottom"/>
          </w:tcPr>
          <w:p>
            <w:pPr>
              <w:jc w:val="right"/>
              <w:ind w:right="308"/>
              <w:spacing w:after="0"/>
              <w:rPr>
                <w:sz w:val="20"/>
                <w:szCs w:val="20"/>
                <w:color w:val="auto"/>
              </w:rPr>
            </w:pPr>
            <w:r>
              <w:rPr>
                <w:rFonts w:ascii="Arial" w:cs="Arial" w:eastAsia="Arial" w:hAnsi="Arial"/>
                <w:sz w:val="14"/>
                <w:szCs w:val="14"/>
                <w:color w:val="auto"/>
              </w:rPr>
              <w:t>100.00</w:t>
            </w:r>
          </w:p>
        </w:tc>
        <w:tc>
          <w:tcPr>
            <w:tcW w:w="1440" w:type="dxa"/>
            <w:vAlign w:val="bottom"/>
          </w:tcPr>
          <w:p>
            <w:pPr>
              <w:jc w:val="right"/>
              <w:ind w:right="188"/>
              <w:spacing w:after="0"/>
              <w:rPr>
                <w:sz w:val="20"/>
                <w:szCs w:val="20"/>
                <w:color w:val="auto"/>
              </w:rPr>
            </w:pPr>
            <w:r>
              <w:rPr>
                <w:rFonts w:ascii="Arial" w:cs="Arial" w:eastAsia="Arial" w:hAnsi="Arial"/>
                <w:sz w:val="14"/>
                <w:szCs w:val="14"/>
                <w:color w:val="auto"/>
              </w:rPr>
              <w:t>75.8%</w:t>
            </w:r>
          </w:p>
        </w:tc>
        <w:tc>
          <w:tcPr>
            <w:tcW w:w="1360" w:type="dxa"/>
            <w:vAlign w:val="bottom"/>
          </w:tcPr>
          <w:p>
            <w:pPr>
              <w:jc w:val="right"/>
              <w:spacing w:after="0"/>
              <w:rPr>
                <w:sz w:val="20"/>
                <w:szCs w:val="20"/>
                <w:color w:val="auto"/>
              </w:rPr>
            </w:pPr>
            <w:r>
              <w:rPr>
                <w:rFonts w:ascii="Arial" w:cs="Arial" w:eastAsia="Arial" w:hAnsi="Arial"/>
                <w:sz w:val="14"/>
                <w:szCs w:val="14"/>
                <w:color w:val="auto"/>
              </w:rPr>
              <w:t>131,437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2343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Arial" w:cs="Arial" w:eastAsia="Arial" w:hAnsi="Arial"/>
          <w:sz w:val="13"/>
          <w:szCs w:val="13"/>
          <w:color w:val="auto"/>
        </w:rPr>
        <w:t>2023-2025 PCU payouts were determined by time spent in each respective business during the performance period:</w:t>
      </w:r>
    </w:p>
    <w:p>
      <w:pPr>
        <w:spacing w:after="0" w:line="53" w:lineRule="exact"/>
        <w:rPr>
          <w:sz w:val="20"/>
          <w:szCs w:val="20"/>
          <w:color w:val="auto"/>
        </w:rPr>
      </w:pPr>
    </w:p>
    <w:p>
      <w:pPr>
        <w:ind w:right="400"/>
        <w:spacing w:after="0" w:line="264" w:lineRule="auto"/>
        <w:rPr>
          <w:sz w:val="20"/>
          <w:szCs w:val="20"/>
          <w:color w:val="auto"/>
        </w:rPr>
      </w:pPr>
      <w:r>
        <w:rPr>
          <w:rFonts w:ascii="Arial" w:cs="Arial" w:eastAsia="Arial" w:hAnsi="Arial"/>
          <w:sz w:val="13"/>
          <w:szCs w:val="13"/>
          <w:color w:val="auto"/>
        </w:rPr>
        <w:t>Mr. Stepniak worked in Building Automation on January 1, 2023, then worked in Aerospace Technologies from January 2, 2023 to October 6, 2024 until moving to Corporate from October 7, 2024 through December 31, 2025.</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Mr. Hammoud worked in ESS (formerly PMT) from January 1, 2023 to March 31, 2023, followed by HBT/BA from April 1, 2023 through December 31, 2025.</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Mr. Currier worked in Aerospace Technologies for the full 2023-2025 performance cycle.</w:t>
      </w:r>
    </w:p>
    <w:p>
      <w:pPr>
        <w:spacing w:after="0" w:line="84"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In accordance with SEC disclosure requirements for cash-based awards, 100% of the earned cash award for Mr. Stepniak, Mr. Currier and Mr. Hammoud for the 2023–2025 performance period is included as part of 2026 Non-Equity Incentive Compensation on the Summary Compensation Table, even though originally granted in 2023. The MDCC considered this 2023–2025 cash unit award as part of their 2023 total annual direct compensation (in the year it was granted), which differs from how it is reported on the Summary Compensation Table.</w:t>
      </w:r>
    </w:p>
    <w:p>
      <w:pPr>
        <w:spacing w:after="0" w:line="63" w:lineRule="exact"/>
        <w:rPr>
          <w:sz w:val="20"/>
          <w:szCs w:val="20"/>
          <w:color w:val="auto"/>
        </w:rPr>
      </w:pPr>
    </w:p>
    <w:p>
      <w:pPr>
        <w:ind w:right="260"/>
        <w:spacing w:after="0" w:line="268" w:lineRule="auto"/>
        <w:rPr>
          <w:sz w:val="20"/>
          <w:szCs w:val="20"/>
          <w:color w:val="auto"/>
        </w:rPr>
      </w:pPr>
      <w:r>
        <w:rPr>
          <w:rFonts w:ascii="Arial" w:cs="Arial" w:eastAsia="Arial" w:hAnsi="Arial"/>
          <w:sz w:val="16"/>
          <w:szCs w:val="16"/>
          <w:color w:val="auto"/>
        </w:rPr>
        <w:t>Mr. Hammoud became an executive officer in April 2023, Mr. Currier became an executive officer in August 2023, and Mr. Stepniak became an executive officer in February 2025. They have received PSU awards, rather than PCU awards, since then.</w:t>
      </w:r>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STOCK OPTIONS</w:t>
      </w:r>
    </w:p>
    <w:p>
      <w:pPr>
        <w:spacing w:after="0" w:line="141" w:lineRule="exact"/>
        <w:rPr>
          <w:sz w:val="20"/>
          <w:szCs w:val="20"/>
          <w:color w:val="auto"/>
        </w:rPr>
      </w:pPr>
    </w:p>
    <w:p>
      <w:pPr>
        <w:ind w:left="1920" w:right="140"/>
        <w:spacing w:after="0" w:line="239" w:lineRule="auto"/>
        <w:rPr>
          <w:sz w:val="20"/>
          <w:szCs w:val="20"/>
          <w:color w:val="auto"/>
        </w:rPr>
      </w:pPr>
      <w:r>
        <w:rPr>
          <w:rFonts w:ascii="Arial" w:cs="Arial" w:eastAsia="Arial" w:hAnsi="Arial"/>
          <w:sz w:val="16"/>
          <w:szCs w:val="16"/>
          <w:color w:val="auto"/>
        </w:rPr>
        <w:t>Stock options granted to the NEOs in 2025 represented 25% of their total annual LTI value and mix. The MDCC believes that stock options continue to be an important element for focusing executives on actions that drive long-term stock appreciation, which is directly aligned with the interests of our shareowners. The information below does not include the one-time stock option awards granted to certain of our named executive officers in connection with the spin-offs, which are described in "Transaction Awards"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-581025</wp:posOffset>
            </wp:positionV>
            <wp:extent cx="771525" cy="77152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71525" cy="771525"/>
                    </a:xfrm>
                    <a:prstGeom prst="rect">
                      <a:avLst/>
                    </a:prstGeom>
                    <a:noFill/>
                  </pic:spPr>
                </pic:pic>
              </a:graphicData>
            </a:graphic>
          </wp:anchor>
        </w:drawing>
      </w:r>
    </w:p>
    <w:p>
      <w:pPr>
        <w:spacing w:after="0" w:line="49" w:lineRule="exact"/>
        <w:rPr>
          <w:sz w:val="20"/>
          <w:szCs w:val="20"/>
          <w:color w:val="auto"/>
        </w:rPr>
      </w:pPr>
    </w:p>
    <w:p>
      <w:pPr>
        <w:ind w:left="1920" w:right="120"/>
        <w:spacing w:after="0" w:line="248" w:lineRule="auto"/>
        <w:rPr>
          <w:sz w:val="20"/>
          <w:szCs w:val="20"/>
          <w:color w:val="auto"/>
        </w:rPr>
      </w:pPr>
      <w:r>
        <w:rPr>
          <w:rFonts w:ascii="Arial" w:cs="Arial" w:eastAsia="Arial" w:hAnsi="Arial"/>
          <w:sz w:val="16"/>
          <w:szCs w:val="16"/>
          <w:color w:val="auto"/>
        </w:rPr>
        <w:t>Stock options vest 25% per year over four years and have a 10-year term to exercise. The strike price for the 2025 annual stock options granted to NEOs in February is $209.81, which was the fair market value of Honeywell stock on the grant date (February 19, 2025). The grant date fair value of a stock option was determined by a third-party valuation company using a Black-Scholes valuation method.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60" w:type="dxa"/>
            <w:vAlign w:val="bottom"/>
          </w:tcPr>
          <w:p>
            <w:pPr>
              <w:spacing w:after="0"/>
              <w:rPr>
                <w:sz w:val="15"/>
                <w:szCs w:val="15"/>
                <w:color w:val="auto"/>
              </w:rPr>
            </w:pPr>
          </w:p>
        </w:tc>
        <w:tc>
          <w:tcPr>
            <w:tcW w:w="4920" w:type="dxa"/>
            <w:vAlign w:val="bottom"/>
          </w:tcPr>
          <w:p>
            <w:pPr>
              <w:jc w:val="right"/>
              <w:ind w:right="68"/>
              <w:spacing w:after="0"/>
              <w:rPr>
                <w:sz w:val="20"/>
                <w:szCs w:val="20"/>
                <w:color w:val="auto"/>
              </w:rPr>
            </w:pPr>
            <w:r>
              <w:rPr>
                <w:rFonts w:ascii="Arial" w:cs="Arial" w:eastAsia="Arial" w:hAnsi="Arial"/>
                <w:sz w:val="14"/>
                <w:szCs w:val="14"/>
                <w:b w:val="1"/>
                <w:bCs w:val="1"/>
                <w:color w:val="auto"/>
              </w:rPr>
              <w:t># of Stock</w:t>
            </w:r>
          </w:p>
        </w:tc>
        <w:tc>
          <w:tcPr>
            <w:tcW w:w="3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Grant Date</w:t>
            </w:r>
          </w:p>
        </w:tc>
      </w:tr>
      <w:tr>
        <w:trPr>
          <w:trHeight w:val="214"/>
        </w:trPr>
        <w:tc>
          <w:tcPr>
            <w:tcW w:w="50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NEO</w:t>
            </w:r>
          </w:p>
        </w:tc>
        <w:tc>
          <w:tcPr>
            <w:tcW w:w="49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Options</w:t>
            </w:r>
            <w:r>
              <w:rPr>
                <w:rFonts w:ascii="Arial" w:cs="Arial" w:eastAsia="Arial" w:hAnsi="Arial"/>
                <w:sz w:val="18"/>
                <w:szCs w:val="18"/>
                <w:b w:val="1"/>
                <w:bCs w:val="1"/>
                <w:color w:val="auto"/>
                <w:vertAlign w:val="superscript"/>
              </w:rPr>
              <w:t>(1)</w:t>
            </w:r>
          </w:p>
        </w:tc>
        <w:tc>
          <w:tcPr>
            <w:tcW w:w="360" w:type="dxa"/>
            <w:vAlign w:val="bottom"/>
            <w:tcBorders>
              <w:bottom w:val="single" w:sz="8" w:color="D7282F"/>
            </w:tcBorders>
          </w:tcPr>
          <w:p>
            <w:pPr>
              <w:spacing w:after="0"/>
              <w:rPr>
                <w:sz w:val="18"/>
                <w:szCs w:val="18"/>
                <w:color w:val="auto"/>
              </w:rPr>
            </w:pPr>
          </w:p>
        </w:tc>
        <w:tc>
          <w:tcPr>
            <w:tcW w:w="8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18"/>
                <w:szCs w:val="18"/>
                <w:b w:val="1"/>
                <w:bCs w:val="1"/>
                <w:color w:val="auto"/>
                <w:vertAlign w:val="superscript"/>
              </w:rPr>
              <w:t>(2)</w:t>
            </w:r>
          </w:p>
        </w:tc>
      </w:tr>
      <w:tr>
        <w:trPr>
          <w:trHeight w:val="316"/>
        </w:trPr>
        <w:tc>
          <w:tcPr>
            <w:tcW w:w="5060" w:type="dxa"/>
            <w:vAlign w:val="bottom"/>
          </w:tcPr>
          <w:p>
            <w:pPr>
              <w:ind w:left="20"/>
              <w:spacing w:after="0"/>
              <w:rPr>
                <w:sz w:val="20"/>
                <w:szCs w:val="20"/>
                <w:color w:val="auto"/>
              </w:rPr>
            </w:pPr>
            <w:r>
              <w:rPr>
                <w:rFonts w:ascii="Arial" w:cs="Arial" w:eastAsia="Arial" w:hAnsi="Arial"/>
                <w:sz w:val="14"/>
                <w:szCs w:val="14"/>
                <w:b w:val="1"/>
                <w:bCs w:val="1"/>
                <w:color w:val="auto"/>
              </w:rPr>
              <w:t>Mr. Kapur</w:t>
            </w:r>
          </w:p>
        </w:tc>
        <w:tc>
          <w:tcPr>
            <w:tcW w:w="4920" w:type="dxa"/>
            <w:vAlign w:val="bottom"/>
          </w:tcPr>
          <w:p>
            <w:pPr>
              <w:jc w:val="right"/>
              <w:ind w:right="108"/>
              <w:spacing w:after="0"/>
              <w:rPr>
                <w:sz w:val="20"/>
                <w:szCs w:val="20"/>
                <w:color w:val="auto"/>
              </w:rPr>
            </w:pPr>
            <w:r>
              <w:rPr>
                <w:rFonts w:ascii="Arial" w:cs="Arial" w:eastAsia="Arial" w:hAnsi="Arial"/>
                <w:sz w:val="14"/>
                <w:szCs w:val="14"/>
                <w:color w:val="auto"/>
              </w:rPr>
              <w:t>82,700</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3,623,914</w:t>
            </w:r>
          </w:p>
        </w:tc>
      </w:tr>
      <w:tr>
        <w:trPr>
          <w:trHeight w:val="123"/>
        </w:trPr>
        <w:tc>
          <w:tcPr>
            <w:tcW w:w="5060" w:type="dxa"/>
            <w:vAlign w:val="bottom"/>
            <w:tcBorders>
              <w:bottom w:val="single" w:sz="8" w:color="939598"/>
            </w:tcBorders>
          </w:tcPr>
          <w:p>
            <w:pPr>
              <w:spacing w:after="0"/>
              <w:rPr>
                <w:sz w:val="10"/>
                <w:szCs w:val="10"/>
                <w:color w:val="auto"/>
              </w:rPr>
            </w:pPr>
          </w:p>
        </w:tc>
        <w:tc>
          <w:tcPr>
            <w:tcW w:w="492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spacing w:after="0"/>
              <w:rPr>
                <w:sz w:val="10"/>
                <w:szCs w:val="10"/>
                <w:color w:val="auto"/>
              </w:rPr>
            </w:pPr>
          </w:p>
        </w:tc>
        <w:tc>
          <w:tcPr>
            <w:tcW w:w="880" w:type="dxa"/>
            <w:vAlign w:val="bottom"/>
            <w:tcBorders>
              <w:bottom w:val="single" w:sz="8" w:color="939598"/>
            </w:tcBorders>
          </w:tcPr>
          <w:p>
            <w:pPr>
              <w:spacing w:after="0"/>
              <w:rPr>
                <w:sz w:val="10"/>
                <w:szCs w:val="10"/>
                <w:color w:val="auto"/>
              </w:rPr>
            </w:pPr>
          </w:p>
        </w:tc>
      </w:tr>
      <w:tr>
        <w:trPr>
          <w:trHeight w:val="315"/>
        </w:trPr>
        <w:tc>
          <w:tcPr>
            <w:tcW w:w="5060" w:type="dxa"/>
            <w:vAlign w:val="bottom"/>
          </w:tcPr>
          <w:p>
            <w:pPr>
              <w:ind w:left="20"/>
              <w:spacing w:after="0"/>
              <w:rPr>
                <w:sz w:val="20"/>
                <w:szCs w:val="20"/>
                <w:color w:val="auto"/>
              </w:rPr>
            </w:pPr>
            <w:r>
              <w:rPr>
                <w:rFonts w:ascii="Arial" w:cs="Arial" w:eastAsia="Arial" w:hAnsi="Arial"/>
                <w:sz w:val="14"/>
                <w:szCs w:val="14"/>
                <w:b w:val="1"/>
                <w:bCs w:val="1"/>
                <w:color w:val="auto"/>
              </w:rPr>
              <w:t>Mr. Stepniak</w:t>
            </w:r>
          </w:p>
        </w:tc>
        <w:tc>
          <w:tcPr>
            <w:tcW w:w="4920" w:type="dxa"/>
            <w:vAlign w:val="bottom"/>
          </w:tcPr>
          <w:p>
            <w:pPr>
              <w:jc w:val="right"/>
              <w:ind w:right="108"/>
              <w:spacing w:after="0"/>
              <w:rPr>
                <w:sz w:val="20"/>
                <w:szCs w:val="20"/>
                <w:color w:val="auto"/>
              </w:rPr>
            </w:pPr>
            <w:r>
              <w:rPr>
                <w:rFonts w:ascii="Arial" w:cs="Arial" w:eastAsia="Arial" w:hAnsi="Arial"/>
                <w:sz w:val="14"/>
                <w:szCs w:val="14"/>
                <w:color w:val="auto"/>
              </w:rPr>
              <w:t>21,600</w:t>
            </w: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946,512</w:t>
            </w:r>
          </w:p>
        </w:tc>
      </w:tr>
      <w:tr>
        <w:trPr>
          <w:trHeight w:val="123"/>
        </w:trPr>
        <w:tc>
          <w:tcPr>
            <w:tcW w:w="5060" w:type="dxa"/>
            <w:vAlign w:val="bottom"/>
            <w:tcBorders>
              <w:bottom w:val="single" w:sz="8" w:color="939598"/>
            </w:tcBorders>
          </w:tcPr>
          <w:p>
            <w:pPr>
              <w:spacing w:after="0"/>
              <w:rPr>
                <w:sz w:val="10"/>
                <w:szCs w:val="10"/>
                <w:color w:val="auto"/>
              </w:rPr>
            </w:pPr>
          </w:p>
        </w:tc>
        <w:tc>
          <w:tcPr>
            <w:tcW w:w="492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spacing w:after="0"/>
              <w:rPr>
                <w:sz w:val="10"/>
                <w:szCs w:val="10"/>
                <w:color w:val="auto"/>
              </w:rPr>
            </w:pPr>
          </w:p>
        </w:tc>
        <w:tc>
          <w:tcPr>
            <w:tcW w:w="880" w:type="dxa"/>
            <w:vAlign w:val="bottom"/>
            <w:tcBorders>
              <w:bottom w:val="single" w:sz="8" w:color="939598"/>
            </w:tcBorders>
          </w:tcPr>
          <w:p>
            <w:pPr>
              <w:spacing w:after="0"/>
              <w:rPr>
                <w:sz w:val="10"/>
                <w:szCs w:val="10"/>
                <w:color w:val="auto"/>
              </w:rPr>
            </w:pPr>
          </w:p>
        </w:tc>
      </w:tr>
      <w:tr>
        <w:trPr>
          <w:trHeight w:val="316"/>
        </w:trPr>
        <w:tc>
          <w:tcPr>
            <w:tcW w:w="5060" w:type="dxa"/>
            <w:vAlign w:val="bottom"/>
          </w:tcPr>
          <w:p>
            <w:pPr>
              <w:ind w:left="20"/>
              <w:spacing w:after="0"/>
              <w:rPr>
                <w:sz w:val="20"/>
                <w:szCs w:val="20"/>
                <w:color w:val="auto"/>
              </w:rPr>
            </w:pPr>
            <w:r>
              <w:rPr>
                <w:rFonts w:ascii="Arial" w:cs="Arial" w:eastAsia="Arial" w:hAnsi="Arial"/>
                <w:sz w:val="14"/>
                <w:szCs w:val="14"/>
                <w:b w:val="1"/>
                <w:bCs w:val="1"/>
                <w:color w:val="auto"/>
              </w:rPr>
              <w:t>Mr. Currier</w:t>
            </w:r>
          </w:p>
        </w:tc>
        <w:tc>
          <w:tcPr>
            <w:tcW w:w="4920" w:type="dxa"/>
            <w:vAlign w:val="bottom"/>
          </w:tcPr>
          <w:p>
            <w:pPr>
              <w:jc w:val="right"/>
              <w:ind w:right="108"/>
              <w:spacing w:after="0"/>
              <w:rPr>
                <w:sz w:val="20"/>
                <w:szCs w:val="20"/>
                <w:color w:val="auto"/>
              </w:rPr>
            </w:pPr>
            <w:r>
              <w:rPr>
                <w:rFonts w:ascii="Arial" w:cs="Arial" w:eastAsia="Arial" w:hAnsi="Arial"/>
                <w:sz w:val="14"/>
                <w:szCs w:val="14"/>
                <w:color w:val="auto"/>
              </w:rPr>
              <w:t>22,800</w:t>
            </w: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999,096</w:t>
            </w:r>
          </w:p>
        </w:tc>
      </w:tr>
      <w:tr>
        <w:trPr>
          <w:trHeight w:val="123"/>
        </w:trPr>
        <w:tc>
          <w:tcPr>
            <w:tcW w:w="5060" w:type="dxa"/>
            <w:vAlign w:val="bottom"/>
            <w:tcBorders>
              <w:bottom w:val="single" w:sz="8" w:color="939598"/>
            </w:tcBorders>
          </w:tcPr>
          <w:p>
            <w:pPr>
              <w:spacing w:after="0"/>
              <w:rPr>
                <w:sz w:val="10"/>
                <w:szCs w:val="10"/>
                <w:color w:val="auto"/>
              </w:rPr>
            </w:pPr>
          </w:p>
        </w:tc>
        <w:tc>
          <w:tcPr>
            <w:tcW w:w="492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spacing w:after="0"/>
              <w:rPr>
                <w:sz w:val="10"/>
                <w:szCs w:val="10"/>
                <w:color w:val="auto"/>
              </w:rPr>
            </w:pPr>
          </w:p>
        </w:tc>
        <w:tc>
          <w:tcPr>
            <w:tcW w:w="880" w:type="dxa"/>
            <w:vAlign w:val="bottom"/>
            <w:tcBorders>
              <w:bottom w:val="single" w:sz="8" w:color="939598"/>
            </w:tcBorders>
          </w:tcPr>
          <w:p>
            <w:pPr>
              <w:spacing w:after="0"/>
              <w:rPr>
                <w:sz w:val="10"/>
                <w:szCs w:val="10"/>
                <w:color w:val="auto"/>
              </w:rPr>
            </w:pPr>
          </w:p>
        </w:tc>
      </w:tr>
      <w:tr>
        <w:trPr>
          <w:trHeight w:val="371"/>
        </w:trPr>
        <w:tc>
          <w:tcPr>
            <w:tcW w:w="5060" w:type="dxa"/>
            <w:vAlign w:val="bottom"/>
          </w:tcPr>
          <w:p>
            <w:pPr>
              <w:ind w:left="20"/>
              <w:spacing w:after="0"/>
              <w:rPr>
                <w:sz w:val="20"/>
                <w:szCs w:val="20"/>
                <w:color w:val="auto"/>
              </w:rPr>
            </w:pPr>
            <w:r>
              <w:rPr>
                <w:rFonts w:ascii="Arial" w:cs="Arial" w:eastAsia="Arial" w:hAnsi="Arial"/>
                <w:sz w:val="14"/>
                <w:szCs w:val="14"/>
                <w:b w:val="1"/>
                <w:bCs w:val="1"/>
                <w:color w:val="auto"/>
              </w:rPr>
              <w:t>Mr. Masso</w:t>
            </w:r>
            <w:r>
              <w:rPr>
                <w:rFonts w:ascii="Arial" w:cs="Arial" w:eastAsia="Arial" w:hAnsi="Arial"/>
                <w:sz w:val="18"/>
                <w:szCs w:val="18"/>
                <w:b w:val="1"/>
                <w:bCs w:val="1"/>
                <w:color w:val="auto"/>
                <w:vertAlign w:val="superscript"/>
              </w:rPr>
              <w:t>(3)</w:t>
            </w:r>
          </w:p>
        </w:tc>
        <w:tc>
          <w:tcPr>
            <w:tcW w:w="4920" w:type="dxa"/>
            <w:vAlign w:val="bottom"/>
          </w:tcPr>
          <w:p>
            <w:pPr>
              <w:jc w:val="right"/>
              <w:ind w:right="108"/>
              <w:spacing w:after="0"/>
              <w:rPr>
                <w:sz w:val="20"/>
                <w:szCs w:val="20"/>
                <w:color w:val="auto"/>
              </w:rPr>
            </w:pPr>
            <w:r>
              <w:rPr>
                <w:rFonts w:ascii="Arial" w:cs="Arial" w:eastAsia="Arial" w:hAnsi="Arial"/>
                <w:sz w:val="14"/>
                <w:szCs w:val="14"/>
                <w:color w:val="auto"/>
              </w:rPr>
              <w:t>9,206</w:t>
            </w: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413,165</w:t>
            </w:r>
          </w:p>
        </w:tc>
      </w:tr>
      <w:tr>
        <w:trPr>
          <w:trHeight w:val="68"/>
        </w:trPr>
        <w:tc>
          <w:tcPr>
            <w:tcW w:w="5060" w:type="dxa"/>
            <w:vAlign w:val="bottom"/>
            <w:tcBorders>
              <w:bottom w:val="single" w:sz="8" w:color="939598"/>
            </w:tcBorders>
          </w:tcPr>
          <w:p>
            <w:pPr>
              <w:spacing w:after="0"/>
              <w:rPr>
                <w:sz w:val="5"/>
                <w:szCs w:val="5"/>
                <w:color w:val="auto"/>
              </w:rPr>
            </w:pPr>
          </w:p>
        </w:tc>
        <w:tc>
          <w:tcPr>
            <w:tcW w:w="4920" w:type="dxa"/>
            <w:vAlign w:val="bottom"/>
            <w:tcBorders>
              <w:bottom w:val="single" w:sz="8" w:color="939598"/>
            </w:tcBorders>
          </w:tcPr>
          <w:p>
            <w:pPr>
              <w:spacing w:after="0"/>
              <w:rPr>
                <w:sz w:val="5"/>
                <w:szCs w:val="5"/>
                <w:color w:val="auto"/>
              </w:rPr>
            </w:pPr>
          </w:p>
        </w:tc>
        <w:tc>
          <w:tcPr>
            <w:tcW w:w="360" w:type="dxa"/>
            <w:vAlign w:val="bottom"/>
            <w:tcBorders>
              <w:bottom w:val="single" w:sz="8" w:color="939598"/>
            </w:tcBorders>
          </w:tcPr>
          <w:p>
            <w:pPr>
              <w:spacing w:after="0"/>
              <w:rPr>
                <w:sz w:val="5"/>
                <w:szCs w:val="5"/>
                <w:color w:val="auto"/>
              </w:rPr>
            </w:pPr>
          </w:p>
        </w:tc>
        <w:tc>
          <w:tcPr>
            <w:tcW w:w="880" w:type="dxa"/>
            <w:vAlign w:val="bottom"/>
            <w:tcBorders>
              <w:bottom w:val="single" w:sz="8" w:color="939598"/>
            </w:tcBorders>
          </w:tcPr>
          <w:p>
            <w:pPr>
              <w:spacing w:after="0"/>
              <w:rPr>
                <w:sz w:val="5"/>
                <w:szCs w:val="5"/>
                <w:color w:val="auto"/>
              </w:rPr>
            </w:pPr>
          </w:p>
        </w:tc>
      </w:tr>
      <w:tr>
        <w:trPr>
          <w:trHeight w:val="316"/>
        </w:trPr>
        <w:tc>
          <w:tcPr>
            <w:tcW w:w="5060" w:type="dxa"/>
            <w:vAlign w:val="bottom"/>
          </w:tcPr>
          <w:p>
            <w:pPr>
              <w:ind w:left="20"/>
              <w:spacing w:after="0"/>
              <w:rPr>
                <w:sz w:val="20"/>
                <w:szCs w:val="20"/>
                <w:color w:val="auto"/>
              </w:rPr>
            </w:pPr>
            <w:r>
              <w:rPr>
                <w:rFonts w:ascii="Arial" w:cs="Arial" w:eastAsia="Arial" w:hAnsi="Arial"/>
                <w:sz w:val="14"/>
                <w:szCs w:val="14"/>
                <w:b w:val="1"/>
                <w:bCs w:val="1"/>
                <w:color w:val="auto"/>
              </w:rPr>
              <w:t>Mr. Hammoud</w:t>
            </w:r>
          </w:p>
        </w:tc>
        <w:tc>
          <w:tcPr>
            <w:tcW w:w="4920" w:type="dxa"/>
            <w:vAlign w:val="bottom"/>
          </w:tcPr>
          <w:p>
            <w:pPr>
              <w:jc w:val="right"/>
              <w:ind w:right="108"/>
              <w:spacing w:after="0"/>
              <w:rPr>
                <w:sz w:val="20"/>
                <w:szCs w:val="20"/>
                <w:color w:val="auto"/>
              </w:rPr>
            </w:pPr>
            <w:r>
              <w:rPr>
                <w:rFonts w:ascii="Arial" w:cs="Arial" w:eastAsia="Arial" w:hAnsi="Arial"/>
                <w:sz w:val="14"/>
                <w:szCs w:val="14"/>
                <w:color w:val="auto"/>
              </w:rPr>
              <w:t>11,100</w:t>
            </w: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486,402</w:t>
            </w:r>
          </w:p>
        </w:tc>
      </w:tr>
      <w:tr>
        <w:trPr>
          <w:trHeight w:val="123"/>
        </w:trPr>
        <w:tc>
          <w:tcPr>
            <w:tcW w:w="5060" w:type="dxa"/>
            <w:vAlign w:val="bottom"/>
            <w:tcBorders>
              <w:bottom w:val="single" w:sz="8" w:color="939598"/>
            </w:tcBorders>
          </w:tcPr>
          <w:p>
            <w:pPr>
              <w:spacing w:after="0"/>
              <w:rPr>
                <w:sz w:val="10"/>
                <w:szCs w:val="10"/>
                <w:color w:val="auto"/>
              </w:rPr>
            </w:pPr>
          </w:p>
        </w:tc>
        <w:tc>
          <w:tcPr>
            <w:tcW w:w="492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spacing w:after="0"/>
              <w:rPr>
                <w:sz w:val="10"/>
                <w:szCs w:val="10"/>
                <w:color w:val="auto"/>
              </w:rPr>
            </w:pPr>
          </w:p>
        </w:tc>
        <w:tc>
          <w:tcPr>
            <w:tcW w:w="880" w:type="dxa"/>
            <w:vAlign w:val="bottom"/>
            <w:tcBorders>
              <w:bottom w:val="single" w:sz="8" w:color="939598"/>
            </w:tcBorders>
          </w:tcPr>
          <w:p>
            <w:pPr>
              <w:spacing w:after="0"/>
              <w:rPr>
                <w:sz w:val="10"/>
                <w:szCs w:val="10"/>
                <w:color w:val="auto"/>
              </w:rPr>
            </w:pPr>
          </w:p>
        </w:tc>
      </w:tr>
      <w:tr>
        <w:trPr>
          <w:trHeight w:val="315"/>
        </w:trPr>
        <w:tc>
          <w:tcPr>
            <w:tcW w:w="5060" w:type="dxa"/>
            <w:vAlign w:val="bottom"/>
          </w:tcPr>
          <w:p>
            <w:pPr>
              <w:ind w:left="20"/>
              <w:spacing w:after="0"/>
              <w:rPr>
                <w:sz w:val="20"/>
                <w:szCs w:val="20"/>
                <w:color w:val="auto"/>
              </w:rPr>
            </w:pPr>
            <w:r>
              <w:rPr>
                <w:rFonts w:ascii="Arial" w:cs="Arial" w:eastAsia="Arial" w:hAnsi="Arial"/>
                <w:sz w:val="14"/>
                <w:szCs w:val="14"/>
                <w:b w:val="1"/>
                <w:bCs w:val="1"/>
                <w:color w:val="auto"/>
              </w:rPr>
              <w:t>Mr. Lewis</w:t>
            </w:r>
          </w:p>
        </w:tc>
        <w:tc>
          <w:tcPr>
            <w:tcW w:w="4920" w:type="dxa"/>
            <w:vAlign w:val="bottom"/>
          </w:tcPr>
          <w:p>
            <w:pPr>
              <w:jc w:val="right"/>
              <w:ind w:right="68"/>
              <w:spacing w:after="0"/>
              <w:rPr>
                <w:sz w:val="20"/>
                <w:szCs w:val="20"/>
                <w:color w:val="auto"/>
              </w:rPr>
            </w:pPr>
            <w:r>
              <w:rPr>
                <w:rFonts w:ascii="Arial" w:cs="Arial" w:eastAsia="Arial" w:hAnsi="Arial"/>
                <w:sz w:val="14"/>
                <w:szCs w:val="14"/>
                <w:color w:val="auto"/>
              </w:rPr>
              <w:t>5,700</w:t>
            </w: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249,774</w:t>
            </w:r>
          </w:p>
        </w:tc>
      </w:tr>
      <w:tr>
        <w:trPr>
          <w:trHeight w:val="124"/>
        </w:trPr>
        <w:tc>
          <w:tcPr>
            <w:tcW w:w="5060" w:type="dxa"/>
            <w:vAlign w:val="bottom"/>
            <w:tcBorders>
              <w:bottom w:val="single" w:sz="8" w:color="939598"/>
            </w:tcBorders>
          </w:tcPr>
          <w:p>
            <w:pPr>
              <w:spacing w:after="0"/>
              <w:rPr>
                <w:sz w:val="10"/>
                <w:szCs w:val="10"/>
                <w:color w:val="auto"/>
              </w:rPr>
            </w:pPr>
          </w:p>
        </w:tc>
        <w:tc>
          <w:tcPr>
            <w:tcW w:w="492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spacing w:after="0"/>
              <w:rPr>
                <w:sz w:val="10"/>
                <w:szCs w:val="10"/>
                <w:color w:val="auto"/>
              </w:rPr>
            </w:pPr>
          </w:p>
        </w:tc>
        <w:tc>
          <w:tcPr>
            <w:tcW w:w="880" w:type="dxa"/>
            <w:vAlign w:val="bottom"/>
            <w:tcBorders>
              <w:bottom w:val="single" w:sz="8" w:color="939598"/>
            </w:tcBorders>
          </w:tcPr>
          <w:p>
            <w:pPr>
              <w:spacing w:after="0"/>
              <w:rPr>
                <w:sz w:val="10"/>
                <w:szCs w:val="10"/>
                <w:color w:val="auto"/>
              </w:rPr>
            </w:pPr>
          </w:p>
        </w:tc>
      </w:tr>
      <w:tr>
        <w:trPr>
          <w:trHeight w:val="315"/>
        </w:trPr>
        <w:tc>
          <w:tcPr>
            <w:tcW w:w="5060" w:type="dxa"/>
            <w:vAlign w:val="bottom"/>
          </w:tcPr>
          <w:p>
            <w:pPr>
              <w:ind w:left="20"/>
              <w:spacing w:after="0"/>
              <w:rPr>
                <w:sz w:val="20"/>
                <w:szCs w:val="20"/>
                <w:color w:val="auto"/>
              </w:rPr>
            </w:pPr>
            <w:r>
              <w:rPr>
                <w:rFonts w:ascii="Arial" w:cs="Arial" w:eastAsia="Arial" w:hAnsi="Arial"/>
                <w:sz w:val="14"/>
                <w:szCs w:val="14"/>
                <w:b w:val="1"/>
                <w:bCs w:val="1"/>
                <w:color w:val="auto"/>
              </w:rPr>
              <w:t>Mr. Boldea</w:t>
            </w:r>
          </w:p>
        </w:tc>
        <w:tc>
          <w:tcPr>
            <w:tcW w:w="4920" w:type="dxa"/>
            <w:vAlign w:val="bottom"/>
          </w:tcPr>
          <w:p>
            <w:pPr>
              <w:jc w:val="right"/>
              <w:ind w:right="68"/>
              <w:spacing w:after="0"/>
              <w:rPr>
                <w:sz w:val="20"/>
                <w:szCs w:val="20"/>
                <w:color w:val="auto"/>
              </w:rPr>
            </w:pPr>
            <w:r>
              <w:rPr>
                <w:rFonts w:ascii="Arial" w:cs="Arial" w:eastAsia="Arial" w:hAnsi="Arial"/>
                <w:sz w:val="14"/>
                <w:szCs w:val="14"/>
                <w:color w:val="auto"/>
              </w:rPr>
              <w:t>22,700</w:t>
            </w: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994,714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2343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61" w:lineRule="exact"/>
        <w:rPr>
          <w:sz w:val="20"/>
          <w:szCs w:val="20"/>
          <w:color w:val="auto"/>
        </w:rPr>
      </w:pPr>
    </w:p>
    <w:p>
      <w:pPr>
        <w:ind w:left="200" w:right="200" w:hanging="192"/>
        <w:spacing w:after="0" w:line="216" w:lineRule="auto"/>
        <w:tabs>
          <w:tab w:leader="none" w:pos="200" w:val="left"/>
        </w:tabs>
        <w:numPr>
          <w:ilvl w:val="0"/>
          <w:numId w:val="176"/>
        </w:numPr>
        <w:rPr>
          <w:rFonts w:ascii="Arial" w:cs="Arial" w:eastAsia="Arial" w:hAnsi="Arial"/>
          <w:sz w:val="16"/>
          <w:szCs w:val="16"/>
          <w:color w:val="auto"/>
          <w:vertAlign w:val="superscript"/>
        </w:rPr>
      </w:pPr>
      <w:r>
        <w:rPr>
          <w:rFonts w:ascii="Arial" w:cs="Arial" w:eastAsia="Arial" w:hAnsi="Arial"/>
          <w:sz w:val="13"/>
          <w:szCs w:val="13"/>
          <w:color w:val="auto"/>
        </w:rPr>
        <w:t>Reflects the total number of stock options awarded to each NEO in 2025. The strike price for options granted is equal to the fair market value of Honeywell stock on the date of grant. Options vest 25% per year over four years from the grant date. Upon exercise, stock options are settled in shares of Honeywell stock.</w:t>
      </w:r>
    </w:p>
    <w:p>
      <w:pPr>
        <w:spacing w:after="0" w:line="19" w:lineRule="exact"/>
        <w:rPr>
          <w:rFonts w:ascii="Arial" w:cs="Arial" w:eastAsia="Arial" w:hAnsi="Arial"/>
          <w:sz w:val="16"/>
          <w:szCs w:val="16"/>
          <w:color w:val="auto"/>
          <w:vertAlign w:val="superscript"/>
        </w:rPr>
      </w:pPr>
    </w:p>
    <w:p>
      <w:pPr>
        <w:ind w:left="200" w:hanging="192"/>
        <w:spacing w:after="0"/>
        <w:tabs>
          <w:tab w:leader="none" w:pos="200" w:val="left"/>
        </w:tabs>
        <w:numPr>
          <w:ilvl w:val="0"/>
          <w:numId w:val="176"/>
        </w:numPr>
        <w:rPr>
          <w:rFonts w:ascii="Arial" w:cs="Arial" w:eastAsia="Arial" w:hAnsi="Arial"/>
          <w:sz w:val="16"/>
          <w:szCs w:val="16"/>
          <w:color w:val="auto"/>
          <w:vertAlign w:val="superscript"/>
        </w:rPr>
      </w:pPr>
      <w:r>
        <w:rPr>
          <w:rFonts w:ascii="Arial" w:cs="Arial" w:eastAsia="Arial" w:hAnsi="Arial"/>
          <w:sz w:val="13"/>
          <w:szCs w:val="13"/>
          <w:color w:val="auto"/>
        </w:rPr>
        <w:t>Annual officer stock options have a grant date of February 19, 2025, at a Black-Scholes value of $43.82 per option.</w:t>
      </w:r>
    </w:p>
    <w:p>
      <w:pPr>
        <w:spacing w:after="0" w:line="35" w:lineRule="exact"/>
        <w:rPr>
          <w:rFonts w:ascii="Arial" w:cs="Arial" w:eastAsia="Arial" w:hAnsi="Arial"/>
          <w:sz w:val="16"/>
          <w:szCs w:val="16"/>
          <w:color w:val="auto"/>
          <w:vertAlign w:val="superscript"/>
        </w:rPr>
      </w:pPr>
    </w:p>
    <w:p>
      <w:pPr>
        <w:ind w:left="200" w:hanging="192"/>
        <w:spacing w:after="0" w:line="200" w:lineRule="auto"/>
        <w:tabs>
          <w:tab w:leader="none" w:pos="200" w:val="left"/>
        </w:tabs>
        <w:numPr>
          <w:ilvl w:val="0"/>
          <w:numId w:val="176"/>
        </w:numPr>
        <w:rPr>
          <w:rFonts w:ascii="Arial" w:cs="Arial" w:eastAsia="Arial" w:hAnsi="Arial"/>
          <w:sz w:val="16"/>
          <w:szCs w:val="16"/>
          <w:color w:val="auto"/>
          <w:vertAlign w:val="superscript"/>
        </w:rPr>
      </w:pPr>
      <w:r>
        <w:rPr>
          <w:rFonts w:ascii="Arial" w:cs="Arial" w:eastAsia="Arial" w:hAnsi="Arial"/>
          <w:sz w:val="13"/>
          <w:szCs w:val="13"/>
          <w:color w:val="auto"/>
        </w:rPr>
        <w:t>Mr. Masso's annual stock option grant was received on his hire date of July 14, 2025, at a Black-Scholes value of $44.88 per option and a strike price of $236.71.</w:t>
      </w:r>
    </w:p>
    <w:p>
      <w:pPr>
        <w:spacing w:after="0" w:line="22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107315</wp:posOffset>
            </wp:positionV>
            <wp:extent cx="771525" cy="77152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71525" cy="77152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1820" w:right="160"/>
        <w:spacing w:after="0" w:line="248" w:lineRule="auto"/>
        <w:rPr>
          <w:sz w:val="20"/>
          <w:szCs w:val="20"/>
          <w:color w:val="auto"/>
        </w:rPr>
      </w:pPr>
      <w:r>
        <w:rPr>
          <w:rFonts w:ascii="Arial" w:cs="Arial" w:eastAsia="Arial" w:hAnsi="Arial"/>
          <w:sz w:val="16"/>
          <w:szCs w:val="16"/>
          <w:color w:val="auto"/>
        </w:rPr>
        <w:t>RSUs granted to the NEOs in 2025 represented 25% of their total annual LTI value and mix. RSUs vest 33%, 33%, and 34% on the second, third, and fourth anniversaries of the grant date, respectively. This vesting period is aligned with market practices and is designed to strengthen retention. The information below does not include the one-time RSU award granted to certain of our named executive officers in connection with the spin-offs, which are described in "Transactions Awards" above.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80</w:t>
      </w:r>
      <w:r>
        <w:rPr>
          <w:sz w:val="20"/>
          <w:szCs w:val="20"/>
          <w:color w:val="auto"/>
        </w:rPr>
        <w:tab/>
      </w:r>
      <w:r>
        <w:rPr>
          <w:sz w:val="1"/>
          <w:szCs w:val="1"/>
          <w:color w:val="auto"/>
        </w:rPr>
        <w:drawing>
          <wp:inline distT="0" distB="0" distL="0" distR="0">
            <wp:extent cx="548640" cy="102870"/>
            <wp:effectExtent l="0" t="0" r="0" b="0"/>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2026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0" w:right="359" w:bottom="428" w:gutter="0" w:footer="0" w:header="0"/>
        </w:sectPr>
      </w:pPr>
    </w:p>
    <w:bookmarkStart w:id="88" w:name="page89"/>
    <w:bookmarkEnd w:id="88"/>
    <w:p>
      <w:pPr>
        <w:jc w:val="right"/>
        <w:spacing w:after="0"/>
        <w:rPr>
          <w:sz w:val="20"/>
          <w:szCs w:val="20"/>
          <w:color w:val="auto"/>
        </w:rPr>
      </w:pPr>
      <w:r>
        <w:rPr>
          <w:rFonts w:ascii="Arial" w:cs="Arial" w:eastAsia="Arial" w:hAnsi="Arial"/>
          <w:sz w:val="13"/>
          <w:szCs w:val="13"/>
          <w:b w:val="1"/>
          <w:bCs w:val="1"/>
          <w:color w:val="6D6E71"/>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total number of annual RSUs granted to each NEO in 2025 and their respective grant date values: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4940" w:type="dxa"/>
            <w:vAlign w:val="bottom"/>
          </w:tcPr>
          <w:p>
            <w:pPr>
              <w:jc w:val="right"/>
              <w:ind w:right="71"/>
              <w:spacing w:after="0"/>
              <w:rPr>
                <w:sz w:val="20"/>
                <w:szCs w:val="20"/>
                <w:color w:val="auto"/>
              </w:rPr>
            </w:pPr>
            <w:r>
              <w:rPr>
                <w:rFonts w:ascii="Arial" w:cs="Arial" w:eastAsia="Arial" w:hAnsi="Arial"/>
                <w:sz w:val="14"/>
                <w:szCs w:val="14"/>
                <w:b w:val="1"/>
                <w:bCs w:val="1"/>
                <w:color w:val="auto"/>
              </w:rPr>
              <w:t># of</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Grant Date</w:t>
            </w:r>
          </w:p>
        </w:tc>
      </w:tr>
      <w:tr>
        <w:trPr>
          <w:trHeight w:val="214"/>
        </w:trPr>
        <w:tc>
          <w:tcPr>
            <w:tcW w:w="51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NEO</w:t>
            </w:r>
          </w:p>
        </w:tc>
        <w:tc>
          <w:tcPr>
            <w:tcW w:w="4940" w:type="dxa"/>
            <w:vAlign w:val="bottom"/>
            <w:tcBorders>
              <w:bottom w:val="single" w:sz="8" w:color="D7282F"/>
            </w:tcBorders>
          </w:tcPr>
          <w:p>
            <w:pPr>
              <w:jc w:val="right"/>
              <w:ind w:right="71"/>
              <w:spacing w:after="0" w:line="214" w:lineRule="exact"/>
              <w:rPr>
                <w:sz w:val="20"/>
                <w:szCs w:val="20"/>
                <w:color w:val="auto"/>
              </w:rPr>
            </w:pPr>
            <w:r>
              <w:rPr>
                <w:rFonts w:ascii="Arial" w:cs="Arial" w:eastAsia="Arial" w:hAnsi="Arial"/>
                <w:sz w:val="24"/>
                <w:szCs w:val="24"/>
                <w:b w:val="1"/>
                <w:bCs w:val="1"/>
                <w:color w:val="auto"/>
                <w:vertAlign w:val="subscript"/>
              </w:rPr>
              <w:t>RSUs</w:t>
            </w:r>
            <w:r>
              <w:rPr>
                <w:rFonts w:ascii="Arial" w:cs="Arial" w:eastAsia="Arial" w:hAnsi="Arial"/>
                <w:sz w:val="9"/>
                <w:szCs w:val="9"/>
                <w:b w:val="1"/>
                <w:bCs w:val="1"/>
                <w:color w:val="auto"/>
              </w:rPr>
              <w:t>(1)(2)</w:t>
            </w:r>
          </w:p>
        </w:tc>
        <w:tc>
          <w:tcPr>
            <w:tcW w:w="1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18"/>
                <w:szCs w:val="18"/>
                <w:b w:val="1"/>
                <w:bCs w:val="1"/>
                <w:color w:val="auto"/>
                <w:vertAlign w:val="superscript"/>
              </w:rPr>
              <w:t>(3)</w:t>
            </w:r>
          </w:p>
        </w:tc>
      </w:tr>
      <w:tr>
        <w:trPr>
          <w:trHeight w:val="315"/>
        </w:trPr>
        <w:tc>
          <w:tcPr>
            <w:tcW w:w="5160" w:type="dxa"/>
            <w:vAlign w:val="bottom"/>
          </w:tcPr>
          <w:p>
            <w:pPr>
              <w:ind w:left="20"/>
              <w:spacing w:after="0"/>
              <w:rPr>
                <w:sz w:val="20"/>
                <w:szCs w:val="20"/>
                <w:color w:val="auto"/>
              </w:rPr>
            </w:pPr>
            <w:r>
              <w:rPr>
                <w:rFonts w:ascii="Arial" w:cs="Arial" w:eastAsia="Arial" w:hAnsi="Arial"/>
                <w:sz w:val="14"/>
                <w:szCs w:val="14"/>
                <w:b w:val="1"/>
                <w:bCs w:val="1"/>
                <w:color w:val="auto"/>
              </w:rPr>
              <w:t>Mr. Kapur</w:t>
            </w:r>
          </w:p>
        </w:tc>
        <w:tc>
          <w:tcPr>
            <w:tcW w:w="4940" w:type="dxa"/>
            <w:vAlign w:val="bottom"/>
          </w:tcPr>
          <w:p>
            <w:pPr>
              <w:jc w:val="right"/>
              <w:ind w:right="111"/>
              <w:spacing w:after="0"/>
              <w:rPr>
                <w:sz w:val="20"/>
                <w:szCs w:val="20"/>
                <w:color w:val="auto"/>
              </w:rPr>
            </w:pPr>
            <w:r>
              <w:rPr>
                <w:rFonts w:ascii="Arial" w:cs="Arial" w:eastAsia="Arial" w:hAnsi="Arial"/>
                <w:sz w:val="14"/>
                <w:szCs w:val="14"/>
                <w:color w:val="auto"/>
              </w:rPr>
              <w:t>17,200</w:t>
            </w:r>
          </w:p>
        </w:tc>
        <w:tc>
          <w:tcPr>
            <w:tcW w:w="1120" w:type="dxa"/>
            <w:vAlign w:val="bottom"/>
          </w:tcPr>
          <w:p>
            <w:pPr>
              <w:jc w:val="right"/>
              <w:spacing w:after="0"/>
              <w:rPr>
                <w:sz w:val="20"/>
                <w:szCs w:val="20"/>
                <w:color w:val="auto"/>
              </w:rPr>
            </w:pPr>
            <w:r>
              <w:rPr>
                <w:rFonts w:ascii="Arial" w:cs="Arial" w:eastAsia="Arial" w:hAnsi="Arial"/>
                <w:sz w:val="14"/>
                <w:szCs w:val="14"/>
                <w:color w:val="auto"/>
              </w:rPr>
              <w:t>$   3,608,732</w:t>
            </w:r>
          </w:p>
        </w:tc>
      </w:tr>
      <w:tr>
        <w:trPr>
          <w:trHeight w:val="124"/>
        </w:trPr>
        <w:tc>
          <w:tcPr>
            <w:tcW w:w="5160" w:type="dxa"/>
            <w:vAlign w:val="bottom"/>
            <w:tcBorders>
              <w:bottom w:val="single" w:sz="8" w:color="939598"/>
            </w:tcBorders>
          </w:tcPr>
          <w:p>
            <w:pPr>
              <w:spacing w:after="0"/>
              <w:rPr>
                <w:sz w:val="10"/>
                <w:szCs w:val="10"/>
                <w:color w:val="auto"/>
              </w:rPr>
            </w:pPr>
          </w:p>
        </w:tc>
        <w:tc>
          <w:tcPr>
            <w:tcW w:w="4940" w:type="dxa"/>
            <w:vAlign w:val="bottom"/>
            <w:tcBorders>
              <w:bottom w:val="single" w:sz="8" w:color="939598"/>
            </w:tcBorders>
          </w:tcPr>
          <w:p>
            <w:pPr>
              <w:spacing w:after="0"/>
              <w:rPr>
                <w:sz w:val="10"/>
                <w:szCs w:val="10"/>
                <w:color w:val="auto"/>
              </w:rPr>
            </w:pPr>
          </w:p>
        </w:tc>
        <w:tc>
          <w:tcPr>
            <w:tcW w:w="1120" w:type="dxa"/>
            <w:vAlign w:val="bottom"/>
            <w:tcBorders>
              <w:bottom w:val="single" w:sz="8" w:color="939598"/>
            </w:tcBorders>
          </w:tcPr>
          <w:p>
            <w:pPr>
              <w:spacing w:after="0"/>
              <w:rPr>
                <w:sz w:val="10"/>
                <w:szCs w:val="10"/>
                <w:color w:val="auto"/>
              </w:rPr>
            </w:pPr>
          </w:p>
        </w:tc>
      </w:tr>
      <w:tr>
        <w:trPr>
          <w:trHeight w:val="315"/>
        </w:trPr>
        <w:tc>
          <w:tcPr>
            <w:tcW w:w="5160" w:type="dxa"/>
            <w:vAlign w:val="bottom"/>
          </w:tcPr>
          <w:p>
            <w:pPr>
              <w:ind w:left="20"/>
              <w:spacing w:after="0"/>
              <w:rPr>
                <w:sz w:val="20"/>
                <w:szCs w:val="20"/>
                <w:color w:val="auto"/>
              </w:rPr>
            </w:pPr>
            <w:r>
              <w:rPr>
                <w:rFonts w:ascii="Arial" w:cs="Arial" w:eastAsia="Arial" w:hAnsi="Arial"/>
                <w:sz w:val="14"/>
                <w:szCs w:val="14"/>
                <w:b w:val="1"/>
                <w:bCs w:val="1"/>
                <w:color w:val="auto"/>
              </w:rPr>
              <w:t>Mr. Stepniak</w:t>
            </w:r>
          </w:p>
        </w:tc>
        <w:tc>
          <w:tcPr>
            <w:tcW w:w="4940" w:type="dxa"/>
            <w:vAlign w:val="bottom"/>
          </w:tcPr>
          <w:p>
            <w:pPr>
              <w:jc w:val="right"/>
              <w:ind w:right="111"/>
              <w:spacing w:after="0"/>
              <w:rPr>
                <w:sz w:val="20"/>
                <w:szCs w:val="20"/>
                <w:color w:val="auto"/>
              </w:rPr>
            </w:pPr>
            <w:r>
              <w:rPr>
                <w:rFonts w:ascii="Arial" w:cs="Arial" w:eastAsia="Arial" w:hAnsi="Arial"/>
                <w:sz w:val="14"/>
                <w:szCs w:val="14"/>
                <w:color w:val="auto"/>
              </w:rPr>
              <w:t>4,500</w:t>
            </w:r>
          </w:p>
        </w:tc>
        <w:tc>
          <w:tcPr>
            <w:tcW w:w="1120" w:type="dxa"/>
            <w:vAlign w:val="bottom"/>
          </w:tcPr>
          <w:p>
            <w:pPr>
              <w:jc w:val="right"/>
              <w:spacing w:after="0"/>
              <w:rPr>
                <w:sz w:val="20"/>
                <w:szCs w:val="20"/>
                <w:color w:val="auto"/>
              </w:rPr>
            </w:pPr>
            <w:r>
              <w:rPr>
                <w:rFonts w:ascii="Arial" w:cs="Arial" w:eastAsia="Arial" w:hAnsi="Arial"/>
                <w:sz w:val="14"/>
                <w:szCs w:val="14"/>
                <w:color w:val="auto"/>
              </w:rPr>
              <w:t>944,145</w:t>
            </w:r>
          </w:p>
        </w:tc>
      </w:tr>
      <w:tr>
        <w:trPr>
          <w:trHeight w:val="124"/>
        </w:trPr>
        <w:tc>
          <w:tcPr>
            <w:tcW w:w="5160" w:type="dxa"/>
            <w:vAlign w:val="bottom"/>
            <w:tcBorders>
              <w:bottom w:val="single" w:sz="8" w:color="939598"/>
            </w:tcBorders>
          </w:tcPr>
          <w:p>
            <w:pPr>
              <w:spacing w:after="0"/>
              <w:rPr>
                <w:sz w:val="10"/>
                <w:szCs w:val="10"/>
                <w:color w:val="auto"/>
              </w:rPr>
            </w:pPr>
          </w:p>
        </w:tc>
        <w:tc>
          <w:tcPr>
            <w:tcW w:w="4940" w:type="dxa"/>
            <w:vAlign w:val="bottom"/>
            <w:tcBorders>
              <w:bottom w:val="single" w:sz="8" w:color="939598"/>
            </w:tcBorders>
          </w:tcPr>
          <w:p>
            <w:pPr>
              <w:spacing w:after="0"/>
              <w:rPr>
                <w:sz w:val="10"/>
                <w:szCs w:val="10"/>
                <w:color w:val="auto"/>
              </w:rPr>
            </w:pPr>
          </w:p>
        </w:tc>
        <w:tc>
          <w:tcPr>
            <w:tcW w:w="1120" w:type="dxa"/>
            <w:vAlign w:val="bottom"/>
            <w:tcBorders>
              <w:bottom w:val="single" w:sz="8" w:color="939598"/>
            </w:tcBorders>
          </w:tcPr>
          <w:p>
            <w:pPr>
              <w:spacing w:after="0"/>
              <w:rPr>
                <w:sz w:val="10"/>
                <w:szCs w:val="10"/>
                <w:color w:val="auto"/>
              </w:rPr>
            </w:pPr>
          </w:p>
        </w:tc>
      </w:tr>
      <w:tr>
        <w:trPr>
          <w:trHeight w:val="315"/>
        </w:trPr>
        <w:tc>
          <w:tcPr>
            <w:tcW w:w="5160" w:type="dxa"/>
            <w:vAlign w:val="bottom"/>
          </w:tcPr>
          <w:p>
            <w:pPr>
              <w:ind w:left="20"/>
              <w:spacing w:after="0"/>
              <w:rPr>
                <w:sz w:val="20"/>
                <w:szCs w:val="20"/>
                <w:color w:val="auto"/>
              </w:rPr>
            </w:pPr>
            <w:r>
              <w:rPr>
                <w:rFonts w:ascii="Arial" w:cs="Arial" w:eastAsia="Arial" w:hAnsi="Arial"/>
                <w:sz w:val="14"/>
                <w:szCs w:val="14"/>
                <w:b w:val="1"/>
                <w:bCs w:val="1"/>
                <w:color w:val="auto"/>
              </w:rPr>
              <w:t>Mr. Currier</w:t>
            </w:r>
          </w:p>
        </w:tc>
        <w:tc>
          <w:tcPr>
            <w:tcW w:w="4940" w:type="dxa"/>
            <w:vAlign w:val="bottom"/>
          </w:tcPr>
          <w:p>
            <w:pPr>
              <w:jc w:val="right"/>
              <w:ind w:right="111"/>
              <w:spacing w:after="0"/>
              <w:rPr>
                <w:sz w:val="20"/>
                <w:szCs w:val="20"/>
                <w:color w:val="auto"/>
              </w:rPr>
            </w:pPr>
            <w:r>
              <w:rPr>
                <w:rFonts w:ascii="Arial" w:cs="Arial" w:eastAsia="Arial" w:hAnsi="Arial"/>
                <w:sz w:val="14"/>
                <w:szCs w:val="14"/>
                <w:color w:val="auto"/>
              </w:rPr>
              <w:t>4,700</w:t>
            </w:r>
          </w:p>
        </w:tc>
        <w:tc>
          <w:tcPr>
            <w:tcW w:w="1120" w:type="dxa"/>
            <w:vAlign w:val="bottom"/>
          </w:tcPr>
          <w:p>
            <w:pPr>
              <w:jc w:val="right"/>
              <w:spacing w:after="0"/>
              <w:rPr>
                <w:sz w:val="20"/>
                <w:szCs w:val="20"/>
                <w:color w:val="auto"/>
              </w:rPr>
            </w:pPr>
            <w:r>
              <w:rPr>
                <w:rFonts w:ascii="Arial" w:cs="Arial" w:eastAsia="Arial" w:hAnsi="Arial"/>
                <w:sz w:val="14"/>
                <w:szCs w:val="14"/>
                <w:color w:val="auto"/>
              </w:rPr>
              <w:t>986,107</w:t>
            </w:r>
          </w:p>
        </w:tc>
      </w:tr>
      <w:tr>
        <w:trPr>
          <w:trHeight w:val="123"/>
        </w:trPr>
        <w:tc>
          <w:tcPr>
            <w:tcW w:w="5160" w:type="dxa"/>
            <w:vAlign w:val="bottom"/>
            <w:tcBorders>
              <w:bottom w:val="single" w:sz="8" w:color="939598"/>
            </w:tcBorders>
          </w:tcPr>
          <w:p>
            <w:pPr>
              <w:spacing w:after="0"/>
              <w:rPr>
                <w:sz w:val="10"/>
                <w:szCs w:val="10"/>
                <w:color w:val="auto"/>
              </w:rPr>
            </w:pPr>
          </w:p>
        </w:tc>
        <w:tc>
          <w:tcPr>
            <w:tcW w:w="4940" w:type="dxa"/>
            <w:vAlign w:val="bottom"/>
            <w:tcBorders>
              <w:bottom w:val="single" w:sz="8" w:color="939598"/>
            </w:tcBorders>
          </w:tcPr>
          <w:p>
            <w:pPr>
              <w:spacing w:after="0"/>
              <w:rPr>
                <w:sz w:val="10"/>
                <w:szCs w:val="10"/>
                <w:color w:val="auto"/>
              </w:rPr>
            </w:pPr>
          </w:p>
        </w:tc>
        <w:tc>
          <w:tcPr>
            <w:tcW w:w="1120" w:type="dxa"/>
            <w:vAlign w:val="bottom"/>
            <w:tcBorders>
              <w:bottom w:val="single" w:sz="8" w:color="939598"/>
            </w:tcBorders>
          </w:tcPr>
          <w:p>
            <w:pPr>
              <w:spacing w:after="0"/>
              <w:rPr>
                <w:sz w:val="10"/>
                <w:szCs w:val="10"/>
                <w:color w:val="auto"/>
              </w:rPr>
            </w:pPr>
          </w:p>
        </w:tc>
      </w:tr>
      <w:tr>
        <w:trPr>
          <w:trHeight w:val="315"/>
        </w:trPr>
        <w:tc>
          <w:tcPr>
            <w:tcW w:w="5160" w:type="dxa"/>
            <w:vAlign w:val="bottom"/>
          </w:tcPr>
          <w:p>
            <w:pPr>
              <w:ind w:left="20"/>
              <w:spacing w:after="0"/>
              <w:rPr>
                <w:sz w:val="20"/>
                <w:szCs w:val="20"/>
                <w:color w:val="auto"/>
              </w:rPr>
            </w:pPr>
            <w:r>
              <w:rPr>
                <w:rFonts w:ascii="Arial" w:cs="Arial" w:eastAsia="Arial" w:hAnsi="Arial"/>
                <w:sz w:val="14"/>
                <w:szCs w:val="14"/>
                <w:b w:val="1"/>
                <w:bCs w:val="1"/>
                <w:color w:val="auto"/>
              </w:rPr>
              <w:t>Mr. Masso</w:t>
            </w:r>
          </w:p>
        </w:tc>
        <w:tc>
          <w:tcPr>
            <w:tcW w:w="4940" w:type="dxa"/>
            <w:vAlign w:val="bottom"/>
          </w:tcPr>
          <w:p>
            <w:pPr>
              <w:jc w:val="right"/>
              <w:ind w:right="111"/>
              <w:spacing w:after="0"/>
              <w:rPr>
                <w:sz w:val="20"/>
                <w:szCs w:val="20"/>
                <w:color w:val="auto"/>
              </w:rPr>
            </w:pPr>
            <w:r>
              <w:rPr>
                <w:rFonts w:ascii="Arial" w:cs="Arial" w:eastAsia="Arial" w:hAnsi="Arial"/>
                <w:sz w:val="14"/>
                <w:szCs w:val="14"/>
                <w:color w:val="auto"/>
              </w:rPr>
              <w:t>1,901</w:t>
            </w:r>
          </w:p>
        </w:tc>
        <w:tc>
          <w:tcPr>
            <w:tcW w:w="1120" w:type="dxa"/>
            <w:vAlign w:val="bottom"/>
          </w:tcPr>
          <w:p>
            <w:pPr>
              <w:jc w:val="right"/>
              <w:spacing w:after="0"/>
              <w:rPr>
                <w:sz w:val="20"/>
                <w:szCs w:val="20"/>
                <w:color w:val="auto"/>
              </w:rPr>
            </w:pPr>
            <w:r>
              <w:rPr>
                <w:rFonts w:ascii="Arial" w:cs="Arial" w:eastAsia="Arial" w:hAnsi="Arial"/>
                <w:sz w:val="14"/>
                <w:szCs w:val="14"/>
                <w:color w:val="auto"/>
              </w:rPr>
              <w:t>449,986</w:t>
            </w:r>
          </w:p>
        </w:tc>
      </w:tr>
      <w:tr>
        <w:trPr>
          <w:trHeight w:val="124"/>
        </w:trPr>
        <w:tc>
          <w:tcPr>
            <w:tcW w:w="5160" w:type="dxa"/>
            <w:vAlign w:val="bottom"/>
            <w:tcBorders>
              <w:bottom w:val="single" w:sz="8" w:color="939598"/>
            </w:tcBorders>
          </w:tcPr>
          <w:p>
            <w:pPr>
              <w:spacing w:after="0"/>
              <w:rPr>
                <w:sz w:val="10"/>
                <w:szCs w:val="10"/>
                <w:color w:val="auto"/>
              </w:rPr>
            </w:pPr>
          </w:p>
        </w:tc>
        <w:tc>
          <w:tcPr>
            <w:tcW w:w="4940" w:type="dxa"/>
            <w:vAlign w:val="bottom"/>
            <w:tcBorders>
              <w:bottom w:val="single" w:sz="8" w:color="939598"/>
            </w:tcBorders>
          </w:tcPr>
          <w:p>
            <w:pPr>
              <w:spacing w:after="0"/>
              <w:rPr>
                <w:sz w:val="10"/>
                <w:szCs w:val="10"/>
                <w:color w:val="auto"/>
              </w:rPr>
            </w:pPr>
          </w:p>
        </w:tc>
        <w:tc>
          <w:tcPr>
            <w:tcW w:w="1120" w:type="dxa"/>
            <w:vAlign w:val="bottom"/>
            <w:tcBorders>
              <w:bottom w:val="single" w:sz="8" w:color="939598"/>
            </w:tcBorders>
          </w:tcPr>
          <w:p>
            <w:pPr>
              <w:spacing w:after="0"/>
              <w:rPr>
                <w:sz w:val="10"/>
                <w:szCs w:val="10"/>
                <w:color w:val="auto"/>
              </w:rPr>
            </w:pPr>
          </w:p>
        </w:tc>
      </w:tr>
      <w:tr>
        <w:trPr>
          <w:trHeight w:val="315"/>
        </w:trPr>
        <w:tc>
          <w:tcPr>
            <w:tcW w:w="5160" w:type="dxa"/>
            <w:vAlign w:val="bottom"/>
          </w:tcPr>
          <w:p>
            <w:pPr>
              <w:ind w:left="20"/>
              <w:spacing w:after="0"/>
              <w:rPr>
                <w:sz w:val="20"/>
                <w:szCs w:val="20"/>
                <w:color w:val="auto"/>
              </w:rPr>
            </w:pPr>
            <w:r>
              <w:rPr>
                <w:rFonts w:ascii="Arial" w:cs="Arial" w:eastAsia="Arial" w:hAnsi="Arial"/>
                <w:sz w:val="14"/>
                <w:szCs w:val="14"/>
                <w:b w:val="1"/>
                <w:bCs w:val="1"/>
                <w:color w:val="auto"/>
              </w:rPr>
              <w:t>Mr. Hammoud</w:t>
            </w:r>
          </w:p>
        </w:tc>
        <w:tc>
          <w:tcPr>
            <w:tcW w:w="4940" w:type="dxa"/>
            <w:vAlign w:val="bottom"/>
          </w:tcPr>
          <w:p>
            <w:pPr>
              <w:jc w:val="right"/>
              <w:ind w:right="111"/>
              <w:spacing w:after="0"/>
              <w:rPr>
                <w:sz w:val="20"/>
                <w:szCs w:val="20"/>
                <w:color w:val="auto"/>
              </w:rPr>
            </w:pPr>
            <w:r>
              <w:rPr>
                <w:rFonts w:ascii="Arial" w:cs="Arial" w:eastAsia="Arial" w:hAnsi="Arial"/>
                <w:sz w:val="14"/>
                <w:szCs w:val="14"/>
                <w:color w:val="auto"/>
              </w:rPr>
              <w:t>2,300</w:t>
            </w:r>
          </w:p>
        </w:tc>
        <w:tc>
          <w:tcPr>
            <w:tcW w:w="1120" w:type="dxa"/>
            <w:vAlign w:val="bottom"/>
          </w:tcPr>
          <w:p>
            <w:pPr>
              <w:jc w:val="right"/>
              <w:spacing w:after="0"/>
              <w:rPr>
                <w:sz w:val="20"/>
                <w:szCs w:val="20"/>
                <w:color w:val="auto"/>
              </w:rPr>
            </w:pPr>
            <w:r>
              <w:rPr>
                <w:rFonts w:ascii="Arial" w:cs="Arial" w:eastAsia="Arial" w:hAnsi="Arial"/>
                <w:sz w:val="14"/>
                <w:szCs w:val="14"/>
                <w:color w:val="auto"/>
              </w:rPr>
              <w:t>482,563</w:t>
            </w:r>
          </w:p>
        </w:tc>
      </w:tr>
      <w:tr>
        <w:trPr>
          <w:trHeight w:val="124"/>
        </w:trPr>
        <w:tc>
          <w:tcPr>
            <w:tcW w:w="5160" w:type="dxa"/>
            <w:vAlign w:val="bottom"/>
            <w:tcBorders>
              <w:bottom w:val="single" w:sz="8" w:color="939598"/>
            </w:tcBorders>
          </w:tcPr>
          <w:p>
            <w:pPr>
              <w:spacing w:after="0"/>
              <w:rPr>
                <w:sz w:val="10"/>
                <w:szCs w:val="10"/>
                <w:color w:val="auto"/>
              </w:rPr>
            </w:pPr>
          </w:p>
        </w:tc>
        <w:tc>
          <w:tcPr>
            <w:tcW w:w="4940" w:type="dxa"/>
            <w:vAlign w:val="bottom"/>
            <w:tcBorders>
              <w:bottom w:val="single" w:sz="8" w:color="939598"/>
            </w:tcBorders>
          </w:tcPr>
          <w:p>
            <w:pPr>
              <w:spacing w:after="0"/>
              <w:rPr>
                <w:sz w:val="10"/>
                <w:szCs w:val="10"/>
                <w:color w:val="auto"/>
              </w:rPr>
            </w:pPr>
          </w:p>
        </w:tc>
        <w:tc>
          <w:tcPr>
            <w:tcW w:w="1120" w:type="dxa"/>
            <w:vAlign w:val="bottom"/>
            <w:tcBorders>
              <w:bottom w:val="single" w:sz="8" w:color="939598"/>
            </w:tcBorders>
          </w:tcPr>
          <w:p>
            <w:pPr>
              <w:spacing w:after="0"/>
              <w:rPr>
                <w:sz w:val="10"/>
                <w:szCs w:val="10"/>
                <w:color w:val="auto"/>
              </w:rPr>
            </w:pPr>
          </w:p>
        </w:tc>
      </w:tr>
      <w:tr>
        <w:trPr>
          <w:trHeight w:val="315"/>
        </w:trPr>
        <w:tc>
          <w:tcPr>
            <w:tcW w:w="5160" w:type="dxa"/>
            <w:vAlign w:val="bottom"/>
          </w:tcPr>
          <w:p>
            <w:pPr>
              <w:ind w:left="20"/>
              <w:spacing w:after="0"/>
              <w:rPr>
                <w:sz w:val="20"/>
                <w:szCs w:val="20"/>
                <w:color w:val="auto"/>
              </w:rPr>
            </w:pPr>
            <w:r>
              <w:rPr>
                <w:rFonts w:ascii="Arial" w:cs="Arial" w:eastAsia="Arial" w:hAnsi="Arial"/>
                <w:sz w:val="14"/>
                <w:szCs w:val="14"/>
                <w:b w:val="1"/>
                <w:bCs w:val="1"/>
                <w:color w:val="auto"/>
              </w:rPr>
              <w:t>Mr. Lewis</w:t>
            </w:r>
          </w:p>
        </w:tc>
        <w:tc>
          <w:tcPr>
            <w:tcW w:w="4940" w:type="dxa"/>
            <w:vAlign w:val="bottom"/>
          </w:tcPr>
          <w:p>
            <w:pPr>
              <w:jc w:val="right"/>
              <w:ind w:right="111"/>
              <w:spacing w:after="0"/>
              <w:rPr>
                <w:sz w:val="20"/>
                <w:szCs w:val="20"/>
                <w:color w:val="auto"/>
              </w:rPr>
            </w:pPr>
            <w:r>
              <w:rPr>
                <w:rFonts w:ascii="Arial" w:cs="Arial" w:eastAsia="Arial" w:hAnsi="Arial"/>
                <w:sz w:val="14"/>
                <w:szCs w:val="14"/>
                <w:color w:val="auto"/>
              </w:rPr>
              <w:t>1,100</w:t>
            </w:r>
          </w:p>
        </w:tc>
        <w:tc>
          <w:tcPr>
            <w:tcW w:w="1120" w:type="dxa"/>
            <w:vAlign w:val="bottom"/>
          </w:tcPr>
          <w:p>
            <w:pPr>
              <w:jc w:val="right"/>
              <w:spacing w:after="0"/>
              <w:rPr>
                <w:sz w:val="20"/>
                <w:szCs w:val="20"/>
                <w:color w:val="auto"/>
              </w:rPr>
            </w:pPr>
            <w:r>
              <w:rPr>
                <w:rFonts w:ascii="Arial" w:cs="Arial" w:eastAsia="Arial" w:hAnsi="Arial"/>
                <w:sz w:val="14"/>
                <w:szCs w:val="14"/>
                <w:color w:val="auto"/>
              </w:rPr>
              <w:t>230,791</w:t>
            </w:r>
          </w:p>
        </w:tc>
      </w:tr>
      <w:tr>
        <w:trPr>
          <w:trHeight w:val="124"/>
        </w:trPr>
        <w:tc>
          <w:tcPr>
            <w:tcW w:w="5160" w:type="dxa"/>
            <w:vAlign w:val="bottom"/>
            <w:tcBorders>
              <w:bottom w:val="single" w:sz="8" w:color="939598"/>
            </w:tcBorders>
          </w:tcPr>
          <w:p>
            <w:pPr>
              <w:spacing w:after="0"/>
              <w:rPr>
                <w:sz w:val="10"/>
                <w:szCs w:val="10"/>
                <w:color w:val="auto"/>
              </w:rPr>
            </w:pPr>
          </w:p>
        </w:tc>
        <w:tc>
          <w:tcPr>
            <w:tcW w:w="4940" w:type="dxa"/>
            <w:vAlign w:val="bottom"/>
            <w:tcBorders>
              <w:bottom w:val="single" w:sz="8" w:color="939598"/>
            </w:tcBorders>
          </w:tcPr>
          <w:p>
            <w:pPr>
              <w:spacing w:after="0"/>
              <w:rPr>
                <w:sz w:val="10"/>
                <w:szCs w:val="10"/>
                <w:color w:val="auto"/>
              </w:rPr>
            </w:pPr>
          </w:p>
        </w:tc>
        <w:tc>
          <w:tcPr>
            <w:tcW w:w="1120" w:type="dxa"/>
            <w:vAlign w:val="bottom"/>
            <w:tcBorders>
              <w:bottom w:val="single" w:sz="8" w:color="939598"/>
            </w:tcBorders>
          </w:tcPr>
          <w:p>
            <w:pPr>
              <w:spacing w:after="0"/>
              <w:rPr>
                <w:sz w:val="10"/>
                <w:szCs w:val="10"/>
                <w:color w:val="auto"/>
              </w:rPr>
            </w:pPr>
          </w:p>
        </w:tc>
      </w:tr>
      <w:tr>
        <w:trPr>
          <w:trHeight w:val="315"/>
        </w:trPr>
        <w:tc>
          <w:tcPr>
            <w:tcW w:w="5160" w:type="dxa"/>
            <w:vAlign w:val="bottom"/>
          </w:tcPr>
          <w:p>
            <w:pPr>
              <w:ind w:left="20"/>
              <w:spacing w:after="0"/>
              <w:rPr>
                <w:sz w:val="20"/>
                <w:szCs w:val="20"/>
                <w:color w:val="auto"/>
              </w:rPr>
            </w:pPr>
            <w:r>
              <w:rPr>
                <w:rFonts w:ascii="Arial" w:cs="Arial" w:eastAsia="Arial" w:hAnsi="Arial"/>
                <w:sz w:val="14"/>
                <w:szCs w:val="14"/>
                <w:b w:val="1"/>
                <w:bCs w:val="1"/>
                <w:color w:val="auto"/>
              </w:rPr>
              <w:t>Mr. Boldea</w:t>
            </w:r>
          </w:p>
        </w:tc>
        <w:tc>
          <w:tcPr>
            <w:tcW w:w="4940" w:type="dxa"/>
            <w:vAlign w:val="bottom"/>
          </w:tcPr>
          <w:p>
            <w:pPr>
              <w:jc w:val="right"/>
              <w:ind w:right="111"/>
              <w:spacing w:after="0"/>
              <w:rPr>
                <w:sz w:val="20"/>
                <w:szCs w:val="20"/>
                <w:color w:val="auto"/>
              </w:rPr>
            </w:pPr>
            <w:r>
              <w:rPr>
                <w:rFonts w:ascii="Arial" w:cs="Arial" w:eastAsia="Arial" w:hAnsi="Arial"/>
                <w:sz w:val="14"/>
                <w:szCs w:val="14"/>
                <w:color w:val="auto"/>
              </w:rPr>
              <w:t>4,700</w:t>
            </w:r>
          </w:p>
        </w:tc>
        <w:tc>
          <w:tcPr>
            <w:tcW w:w="1120" w:type="dxa"/>
            <w:vAlign w:val="bottom"/>
          </w:tcPr>
          <w:p>
            <w:pPr>
              <w:jc w:val="right"/>
              <w:spacing w:after="0"/>
              <w:rPr>
                <w:sz w:val="20"/>
                <w:szCs w:val="20"/>
                <w:color w:val="auto"/>
              </w:rPr>
            </w:pPr>
            <w:r>
              <w:rPr>
                <w:rFonts w:ascii="Arial" w:cs="Arial" w:eastAsia="Arial" w:hAnsi="Arial"/>
                <w:sz w:val="14"/>
                <w:szCs w:val="14"/>
                <w:color w:val="auto"/>
              </w:rPr>
              <w:t>986,107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2343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43" w:lineRule="exact"/>
        <w:rPr>
          <w:sz w:val="20"/>
          <w:szCs w:val="20"/>
          <w:color w:val="auto"/>
        </w:rPr>
      </w:pPr>
    </w:p>
    <w:p>
      <w:pPr>
        <w:ind w:left="200" w:hanging="192"/>
        <w:spacing w:after="0"/>
        <w:tabs>
          <w:tab w:leader="none" w:pos="200" w:val="left"/>
        </w:tabs>
        <w:numPr>
          <w:ilvl w:val="0"/>
          <w:numId w:val="177"/>
        </w:numPr>
        <w:rPr>
          <w:rFonts w:ascii="Arial" w:cs="Arial" w:eastAsia="Arial" w:hAnsi="Arial"/>
          <w:sz w:val="16"/>
          <w:szCs w:val="16"/>
          <w:color w:val="auto"/>
          <w:vertAlign w:val="superscript"/>
        </w:rPr>
      </w:pPr>
      <w:r>
        <w:rPr>
          <w:rFonts w:ascii="Arial" w:cs="Arial" w:eastAsia="Arial" w:hAnsi="Arial"/>
          <w:sz w:val="13"/>
          <w:szCs w:val="13"/>
          <w:color w:val="auto"/>
        </w:rPr>
        <w:t>Annual RSUs have a grant date of February 19, 2025, except for Mr. Masso who received his annual RSU grant on his hire date of July 14, 2025.</w:t>
      </w:r>
    </w:p>
    <w:p>
      <w:pPr>
        <w:spacing w:after="0" w:line="63" w:lineRule="exact"/>
        <w:rPr>
          <w:rFonts w:ascii="Arial" w:cs="Arial" w:eastAsia="Arial" w:hAnsi="Arial"/>
          <w:sz w:val="16"/>
          <w:szCs w:val="16"/>
          <w:color w:val="auto"/>
          <w:vertAlign w:val="superscript"/>
        </w:rPr>
      </w:pPr>
    </w:p>
    <w:p>
      <w:pPr>
        <w:ind w:left="200" w:right="360" w:hanging="192"/>
        <w:spacing w:after="0" w:line="230" w:lineRule="auto"/>
        <w:tabs>
          <w:tab w:leader="none" w:pos="200" w:val="left"/>
        </w:tabs>
        <w:numPr>
          <w:ilvl w:val="0"/>
          <w:numId w:val="177"/>
        </w:numPr>
        <w:rPr>
          <w:rFonts w:ascii="Arial" w:cs="Arial" w:eastAsia="Arial" w:hAnsi="Arial"/>
          <w:sz w:val="16"/>
          <w:szCs w:val="16"/>
          <w:color w:val="auto"/>
          <w:vertAlign w:val="superscript"/>
        </w:rPr>
      </w:pPr>
      <w:r>
        <w:rPr>
          <w:rFonts w:ascii="Arial" w:cs="Arial" w:eastAsia="Arial" w:hAnsi="Arial"/>
          <w:sz w:val="13"/>
          <w:szCs w:val="13"/>
          <w:color w:val="auto"/>
        </w:rPr>
        <w:t>Officer RSUs vest 33%, 33%, and 34% on the second, third, and fourth anniversaries of the grant date, respectively. During the vesting period, dividend equivalents will be earned in the form of additional RSU shares based on regular dividends paid by Honeywell, with such additional dividends vesting on the same timing as the underlying RSUs to which they relate. In addition, upon vesting, RSUs are settled in shares of Honeywell stock with the NEO required to hold the resulting net shares at least one year before being able to sell them.</w:t>
      </w:r>
    </w:p>
    <w:p>
      <w:pPr>
        <w:spacing w:after="0" w:line="63" w:lineRule="exact"/>
        <w:rPr>
          <w:rFonts w:ascii="Arial" w:cs="Arial" w:eastAsia="Arial" w:hAnsi="Arial"/>
          <w:sz w:val="16"/>
          <w:szCs w:val="16"/>
          <w:color w:val="auto"/>
          <w:vertAlign w:val="superscript"/>
        </w:rPr>
      </w:pPr>
    </w:p>
    <w:p>
      <w:pPr>
        <w:ind w:left="200" w:right="160" w:hanging="192"/>
        <w:spacing w:after="0" w:line="226" w:lineRule="auto"/>
        <w:tabs>
          <w:tab w:leader="none" w:pos="200" w:val="left"/>
        </w:tabs>
        <w:numPr>
          <w:ilvl w:val="0"/>
          <w:numId w:val="177"/>
        </w:numPr>
        <w:rPr>
          <w:rFonts w:ascii="Arial" w:cs="Arial" w:eastAsia="Arial" w:hAnsi="Arial"/>
          <w:sz w:val="16"/>
          <w:szCs w:val="16"/>
          <w:color w:val="auto"/>
          <w:vertAlign w:val="superscript"/>
        </w:rPr>
      </w:pPr>
      <w:r>
        <w:rPr>
          <w:rFonts w:ascii="Arial" w:cs="Arial" w:eastAsia="Arial" w:hAnsi="Arial"/>
          <w:sz w:val="13"/>
          <w:szCs w:val="13"/>
          <w:color w:val="auto"/>
        </w:rPr>
        <w:t>Grant date value is determined using the average of the high and low stock prices of Honeywell stock on the grant date. Numbers shown are based on a grant date value of $209.81, except for Mr. Masso, whose grant date value was $236.71.</w:t>
      </w:r>
    </w:p>
    <w:p>
      <w:pPr>
        <w:spacing w:after="0" w:line="286"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OTHER COMPENSATION AND BENEFIT PROGRAMS</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RETIREMENT PLANS</w:t>
      </w:r>
    </w:p>
    <w:p>
      <w:pPr>
        <w:spacing w:after="0" w:line="128"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We offer various retirement benefits to our NEOs. Specifically, depending upon when and where they joined the Company, some NEOs may participate in broad-based plans, including a defined benefit pension plan and a 401(k) savings plan that provides matching Company contributions. We also maintain an unfunded supplemental retirement plan to replace the portion of an executive’s pension benefit that cannot be paid under the broad-based plans because of Internal Revenue Service (IRS) limitations. More information on retirement benefits can be found beginning on page 94.</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NON-QUALIFIED DEFERRED COMPENSATION PLANS</w:t>
      </w:r>
    </w:p>
    <w:p>
      <w:pPr>
        <w:spacing w:after="0" w:line="141"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Honeywell executives (including the NEOs) may choose to participate in certain non-qualified deferred compensation plans to permit retirement savings in a tax-efficient manner. Executives can elect to defer up to 100% of their annual ICP awards. In addition, executives may also participate in the Honeywell Supplemental Savings Plan to defer base salary that cannot be contributed to the Company’s 401(k) savings plan due to IRS limitations. These amounts are matched by the Company only to the extent required to make up for a shortfall in the available match under the 401(k) savings plan due to IRS limitations. Deferred compensation balances earn interest at a fixed rate based on the Company’s 15-year cost of borrowing, which is subject to change on an annual basis (4.91% for 2025). Matching contributions are treated as if invested in Company common stock. These plans are explained in more detail on page 95.</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BENEFITS AND PERQUISITES</w:t>
      </w:r>
    </w:p>
    <w:p>
      <w:pPr>
        <w:spacing w:after="0" w:line="128"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Our NEOs are entitled to participate in Honeywell-wide benefits such as life, medical, dental, and accidental death and disability insurance, which are competitive with other similarly sized companies. The NEOs participate in these programs on the same basis as the rest of our salaried employees. We also maintain low-cost excess liability coverage for all executive-level personnel, including the NEOs. The NEOs are also eligible for an annual executive physical, and Charlotte-based officers participate in a low-cost regional concierge medical service program. We also provide relocation assistance to executives who we have required to relocate for business purposes.</w:t>
      </w:r>
    </w:p>
    <w:p>
      <w:pPr>
        <w:spacing w:after="0" w:line="64"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Our security policy requires that our Chairman and CEO use Honeywell aircraft for all air travel (business or personal) to ensure personal security and protect the confidentiality of our business. From time to time, we also permit other executive officers to use Honeywell aircraft for personal or business use. The security plan for the Chairman and CEO also provides for home security and related monitoring.</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2026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81</w:t>
            </w:r>
          </w:p>
        </w:tc>
      </w:tr>
      <w:tr>
        <w:trPr>
          <w:trHeight w:val="359"/>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-368300</wp:posOffset>
            </wp:positionV>
            <wp:extent cx="548640" cy="10287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89" w:name="page90"/>
    <w:bookmarkEnd w:id="89"/>
    <w:p>
      <w:pPr>
        <w:spacing w:after="0"/>
        <w:rPr>
          <w:sz w:val="20"/>
          <w:szCs w:val="20"/>
          <w:color w:val="auto"/>
        </w:rPr>
      </w:pPr>
      <w:r>
        <w:rPr>
          <w:rFonts w:ascii="Arial" w:cs="Arial" w:eastAsia="Arial" w:hAnsi="Arial"/>
          <w:sz w:val="13"/>
          <w:szCs w:val="13"/>
          <w:b w:val="1"/>
          <w:bCs w:val="1"/>
          <w:color w:val="6D6E71"/>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RISK OVERSIGHT CONSIDERATIONS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The MDCC believes that balancing the various elements of Honeywell’s executive compensation program:</w:t>
      </w:r>
    </w:p>
    <w:p>
      <w:pPr>
        <w:spacing w:after="0" w:line="113" w:lineRule="exact"/>
        <w:rPr>
          <w:sz w:val="20"/>
          <w:szCs w:val="20"/>
          <w:color w:val="auto"/>
        </w:rPr>
      </w:pPr>
    </w:p>
    <w:p>
      <w:pPr>
        <w:ind w:left="200" w:hanging="192"/>
        <w:spacing w:after="0"/>
        <w:tabs>
          <w:tab w:leader="none" w:pos="200" w:val="left"/>
        </w:tabs>
        <w:numPr>
          <w:ilvl w:val="0"/>
          <w:numId w:val="178"/>
        </w:numPr>
        <w:rPr>
          <w:rFonts w:ascii="Arial" w:cs="Arial" w:eastAsia="Arial" w:hAnsi="Arial"/>
          <w:sz w:val="16"/>
          <w:szCs w:val="16"/>
          <w:b w:val="1"/>
          <w:bCs w:val="1"/>
          <w:color w:val="D7282F"/>
        </w:rPr>
      </w:pPr>
      <w:r>
        <w:rPr>
          <w:rFonts w:ascii="Arial" w:cs="Arial" w:eastAsia="Arial" w:hAnsi="Arial"/>
          <w:sz w:val="16"/>
          <w:szCs w:val="16"/>
          <w:color w:val="auto"/>
        </w:rPr>
        <w:t>Supports the achievement of competitive sales, earnings, and cash performance in variable economic and industry conditions without undue risk; and</w:t>
      </w:r>
    </w:p>
    <w:p>
      <w:pPr>
        <w:spacing w:after="0" w:line="86" w:lineRule="exact"/>
        <w:rPr>
          <w:rFonts w:ascii="Arial" w:cs="Arial" w:eastAsia="Arial" w:hAnsi="Arial"/>
          <w:sz w:val="16"/>
          <w:szCs w:val="16"/>
          <w:b w:val="1"/>
          <w:bCs w:val="1"/>
          <w:color w:val="D7282F"/>
        </w:rPr>
      </w:pPr>
    </w:p>
    <w:p>
      <w:pPr>
        <w:ind w:left="200" w:right="500" w:hanging="192"/>
        <w:spacing w:after="0" w:line="286" w:lineRule="auto"/>
        <w:tabs>
          <w:tab w:leader="none" w:pos="197" w:val="left"/>
        </w:tabs>
        <w:numPr>
          <w:ilvl w:val="0"/>
          <w:numId w:val="178"/>
        </w:numPr>
        <w:rPr>
          <w:rFonts w:ascii="Arial" w:cs="Arial" w:eastAsia="Arial" w:hAnsi="Arial"/>
          <w:sz w:val="16"/>
          <w:szCs w:val="16"/>
          <w:b w:val="1"/>
          <w:bCs w:val="1"/>
          <w:color w:val="D7282F"/>
        </w:rPr>
      </w:pPr>
      <w:r>
        <w:rPr>
          <w:rFonts w:ascii="Arial" w:cs="Arial" w:eastAsia="Arial" w:hAnsi="Arial"/>
          <w:sz w:val="16"/>
          <w:szCs w:val="16"/>
          <w:color w:val="auto"/>
        </w:rPr>
        <w:t>Mitigates the potential to reward risk-taking that may produce short-term results that appear in isolation to be favorable, but that may undermine the successful execution of the Company’s long-term business strategy and adversely impact shareowner value.</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compensation design features guard against unnecessary or excessive risk-taking: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513461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32320" cy="5134610"/>
                    </a:xfrm>
                    <a:prstGeom prst="rect">
                      <a:avLst/>
                    </a:prstGeom>
                    <a:noFill/>
                  </pic:spPr>
                </pic:pic>
              </a:graphicData>
            </a:graphic>
          </wp:anchor>
        </w:drawing>
      </w:r>
    </w:p>
    <w:p>
      <w:pPr>
        <w:spacing w:after="0" w:line="296" w:lineRule="exact"/>
        <w:rPr>
          <w:sz w:val="20"/>
          <w:szCs w:val="20"/>
          <w:color w:val="auto"/>
        </w:rPr>
      </w:pPr>
    </w:p>
    <w:p>
      <w:pPr>
        <w:ind w:left="160" w:right="360"/>
        <w:spacing w:after="0" w:line="286" w:lineRule="auto"/>
        <w:rPr>
          <w:sz w:val="20"/>
          <w:szCs w:val="20"/>
          <w:color w:val="auto"/>
        </w:rPr>
      </w:pPr>
      <w:r>
        <w:rPr>
          <w:rFonts w:ascii="Arial" w:cs="Arial" w:eastAsia="Arial" w:hAnsi="Arial"/>
          <w:sz w:val="16"/>
          <w:szCs w:val="16"/>
          <w:b w:val="1"/>
          <w:bCs w:val="1"/>
          <w:color w:val="auto"/>
        </w:rPr>
        <w:t xml:space="preserve">Robust processes </w:t>
      </w:r>
      <w:r>
        <w:rPr>
          <w:rFonts w:ascii="Arial" w:cs="Arial" w:eastAsia="Arial" w:hAnsi="Arial"/>
          <w:sz w:val="16"/>
          <w:szCs w:val="16"/>
          <w:color w:val="auto"/>
        </w:rPr>
        <w:t>for developing strategic and annual operating plans, approval of capital investments, internal controls over financial reporting, and</w:t>
      </w:r>
      <w:r>
        <w:rPr>
          <w:rFonts w:ascii="Arial" w:cs="Arial" w:eastAsia="Arial" w:hAnsi="Arial"/>
          <w:sz w:val="16"/>
          <w:szCs w:val="16"/>
          <w:b w:val="1"/>
          <w:bCs w:val="1"/>
          <w:color w:val="auto"/>
        </w:rPr>
        <w:t xml:space="preserve"> </w:t>
      </w:r>
      <w:r>
        <w:rPr>
          <w:rFonts w:ascii="Arial" w:cs="Arial" w:eastAsia="Arial" w:hAnsi="Arial"/>
          <w:sz w:val="16"/>
          <w:szCs w:val="16"/>
          <w:color w:val="auto"/>
        </w:rPr>
        <w:t>other financial, operational, and compliance policies and practices.</w:t>
      </w:r>
    </w:p>
    <w:p>
      <w:pPr>
        <w:spacing w:after="0" w:line="156" w:lineRule="exact"/>
        <w:rPr>
          <w:sz w:val="20"/>
          <w:szCs w:val="20"/>
          <w:color w:val="auto"/>
        </w:rPr>
      </w:pPr>
    </w:p>
    <w:p>
      <w:pPr>
        <w:ind w:left="160" w:right="180"/>
        <w:spacing w:after="0" w:line="304" w:lineRule="auto"/>
        <w:rPr>
          <w:sz w:val="20"/>
          <w:szCs w:val="20"/>
          <w:color w:val="auto"/>
        </w:rPr>
      </w:pPr>
      <w:r>
        <w:rPr>
          <w:rFonts w:ascii="Arial" w:cs="Arial" w:eastAsia="Arial" w:hAnsi="Arial"/>
          <w:sz w:val="16"/>
          <w:szCs w:val="16"/>
          <w:b w:val="1"/>
          <w:bCs w:val="1"/>
          <w:color w:val="auto"/>
        </w:rPr>
        <w:t xml:space="preserve">Diversity of the Company’s overall portfolio </w:t>
      </w:r>
      <w:r>
        <w:rPr>
          <w:rFonts w:ascii="Arial" w:cs="Arial" w:eastAsia="Arial" w:hAnsi="Arial"/>
          <w:sz w:val="16"/>
          <w:szCs w:val="16"/>
          <w:color w:val="auto"/>
        </w:rPr>
        <w:t>of businesses with respect to industries and markets served (types, long-cycle/short-cycle), products and</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sold, and geographic footprint.</w:t>
      </w:r>
    </w:p>
    <w:p>
      <w:pPr>
        <w:spacing w:after="0" w:line="114" w:lineRule="exact"/>
        <w:rPr>
          <w:sz w:val="20"/>
          <w:szCs w:val="20"/>
          <w:color w:val="auto"/>
        </w:rPr>
      </w:pPr>
    </w:p>
    <w:p>
      <w:pPr>
        <w:ind w:left="160" w:right="340"/>
        <w:spacing w:after="0" w:line="304" w:lineRule="auto"/>
        <w:rPr>
          <w:sz w:val="20"/>
          <w:szCs w:val="20"/>
          <w:color w:val="auto"/>
        </w:rPr>
      </w:pPr>
      <w:r>
        <w:rPr>
          <w:rFonts w:ascii="Arial" w:cs="Arial" w:eastAsia="Arial" w:hAnsi="Arial"/>
          <w:sz w:val="16"/>
          <w:szCs w:val="16"/>
          <w:b w:val="1"/>
          <w:bCs w:val="1"/>
          <w:color w:val="auto"/>
        </w:rPr>
        <w:t xml:space="preserve">MDCC review and approval </w:t>
      </w:r>
      <w:r>
        <w:rPr>
          <w:rFonts w:ascii="Arial" w:cs="Arial" w:eastAsia="Arial" w:hAnsi="Arial"/>
          <w:sz w:val="16"/>
          <w:szCs w:val="16"/>
          <w:color w:val="auto"/>
        </w:rPr>
        <w:t>of corporate, business, and individual executive officer objectives to ensure that these goals are aligned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annual operating and strategic plans, achieve the proper risk/reward balance, and do not encourage unnecessary or excessive risk-taking.</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Executive compensation features that guard against unnecessary or excessive risk-taking include:</w:t>
      </w:r>
    </w:p>
    <w:p>
      <w:pPr>
        <w:spacing w:after="0" w:line="86" w:lineRule="exact"/>
        <w:rPr>
          <w:sz w:val="20"/>
          <w:szCs w:val="20"/>
          <w:color w:val="auto"/>
        </w:rPr>
      </w:pPr>
    </w:p>
    <w:p>
      <w:pPr>
        <w:ind w:left="360" w:right="280" w:hanging="199"/>
        <w:spacing w:after="0" w:line="286" w:lineRule="auto"/>
        <w:tabs>
          <w:tab w:leader="none" w:pos="357" w:val="left"/>
        </w:tabs>
        <w:numPr>
          <w:ilvl w:val="0"/>
          <w:numId w:val="179"/>
        </w:numPr>
        <w:rPr>
          <w:rFonts w:ascii="Arial" w:cs="Arial" w:eastAsia="Arial" w:hAnsi="Arial"/>
          <w:sz w:val="16"/>
          <w:szCs w:val="16"/>
          <w:b w:val="1"/>
          <w:bCs w:val="1"/>
          <w:color w:val="D7282F"/>
        </w:rPr>
      </w:pPr>
      <w:r>
        <w:rPr>
          <w:rFonts w:ascii="Arial" w:cs="Arial" w:eastAsia="Arial" w:hAnsi="Arial"/>
          <w:sz w:val="16"/>
          <w:szCs w:val="16"/>
          <w:color w:val="auto"/>
        </w:rPr>
        <w:t>Pay mix between fixed and variable, annual, and long-term, and cash and equity compensation is designed to encourage strategies and actions that are in the Company’s long-term best interests.</w:t>
      </w:r>
    </w:p>
    <w:p>
      <w:pPr>
        <w:spacing w:after="0" w:line="20" w:lineRule="exact"/>
        <w:rPr>
          <w:rFonts w:ascii="Arial" w:cs="Arial" w:eastAsia="Arial" w:hAnsi="Arial"/>
          <w:sz w:val="16"/>
          <w:szCs w:val="16"/>
          <w:b w:val="1"/>
          <w:bCs w:val="1"/>
          <w:color w:val="D7282F"/>
        </w:rPr>
      </w:pPr>
    </w:p>
    <w:p>
      <w:pPr>
        <w:ind w:left="360" w:right="380" w:hanging="199"/>
        <w:spacing w:after="0" w:line="286" w:lineRule="auto"/>
        <w:tabs>
          <w:tab w:leader="none" w:pos="357" w:val="left"/>
        </w:tabs>
        <w:numPr>
          <w:ilvl w:val="0"/>
          <w:numId w:val="179"/>
        </w:numPr>
        <w:rPr>
          <w:rFonts w:ascii="Arial" w:cs="Arial" w:eastAsia="Arial" w:hAnsi="Arial"/>
          <w:sz w:val="16"/>
          <w:szCs w:val="16"/>
          <w:b w:val="1"/>
          <w:bCs w:val="1"/>
          <w:color w:val="D7282F"/>
        </w:rPr>
      </w:pPr>
      <w:r>
        <w:rPr>
          <w:rFonts w:ascii="Arial" w:cs="Arial" w:eastAsia="Arial" w:hAnsi="Arial"/>
          <w:sz w:val="16"/>
          <w:szCs w:val="16"/>
          <w:color w:val="auto"/>
        </w:rPr>
        <w:t>Base salaries are positioned to be consistent with executives’ responsibilities, so they are not motivated to take excessive risks to achieve financial security.</w:t>
      </w:r>
    </w:p>
    <w:p>
      <w:pPr>
        <w:spacing w:after="0" w:line="20" w:lineRule="exact"/>
        <w:rPr>
          <w:rFonts w:ascii="Arial" w:cs="Arial" w:eastAsia="Arial" w:hAnsi="Arial"/>
          <w:sz w:val="16"/>
          <w:szCs w:val="16"/>
          <w:b w:val="1"/>
          <w:bCs w:val="1"/>
          <w:color w:val="D7282F"/>
        </w:rPr>
      </w:pPr>
    </w:p>
    <w:p>
      <w:pPr>
        <w:ind w:left="360" w:right="1080" w:hanging="199"/>
        <w:spacing w:after="0" w:line="286" w:lineRule="auto"/>
        <w:tabs>
          <w:tab w:leader="none" w:pos="357" w:val="left"/>
        </w:tabs>
        <w:numPr>
          <w:ilvl w:val="0"/>
          <w:numId w:val="179"/>
        </w:numPr>
        <w:rPr>
          <w:rFonts w:ascii="Arial" w:cs="Arial" w:eastAsia="Arial" w:hAnsi="Arial"/>
          <w:sz w:val="16"/>
          <w:szCs w:val="16"/>
          <w:b w:val="1"/>
          <w:bCs w:val="1"/>
          <w:color w:val="D7282F"/>
        </w:rPr>
      </w:pPr>
      <w:r>
        <w:rPr>
          <w:rFonts w:ascii="Arial" w:cs="Arial" w:eastAsia="Arial" w:hAnsi="Arial"/>
          <w:sz w:val="16"/>
          <w:szCs w:val="16"/>
          <w:color w:val="auto"/>
        </w:rPr>
        <w:t>Incentive awards are determined based on a review of a variety of performance indicators, diversifying the risk associated with any single performance indicator.</w:t>
      </w:r>
    </w:p>
    <w:p>
      <w:pPr>
        <w:spacing w:after="0" w:line="20" w:lineRule="exact"/>
        <w:rPr>
          <w:rFonts w:ascii="Arial" w:cs="Arial" w:eastAsia="Arial" w:hAnsi="Arial"/>
          <w:sz w:val="16"/>
          <w:szCs w:val="16"/>
          <w:b w:val="1"/>
          <w:bCs w:val="1"/>
          <w:color w:val="D7282F"/>
        </w:rPr>
      </w:pPr>
    </w:p>
    <w:p>
      <w:pPr>
        <w:ind w:left="360" w:hanging="199"/>
        <w:spacing w:after="0"/>
        <w:tabs>
          <w:tab w:leader="none" w:pos="360" w:val="left"/>
        </w:tabs>
        <w:numPr>
          <w:ilvl w:val="0"/>
          <w:numId w:val="179"/>
        </w:numPr>
        <w:rPr>
          <w:rFonts w:ascii="Arial" w:cs="Arial" w:eastAsia="Arial" w:hAnsi="Arial"/>
          <w:sz w:val="16"/>
          <w:szCs w:val="16"/>
          <w:b w:val="1"/>
          <w:bCs w:val="1"/>
          <w:color w:val="D7282F"/>
        </w:rPr>
      </w:pPr>
      <w:r>
        <w:rPr>
          <w:rFonts w:ascii="Arial" w:cs="Arial" w:eastAsia="Arial" w:hAnsi="Arial"/>
          <w:sz w:val="16"/>
          <w:szCs w:val="16"/>
          <w:color w:val="auto"/>
        </w:rPr>
        <w:t>Design of long-term compensation program rewards executives for driving sustainable, profitable growth.</w:t>
      </w:r>
    </w:p>
    <w:p>
      <w:pPr>
        <w:spacing w:after="0" w:line="86" w:lineRule="exact"/>
        <w:rPr>
          <w:rFonts w:ascii="Arial" w:cs="Arial" w:eastAsia="Arial" w:hAnsi="Arial"/>
          <w:sz w:val="16"/>
          <w:szCs w:val="16"/>
          <w:b w:val="1"/>
          <w:bCs w:val="1"/>
          <w:color w:val="D7282F"/>
        </w:rPr>
      </w:pPr>
    </w:p>
    <w:p>
      <w:pPr>
        <w:ind w:left="360" w:hanging="199"/>
        <w:spacing w:after="0"/>
        <w:tabs>
          <w:tab w:leader="none" w:pos="360" w:val="left"/>
        </w:tabs>
        <w:numPr>
          <w:ilvl w:val="0"/>
          <w:numId w:val="179"/>
        </w:numPr>
        <w:rPr>
          <w:rFonts w:ascii="Arial" w:cs="Arial" w:eastAsia="Arial" w:hAnsi="Arial"/>
          <w:sz w:val="16"/>
          <w:szCs w:val="16"/>
          <w:b w:val="1"/>
          <w:bCs w:val="1"/>
          <w:color w:val="D7282F"/>
        </w:rPr>
      </w:pPr>
      <w:r>
        <w:rPr>
          <w:rFonts w:ascii="Arial" w:cs="Arial" w:eastAsia="Arial" w:hAnsi="Arial"/>
          <w:sz w:val="16"/>
          <w:szCs w:val="16"/>
          <w:color w:val="auto"/>
        </w:rPr>
        <w:t>Vesting periods for equity compensation awards encourage executives to focus on sustained stock price appreciation.</w:t>
      </w:r>
    </w:p>
    <w:p>
      <w:pPr>
        <w:spacing w:after="0" w:line="86" w:lineRule="exact"/>
        <w:rPr>
          <w:rFonts w:ascii="Arial" w:cs="Arial" w:eastAsia="Arial" w:hAnsi="Arial"/>
          <w:sz w:val="16"/>
          <w:szCs w:val="16"/>
          <w:b w:val="1"/>
          <w:bCs w:val="1"/>
          <w:color w:val="D7282F"/>
        </w:rPr>
      </w:pPr>
    </w:p>
    <w:p>
      <w:pPr>
        <w:ind w:left="360" w:right="460" w:hanging="199"/>
        <w:spacing w:after="0" w:line="286" w:lineRule="auto"/>
        <w:tabs>
          <w:tab w:leader="none" w:pos="357" w:val="left"/>
        </w:tabs>
        <w:numPr>
          <w:ilvl w:val="0"/>
          <w:numId w:val="179"/>
        </w:numPr>
        <w:rPr>
          <w:rFonts w:ascii="Arial" w:cs="Arial" w:eastAsia="Arial" w:hAnsi="Arial"/>
          <w:sz w:val="16"/>
          <w:szCs w:val="16"/>
          <w:b w:val="1"/>
          <w:bCs w:val="1"/>
          <w:color w:val="D7282F"/>
        </w:rPr>
      </w:pPr>
      <w:r>
        <w:rPr>
          <w:rFonts w:ascii="Arial" w:cs="Arial" w:eastAsia="Arial" w:hAnsi="Arial"/>
          <w:sz w:val="16"/>
          <w:szCs w:val="16"/>
          <w:color w:val="auto"/>
        </w:rPr>
        <w:t>Incentive plans are not overly leveraged, have maximum payout caps, and have design features that are intended to balance pay for performance with an appropriate level of risk-taking.</w:t>
      </w:r>
    </w:p>
    <w:p>
      <w:pPr>
        <w:spacing w:after="0" w:line="20" w:lineRule="exact"/>
        <w:rPr>
          <w:rFonts w:ascii="Arial" w:cs="Arial" w:eastAsia="Arial" w:hAnsi="Arial"/>
          <w:sz w:val="16"/>
          <w:szCs w:val="16"/>
          <w:b w:val="1"/>
          <w:bCs w:val="1"/>
          <w:color w:val="D7282F"/>
        </w:rPr>
      </w:pPr>
    </w:p>
    <w:p>
      <w:pPr>
        <w:ind w:left="360" w:right="260" w:hanging="199"/>
        <w:spacing w:after="0" w:line="286" w:lineRule="auto"/>
        <w:tabs>
          <w:tab w:leader="none" w:pos="357" w:val="left"/>
        </w:tabs>
        <w:numPr>
          <w:ilvl w:val="0"/>
          <w:numId w:val="179"/>
        </w:numPr>
        <w:rPr>
          <w:rFonts w:ascii="Arial" w:cs="Arial" w:eastAsia="Arial" w:hAnsi="Arial"/>
          <w:sz w:val="16"/>
          <w:szCs w:val="16"/>
          <w:b w:val="1"/>
          <w:bCs w:val="1"/>
          <w:color w:val="D7282F"/>
        </w:rPr>
      </w:pPr>
      <w:r>
        <w:rPr>
          <w:rFonts w:ascii="Arial" w:cs="Arial" w:eastAsia="Arial" w:hAnsi="Arial"/>
          <w:sz w:val="16"/>
          <w:szCs w:val="16"/>
          <w:color w:val="auto"/>
        </w:rPr>
        <w:t>The MDCC retains discretionary authority to exclude unusual or infrequently occurring items, extraordinary items, and the cumulative effect of changes in accounting treatment when determining performance attainment under formulaic plans where events and/or business conditions warrant.</w:t>
      </w:r>
    </w:p>
    <w:p>
      <w:pPr>
        <w:spacing w:after="0" w:line="196" w:lineRule="exact"/>
        <w:rPr>
          <w:sz w:val="20"/>
          <w:szCs w:val="20"/>
          <w:color w:val="auto"/>
        </w:rPr>
      </w:pPr>
    </w:p>
    <w:p>
      <w:pPr>
        <w:ind w:left="160" w:right="180"/>
        <w:spacing w:after="0" w:line="261" w:lineRule="auto"/>
        <w:rPr>
          <w:sz w:val="20"/>
          <w:szCs w:val="20"/>
          <w:color w:val="auto"/>
        </w:rPr>
      </w:pPr>
      <w:r>
        <w:rPr>
          <w:rFonts w:ascii="Arial" w:cs="Arial" w:eastAsia="Arial" w:hAnsi="Arial"/>
          <w:sz w:val="16"/>
          <w:szCs w:val="16"/>
          <w:b w:val="1"/>
          <w:bCs w:val="1"/>
          <w:color w:val="auto"/>
        </w:rPr>
        <w:t xml:space="preserve">Clawback policies </w:t>
      </w:r>
      <w:r>
        <w:rPr>
          <w:rFonts w:ascii="Arial" w:cs="Arial" w:eastAsia="Arial" w:hAnsi="Arial"/>
          <w:sz w:val="16"/>
          <w:szCs w:val="16"/>
          <w:color w:val="auto"/>
        </w:rPr>
        <w:t>provide the ability to recoup performance-based incentive awards (any compensation, whether in equity or cash, granted, earned, or</w:t>
      </w:r>
      <w:r>
        <w:rPr>
          <w:rFonts w:ascii="Arial" w:cs="Arial" w:eastAsia="Arial" w:hAnsi="Arial"/>
          <w:sz w:val="16"/>
          <w:szCs w:val="16"/>
          <w:b w:val="1"/>
          <w:bCs w:val="1"/>
          <w:color w:val="auto"/>
        </w:rPr>
        <w:t xml:space="preserve"> </w:t>
      </w:r>
      <w:r>
        <w:rPr>
          <w:rFonts w:ascii="Arial" w:cs="Arial" w:eastAsia="Arial" w:hAnsi="Arial"/>
          <w:sz w:val="16"/>
          <w:szCs w:val="16"/>
          <w:color w:val="auto"/>
        </w:rPr>
        <w:t>vested based wholly, or in part, on the attainment of a financial reporting measure) in the event of a restatement of the Company’s financial results. In addition to maintaining our existing clawback guidelines, which are applicable in the event our Board determines that a covered officer engaged in misconduct, our Board adopted a standalone Clawback Policy that is consistent with Rule 10D-1 of the Exchange Act and Nasdaq listing standards. In addition, clawback provisions in the Company’s stock plan and short-term incentive plan allow the Company to cancel shares or recover gains, or payments made, if an executive violates non-competition or non-solicitation provisions.</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 xml:space="preserve">Prohibition on hedging and pledging of shares </w:t>
      </w:r>
      <w:r>
        <w:rPr>
          <w:rFonts w:ascii="Arial" w:cs="Arial" w:eastAsia="Arial" w:hAnsi="Arial"/>
          <w:sz w:val="16"/>
          <w:szCs w:val="16"/>
          <w:color w:val="auto"/>
        </w:rPr>
        <w:t>by executive officers and directors.</w:t>
      </w:r>
    </w:p>
    <w:p>
      <w:pPr>
        <w:spacing w:after="0" w:line="208" w:lineRule="exact"/>
        <w:rPr>
          <w:sz w:val="20"/>
          <w:szCs w:val="20"/>
          <w:color w:val="auto"/>
        </w:rPr>
      </w:pPr>
    </w:p>
    <w:p>
      <w:pPr>
        <w:ind w:left="160" w:right="220"/>
        <w:spacing w:after="0" w:line="304" w:lineRule="auto"/>
        <w:rPr>
          <w:sz w:val="20"/>
          <w:szCs w:val="20"/>
          <w:color w:val="auto"/>
        </w:rPr>
      </w:pPr>
      <w:r>
        <w:rPr>
          <w:rFonts w:ascii="Arial" w:cs="Arial" w:eastAsia="Arial" w:hAnsi="Arial"/>
          <w:sz w:val="16"/>
          <w:szCs w:val="16"/>
          <w:b w:val="1"/>
          <w:bCs w:val="1"/>
          <w:color w:val="auto"/>
        </w:rPr>
        <w:t xml:space="preserve">Ownership thresholds </w:t>
      </w:r>
      <w:r>
        <w:rPr>
          <w:rFonts w:ascii="Arial" w:cs="Arial" w:eastAsia="Arial" w:hAnsi="Arial"/>
          <w:sz w:val="16"/>
          <w:szCs w:val="16"/>
          <w:color w:val="auto"/>
        </w:rPr>
        <w:t>in the Company’s stock ownership guidelines for officers require NEOs to hold shares of common stock equal to five times their</w:t>
      </w:r>
      <w:r>
        <w:rPr>
          <w:rFonts w:ascii="Arial" w:cs="Arial" w:eastAsia="Arial" w:hAnsi="Arial"/>
          <w:sz w:val="16"/>
          <w:szCs w:val="16"/>
          <w:b w:val="1"/>
          <w:bCs w:val="1"/>
          <w:color w:val="auto"/>
        </w:rPr>
        <w:t xml:space="preserve"> </w:t>
      </w:r>
      <w:r>
        <w:rPr>
          <w:rFonts w:ascii="Arial" w:cs="Arial" w:eastAsia="Arial" w:hAnsi="Arial"/>
          <w:sz w:val="16"/>
          <w:szCs w:val="16"/>
          <w:color w:val="auto"/>
        </w:rPr>
        <w:t>current annual base salary (10 times for the CEO), as detailed in the Stock Ownership Guidelines.</w:t>
      </w:r>
    </w:p>
    <w:p>
      <w:pPr>
        <w:spacing w:after="0" w:line="114" w:lineRule="exact"/>
        <w:rPr>
          <w:sz w:val="20"/>
          <w:szCs w:val="20"/>
          <w:color w:val="auto"/>
        </w:rPr>
      </w:pPr>
    </w:p>
    <w:p>
      <w:pPr>
        <w:ind w:left="160" w:right="260"/>
        <w:spacing w:after="0" w:line="304" w:lineRule="auto"/>
        <w:rPr>
          <w:sz w:val="20"/>
          <w:szCs w:val="20"/>
          <w:color w:val="auto"/>
        </w:rPr>
      </w:pPr>
      <w:r>
        <w:rPr>
          <w:rFonts w:ascii="Arial" w:cs="Arial" w:eastAsia="Arial" w:hAnsi="Arial"/>
          <w:sz w:val="16"/>
          <w:szCs w:val="16"/>
          <w:b w:val="1"/>
          <w:bCs w:val="1"/>
          <w:color w:val="auto"/>
        </w:rPr>
        <w:t xml:space="preserve">Holding periods </w:t>
      </w:r>
      <w:r>
        <w:rPr>
          <w:rFonts w:ascii="Arial" w:cs="Arial" w:eastAsia="Arial" w:hAnsi="Arial"/>
          <w:sz w:val="16"/>
          <w:szCs w:val="16"/>
          <w:color w:val="auto"/>
        </w:rPr>
        <w:t>in the Company's stock ownership guidelines require that officers must hold 100% of the net shares from vesting of RSUs and the net</w:t>
      </w:r>
      <w:r>
        <w:rPr>
          <w:rFonts w:ascii="Arial" w:cs="Arial" w:eastAsia="Arial" w:hAnsi="Arial"/>
          <w:sz w:val="16"/>
          <w:szCs w:val="16"/>
          <w:b w:val="1"/>
          <w:bCs w:val="1"/>
          <w:color w:val="auto"/>
        </w:rPr>
        <w:t xml:space="preserve"> </w:t>
      </w:r>
      <w:r>
        <w:rPr>
          <w:rFonts w:ascii="Arial" w:cs="Arial" w:eastAsia="Arial" w:hAnsi="Arial"/>
          <w:sz w:val="16"/>
          <w:szCs w:val="16"/>
          <w:color w:val="auto"/>
        </w:rPr>
        <w:t>shares issued from PSUs.</w:t>
      </w:r>
    </w:p>
    <w:p>
      <w:pPr>
        <w:spacing w:after="0" w:line="290"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Based upon the MDCC’s risk oversight and compensation policies, the risks arising from the Company’s compensation policies and practices are not reasonably likely to have a material adverse effect on Honeywell’s operations or results. A full discussion of the role of the Board in the risk oversight process begins on page 42 of this Proxy Statement.</w:t>
      </w:r>
    </w:p>
    <w:p>
      <w:pPr>
        <w:spacing w:after="0" w:line="84"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sz w:val="1"/>
          <w:szCs w:val="1"/>
          <w:color w:val="auto"/>
        </w:rPr>
        <w:drawing>
          <wp:inline distT="0" distB="0" distL="0" distR="0">
            <wp:extent cx="548640" cy="102870"/>
            <wp:effectExtent l="0" t="0" r="0" b="0"/>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2026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3"/>
          <w:szCs w:val="13"/>
          <w:b w:val="1"/>
          <w:bCs w:val="1"/>
          <w:color w:val="6D6E71"/>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STOCK OWNERSHIP GUIDELINES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The MDCC believes that Honeywell executives more effectively pursue shareowners’ long-term interests if they hold substantial amounts of stock.</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Accordingly, the MDCC maintains minimum stock ownership guidelines for all executive officers.</w:t>
      </w:r>
    </w:p>
    <w:p>
      <w:pPr>
        <w:spacing w:after="0" w:line="101"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Under these guidelines, the CEO must hold shares of common stock equal in value to 10 times his current annual base salary. Other executive officers are required to own shares equal in value to five times their current base salary. Shares used in determining whether these guidelines are met include shares held personally, equivalent shares held in qualified and non-qualified retirement accounts, and outstanding RSUs. Executive officers have five years following their appointment to meet these guidelines.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D7282F"/>
        </w:rPr>
        <w:t>NAMED EXECUTIVE OFFICERS’ STOCK OWNERSHIP</w:t>
      </w:r>
    </w:p>
    <w:p>
      <w:pPr>
        <w:spacing w:after="0" w:line="112"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stock ownership guidelines require officers to hold for at least one year 100% of the “net shares” obtained from RSUs that vest and the “net shares” issued from PSUs. “Net shares” means the number of shares issued when RSUs vest or PSUs are earned, less the number of shares withheld or sold to pay applicable taxes. After the one-year holding period, officers may sell net shares or net gain shares (subject to pre-approval by the CEO); however, after the sale, they must continue to meet the prescribed minimum stock ownership level.</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RECOUPMENT/CLAWBACK</w:t>
      </w:r>
    </w:p>
    <w:p>
      <w:pPr>
        <w:spacing w:after="0" w:line="141" w:lineRule="exact"/>
        <w:rPr>
          <w:sz w:val="20"/>
          <w:szCs w:val="20"/>
          <w:color w:val="auto"/>
        </w:rPr>
      </w:pPr>
    </w:p>
    <w:p>
      <w:pPr>
        <w:jc w:val="both"/>
        <w:ind w:right="240"/>
        <w:spacing w:after="0" w:line="266" w:lineRule="auto"/>
        <w:rPr>
          <w:sz w:val="20"/>
          <w:szCs w:val="20"/>
          <w:color w:val="auto"/>
        </w:rPr>
      </w:pPr>
      <w:r>
        <w:rPr>
          <w:rFonts w:ascii="Arial" w:cs="Arial" w:eastAsia="Arial" w:hAnsi="Arial"/>
          <w:sz w:val="16"/>
          <w:szCs w:val="16"/>
          <w:color w:val="auto"/>
        </w:rPr>
        <w:t>Our Board determined that it is in the Company’s best interests to ensure that all performance-based cash compensation and equity awards reflect actual performance. Consistent with such determination, our Board adopted a Clawback Policy, in accordance with Rule 10D-1 of the Exchange Act and Nasdaq listing standards.</w:t>
      </w:r>
    </w:p>
    <w:p>
      <w:pPr>
        <w:spacing w:after="0" w:line="77"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This Clawback Policy is administered by our MDCC and enables the Company to recover from covered current and former executives certain incentive-based compensation in the event of an accounting restatement resulting from material noncompliance with any financial reporting requirements under the federal securities laws. Our Clawback Policy covers current and former executive officers, including all officers for purposes of Section 16 of the Exchange Act, and applies to any incentive-based cash compensation that is granted, earned, or vested based wholly or in part on the attainment of any Company financial reporting measure.</w:t>
      </w:r>
    </w:p>
    <w:p>
      <w:pPr>
        <w:spacing w:after="0" w:line="83"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If the Company is required to prepare an accounting restatement due to material noncompliance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the MDCC shall require any executive officer covered by our Clawback Policy to reimburse or forfeit to the Company the amount of incentive-based compensation received by such executive officer based on the financial statements prior to the restatement that exceeds the amount such executive officer would have received had the incentive-based compensation been determined based on the financial restatement. The MDCC will not consider the executive officer’s responsibility or fault or lack thereof in enforcing our Clawback Policy to recoup the amount described above.</w:t>
      </w:r>
    </w:p>
    <w:p>
      <w:pPr>
        <w:spacing w:after="0" w:line="68"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 xml:space="preserve">In addition, we maintain the clawback guidelines set forth in our Corporate Governance Guidelines. Under these guidelines, if the Board determines that a covered executive officer engaged in any misconduct that materially contributes to, or causes, a significant restatement of financial results, this may, independently, result in the recoupment (or clawback) of performance-based incentive awards (both equity- and cash-based awards). The complete text of the Corporate Governance Guidelines is posted on our website at </w:t>
      </w:r>
      <w:r>
        <w:rPr>
          <w:rFonts w:ascii="Arial" w:cs="Arial" w:eastAsia="Arial" w:hAnsi="Arial"/>
          <w:sz w:val="16"/>
          <w:szCs w:val="16"/>
          <w:b w:val="1"/>
          <w:bCs w:val="1"/>
          <w:color w:val="D7282F"/>
        </w:rPr>
        <w:t>investor.honeywell.com</w:t>
      </w:r>
      <w:r>
        <w:rPr>
          <w:rFonts w:ascii="Arial" w:cs="Arial" w:eastAsia="Arial" w:hAnsi="Arial"/>
          <w:sz w:val="16"/>
          <w:szCs w:val="16"/>
          <w:color w:val="auto"/>
        </w:rPr>
        <w:t xml:space="preserve"> (see “Governance/Governance Overview”).</w:t>
      </w:r>
    </w:p>
    <w:p>
      <w:pPr>
        <w:spacing w:after="0" w:line="48"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In addition, if during the two-year period following an executive officer’s termination of employment with Honeywell, he or she commences employment with, or otherwise provides services to a Honeywell competitor, without the MDCC’s prior approval, or otherwise violates other restrictive covenants (including non-solicitation commitments), then the Company reserves the right, for awards issued under its Stock Incentive Plans, to:</w:t>
      </w:r>
    </w:p>
    <w:p>
      <w:pPr>
        <w:spacing w:after="0" w:line="56" w:lineRule="exact"/>
        <w:rPr>
          <w:sz w:val="20"/>
          <w:szCs w:val="20"/>
          <w:color w:val="auto"/>
        </w:rPr>
      </w:pPr>
    </w:p>
    <w:p>
      <w:pPr>
        <w:ind w:left="200" w:hanging="192"/>
        <w:spacing w:after="0"/>
        <w:tabs>
          <w:tab w:leader="none" w:pos="200" w:val="left"/>
        </w:tabs>
        <w:numPr>
          <w:ilvl w:val="0"/>
          <w:numId w:val="180"/>
        </w:numPr>
        <w:rPr>
          <w:rFonts w:ascii="Arial" w:cs="Arial" w:eastAsia="Arial" w:hAnsi="Arial"/>
          <w:sz w:val="16"/>
          <w:szCs w:val="16"/>
          <w:b w:val="1"/>
          <w:bCs w:val="1"/>
          <w:color w:val="CF142D"/>
        </w:rPr>
      </w:pPr>
      <w:r>
        <w:rPr>
          <w:rFonts w:ascii="Arial" w:cs="Arial" w:eastAsia="Arial" w:hAnsi="Arial"/>
          <w:sz w:val="16"/>
          <w:szCs w:val="16"/>
          <w:color w:val="auto"/>
        </w:rPr>
        <w:t>Cancel all unexercised options and unvested equity; and</w:t>
      </w:r>
    </w:p>
    <w:p>
      <w:pPr>
        <w:spacing w:after="0" w:line="86" w:lineRule="exact"/>
        <w:rPr>
          <w:rFonts w:ascii="Arial" w:cs="Arial" w:eastAsia="Arial" w:hAnsi="Arial"/>
          <w:sz w:val="16"/>
          <w:szCs w:val="16"/>
          <w:b w:val="1"/>
          <w:bCs w:val="1"/>
          <w:color w:val="CF142D"/>
        </w:rPr>
      </w:pPr>
    </w:p>
    <w:p>
      <w:pPr>
        <w:ind w:left="200" w:right="240" w:hanging="192"/>
        <w:spacing w:after="0" w:line="286" w:lineRule="auto"/>
        <w:tabs>
          <w:tab w:leader="none" w:pos="197" w:val="left"/>
        </w:tabs>
        <w:numPr>
          <w:ilvl w:val="0"/>
          <w:numId w:val="180"/>
        </w:numPr>
        <w:rPr>
          <w:rFonts w:ascii="Arial" w:cs="Arial" w:eastAsia="Arial" w:hAnsi="Arial"/>
          <w:sz w:val="16"/>
          <w:szCs w:val="16"/>
          <w:b w:val="1"/>
          <w:bCs w:val="1"/>
          <w:color w:val="CF142D"/>
        </w:rPr>
      </w:pPr>
      <w:r>
        <w:rPr>
          <w:rFonts w:ascii="Arial" w:cs="Arial" w:eastAsia="Arial" w:hAnsi="Arial"/>
          <w:sz w:val="16"/>
          <w:szCs w:val="16"/>
          <w:color w:val="auto"/>
        </w:rPr>
        <w:t>Recover any gains attributable to options that were exercised, and any value attributable to RSUs and Performance Plan awards that were paid, during the period beginning 12 months before and ending two years after the executive officer’s termination of employment.</w:t>
      </w:r>
    </w:p>
    <w:p>
      <w:pPr>
        <w:spacing w:after="0" w:line="61"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Honeywell has entered into non-competition agreements with each of the NEOs that preclude them from going to work for a competitor for up to two years after termination of employment. The list of competitors and the duration of the non-competition covenant has been tailored, in each case, to the executive officer’s position and the competitive threat this represents. Because money damages cannot adequately compensate Honeywell for violations of these non-competition covenants, we have a full range of equitable remedies at our disposal to enforce these agreements, including the ability to seek injunctive relief.</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2026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83</w:t>
            </w:r>
          </w:p>
        </w:tc>
      </w:tr>
      <w:tr>
        <w:trPr>
          <w:trHeight w:val="360"/>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-368300</wp:posOffset>
            </wp:positionV>
            <wp:extent cx="548640" cy="10287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91" w:name="page92"/>
    <w:bookmarkEnd w:id="91"/>
    <w:p>
      <w:pPr>
        <w:spacing w:after="0"/>
        <w:rPr>
          <w:sz w:val="20"/>
          <w:szCs w:val="20"/>
          <w:color w:val="auto"/>
        </w:rPr>
      </w:pPr>
      <w:r>
        <w:rPr>
          <w:rFonts w:ascii="Arial" w:cs="Arial" w:eastAsia="Arial" w:hAnsi="Arial"/>
          <w:sz w:val="13"/>
          <w:szCs w:val="13"/>
          <w:b w:val="1"/>
          <w:bCs w:val="1"/>
          <w:color w:val="6D6E71"/>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TAX DEDUCTIBILITY OF EXECUTIVE COMPENSATION</w:t>
      </w:r>
    </w:p>
    <w:p>
      <w:pPr>
        <w:spacing w:after="0" w:line="128"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Beginning in 2018, Section 162(m) of the Internal Revenue Code limits the federal income tax deduction for annual individual compensation to $1 million for the Company’s “covered employees” without any exception for performance-based compensation, subject to a transition rule for certain written binding contracts in effect on November 2, 2017, and not materially modified after that date. The Company intends to comply with the transition rule for written binding contracts in effect on November 2, 2017, to the extent applicable, so long as the MDCC determines that to be in the Company’s best interest. As discussed above under Compensation Practices and Policies, the MDCC seeks to closely align executive pay with performance, even if there is no longer a “performance-based” provision under Section 162(m), and, in any case, the MDCC reserves the ability to structure compensation arrangements to provide appropriate compensation to the Company’s executives, even where such compensation is not deductible under Section 162(m).</w:t>
      </w:r>
    </w:p>
    <w:p>
      <w:pPr>
        <w:spacing w:after="0" w:line="20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INSIDER TRADING POLICIES AND PROCEDURES</w:t>
      </w:r>
    </w:p>
    <w:p>
      <w:pPr>
        <w:spacing w:after="0" w:line="141"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 xml:space="preserve">The Board has adopted an insider trading policy (Insider Trading Policy) that applies to all of the Company's directors, officers, and employees, as well as certain other designated individuals, to prevent the misuse of confidential information about the Company, as well as other companies with which the Company has a business relationship, and to promote compliance with all applicable securities laws. Among other things, the Insider Trading Policy prohibits engaging in transactions in securities based on material non-public information and prohibits directors, executive officers, and certain other employees from buying or selling the Company's securities during certain periods, except pursuant to an approved trading plan under Rule 10b5-1 of the Securities Exchange Act of 1934, as amended (Rule 10b5-1). Certain types of transactions in the Company’s securities are also prohibited under the Insider Trading Policy, as described further under “Pledging and Hedging Transactions in Company Securities” (see below). In addition, certain individuals, including directors and officers, are required to receive pre-clearance from the Corporate Secretary, and directors and officers are additionally required to receive prior approval from the Chairman, prior to engaging in transactions in the Company's securities. The Insider Trading Policy also sets forth mandatory guidelines that apply to all executive officers, directors, and employees of the Company who adopt Rule 10b5-1 plans for trading in the Company's securities, which are intended to ensure compliance with Rule 10b5-1 and to conform to best practices with respect to the design and implementation of Rule 10b5-1 plans. For additional information, see the Insider Trading Policy, which can be found on our website at </w:t>
      </w:r>
      <w:r>
        <w:rPr>
          <w:rFonts w:ascii="Arial" w:cs="Arial" w:eastAsia="Arial" w:hAnsi="Arial"/>
          <w:sz w:val="16"/>
          <w:szCs w:val="16"/>
          <w:b w:val="1"/>
          <w:bCs w:val="1"/>
          <w:color w:val="D7282F"/>
        </w:rPr>
        <w:t>investor.honeywell.com</w:t>
      </w:r>
      <w:r>
        <w:rPr>
          <w:rFonts w:ascii="Arial" w:cs="Arial" w:eastAsia="Arial" w:hAnsi="Arial"/>
          <w:sz w:val="16"/>
          <w:szCs w:val="16"/>
          <w:color w:val="auto"/>
        </w:rPr>
        <w:t xml:space="preserve"> and in our SEC filings (see our most recent Annual Report on Form 10-K).</w:t>
      </w:r>
    </w:p>
    <w:p>
      <w:pPr>
        <w:spacing w:after="0" w:line="71"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It is also the Company’s policy that the Company will not engage in transactions in Company securities, or adopt any securities repurchase plans, while in possession of material non-public information relating to the Company or its securities other than in compliance with applicable law, subject to the policies and procedures adopted by the Company. The Company currently has a stock repurchase program in place. Repurchases may be made through a variety of methods, which could include open market purchases, accelerated share repurchase transactions, negotiated block transactions, Rule 10b5-1 plans, other transactions that may be structured through investment banking institutions or privately negotiated, or a combination of the foregoing.</w:t>
      </w:r>
    </w:p>
    <w:p>
      <w:pPr>
        <w:spacing w:after="0" w:line="22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PLEDGING AND HEDGING TRANSACTIONS IN COMPANY SECURITIES</w:t>
      </w:r>
    </w:p>
    <w:p>
      <w:pPr>
        <w:spacing w:after="0" w:line="128"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Executive officers, directors, and any of their respective designees are prohibited from pledging Honeywell’s securities or using Honeywell’s securities to support margin debt. All other employees must exercise extreme caution in pledging Honeywell’s securities or using Honeywell’s securities to support margin debt.</w:t>
      </w:r>
    </w:p>
    <w:p>
      <w:pPr>
        <w:spacing w:after="0" w:line="56"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Hedging by directors, executive officers, employees on our restricted trading list, any employee in possession of material nonpublic information, or any of their designees is prohibited, and it is strongly discouraged for all other employees. For this purpose, hedging means purchasing financial instruments (including prepaid variable forward sale contracts, equity swaps, collars, and interests in exchange funds) or otherwise engaging in transactions that are designed to hedge or offset any decrease in the market value of Company stock held, directly or indirectly, by them, whether the stock was acquired as part of a compensation arrangement or otherwise.</w:t>
      </w:r>
    </w:p>
    <w:p>
      <w:pPr>
        <w:spacing w:after="0" w:line="64"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All employees, directors, and any of their respective designees are prohibited from engaging in short sales of Honeywell securities. Selling or purchasing puts or calls or otherwise trading in or writing options on Honeywell’s securities by employees, officers, and directors is also prohibited.</w:t>
      </w:r>
    </w:p>
    <w:p>
      <w:pPr>
        <w:spacing w:after="0" w:line="197"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sz w:val="1"/>
          <w:szCs w:val="1"/>
          <w:color w:val="auto"/>
        </w:rPr>
        <w:drawing>
          <wp:inline distT="0" distB="0" distL="0" distR="0">
            <wp:extent cx="548640" cy="102870"/>
            <wp:effectExtent l="0" t="0" r="0" b="0"/>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2026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3"/>
          <w:szCs w:val="13"/>
          <w:b w:val="1"/>
          <w:bCs w:val="1"/>
          <w:color w:val="6D6E71"/>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30"/>
          <w:szCs w:val="30"/>
          <w:b w:val="1"/>
          <w:bCs w:val="1"/>
          <w:color w:val="D7282F"/>
        </w:rPr>
        <w:t>MANAGEMENT DEVELOPMENT AND COMPENSATION COMMITTEE REPORT</w:t>
      </w:r>
    </w:p>
    <w:p>
      <w:pPr>
        <w:spacing w:after="0" w:line="139" w:lineRule="exact"/>
        <w:rPr>
          <w:sz w:val="20"/>
          <w:szCs w:val="20"/>
          <w:color w:val="auto"/>
        </w:rPr>
      </w:pPr>
    </w:p>
    <w:p>
      <w:pPr>
        <w:ind w:right="340"/>
        <w:spacing w:after="0" w:line="275" w:lineRule="auto"/>
        <w:rPr>
          <w:sz w:val="20"/>
          <w:szCs w:val="20"/>
          <w:color w:val="auto"/>
        </w:rPr>
      </w:pPr>
      <w:r>
        <w:rPr>
          <w:rFonts w:ascii="Arial" w:cs="Arial" w:eastAsia="Arial" w:hAnsi="Arial"/>
          <w:sz w:val="16"/>
          <w:szCs w:val="16"/>
          <w:color w:val="auto"/>
        </w:rPr>
        <w:t>The MDCC reviewed and discussed Honeywell’s Compensation Discussion and Analysis with management. Based on this review and discussion, the MDCC recommended to the Board of Directors that the Compensation Discussion and Analysis be included in this Proxy Statement and incorporated by reference in the Form 10-K for the year ended December 31, 2025.</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Management Development and Compensation Committee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Grace Lieblein (Chair)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Duncan B. Angove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William S. Ayer </w:t>
      </w:r>
      <w:r>
        <w:rPr>
          <w:rFonts w:ascii="Arial" w:cs="Arial" w:eastAsia="Arial" w:hAnsi="Arial"/>
          <w:sz w:val="16"/>
          <w:szCs w:val="16"/>
          <w:b w:val="1"/>
          <w:bCs w:val="1"/>
          <w:i w:val="1"/>
          <w:iCs w:val="1"/>
          <w:color w:val="auto"/>
        </w:rPr>
        <w:t>(ex officio)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Deborah Flint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Indra K. Nooyi</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2026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85</w:t>
            </w:r>
          </w:p>
        </w:tc>
      </w:tr>
      <w:tr>
        <w:trPr>
          <w:trHeight w:val="373"/>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93" w:name="page94"/>
    <w:bookmarkEnd w:id="93"/>
    <w:p>
      <w:pPr>
        <w:spacing w:after="0"/>
        <w:rPr>
          <w:sz w:val="20"/>
          <w:szCs w:val="20"/>
          <w:color w:val="auto"/>
        </w:rPr>
      </w:pPr>
      <w:r>
        <w:rPr>
          <w:rFonts w:ascii="Arial" w:cs="Arial" w:eastAsia="Arial" w:hAnsi="Arial"/>
          <w:sz w:val="45"/>
          <w:szCs w:val="45"/>
          <w:b w:val="1"/>
          <w:bCs w:val="1"/>
          <w:color w:val="auto"/>
        </w:rPr>
        <w:t>EXECUTIVE COMPENSATION TABLES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SUMMARY COMPENSATION TABLE</w:t>
      </w:r>
    </w:p>
    <w:p>
      <w:pPr>
        <w:spacing w:after="0" w:line="155" w:lineRule="exact"/>
        <w:rPr>
          <w:sz w:val="20"/>
          <w:szCs w:val="20"/>
          <w:color w:val="auto"/>
        </w:rPr>
      </w:pPr>
    </w:p>
    <w:p>
      <w:pPr>
        <w:jc w:val="right"/>
        <w:ind w:right="2620"/>
        <w:spacing w:after="0"/>
        <w:rPr>
          <w:sz w:val="20"/>
          <w:szCs w:val="20"/>
          <w:color w:val="auto"/>
        </w:rPr>
      </w:pPr>
      <w:r>
        <w:rPr>
          <w:rFonts w:ascii="Arial" w:cs="Arial" w:eastAsia="Arial" w:hAnsi="Arial"/>
          <w:sz w:val="11"/>
          <w:szCs w:val="11"/>
          <w:b w:val="1"/>
          <w:bCs w:val="1"/>
          <w:color w:val="auto"/>
        </w:rPr>
        <w:t>Change in</w:t>
      </w:r>
    </w:p>
    <w:p>
      <w:pPr>
        <w:spacing w:after="0" w:line="5" w:lineRule="exact"/>
        <w:rPr>
          <w:sz w:val="20"/>
          <w:szCs w:val="20"/>
          <w:color w:val="auto"/>
        </w:rPr>
      </w:pPr>
    </w:p>
    <w:p>
      <w:pPr>
        <w:jc w:val="right"/>
        <w:ind w:right="2620"/>
        <w:spacing w:after="0"/>
        <w:rPr>
          <w:sz w:val="20"/>
          <w:szCs w:val="20"/>
          <w:color w:val="auto"/>
        </w:rPr>
      </w:pPr>
      <w:r>
        <w:rPr>
          <w:rFonts w:ascii="Arial" w:cs="Arial" w:eastAsia="Arial" w:hAnsi="Arial"/>
          <w:sz w:val="11"/>
          <w:szCs w:val="11"/>
          <w:b w:val="1"/>
          <w:bCs w:val="1"/>
          <w:color w:val="auto"/>
        </w:rPr>
        <w:t>Pension</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80" w:type="dxa"/>
            <w:vAlign w:val="bottom"/>
          </w:tcPr>
          <w:p>
            <w:pPr>
              <w:jc w:val="right"/>
              <w:ind w:right="99"/>
              <w:spacing w:after="0"/>
              <w:rPr>
                <w:sz w:val="20"/>
                <w:szCs w:val="20"/>
                <w:color w:val="auto"/>
              </w:rPr>
            </w:pPr>
            <w:r>
              <w:rPr>
                <w:rFonts w:ascii="Arial" w:cs="Arial" w:eastAsia="Arial" w:hAnsi="Arial"/>
                <w:sz w:val="11"/>
                <w:szCs w:val="11"/>
                <w:b w:val="1"/>
                <w:bCs w:val="1"/>
                <w:color w:val="auto"/>
              </w:rPr>
              <w:t>Value and</w:t>
            </w:r>
          </w:p>
        </w:tc>
        <w:tc>
          <w:tcPr>
            <w:tcW w:w="3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80" w:type="dxa"/>
            <w:vAlign w:val="bottom"/>
          </w:tcPr>
          <w:p>
            <w:pPr>
              <w:jc w:val="right"/>
              <w:ind w:right="99"/>
              <w:spacing w:after="0" w:line="122" w:lineRule="exact"/>
              <w:rPr>
                <w:sz w:val="20"/>
                <w:szCs w:val="20"/>
                <w:color w:val="auto"/>
              </w:rPr>
            </w:pPr>
            <w:r>
              <w:rPr>
                <w:rFonts w:ascii="Arial" w:cs="Arial" w:eastAsia="Arial" w:hAnsi="Arial"/>
                <w:sz w:val="11"/>
                <w:szCs w:val="11"/>
                <w:b w:val="1"/>
                <w:bCs w:val="1"/>
                <w:color w:val="auto"/>
              </w:rPr>
              <w:t>Nonqualified</w:t>
            </w:r>
          </w:p>
        </w:tc>
        <w:tc>
          <w:tcPr>
            <w:tcW w:w="3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8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Named</w:t>
            </w:r>
          </w:p>
        </w:tc>
        <w:tc>
          <w:tcPr>
            <w:tcW w:w="5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20" w:type="dxa"/>
            <w:vAlign w:val="bottom"/>
          </w:tcPr>
          <w:p>
            <w:pPr>
              <w:jc w:val="right"/>
              <w:ind w:right="119"/>
              <w:spacing w:after="0" w:line="122" w:lineRule="exact"/>
              <w:rPr>
                <w:sz w:val="20"/>
                <w:szCs w:val="20"/>
                <w:color w:val="auto"/>
              </w:rPr>
            </w:pPr>
            <w:r>
              <w:rPr>
                <w:rFonts w:ascii="Arial" w:cs="Arial" w:eastAsia="Arial" w:hAnsi="Arial"/>
                <w:sz w:val="11"/>
                <w:szCs w:val="11"/>
                <w:b w:val="1"/>
                <w:bCs w:val="1"/>
                <w:color w:val="auto"/>
              </w:rPr>
              <w:t>Non-Equity</w:t>
            </w:r>
          </w:p>
        </w:tc>
        <w:tc>
          <w:tcPr>
            <w:tcW w:w="1080" w:type="dxa"/>
            <w:vAlign w:val="bottom"/>
          </w:tcPr>
          <w:p>
            <w:pPr>
              <w:jc w:val="right"/>
              <w:ind w:right="99"/>
              <w:spacing w:after="0" w:line="122" w:lineRule="exact"/>
              <w:rPr>
                <w:sz w:val="20"/>
                <w:szCs w:val="20"/>
                <w:color w:val="auto"/>
              </w:rPr>
            </w:pPr>
            <w:r>
              <w:rPr>
                <w:rFonts w:ascii="Arial" w:cs="Arial" w:eastAsia="Arial" w:hAnsi="Arial"/>
                <w:sz w:val="11"/>
                <w:szCs w:val="11"/>
                <w:b w:val="1"/>
                <w:bCs w:val="1"/>
                <w:color w:val="auto"/>
              </w:rPr>
              <w:t>Deferred</w:t>
            </w:r>
          </w:p>
        </w:tc>
        <w:tc>
          <w:tcPr>
            <w:tcW w:w="3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80" w:type="dxa"/>
            <w:vAlign w:val="bottom"/>
          </w:tcPr>
          <w:p>
            <w:pPr>
              <w:ind w:left="20"/>
              <w:spacing w:after="0"/>
              <w:rPr>
                <w:sz w:val="20"/>
                <w:szCs w:val="20"/>
                <w:color w:val="auto"/>
              </w:rPr>
            </w:pPr>
            <w:r>
              <w:rPr>
                <w:rFonts w:ascii="Arial" w:cs="Arial" w:eastAsia="Arial" w:hAnsi="Arial"/>
                <w:sz w:val="11"/>
                <w:szCs w:val="11"/>
                <w:b w:val="1"/>
                <w:bCs w:val="1"/>
                <w:color w:val="auto"/>
              </w:rPr>
              <w:t>Executive</w:t>
            </w:r>
          </w:p>
        </w:tc>
        <w:tc>
          <w:tcPr>
            <w:tcW w:w="5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jc w:val="right"/>
              <w:ind w:right="18"/>
              <w:spacing w:after="0"/>
              <w:rPr>
                <w:sz w:val="20"/>
                <w:szCs w:val="20"/>
                <w:color w:val="auto"/>
              </w:rPr>
            </w:pPr>
            <w:r>
              <w:rPr>
                <w:rFonts w:ascii="Arial" w:cs="Arial" w:eastAsia="Arial" w:hAnsi="Arial"/>
                <w:sz w:val="11"/>
                <w:szCs w:val="11"/>
                <w:b w:val="1"/>
                <w:bCs w:val="1"/>
                <w:color w:val="auto"/>
              </w:rPr>
              <w:t>Stock</w:t>
            </w:r>
          </w:p>
        </w:tc>
        <w:tc>
          <w:tcPr>
            <w:tcW w:w="1120" w:type="dxa"/>
            <w:vAlign w:val="bottom"/>
          </w:tcPr>
          <w:p>
            <w:pPr>
              <w:jc w:val="right"/>
              <w:ind w:right="118"/>
              <w:spacing w:after="0"/>
              <w:rPr>
                <w:sz w:val="20"/>
                <w:szCs w:val="20"/>
                <w:color w:val="auto"/>
              </w:rPr>
            </w:pPr>
            <w:r>
              <w:rPr>
                <w:rFonts w:ascii="Arial" w:cs="Arial" w:eastAsia="Arial" w:hAnsi="Arial"/>
                <w:sz w:val="11"/>
                <w:szCs w:val="11"/>
                <w:b w:val="1"/>
                <w:bCs w:val="1"/>
                <w:color w:val="auto"/>
              </w:rPr>
              <w:t>Option</w:t>
            </w:r>
          </w:p>
        </w:tc>
        <w:tc>
          <w:tcPr>
            <w:tcW w:w="1220" w:type="dxa"/>
            <w:vAlign w:val="bottom"/>
          </w:tcPr>
          <w:p>
            <w:pPr>
              <w:jc w:val="right"/>
              <w:ind w:right="119"/>
              <w:spacing w:after="0"/>
              <w:rPr>
                <w:sz w:val="20"/>
                <w:szCs w:val="20"/>
                <w:color w:val="auto"/>
              </w:rPr>
            </w:pPr>
            <w:r>
              <w:rPr>
                <w:rFonts w:ascii="Arial" w:cs="Arial" w:eastAsia="Arial" w:hAnsi="Arial"/>
                <w:sz w:val="11"/>
                <w:szCs w:val="11"/>
                <w:b w:val="1"/>
                <w:bCs w:val="1"/>
                <w:color w:val="auto"/>
              </w:rPr>
              <w:t>Incentive Plan</w:t>
            </w:r>
          </w:p>
        </w:tc>
        <w:tc>
          <w:tcPr>
            <w:tcW w:w="1080" w:type="dxa"/>
            <w:vAlign w:val="bottom"/>
          </w:tcPr>
          <w:p>
            <w:pPr>
              <w:jc w:val="right"/>
              <w:ind w:right="99"/>
              <w:spacing w:after="0"/>
              <w:rPr>
                <w:sz w:val="20"/>
                <w:szCs w:val="20"/>
                <w:color w:val="auto"/>
              </w:rPr>
            </w:pPr>
            <w:r>
              <w:rPr>
                <w:rFonts w:ascii="Arial" w:cs="Arial" w:eastAsia="Arial" w:hAnsi="Arial"/>
                <w:sz w:val="11"/>
                <w:szCs w:val="11"/>
                <w:b w:val="1"/>
                <w:bCs w:val="1"/>
                <w:color w:val="auto"/>
              </w:rPr>
              <w:t>Compensation</w:t>
            </w:r>
          </w:p>
        </w:tc>
        <w:tc>
          <w:tcPr>
            <w:tcW w:w="320" w:type="dxa"/>
            <w:vAlign w:val="bottom"/>
          </w:tcPr>
          <w:p>
            <w:pPr>
              <w:spacing w:after="0"/>
              <w:rPr>
                <w:sz w:val="11"/>
                <w:szCs w:val="11"/>
                <w:color w:val="auto"/>
              </w:rPr>
            </w:pPr>
          </w:p>
        </w:tc>
        <w:tc>
          <w:tcPr>
            <w:tcW w:w="840" w:type="dxa"/>
            <w:vAlign w:val="bottom"/>
          </w:tcPr>
          <w:p>
            <w:pPr>
              <w:jc w:val="right"/>
              <w:ind w:right="78"/>
              <w:spacing w:after="0"/>
              <w:rPr>
                <w:sz w:val="20"/>
                <w:szCs w:val="20"/>
                <w:color w:val="auto"/>
              </w:rPr>
            </w:pPr>
            <w:r>
              <w:rPr>
                <w:rFonts w:ascii="Arial" w:cs="Arial" w:eastAsia="Arial" w:hAnsi="Arial"/>
                <w:sz w:val="11"/>
                <w:szCs w:val="11"/>
                <w:b w:val="1"/>
                <w:bCs w:val="1"/>
                <w:color w:val="auto"/>
              </w:rPr>
              <w:t>All Other</w:t>
            </w:r>
          </w:p>
        </w:tc>
        <w:tc>
          <w:tcPr>
            <w:tcW w:w="1100" w:type="dxa"/>
            <w:vAlign w:val="bottom"/>
          </w:tcPr>
          <w:p>
            <w:pPr>
              <w:jc w:val="right"/>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78"/>
        </w:trPr>
        <w:tc>
          <w:tcPr>
            <w:tcW w:w="2080" w:type="dxa"/>
            <w:vAlign w:val="bottom"/>
            <w:tcBorders>
              <w:bottom w:val="single" w:sz="8" w:color="D7282F"/>
            </w:tcBorders>
          </w:tcPr>
          <w:p>
            <w:pPr>
              <w:ind w:left="20"/>
              <w:spacing w:after="0"/>
              <w:rPr>
                <w:sz w:val="20"/>
                <w:szCs w:val="20"/>
                <w:color w:val="auto"/>
              </w:rPr>
            </w:pPr>
            <w:r>
              <w:rPr>
                <w:rFonts w:ascii="Arial" w:cs="Arial" w:eastAsia="Arial" w:hAnsi="Arial"/>
                <w:sz w:val="11"/>
                <w:szCs w:val="11"/>
                <w:b w:val="1"/>
                <w:bCs w:val="1"/>
                <w:color w:val="auto"/>
              </w:rPr>
              <w:t>Officer</w:t>
            </w:r>
          </w:p>
        </w:tc>
        <w:tc>
          <w:tcPr>
            <w:tcW w:w="520" w:type="dxa"/>
            <w:vAlign w:val="bottom"/>
            <w:tcBorders>
              <w:bottom w:val="single" w:sz="8" w:color="D7282F"/>
            </w:tcBorders>
          </w:tcPr>
          <w:p>
            <w:pPr>
              <w:jc w:val="center"/>
              <w:spacing w:after="0"/>
              <w:rPr>
                <w:sz w:val="20"/>
                <w:szCs w:val="20"/>
                <w:color w:val="auto"/>
              </w:rPr>
            </w:pPr>
            <w:r>
              <w:rPr>
                <w:rFonts w:ascii="Arial" w:cs="Arial" w:eastAsia="Arial" w:hAnsi="Arial"/>
                <w:sz w:val="11"/>
                <w:szCs w:val="11"/>
                <w:b w:val="1"/>
                <w:bCs w:val="1"/>
                <w:color w:val="auto"/>
              </w:rPr>
              <w:t>Year</w:t>
            </w:r>
          </w:p>
        </w:tc>
        <w:tc>
          <w:tcPr>
            <w:tcW w:w="1180" w:type="dxa"/>
            <w:vAlign w:val="bottom"/>
            <w:tcBorders>
              <w:bottom w:val="single" w:sz="8" w:color="D7282F"/>
            </w:tcBorders>
          </w:tcPr>
          <w:p>
            <w:pPr>
              <w:jc w:val="right"/>
              <w:ind w:right="158"/>
              <w:spacing w:after="0"/>
              <w:rPr>
                <w:sz w:val="20"/>
                <w:szCs w:val="20"/>
                <w:color w:val="auto"/>
              </w:rPr>
            </w:pPr>
            <w:r>
              <w:rPr>
                <w:rFonts w:ascii="Arial" w:cs="Arial" w:eastAsia="Arial" w:hAnsi="Arial"/>
                <w:sz w:val="11"/>
                <w:szCs w:val="11"/>
                <w:b w:val="1"/>
                <w:bCs w:val="1"/>
                <w:color w:val="auto"/>
              </w:rPr>
              <w:t>Salary</w:t>
            </w:r>
            <w:r>
              <w:rPr>
                <w:rFonts w:ascii="Arial" w:cs="Arial" w:eastAsia="Arial" w:hAnsi="Arial"/>
                <w:sz w:val="14"/>
                <w:szCs w:val="14"/>
                <w:b w:val="1"/>
                <w:bCs w:val="1"/>
                <w:color w:val="auto"/>
                <w:vertAlign w:val="superscript"/>
              </w:rPr>
              <w:t>(1)</w:t>
            </w:r>
          </w:p>
        </w:tc>
        <w:tc>
          <w:tcPr>
            <w:tcW w:w="740" w:type="dxa"/>
            <w:vAlign w:val="bottom"/>
            <w:tcBorders>
              <w:bottom w:val="single" w:sz="8" w:color="D7282F"/>
            </w:tcBorders>
          </w:tcPr>
          <w:p>
            <w:pPr>
              <w:ind w:left="200"/>
              <w:spacing w:after="0"/>
              <w:rPr>
                <w:sz w:val="20"/>
                <w:szCs w:val="20"/>
                <w:color w:val="auto"/>
              </w:rPr>
            </w:pPr>
            <w:r>
              <w:rPr>
                <w:rFonts w:ascii="Arial" w:cs="Arial" w:eastAsia="Arial" w:hAnsi="Arial"/>
                <w:sz w:val="11"/>
                <w:szCs w:val="11"/>
                <w:b w:val="1"/>
                <w:bCs w:val="1"/>
                <w:color w:val="auto"/>
              </w:rPr>
              <w:t>Bonus</w:t>
            </w:r>
          </w:p>
        </w:tc>
        <w:tc>
          <w:tcPr>
            <w:tcW w:w="840" w:type="dxa"/>
            <w:vAlign w:val="bottom"/>
            <w:tcBorders>
              <w:bottom w:val="single" w:sz="8" w:color="D7282F"/>
            </w:tcBorders>
          </w:tcPr>
          <w:p>
            <w:pPr>
              <w:jc w:val="right"/>
              <w:ind w:right="18"/>
              <w:spacing w:after="0"/>
              <w:rPr>
                <w:sz w:val="20"/>
                <w:szCs w:val="20"/>
                <w:color w:val="auto"/>
              </w:rPr>
            </w:pPr>
            <w:r>
              <w:rPr>
                <w:rFonts w:ascii="Arial" w:cs="Arial" w:eastAsia="Arial" w:hAnsi="Arial"/>
                <w:sz w:val="11"/>
                <w:szCs w:val="11"/>
                <w:b w:val="1"/>
                <w:bCs w:val="1"/>
                <w:color w:val="auto"/>
              </w:rPr>
              <w:t>Awards</w:t>
            </w:r>
            <w:r>
              <w:rPr>
                <w:rFonts w:ascii="Arial" w:cs="Arial" w:eastAsia="Arial" w:hAnsi="Arial"/>
                <w:sz w:val="7"/>
                <w:szCs w:val="7"/>
                <w:b w:val="1"/>
                <w:bCs w:val="1"/>
                <w:color w:val="auto"/>
              </w:rPr>
              <w:t>(2)</w:t>
            </w:r>
          </w:p>
        </w:tc>
        <w:tc>
          <w:tcPr>
            <w:tcW w:w="1120" w:type="dxa"/>
            <w:vAlign w:val="bottom"/>
            <w:tcBorders>
              <w:bottom w:val="single" w:sz="8" w:color="D7282F"/>
            </w:tcBorders>
          </w:tcPr>
          <w:p>
            <w:pPr>
              <w:jc w:val="right"/>
              <w:ind w:right="118"/>
              <w:spacing w:after="0"/>
              <w:rPr>
                <w:sz w:val="20"/>
                <w:szCs w:val="20"/>
                <w:color w:val="auto"/>
              </w:rPr>
            </w:pPr>
            <w:r>
              <w:rPr>
                <w:rFonts w:ascii="Arial" w:cs="Arial" w:eastAsia="Arial" w:hAnsi="Arial"/>
                <w:sz w:val="11"/>
                <w:szCs w:val="11"/>
                <w:b w:val="1"/>
                <w:bCs w:val="1"/>
                <w:color w:val="auto"/>
              </w:rPr>
              <w:t>Awards</w:t>
            </w:r>
            <w:r>
              <w:rPr>
                <w:rFonts w:ascii="Arial" w:cs="Arial" w:eastAsia="Arial" w:hAnsi="Arial"/>
                <w:sz w:val="7"/>
                <w:szCs w:val="7"/>
                <w:b w:val="1"/>
                <w:bCs w:val="1"/>
                <w:color w:val="auto"/>
              </w:rPr>
              <w:t>(5)</w:t>
            </w:r>
          </w:p>
        </w:tc>
        <w:tc>
          <w:tcPr>
            <w:tcW w:w="1220" w:type="dxa"/>
            <w:vAlign w:val="bottom"/>
            <w:tcBorders>
              <w:bottom w:val="single" w:sz="8" w:color="D7282F"/>
            </w:tcBorders>
          </w:tcPr>
          <w:p>
            <w:pPr>
              <w:jc w:val="right"/>
              <w:ind w:right="119"/>
              <w:spacing w:after="0"/>
              <w:rPr>
                <w:sz w:val="20"/>
                <w:szCs w:val="20"/>
                <w:color w:val="auto"/>
              </w:rPr>
            </w:pPr>
            <w:r>
              <w:rPr>
                <w:rFonts w:ascii="Arial" w:cs="Arial" w:eastAsia="Arial" w:hAnsi="Arial"/>
                <w:sz w:val="11"/>
                <w:szCs w:val="11"/>
                <w:b w:val="1"/>
                <w:bCs w:val="1"/>
                <w:color w:val="auto"/>
              </w:rPr>
              <w:t>Compensation</w:t>
            </w:r>
            <w:r>
              <w:rPr>
                <w:rFonts w:ascii="Arial" w:cs="Arial" w:eastAsia="Arial" w:hAnsi="Arial"/>
                <w:sz w:val="14"/>
                <w:szCs w:val="14"/>
                <w:b w:val="1"/>
                <w:bCs w:val="1"/>
                <w:color w:val="auto"/>
                <w:vertAlign w:val="superscript"/>
              </w:rPr>
              <w:t>(6)</w:t>
            </w:r>
          </w:p>
        </w:tc>
        <w:tc>
          <w:tcPr>
            <w:tcW w:w="1080" w:type="dxa"/>
            <w:vAlign w:val="bottom"/>
            <w:tcBorders>
              <w:bottom w:val="single" w:sz="8" w:color="D7282F"/>
            </w:tcBorders>
          </w:tcPr>
          <w:p>
            <w:pPr>
              <w:jc w:val="right"/>
              <w:ind w:right="99"/>
              <w:spacing w:after="0"/>
              <w:rPr>
                <w:sz w:val="20"/>
                <w:szCs w:val="20"/>
                <w:color w:val="auto"/>
              </w:rPr>
            </w:pPr>
            <w:r>
              <w:rPr>
                <w:rFonts w:ascii="Arial" w:cs="Arial" w:eastAsia="Arial" w:hAnsi="Arial"/>
                <w:sz w:val="11"/>
                <w:szCs w:val="11"/>
                <w:b w:val="1"/>
                <w:bCs w:val="1"/>
                <w:color w:val="auto"/>
              </w:rPr>
              <w:t>Earnings</w:t>
            </w:r>
            <w:r>
              <w:rPr>
                <w:rFonts w:ascii="Arial" w:cs="Arial" w:eastAsia="Arial" w:hAnsi="Arial"/>
                <w:sz w:val="7"/>
                <w:szCs w:val="7"/>
                <w:b w:val="1"/>
                <w:bCs w:val="1"/>
                <w:color w:val="auto"/>
              </w:rPr>
              <w:t>(7)</w:t>
            </w:r>
          </w:p>
        </w:tc>
        <w:tc>
          <w:tcPr>
            <w:tcW w:w="1160" w:type="dxa"/>
            <w:vAlign w:val="bottom"/>
            <w:tcBorders>
              <w:bottom w:val="single" w:sz="8" w:color="D7282F"/>
            </w:tcBorders>
            <w:gridSpan w:val="2"/>
          </w:tcPr>
          <w:p>
            <w:pPr>
              <w:jc w:val="right"/>
              <w:ind w:right="78"/>
              <w:spacing w:after="0"/>
              <w:rPr>
                <w:sz w:val="20"/>
                <w:szCs w:val="20"/>
                <w:color w:val="auto"/>
              </w:rPr>
            </w:pPr>
            <w:r>
              <w:rPr>
                <w:rFonts w:ascii="Arial" w:cs="Arial" w:eastAsia="Arial" w:hAnsi="Arial"/>
                <w:sz w:val="11"/>
                <w:szCs w:val="11"/>
                <w:b w:val="1"/>
                <w:bCs w:val="1"/>
                <w:color w:val="auto"/>
              </w:rPr>
              <w:t>Compensation</w:t>
            </w:r>
            <w:r>
              <w:rPr>
                <w:rFonts w:ascii="Arial" w:cs="Arial" w:eastAsia="Arial" w:hAnsi="Arial"/>
                <w:sz w:val="7"/>
                <w:szCs w:val="7"/>
                <w:b w:val="1"/>
                <w:bCs w:val="1"/>
                <w:color w:val="auto"/>
              </w:rPr>
              <w:t>(8)</w:t>
            </w:r>
          </w:p>
        </w:tc>
        <w:tc>
          <w:tcPr>
            <w:tcW w:w="1100" w:type="dxa"/>
            <w:vAlign w:val="bottom"/>
            <w:tcBorders>
              <w:bottom w:val="single" w:sz="8" w:color="D7282F"/>
            </w:tcBorders>
          </w:tcPr>
          <w:p>
            <w:pPr>
              <w:jc w:val="right"/>
              <w:spacing w:after="0"/>
              <w:rPr>
                <w:sz w:val="20"/>
                <w:szCs w:val="20"/>
                <w:color w:val="auto"/>
              </w:rPr>
            </w:pPr>
            <w:r>
              <w:rPr>
                <w:rFonts w:ascii="Arial" w:cs="Arial" w:eastAsia="Arial" w:hAnsi="Arial"/>
                <w:sz w:val="11"/>
                <w:szCs w:val="11"/>
                <w:b w:val="1"/>
                <w:bCs w:val="1"/>
                <w:color w:val="auto"/>
              </w:rPr>
              <w:t>Compensation</w:t>
            </w:r>
            <w:r>
              <w:rPr>
                <w:rFonts w:ascii="Arial" w:cs="Arial" w:eastAsia="Arial" w:hAnsi="Arial"/>
                <w:sz w:val="7"/>
                <w:szCs w:val="7"/>
                <w:b w:val="1"/>
                <w:bCs w:val="1"/>
                <w:color w:val="auto"/>
              </w:rPr>
              <w:t>(9)</w:t>
            </w:r>
          </w:p>
        </w:tc>
        <w:tc>
          <w:tcPr>
            <w:tcW w:w="0" w:type="dxa"/>
            <w:vAlign w:val="bottom"/>
          </w:tcPr>
          <w:p>
            <w:pPr>
              <w:spacing w:after="0"/>
              <w:rPr>
                <w:sz w:val="1"/>
                <w:szCs w:val="1"/>
                <w:color w:val="auto"/>
              </w:rPr>
            </w:pPr>
          </w:p>
        </w:tc>
      </w:tr>
      <w:tr>
        <w:trPr>
          <w:trHeight w:val="151"/>
        </w:trPr>
        <w:tc>
          <w:tcPr>
            <w:tcW w:w="2080" w:type="dxa"/>
            <w:vAlign w:val="bottom"/>
          </w:tcPr>
          <w:p>
            <w:pPr>
              <w:ind w:left="20"/>
              <w:spacing w:after="0"/>
              <w:rPr>
                <w:sz w:val="20"/>
                <w:szCs w:val="20"/>
                <w:color w:val="auto"/>
              </w:rPr>
            </w:pPr>
            <w:r>
              <w:rPr>
                <w:rFonts w:ascii="Arial" w:cs="Arial" w:eastAsia="Arial" w:hAnsi="Arial"/>
                <w:sz w:val="13"/>
                <w:szCs w:val="13"/>
                <w:b w:val="1"/>
                <w:bCs w:val="1"/>
                <w:color w:val="auto"/>
              </w:rPr>
              <w:t>Vimal Kapur</w:t>
            </w:r>
          </w:p>
        </w:tc>
        <w:tc>
          <w:tcPr>
            <w:tcW w:w="520" w:type="dxa"/>
            <w:vAlign w:val="bottom"/>
            <w:vMerge w:val="restart"/>
          </w:tcPr>
          <w:p>
            <w:pPr>
              <w:jc w:val="center"/>
              <w:spacing w:after="0"/>
              <w:rPr>
                <w:sz w:val="20"/>
                <w:szCs w:val="20"/>
                <w:color w:val="auto"/>
              </w:rPr>
            </w:pPr>
            <w:r>
              <w:rPr>
                <w:rFonts w:ascii="Arial" w:cs="Arial" w:eastAsia="Arial" w:hAnsi="Arial"/>
                <w:sz w:val="13"/>
                <w:szCs w:val="13"/>
                <w:color w:val="auto"/>
                <w:w w:val="96"/>
              </w:rPr>
              <w:t>2025</w:t>
            </w:r>
          </w:p>
        </w:tc>
        <w:tc>
          <w:tcPr>
            <w:tcW w:w="1180" w:type="dxa"/>
            <w:vAlign w:val="bottom"/>
            <w:vMerge w:val="restart"/>
          </w:tcPr>
          <w:p>
            <w:pPr>
              <w:jc w:val="right"/>
              <w:ind w:right="198"/>
              <w:spacing w:after="0"/>
              <w:rPr>
                <w:sz w:val="20"/>
                <w:szCs w:val="20"/>
                <w:color w:val="auto"/>
              </w:rPr>
            </w:pPr>
            <w:r>
              <w:rPr>
                <w:rFonts w:ascii="Arial" w:cs="Arial" w:eastAsia="Arial" w:hAnsi="Arial"/>
                <w:sz w:val="13"/>
                <w:szCs w:val="13"/>
                <w:color w:val="auto"/>
              </w:rPr>
              <w:t>$   1,600,000</w:t>
            </w:r>
          </w:p>
        </w:tc>
        <w:tc>
          <w:tcPr>
            <w:tcW w:w="740" w:type="dxa"/>
            <w:vAlign w:val="bottom"/>
            <w:vMerge w:val="restart"/>
          </w:tcPr>
          <w:p>
            <w:pPr>
              <w:ind w:left="360"/>
              <w:spacing w:after="0"/>
              <w:rPr>
                <w:sz w:val="20"/>
                <w:szCs w:val="20"/>
                <w:color w:val="auto"/>
              </w:rPr>
            </w:pPr>
            <w:r>
              <w:rPr>
                <w:rFonts w:ascii="Arial" w:cs="Arial" w:eastAsia="Arial" w:hAnsi="Arial"/>
                <w:sz w:val="13"/>
                <w:szCs w:val="13"/>
                <w:color w:val="auto"/>
              </w:rPr>
              <w:t>—  $</w:t>
            </w:r>
          </w:p>
        </w:tc>
        <w:tc>
          <w:tcPr>
            <w:tcW w:w="840" w:type="dxa"/>
            <w:vAlign w:val="bottom"/>
            <w:vMerge w:val="restart"/>
          </w:tcPr>
          <w:p>
            <w:pPr>
              <w:jc w:val="right"/>
              <w:ind w:right="58"/>
              <w:spacing w:after="0"/>
              <w:rPr>
                <w:sz w:val="20"/>
                <w:szCs w:val="20"/>
                <w:color w:val="auto"/>
              </w:rPr>
            </w:pPr>
            <w:r>
              <w:rPr>
                <w:rFonts w:ascii="Arial" w:cs="Arial" w:eastAsia="Arial" w:hAnsi="Arial"/>
                <w:sz w:val="13"/>
                <w:szCs w:val="13"/>
                <w:color w:val="auto"/>
              </w:rPr>
              <w:t>10,866,269</w:t>
            </w:r>
          </w:p>
        </w:tc>
        <w:tc>
          <w:tcPr>
            <w:tcW w:w="1120" w:type="dxa"/>
            <w:vAlign w:val="bottom"/>
            <w:vMerge w:val="restart"/>
          </w:tcPr>
          <w:p>
            <w:pPr>
              <w:jc w:val="right"/>
              <w:ind w:right="158"/>
              <w:spacing w:after="0"/>
              <w:rPr>
                <w:sz w:val="20"/>
                <w:szCs w:val="20"/>
                <w:color w:val="auto"/>
              </w:rPr>
            </w:pPr>
            <w:r>
              <w:rPr>
                <w:rFonts w:ascii="Arial" w:cs="Arial" w:eastAsia="Arial" w:hAnsi="Arial"/>
                <w:sz w:val="13"/>
                <w:szCs w:val="13"/>
                <w:color w:val="auto"/>
              </w:rPr>
              <w:t>$   3,623,914</w:t>
            </w:r>
          </w:p>
        </w:tc>
        <w:tc>
          <w:tcPr>
            <w:tcW w:w="1220" w:type="dxa"/>
            <w:vAlign w:val="bottom"/>
            <w:vMerge w:val="restart"/>
          </w:tcPr>
          <w:p>
            <w:pPr>
              <w:jc w:val="right"/>
              <w:ind w:right="159"/>
              <w:spacing w:after="0"/>
              <w:rPr>
                <w:sz w:val="20"/>
                <w:szCs w:val="20"/>
                <w:color w:val="auto"/>
              </w:rPr>
            </w:pPr>
            <w:r>
              <w:rPr>
                <w:rFonts w:ascii="Arial" w:cs="Arial" w:eastAsia="Arial" w:hAnsi="Arial"/>
                <w:sz w:val="13"/>
                <w:szCs w:val="13"/>
                <w:color w:val="auto"/>
              </w:rPr>
              <w:t>$   3,516,800</w:t>
            </w:r>
          </w:p>
        </w:tc>
        <w:tc>
          <w:tcPr>
            <w:tcW w:w="1080" w:type="dxa"/>
            <w:vAlign w:val="bottom"/>
            <w:vMerge w:val="restart"/>
          </w:tcPr>
          <w:p>
            <w:pPr>
              <w:jc w:val="right"/>
              <w:ind w:right="139"/>
              <w:spacing w:after="0"/>
              <w:rPr>
                <w:sz w:val="20"/>
                <w:szCs w:val="20"/>
                <w:color w:val="auto"/>
              </w:rPr>
            </w:pPr>
            <w:r>
              <w:rPr>
                <w:rFonts w:ascii="Arial" w:cs="Arial" w:eastAsia="Arial" w:hAnsi="Arial"/>
                <w:sz w:val="13"/>
                <w:szCs w:val="13"/>
                <w:color w:val="auto"/>
              </w:rPr>
              <w:t>$   573,547</w:t>
            </w:r>
          </w:p>
        </w:tc>
        <w:tc>
          <w:tcPr>
            <w:tcW w:w="320" w:type="dxa"/>
            <w:vAlign w:val="bottom"/>
            <w:vMerge w:val="restart"/>
          </w:tcPr>
          <w:p>
            <w:pPr>
              <w:jc w:val="right"/>
              <w:ind w:right="22"/>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ind w:right="118"/>
              <w:spacing w:after="0"/>
              <w:rPr>
                <w:sz w:val="20"/>
                <w:szCs w:val="20"/>
                <w:color w:val="auto"/>
              </w:rPr>
            </w:pPr>
            <w:r>
              <w:rPr>
                <w:rFonts w:ascii="Arial" w:cs="Arial" w:eastAsia="Arial" w:hAnsi="Arial"/>
                <w:sz w:val="13"/>
                <w:szCs w:val="13"/>
                <w:color w:val="auto"/>
              </w:rPr>
              <w:t>200,905</w:t>
            </w: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   20,381,435</w:t>
            </w:r>
          </w:p>
        </w:tc>
        <w:tc>
          <w:tcPr>
            <w:tcW w:w="0" w:type="dxa"/>
            <w:vAlign w:val="bottom"/>
          </w:tcPr>
          <w:p>
            <w:pPr>
              <w:spacing w:after="0"/>
              <w:rPr>
                <w:sz w:val="1"/>
                <w:szCs w:val="1"/>
                <w:color w:val="auto"/>
              </w:rPr>
            </w:pPr>
          </w:p>
        </w:tc>
      </w:tr>
      <w:tr>
        <w:trPr>
          <w:trHeight w:val="149"/>
        </w:trPr>
        <w:tc>
          <w:tcPr>
            <w:tcW w:w="2080" w:type="dxa"/>
            <w:vAlign w:val="bottom"/>
          </w:tcPr>
          <w:p>
            <w:pPr>
              <w:ind w:left="20"/>
              <w:spacing w:after="0"/>
              <w:rPr>
                <w:sz w:val="20"/>
                <w:szCs w:val="20"/>
                <w:color w:val="auto"/>
              </w:rPr>
            </w:pPr>
            <w:r>
              <w:rPr>
                <w:rFonts w:ascii="Arial" w:cs="Arial" w:eastAsia="Arial" w:hAnsi="Arial"/>
                <w:sz w:val="13"/>
                <w:szCs w:val="13"/>
                <w:color w:val="auto"/>
              </w:rPr>
              <w:t>Chairman and Chief Executive</w:t>
            </w:r>
          </w:p>
        </w:tc>
        <w:tc>
          <w:tcPr>
            <w:tcW w:w="52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080" w:type="dxa"/>
            <w:vAlign w:val="bottom"/>
          </w:tcPr>
          <w:p>
            <w:pPr>
              <w:ind w:left="20"/>
              <w:spacing w:after="0" w:line="106" w:lineRule="exact"/>
              <w:rPr>
                <w:sz w:val="20"/>
                <w:szCs w:val="20"/>
                <w:color w:val="auto"/>
              </w:rPr>
            </w:pPr>
            <w:r>
              <w:rPr>
                <w:rFonts w:ascii="Arial" w:cs="Arial" w:eastAsia="Arial" w:hAnsi="Arial"/>
                <w:sz w:val="12"/>
                <w:szCs w:val="12"/>
                <w:color w:val="auto"/>
              </w:rPr>
              <w:t>Officer</w:t>
            </w:r>
          </w:p>
        </w:tc>
        <w:tc>
          <w:tcPr>
            <w:tcW w:w="520" w:type="dxa"/>
            <w:vAlign w:val="bottom"/>
            <w:tcBorders>
              <w:bottom w:val="single" w:sz="8" w:color="939598"/>
            </w:tcBorders>
          </w:tcPr>
          <w:p>
            <w:pPr>
              <w:spacing w:after="0"/>
              <w:rPr>
                <w:sz w:val="9"/>
                <w:szCs w:val="9"/>
                <w:color w:val="auto"/>
              </w:rPr>
            </w:pPr>
          </w:p>
        </w:tc>
        <w:tc>
          <w:tcPr>
            <w:tcW w:w="1180" w:type="dxa"/>
            <w:vAlign w:val="bottom"/>
            <w:tcBorders>
              <w:bottom w:val="single" w:sz="8" w:color="939598"/>
            </w:tcBorders>
          </w:tcPr>
          <w:p>
            <w:pPr>
              <w:spacing w:after="0"/>
              <w:rPr>
                <w:sz w:val="9"/>
                <w:szCs w:val="9"/>
                <w:color w:val="auto"/>
              </w:rPr>
            </w:pPr>
          </w:p>
        </w:tc>
        <w:tc>
          <w:tcPr>
            <w:tcW w:w="740" w:type="dxa"/>
            <w:vAlign w:val="bottom"/>
            <w:tcBorders>
              <w:bottom w:val="single" w:sz="8" w:color="939598"/>
            </w:tcBorders>
          </w:tcPr>
          <w:p>
            <w:pPr>
              <w:spacing w:after="0"/>
              <w:rPr>
                <w:sz w:val="9"/>
                <w:szCs w:val="9"/>
                <w:color w:val="auto"/>
              </w:rPr>
            </w:pPr>
          </w:p>
        </w:tc>
        <w:tc>
          <w:tcPr>
            <w:tcW w:w="840" w:type="dxa"/>
            <w:vAlign w:val="bottom"/>
            <w:tcBorders>
              <w:bottom w:val="single" w:sz="8" w:color="939598"/>
            </w:tcBorders>
          </w:tcPr>
          <w:p>
            <w:pPr>
              <w:spacing w:after="0"/>
              <w:rPr>
                <w:sz w:val="9"/>
                <w:szCs w:val="9"/>
                <w:color w:val="auto"/>
              </w:rPr>
            </w:pPr>
          </w:p>
        </w:tc>
        <w:tc>
          <w:tcPr>
            <w:tcW w:w="1120" w:type="dxa"/>
            <w:vAlign w:val="bottom"/>
            <w:tcBorders>
              <w:bottom w:val="single" w:sz="8" w:color="939598"/>
            </w:tcBorders>
          </w:tcPr>
          <w:p>
            <w:pPr>
              <w:spacing w:after="0"/>
              <w:rPr>
                <w:sz w:val="9"/>
                <w:szCs w:val="9"/>
                <w:color w:val="auto"/>
              </w:rPr>
            </w:pPr>
          </w:p>
        </w:tc>
        <w:tc>
          <w:tcPr>
            <w:tcW w:w="1220" w:type="dxa"/>
            <w:vAlign w:val="bottom"/>
            <w:tcBorders>
              <w:bottom w:val="single" w:sz="8" w:color="939598"/>
            </w:tcBorders>
          </w:tcPr>
          <w:p>
            <w:pPr>
              <w:spacing w:after="0"/>
              <w:rPr>
                <w:sz w:val="9"/>
                <w:szCs w:val="9"/>
                <w:color w:val="auto"/>
              </w:rPr>
            </w:pPr>
          </w:p>
        </w:tc>
        <w:tc>
          <w:tcPr>
            <w:tcW w:w="1080" w:type="dxa"/>
            <w:vAlign w:val="bottom"/>
            <w:tcBorders>
              <w:bottom w:val="single" w:sz="8" w:color="939598"/>
            </w:tcBorders>
          </w:tcPr>
          <w:p>
            <w:pPr>
              <w:spacing w:after="0"/>
              <w:rPr>
                <w:sz w:val="9"/>
                <w:szCs w:val="9"/>
                <w:color w:val="auto"/>
              </w:rPr>
            </w:pPr>
          </w:p>
        </w:tc>
        <w:tc>
          <w:tcPr>
            <w:tcW w:w="320" w:type="dxa"/>
            <w:vAlign w:val="bottom"/>
            <w:tcBorders>
              <w:bottom w:val="single" w:sz="8" w:color="939598"/>
            </w:tcBorders>
          </w:tcPr>
          <w:p>
            <w:pPr>
              <w:spacing w:after="0"/>
              <w:rPr>
                <w:sz w:val="9"/>
                <w:szCs w:val="9"/>
                <w:color w:val="auto"/>
              </w:rPr>
            </w:pPr>
          </w:p>
        </w:tc>
        <w:tc>
          <w:tcPr>
            <w:tcW w:w="840" w:type="dxa"/>
            <w:vAlign w:val="bottom"/>
            <w:tcBorders>
              <w:bottom w:val="single" w:sz="8" w:color="939598"/>
            </w:tcBorders>
          </w:tcPr>
          <w:p>
            <w:pPr>
              <w:spacing w:after="0"/>
              <w:rPr>
                <w:sz w:val="9"/>
                <w:szCs w:val="9"/>
                <w:color w:val="auto"/>
              </w:rPr>
            </w:pPr>
          </w:p>
        </w:tc>
        <w:tc>
          <w:tcPr>
            <w:tcW w:w="1100" w:type="dxa"/>
            <w:vAlign w:val="bottom"/>
            <w:tcBorders>
              <w:bottom w:val="single" w:sz="8" w:color="939598"/>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208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3"/>
                <w:szCs w:val="13"/>
                <w:color w:val="auto"/>
                <w:w w:val="96"/>
              </w:rPr>
              <w:t>2024</w:t>
            </w:r>
          </w:p>
        </w:tc>
        <w:tc>
          <w:tcPr>
            <w:tcW w:w="1180" w:type="dxa"/>
            <w:vAlign w:val="bottom"/>
          </w:tcPr>
          <w:p>
            <w:pPr>
              <w:jc w:val="right"/>
              <w:ind w:right="198"/>
              <w:spacing w:after="0"/>
              <w:rPr>
                <w:sz w:val="20"/>
                <w:szCs w:val="20"/>
                <w:color w:val="auto"/>
              </w:rPr>
            </w:pPr>
            <w:r>
              <w:rPr>
                <w:rFonts w:ascii="Arial" w:cs="Arial" w:eastAsia="Arial" w:hAnsi="Arial"/>
                <w:sz w:val="13"/>
                <w:szCs w:val="13"/>
                <w:color w:val="auto"/>
              </w:rPr>
              <w:t>1,555,769</w:t>
            </w:r>
          </w:p>
        </w:tc>
        <w:tc>
          <w:tcPr>
            <w:tcW w:w="740" w:type="dxa"/>
            <w:vAlign w:val="bottom"/>
          </w:tcPr>
          <w:p>
            <w:pPr>
              <w:ind w:left="3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8"/>
              <w:spacing w:after="0"/>
              <w:rPr>
                <w:sz w:val="20"/>
                <w:szCs w:val="20"/>
                <w:color w:val="auto"/>
              </w:rPr>
            </w:pPr>
            <w:r>
              <w:rPr>
                <w:rFonts w:ascii="Arial" w:cs="Arial" w:eastAsia="Arial" w:hAnsi="Arial"/>
                <w:sz w:val="13"/>
                <w:szCs w:val="13"/>
                <w:color w:val="auto"/>
              </w:rPr>
              <w:t>9,776,415</w:t>
            </w:r>
          </w:p>
        </w:tc>
        <w:tc>
          <w:tcPr>
            <w:tcW w:w="1120" w:type="dxa"/>
            <w:vAlign w:val="bottom"/>
          </w:tcPr>
          <w:p>
            <w:pPr>
              <w:jc w:val="right"/>
              <w:ind w:right="158"/>
              <w:spacing w:after="0"/>
              <w:rPr>
                <w:sz w:val="20"/>
                <w:szCs w:val="20"/>
                <w:color w:val="auto"/>
              </w:rPr>
            </w:pPr>
            <w:r>
              <w:rPr>
                <w:rFonts w:ascii="Arial" w:cs="Arial" w:eastAsia="Arial" w:hAnsi="Arial"/>
                <w:sz w:val="13"/>
                <w:szCs w:val="13"/>
                <w:color w:val="auto"/>
              </w:rPr>
              <w:t>3,250,820</w:t>
            </w:r>
          </w:p>
        </w:tc>
        <w:tc>
          <w:tcPr>
            <w:tcW w:w="1220" w:type="dxa"/>
            <w:vAlign w:val="bottom"/>
          </w:tcPr>
          <w:p>
            <w:pPr>
              <w:jc w:val="right"/>
              <w:ind w:right="159"/>
              <w:spacing w:after="0"/>
              <w:rPr>
                <w:sz w:val="20"/>
                <w:szCs w:val="20"/>
                <w:color w:val="auto"/>
              </w:rPr>
            </w:pPr>
            <w:r>
              <w:rPr>
                <w:rFonts w:ascii="Arial" w:cs="Arial" w:eastAsia="Arial" w:hAnsi="Arial"/>
                <w:sz w:val="13"/>
                <w:szCs w:val="13"/>
                <w:color w:val="auto"/>
              </w:rPr>
              <w:t>2,915,508</w:t>
            </w:r>
          </w:p>
        </w:tc>
        <w:tc>
          <w:tcPr>
            <w:tcW w:w="1080" w:type="dxa"/>
            <w:vAlign w:val="bottom"/>
          </w:tcPr>
          <w:p>
            <w:pPr>
              <w:jc w:val="right"/>
              <w:ind w:right="139"/>
              <w:spacing w:after="0"/>
              <w:rPr>
                <w:sz w:val="20"/>
                <w:szCs w:val="20"/>
                <w:color w:val="auto"/>
              </w:rPr>
            </w:pPr>
            <w:r>
              <w:rPr>
                <w:rFonts w:ascii="Arial" w:cs="Arial" w:eastAsia="Arial" w:hAnsi="Arial"/>
                <w:sz w:val="13"/>
                <w:szCs w:val="13"/>
                <w:color w:val="auto"/>
              </w:rPr>
              <w:t>498,217</w:t>
            </w:r>
          </w:p>
        </w:tc>
        <w:tc>
          <w:tcPr>
            <w:tcW w:w="320" w:type="dxa"/>
            <w:vAlign w:val="bottom"/>
          </w:tcPr>
          <w:p>
            <w:pPr>
              <w:spacing w:after="0"/>
              <w:rPr>
                <w:sz w:val="24"/>
                <w:szCs w:val="24"/>
                <w:color w:val="auto"/>
              </w:rPr>
            </w:pPr>
          </w:p>
        </w:tc>
        <w:tc>
          <w:tcPr>
            <w:tcW w:w="840" w:type="dxa"/>
            <w:vAlign w:val="bottom"/>
          </w:tcPr>
          <w:p>
            <w:pPr>
              <w:jc w:val="right"/>
              <w:ind w:right="118"/>
              <w:spacing w:after="0"/>
              <w:rPr>
                <w:sz w:val="20"/>
                <w:szCs w:val="20"/>
                <w:color w:val="auto"/>
              </w:rPr>
            </w:pPr>
            <w:r>
              <w:rPr>
                <w:rFonts w:ascii="Arial" w:cs="Arial" w:eastAsia="Arial" w:hAnsi="Arial"/>
                <w:sz w:val="13"/>
                <w:szCs w:val="13"/>
                <w:color w:val="auto"/>
              </w:rPr>
              <w:t>280,463</w:t>
            </w:r>
          </w:p>
        </w:tc>
        <w:tc>
          <w:tcPr>
            <w:tcW w:w="1100" w:type="dxa"/>
            <w:vAlign w:val="bottom"/>
          </w:tcPr>
          <w:p>
            <w:pPr>
              <w:jc w:val="right"/>
              <w:spacing w:after="0"/>
              <w:rPr>
                <w:sz w:val="20"/>
                <w:szCs w:val="20"/>
                <w:color w:val="auto"/>
              </w:rPr>
            </w:pPr>
            <w:r>
              <w:rPr>
                <w:rFonts w:ascii="Arial" w:cs="Arial" w:eastAsia="Arial" w:hAnsi="Arial"/>
                <w:sz w:val="13"/>
                <w:szCs w:val="13"/>
                <w:color w:val="auto"/>
              </w:rPr>
              <w:t>18,277,193</w:t>
            </w:r>
          </w:p>
        </w:tc>
        <w:tc>
          <w:tcPr>
            <w:tcW w:w="0" w:type="dxa"/>
            <w:vAlign w:val="bottom"/>
          </w:tcPr>
          <w:p>
            <w:pPr>
              <w:spacing w:after="0"/>
              <w:rPr>
                <w:sz w:val="1"/>
                <w:szCs w:val="1"/>
                <w:color w:val="auto"/>
              </w:rPr>
            </w:pPr>
          </w:p>
        </w:tc>
      </w:tr>
      <w:tr>
        <w:trPr>
          <w:trHeight w:val="136"/>
        </w:trPr>
        <w:tc>
          <w:tcPr>
            <w:tcW w:w="2080" w:type="dxa"/>
            <w:vAlign w:val="bottom"/>
          </w:tcPr>
          <w:p>
            <w:pPr>
              <w:spacing w:after="0"/>
              <w:rPr>
                <w:sz w:val="11"/>
                <w:szCs w:val="11"/>
                <w:color w:val="auto"/>
              </w:rPr>
            </w:pPr>
          </w:p>
        </w:tc>
        <w:tc>
          <w:tcPr>
            <w:tcW w:w="520" w:type="dxa"/>
            <w:vAlign w:val="bottom"/>
            <w:tcBorders>
              <w:bottom w:val="single" w:sz="8" w:color="939598"/>
            </w:tcBorders>
          </w:tcPr>
          <w:p>
            <w:pPr>
              <w:spacing w:after="0"/>
              <w:rPr>
                <w:sz w:val="11"/>
                <w:szCs w:val="11"/>
                <w:color w:val="auto"/>
              </w:rPr>
            </w:pPr>
          </w:p>
        </w:tc>
        <w:tc>
          <w:tcPr>
            <w:tcW w:w="1180" w:type="dxa"/>
            <w:vAlign w:val="bottom"/>
            <w:tcBorders>
              <w:bottom w:val="single" w:sz="8" w:color="939598"/>
            </w:tcBorders>
          </w:tcPr>
          <w:p>
            <w:pPr>
              <w:spacing w:after="0"/>
              <w:rPr>
                <w:sz w:val="11"/>
                <w:szCs w:val="11"/>
                <w:color w:val="auto"/>
              </w:rPr>
            </w:pPr>
          </w:p>
        </w:tc>
        <w:tc>
          <w:tcPr>
            <w:tcW w:w="740" w:type="dxa"/>
            <w:vAlign w:val="bottom"/>
            <w:tcBorders>
              <w:bottom w:val="single" w:sz="8" w:color="939598"/>
            </w:tcBorders>
          </w:tcPr>
          <w:p>
            <w:pPr>
              <w:spacing w:after="0"/>
              <w:rPr>
                <w:sz w:val="11"/>
                <w:szCs w:val="11"/>
                <w:color w:val="auto"/>
              </w:rPr>
            </w:pPr>
          </w:p>
        </w:tc>
        <w:tc>
          <w:tcPr>
            <w:tcW w:w="840" w:type="dxa"/>
            <w:vAlign w:val="bottom"/>
            <w:tcBorders>
              <w:bottom w:val="single" w:sz="8" w:color="939598"/>
            </w:tcBorders>
          </w:tcPr>
          <w:p>
            <w:pPr>
              <w:spacing w:after="0"/>
              <w:rPr>
                <w:sz w:val="11"/>
                <w:szCs w:val="11"/>
                <w:color w:val="auto"/>
              </w:rPr>
            </w:pPr>
          </w:p>
        </w:tc>
        <w:tc>
          <w:tcPr>
            <w:tcW w:w="1120" w:type="dxa"/>
            <w:vAlign w:val="bottom"/>
            <w:tcBorders>
              <w:bottom w:val="single" w:sz="8" w:color="939598"/>
            </w:tcBorders>
          </w:tcPr>
          <w:p>
            <w:pPr>
              <w:spacing w:after="0"/>
              <w:rPr>
                <w:sz w:val="11"/>
                <w:szCs w:val="11"/>
                <w:color w:val="auto"/>
              </w:rPr>
            </w:pPr>
          </w:p>
        </w:tc>
        <w:tc>
          <w:tcPr>
            <w:tcW w:w="1220" w:type="dxa"/>
            <w:vAlign w:val="bottom"/>
            <w:tcBorders>
              <w:bottom w:val="single" w:sz="8" w:color="939598"/>
            </w:tcBorders>
          </w:tcPr>
          <w:p>
            <w:pPr>
              <w:spacing w:after="0"/>
              <w:rPr>
                <w:sz w:val="11"/>
                <w:szCs w:val="11"/>
                <w:color w:val="auto"/>
              </w:rPr>
            </w:pPr>
          </w:p>
        </w:tc>
        <w:tc>
          <w:tcPr>
            <w:tcW w:w="1080" w:type="dxa"/>
            <w:vAlign w:val="bottom"/>
            <w:tcBorders>
              <w:bottom w:val="single" w:sz="8" w:color="939598"/>
            </w:tcBorders>
          </w:tcPr>
          <w:p>
            <w:pPr>
              <w:spacing w:after="0"/>
              <w:rPr>
                <w:sz w:val="11"/>
                <w:szCs w:val="11"/>
                <w:color w:val="auto"/>
              </w:rPr>
            </w:pPr>
          </w:p>
        </w:tc>
        <w:tc>
          <w:tcPr>
            <w:tcW w:w="320" w:type="dxa"/>
            <w:vAlign w:val="bottom"/>
            <w:tcBorders>
              <w:bottom w:val="single" w:sz="8" w:color="939598"/>
            </w:tcBorders>
          </w:tcPr>
          <w:p>
            <w:pPr>
              <w:spacing w:after="0"/>
              <w:rPr>
                <w:sz w:val="11"/>
                <w:szCs w:val="11"/>
                <w:color w:val="auto"/>
              </w:rPr>
            </w:pPr>
          </w:p>
        </w:tc>
        <w:tc>
          <w:tcPr>
            <w:tcW w:w="840" w:type="dxa"/>
            <w:vAlign w:val="bottom"/>
            <w:tcBorders>
              <w:bottom w:val="single" w:sz="8" w:color="939598"/>
            </w:tcBorders>
          </w:tcPr>
          <w:p>
            <w:pPr>
              <w:spacing w:after="0"/>
              <w:rPr>
                <w:sz w:val="11"/>
                <w:szCs w:val="11"/>
                <w:color w:val="auto"/>
              </w:rPr>
            </w:pPr>
          </w:p>
        </w:tc>
        <w:tc>
          <w:tcPr>
            <w:tcW w:w="110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208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3"/>
                <w:szCs w:val="13"/>
                <w:color w:val="auto"/>
                <w:w w:val="96"/>
              </w:rPr>
              <w:t>2023</w:t>
            </w:r>
          </w:p>
        </w:tc>
        <w:tc>
          <w:tcPr>
            <w:tcW w:w="1180" w:type="dxa"/>
            <w:vAlign w:val="bottom"/>
          </w:tcPr>
          <w:p>
            <w:pPr>
              <w:jc w:val="right"/>
              <w:ind w:right="198"/>
              <w:spacing w:after="0"/>
              <w:rPr>
                <w:sz w:val="20"/>
                <w:szCs w:val="20"/>
                <w:color w:val="auto"/>
              </w:rPr>
            </w:pPr>
            <w:r>
              <w:rPr>
                <w:rFonts w:ascii="Arial" w:cs="Arial" w:eastAsia="Arial" w:hAnsi="Arial"/>
                <w:sz w:val="13"/>
                <w:szCs w:val="13"/>
                <w:color w:val="auto"/>
              </w:rPr>
              <w:t>1,225,000</w:t>
            </w:r>
          </w:p>
        </w:tc>
        <w:tc>
          <w:tcPr>
            <w:tcW w:w="740" w:type="dxa"/>
            <w:vAlign w:val="bottom"/>
          </w:tcPr>
          <w:p>
            <w:pPr>
              <w:ind w:left="3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8"/>
              <w:spacing w:after="0"/>
              <w:rPr>
                <w:sz w:val="20"/>
                <w:szCs w:val="20"/>
                <w:color w:val="auto"/>
              </w:rPr>
            </w:pPr>
            <w:r>
              <w:rPr>
                <w:rFonts w:ascii="Arial" w:cs="Arial" w:eastAsia="Arial" w:hAnsi="Arial"/>
                <w:sz w:val="13"/>
                <w:szCs w:val="13"/>
                <w:color w:val="auto"/>
              </w:rPr>
              <w:t>7,530,223</w:t>
            </w:r>
          </w:p>
        </w:tc>
        <w:tc>
          <w:tcPr>
            <w:tcW w:w="1120" w:type="dxa"/>
            <w:vAlign w:val="bottom"/>
          </w:tcPr>
          <w:p>
            <w:pPr>
              <w:jc w:val="right"/>
              <w:ind w:right="158"/>
              <w:spacing w:after="0"/>
              <w:rPr>
                <w:sz w:val="20"/>
                <w:szCs w:val="20"/>
                <w:color w:val="auto"/>
              </w:rPr>
            </w:pPr>
            <w:r>
              <w:rPr>
                <w:rFonts w:ascii="Arial" w:cs="Arial" w:eastAsia="Arial" w:hAnsi="Arial"/>
                <w:sz w:val="13"/>
                <w:szCs w:val="13"/>
                <w:color w:val="auto"/>
              </w:rPr>
              <w:t>2,510,104</w:t>
            </w:r>
          </w:p>
        </w:tc>
        <w:tc>
          <w:tcPr>
            <w:tcW w:w="1220" w:type="dxa"/>
            <w:vAlign w:val="bottom"/>
          </w:tcPr>
          <w:p>
            <w:pPr>
              <w:jc w:val="right"/>
              <w:ind w:right="159"/>
              <w:spacing w:after="0"/>
              <w:rPr>
                <w:sz w:val="20"/>
                <w:szCs w:val="20"/>
                <w:color w:val="auto"/>
              </w:rPr>
            </w:pPr>
            <w:r>
              <w:rPr>
                <w:rFonts w:ascii="Arial" w:cs="Arial" w:eastAsia="Arial" w:hAnsi="Arial"/>
                <w:sz w:val="13"/>
                <w:szCs w:val="13"/>
                <w:color w:val="auto"/>
              </w:rPr>
              <w:t>2,416,500</w:t>
            </w:r>
          </w:p>
        </w:tc>
        <w:tc>
          <w:tcPr>
            <w:tcW w:w="1080" w:type="dxa"/>
            <w:vAlign w:val="bottom"/>
          </w:tcPr>
          <w:p>
            <w:pPr>
              <w:jc w:val="right"/>
              <w:ind w:right="139"/>
              <w:spacing w:after="0"/>
              <w:rPr>
                <w:sz w:val="20"/>
                <w:szCs w:val="20"/>
                <w:color w:val="auto"/>
              </w:rPr>
            </w:pPr>
            <w:r>
              <w:rPr>
                <w:rFonts w:ascii="Arial" w:cs="Arial" w:eastAsia="Arial" w:hAnsi="Arial"/>
                <w:sz w:val="13"/>
                <w:szCs w:val="13"/>
                <w:color w:val="auto"/>
              </w:rPr>
              <w:t>283,838</w:t>
            </w:r>
          </w:p>
        </w:tc>
        <w:tc>
          <w:tcPr>
            <w:tcW w:w="320" w:type="dxa"/>
            <w:vAlign w:val="bottom"/>
          </w:tcPr>
          <w:p>
            <w:pPr>
              <w:spacing w:after="0"/>
              <w:rPr>
                <w:sz w:val="24"/>
                <w:szCs w:val="24"/>
                <w:color w:val="auto"/>
              </w:rPr>
            </w:pPr>
          </w:p>
        </w:tc>
        <w:tc>
          <w:tcPr>
            <w:tcW w:w="840" w:type="dxa"/>
            <w:vAlign w:val="bottom"/>
          </w:tcPr>
          <w:p>
            <w:pPr>
              <w:jc w:val="right"/>
              <w:ind w:right="118"/>
              <w:spacing w:after="0"/>
              <w:rPr>
                <w:sz w:val="20"/>
                <w:szCs w:val="20"/>
                <w:color w:val="auto"/>
              </w:rPr>
            </w:pPr>
            <w:r>
              <w:rPr>
                <w:rFonts w:ascii="Arial" w:cs="Arial" w:eastAsia="Arial" w:hAnsi="Arial"/>
                <w:sz w:val="13"/>
                <w:szCs w:val="13"/>
                <w:color w:val="auto"/>
              </w:rPr>
              <w:t>435,965</w:t>
            </w:r>
          </w:p>
        </w:tc>
        <w:tc>
          <w:tcPr>
            <w:tcW w:w="1100" w:type="dxa"/>
            <w:vAlign w:val="bottom"/>
          </w:tcPr>
          <w:p>
            <w:pPr>
              <w:jc w:val="right"/>
              <w:spacing w:after="0"/>
              <w:rPr>
                <w:sz w:val="20"/>
                <w:szCs w:val="20"/>
                <w:color w:val="auto"/>
              </w:rPr>
            </w:pPr>
            <w:r>
              <w:rPr>
                <w:rFonts w:ascii="Arial" w:cs="Arial" w:eastAsia="Arial" w:hAnsi="Arial"/>
                <w:sz w:val="13"/>
                <w:szCs w:val="13"/>
                <w:color w:val="auto"/>
              </w:rPr>
              <w:t>14,401,630</w:t>
            </w:r>
          </w:p>
        </w:tc>
        <w:tc>
          <w:tcPr>
            <w:tcW w:w="0" w:type="dxa"/>
            <w:vAlign w:val="bottom"/>
          </w:tcPr>
          <w:p>
            <w:pPr>
              <w:spacing w:after="0"/>
              <w:rPr>
                <w:sz w:val="1"/>
                <w:szCs w:val="1"/>
                <w:color w:val="auto"/>
              </w:rPr>
            </w:pPr>
          </w:p>
        </w:tc>
      </w:tr>
      <w:tr>
        <w:trPr>
          <w:trHeight w:val="135"/>
        </w:trPr>
        <w:tc>
          <w:tcPr>
            <w:tcW w:w="2080" w:type="dxa"/>
            <w:vAlign w:val="bottom"/>
            <w:tcBorders>
              <w:bottom w:val="single" w:sz="8" w:color="939598"/>
            </w:tcBorders>
          </w:tcPr>
          <w:p>
            <w:pPr>
              <w:spacing w:after="0"/>
              <w:rPr>
                <w:sz w:val="11"/>
                <w:szCs w:val="11"/>
                <w:color w:val="auto"/>
              </w:rPr>
            </w:pPr>
          </w:p>
        </w:tc>
        <w:tc>
          <w:tcPr>
            <w:tcW w:w="520" w:type="dxa"/>
            <w:vAlign w:val="bottom"/>
            <w:tcBorders>
              <w:bottom w:val="single" w:sz="8" w:color="939598"/>
            </w:tcBorders>
          </w:tcPr>
          <w:p>
            <w:pPr>
              <w:spacing w:after="0"/>
              <w:rPr>
                <w:sz w:val="11"/>
                <w:szCs w:val="11"/>
                <w:color w:val="auto"/>
              </w:rPr>
            </w:pPr>
          </w:p>
        </w:tc>
        <w:tc>
          <w:tcPr>
            <w:tcW w:w="1180" w:type="dxa"/>
            <w:vAlign w:val="bottom"/>
            <w:tcBorders>
              <w:bottom w:val="single" w:sz="8" w:color="939598"/>
            </w:tcBorders>
          </w:tcPr>
          <w:p>
            <w:pPr>
              <w:spacing w:after="0"/>
              <w:rPr>
                <w:sz w:val="11"/>
                <w:szCs w:val="11"/>
                <w:color w:val="auto"/>
              </w:rPr>
            </w:pPr>
          </w:p>
        </w:tc>
        <w:tc>
          <w:tcPr>
            <w:tcW w:w="740" w:type="dxa"/>
            <w:vAlign w:val="bottom"/>
            <w:tcBorders>
              <w:bottom w:val="single" w:sz="8" w:color="939598"/>
            </w:tcBorders>
          </w:tcPr>
          <w:p>
            <w:pPr>
              <w:spacing w:after="0"/>
              <w:rPr>
                <w:sz w:val="11"/>
                <w:szCs w:val="11"/>
                <w:color w:val="auto"/>
              </w:rPr>
            </w:pPr>
          </w:p>
        </w:tc>
        <w:tc>
          <w:tcPr>
            <w:tcW w:w="840" w:type="dxa"/>
            <w:vAlign w:val="bottom"/>
            <w:tcBorders>
              <w:bottom w:val="single" w:sz="8" w:color="939598"/>
            </w:tcBorders>
          </w:tcPr>
          <w:p>
            <w:pPr>
              <w:spacing w:after="0"/>
              <w:rPr>
                <w:sz w:val="11"/>
                <w:szCs w:val="11"/>
                <w:color w:val="auto"/>
              </w:rPr>
            </w:pPr>
          </w:p>
        </w:tc>
        <w:tc>
          <w:tcPr>
            <w:tcW w:w="1120" w:type="dxa"/>
            <w:vAlign w:val="bottom"/>
            <w:tcBorders>
              <w:bottom w:val="single" w:sz="8" w:color="939598"/>
            </w:tcBorders>
          </w:tcPr>
          <w:p>
            <w:pPr>
              <w:spacing w:after="0"/>
              <w:rPr>
                <w:sz w:val="11"/>
                <w:szCs w:val="11"/>
                <w:color w:val="auto"/>
              </w:rPr>
            </w:pPr>
          </w:p>
        </w:tc>
        <w:tc>
          <w:tcPr>
            <w:tcW w:w="1220" w:type="dxa"/>
            <w:vAlign w:val="bottom"/>
            <w:tcBorders>
              <w:bottom w:val="single" w:sz="8" w:color="939598"/>
            </w:tcBorders>
          </w:tcPr>
          <w:p>
            <w:pPr>
              <w:spacing w:after="0"/>
              <w:rPr>
                <w:sz w:val="11"/>
                <w:szCs w:val="11"/>
                <w:color w:val="auto"/>
              </w:rPr>
            </w:pPr>
          </w:p>
        </w:tc>
        <w:tc>
          <w:tcPr>
            <w:tcW w:w="1080" w:type="dxa"/>
            <w:vAlign w:val="bottom"/>
            <w:tcBorders>
              <w:bottom w:val="single" w:sz="8" w:color="939598"/>
            </w:tcBorders>
          </w:tcPr>
          <w:p>
            <w:pPr>
              <w:spacing w:after="0"/>
              <w:rPr>
                <w:sz w:val="11"/>
                <w:szCs w:val="11"/>
                <w:color w:val="auto"/>
              </w:rPr>
            </w:pPr>
          </w:p>
        </w:tc>
        <w:tc>
          <w:tcPr>
            <w:tcW w:w="320" w:type="dxa"/>
            <w:vAlign w:val="bottom"/>
            <w:tcBorders>
              <w:bottom w:val="single" w:sz="8" w:color="939598"/>
            </w:tcBorders>
          </w:tcPr>
          <w:p>
            <w:pPr>
              <w:spacing w:after="0"/>
              <w:rPr>
                <w:sz w:val="11"/>
                <w:szCs w:val="11"/>
                <w:color w:val="auto"/>
              </w:rPr>
            </w:pPr>
          </w:p>
        </w:tc>
        <w:tc>
          <w:tcPr>
            <w:tcW w:w="840" w:type="dxa"/>
            <w:vAlign w:val="bottom"/>
            <w:tcBorders>
              <w:bottom w:val="single" w:sz="8" w:color="939598"/>
            </w:tcBorders>
          </w:tcPr>
          <w:p>
            <w:pPr>
              <w:spacing w:after="0"/>
              <w:rPr>
                <w:sz w:val="11"/>
                <w:szCs w:val="11"/>
                <w:color w:val="auto"/>
              </w:rPr>
            </w:pPr>
          </w:p>
        </w:tc>
        <w:tc>
          <w:tcPr>
            <w:tcW w:w="110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80" w:type="dxa"/>
            <w:vAlign w:val="bottom"/>
          </w:tcPr>
          <w:p>
            <w:pPr>
              <w:ind w:left="20"/>
              <w:spacing w:after="0"/>
              <w:rPr>
                <w:sz w:val="20"/>
                <w:szCs w:val="20"/>
                <w:color w:val="auto"/>
              </w:rPr>
            </w:pPr>
            <w:r>
              <w:rPr>
                <w:rFonts w:ascii="Arial" w:cs="Arial" w:eastAsia="Arial" w:hAnsi="Arial"/>
                <w:sz w:val="13"/>
                <w:szCs w:val="13"/>
                <w:b w:val="1"/>
                <w:bCs w:val="1"/>
                <w:color w:val="auto"/>
              </w:rPr>
              <w:t>Michal Stepniak</w:t>
            </w:r>
          </w:p>
        </w:tc>
        <w:tc>
          <w:tcPr>
            <w:tcW w:w="520" w:type="dxa"/>
            <w:vAlign w:val="bottom"/>
            <w:vMerge w:val="restart"/>
          </w:tcPr>
          <w:p>
            <w:pPr>
              <w:jc w:val="center"/>
              <w:spacing w:after="0"/>
              <w:rPr>
                <w:sz w:val="20"/>
                <w:szCs w:val="20"/>
                <w:color w:val="auto"/>
              </w:rPr>
            </w:pPr>
            <w:r>
              <w:rPr>
                <w:rFonts w:ascii="Arial" w:cs="Arial" w:eastAsia="Arial" w:hAnsi="Arial"/>
                <w:sz w:val="13"/>
                <w:szCs w:val="13"/>
                <w:color w:val="auto"/>
                <w:w w:val="96"/>
              </w:rPr>
              <w:t>2025</w:t>
            </w:r>
          </w:p>
        </w:tc>
        <w:tc>
          <w:tcPr>
            <w:tcW w:w="1180" w:type="dxa"/>
            <w:vAlign w:val="bottom"/>
            <w:vMerge w:val="restart"/>
          </w:tcPr>
          <w:p>
            <w:pPr>
              <w:jc w:val="right"/>
              <w:ind w:right="198"/>
              <w:spacing w:after="0"/>
              <w:rPr>
                <w:sz w:val="20"/>
                <w:szCs w:val="20"/>
                <w:color w:val="auto"/>
              </w:rPr>
            </w:pPr>
            <w:r>
              <w:rPr>
                <w:rFonts w:ascii="Arial" w:cs="Arial" w:eastAsia="Arial" w:hAnsi="Arial"/>
                <w:sz w:val="13"/>
                <w:szCs w:val="13"/>
                <w:color w:val="auto"/>
              </w:rPr>
              <w:t>875,000</w:t>
            </w:r>
          </w:p>
        </w:tc>
        <w:tc>
          <w:tcPr>
            <w:tcW w:w="740" w:type="dxa"/>
            <w:vAlign w:val="bottom"/>
            <w:vMerge w:val="restart"/>
          </w:tcPr>
          <w:p>
            <w:pPr>
              <w:ind w:left="360"/>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ind w:right="58"/>
              <w:spacing w:after="0"/>
              <w:rPr>
                <w:sz w:val="20"/>
                <w:szCs w:val="20"/>
                <w:color w:val="auto"/>
              </w:rPr>
            </w:pPr>
            <w:r>
              <w:rPr>
                <w:rFonts w:ascii="Arial" w:cs="Arial" w:eastAsia="Arial" w:hAnsi="Arial"/>
                <w:sz w:val="13"/>
                <w:szCs w:val="13"/>
                <w:color w:val="auto"/>
              </w:rPr>
              <w:t>2,848,455</w:t>
            </w:r>
          </w:p>
        </w:tc>
        <w:tc>
          <w:tcPr>
            <w:tcW w:w="1120" w:type="dxa"/>
            <w:vAlign w:val="bottom"/>
            <w:vMerge w:val="restart"/>
          </w:tcPr>
          <w:p>
            <w:pPr>
              <w:jc w:val="right"/>
              <w:ind w:right="158"/>
              <w:spacing w:after="0"/>
              <w:rPr>
                <w:sz w:val="20"/>
                <w:szCs w:val="20"/>
                <w:color w:val="auto"/>
              </w:rPr>
            </w:pPr>
            <w:r>
              <w:rPr>
                <w:rFonts w:ascii="Arial" w:cs="Arial" w:eastAsia="Arial" w:hAnsi="Arial"/>
                <w:sz w:val="13"/>
                <w:szCs w:val="13"/>
                <w:color w:val="auto"/>
              </w:rPr>
              <w:t>946,512</w:t>
            </w:r>
          </w:p>
        </w:tc>
        <w:tc>
          <w:tcPr>
            <w:tcW w:w="1220" w:type="dxa"/>
            <w:vAlign w:val="bottom"/>
            <w:vMerge w:val="restart"/>
          </w:tcPr>
          <w:p>
            <w:pPr>
              <w:jc w:val="right"/>
              <w:ind w:right="159"/>
              <w:spacing w:after="0"/>
              <w:rPr>
                <w:sz w:val="20"/>
                <w:szCs w:val="20"/>
                <w:color w:val="auto"/>
              </w:rPr>
            </w:pPr>
            <w:r>
              <w:rPr>
                <w:rFonts w:ascii="Arial" w:cs="Arial" w:eastAsia="Arial" w:hAnsi="Arial"/>
                <w:sz w:val="13"/>
                <w:szCs w:val="13"/>
                <w:color w:val="auto"/>
              </w:rPr>
              <w:t>1,245,197</w:t>
            </w:r>
          </w:p>
        </w:tc>
        <w:tc>
          <w:tcPr>
            <w:tcW w:w="1080" w:type="dxa"/>
            <w:vAlign w:val="bottom"/>
            <w:vMerge w:val="restart"/>
          </w:tcPr>
          <w:p>
            <w:pPr>
              <w:jc w:val="right"/>
              <w:ind w:right="139"/>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840" w:type="dxa"/>
            <w:vAlign w:val="bottom"/>
            <w:vMerge w:val="restart"/>
          </w:tcPr>
          <w:p>
            <w:pPr>
              <w:jc w:val="right"/>
              <w:ind w:right="118"/>
              <w:spacing w:after="0"/>
              <w:rPr>
                <w:sz w:val="20"/>
                <w:szCs w:val="20"/>
                <w:color w:val="auto"/>
              </w:rPr>
            </w:pPr>
            <w:r>
              <w:rPr>
                <w:rFonts w:ascii="Arial" w:cs="Arial" w:eastAsia="Arial" w:hAnsi="Arial"/>
                <w:sz w:val="13"/>
                <w:szCs w:val="13"/>
                <w:color w:val="auto"/>
              </w:rPr>
              <w:t>457,115</w:t>
            </w: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6,372,279</w:t>
            </w:r>
          </w:p>
        </w:tc>
        <w:tc>
          <w:tcPr>
            <w:tcW w:w="0" w:type="dxa"/>
            <w:vAlign w:val="bottom"/>
          </w:tcPr>
          <w:p>
            <w:pPr>
              <w:spacing w:after="0"/>
              <w:rPr>
                <w:sz w:val="1"/>
                <w:szCs w:val="1"/>
                <w:color w:val="auto"/>
              </w:rPr>
            </w:pPr>
          </w:p>
        </w:tc>
      </w:tr>
      <w:tr>
        <w:trPr>
          <w:trHeight w:val="149"/>
        </w:trPr>
        <w:tc>
          <w:tcPr>
            <w:tcW w:w="2080" w:type="dxa"/>
            <w:vAlign w:val="bottom"/>
          </w:tcPr>
          <w:p>
            <w:pPr>
              <w:ind w:left="20"/>
              <w:spacing w:after="0"/>
              <w:rPr>
                <w:sz w:val="20"/>
                <w:szCs w:val="20"/>
                <w:color w:val="auto"/>
              </w:rPr>
            </w:pPr>
            <w:r>
              <w:rPr>
                <w:rFonts w:ascii="Arial" w:cs="Arial" w:eastAsia="Arial" w:hAnsi="Arial"/>
                <w:sz w:val="13"/>
                <w:szCs w:val="13"/>
                <w:color w:val="auto"/>
              </w:rPr>
              <w:t>Senior Vice</w:t>
            </w:r>
          </w:p>
        </w:tc>
        <w:tc>
          <w:tcPr>
            <w:tcW w:w="52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tcPr>
          <w:p>
            <w:pPr>
              <w:ind w:left="20"/>
              <w:spacing w:after="0"/>
              <w:rPr>
                <w:sz w:val="20"/>
                <w:szCs w:val="20"/>
                <w:color w:val="auto"/>
              </w:rPr>
            </w:pPr>
            <w:r>
              <w:rPr>
                <w:rFonts w:ascii="Arial" w:cs="Arial" w:eastAsia="Arial" w:hAnsi="Arial"/>
                <w:sz w:val="13"/>
                <w:szCs w:val="13"/>
                <w:color w:val="auto"/>
              </w:rPr>
              <w:t>President and</w:t>
            </w:r>
          </w:p>
        </w:tc>
        <w:tc>
          <w:tcPr>
            <w:tcW w:w="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80" w:type="dxa"/>
            <w:vAlign w:val="bottom"/>
          </w:tcPr>
          <w:p>
            <w:pPr>
              <w:ind w:left="20"/>
              <w:spacing w:after="0"/>
              <w:rPr>
                <w:sz w:val="20"/>
                <w:szCs w:val="20"/>
                <w:color w:val="auto"/>
              </w:rPr>
            </w:pPr>
            <w:r>
              <w:rPr>
                <w:rFonts w:ascii="Arial" w:cs="Arial" w:eastAsia="Arial" w:hAnsi="Arial"/>
                <w:sz w:val="13"/>
                <w:szCs w:val="13"/>
                <w:color w:val="auto"/>
              </w:rPr>
              <w:t>Chief Financial Officer</w:t>
            </w: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80" w:type="dxa"/>
            <w:vAlign w:val="bottom"/>
            <w:tcBorders>
              <w:bottom w:val="single" w:sz="8" w:color="939598"/>
            </w:tcBorders>
          </w:tcPr>
          <w:p>
            <w:pPr>
              <w:spacing w:after="0"/>
              <w:rPr>
                <w:sz w:val="18"/>
                <w:szCs w:val="18"/>
                <w:color w:val="auto"/>
              </w:rPr>
            </w:pPr>
          </w:p>
        </w:tc>
        <w:tc>
          <w:tcPr>
            <w:tcW w:w="520" w:type="dxa"/>
            <w:vAlign w:val="bottom"/>
            <w:tcBorders>
              <w:bottom w:val="single" w:sz="8" w:color="939598"/>
            </w:tcBorders>
          </w:tcPr>
          <w:p>
            <w:pPr>
              <w:spacing w:after="0"/>
              <w:rPr>
                <w:sz w:val="18"/>
                <w:szCs w:val="18"/>
                <w:color w:val="auto"/>
              </w:rPr>
            </w:pPr>
          </w:p>
        </w:tc>
        <w:tc>
          <w:tcPr>
            <w:tcW w:w="1180" w:type="dxa"/>
            <w:vAlign w:val="bottom"/>
            <w:tcBorders>
              <w:bottom w:val="single" w:sz="8" w:color="939598"/>
            </w:tcBorders>
          </w:tcPr>
          <w:p>
            <w:pPr>
              <w:spacing w:after="0"/>
              <w:rPr>
                <w:sz w:val="18"/>
                <w:szCs w:val="18"/>
                <w:color w:val="auto"/>
              </w:rPr>
            </w:pPr>
          </w:p>
        </w:tc>
        <w:tc>
          <w:tcPr>
            <w:tcW w:w="740" w:type="dxa"/>
            <w:vAlign w:val="bottom"/>
            <w:tcBorders>
              <w:bottom w:val="single" w:sz="8" w:color="939598"/>
            </w:tcBorders>
          </w:tcPr>
          <w:p>
            <w:pPr>
              <w:spacing w:after="0"/>
              <w:rPr>
                <w:sz w:val="18"/>
                <w:szCs w:val="18"/>
                <w:color w:val="auto"/>
              </w:rPr>
            </w:pPr>
          </w:p>
        </w:tc>
        <w:tc>
          <w:tcPr>
            <w:tcW w:w="840" w:type="dxa"/>
            <w:vAlign w:val="bottom"/>
            <w:tcBorders>
              <w:bottom w:val="single" w:sz="8" w:color="939598"/>
            </w:tcBorders>
          </w:tcPr>
          <w:p>
            <w:pPr>
              <w:spacing w:after="0"/>
              <w:rPr>
                <w:sz w:val="18"/>
                <w:szCs w:val="18"/>
                <w:color w:val="auto"/>
              </w:rPr>
            </w:pPr>
          </w:p>
        </w:tc>
        <w:tc>
          <w:tcPr>
            <w:tcW w:w="1120" w:type="dxa"/>
            <w:vAlign w:val="bottom"/>
            <w:tcBorders>
              <w:bottom w:val="single" w:sz="8" w:color="939598"/>
            </w:tcBorders>
          </w:tcPr>
          <w:p>
            <w:pPr>
              <w:spacing w:after="0"/>
              <w:rPr>
                <w:sz w:val="18"/>
                <w:szCs w:val="18"/>
                <w:color w:val="auto"/>
              </w:rPr>
            </w:pPr>
          </w:p>
        </w:tc>
        <w:tc>
          <w:tcPr>
            <w:tcW w:w="1220" w:type="dxa"/>
            <w:vAlign w:val="bottom"/>
            <w:tcBorders>
              <w:bottom w:val="single" w:sz="8" w:color="939598"/>
            </w:tcBorders>
          </w:tcPr>
          <w:p>
            <w:pPr>
              <w:spacing w:after="0"/>
              <w:rPr>
                <w:sz w:val="18"/>
                <w:szCs w:val="18"/>
                <w:color w:val="auto"/>
              </w:rPr>
            </w:pPr>
          </w:p>
        </w:tc>
        <w:tc>
          <w:tcPr>
            <w:tcW w:w="1080" w:type="dxa"/>
            <w:vAlign w:val="bottom"/>
            <w:tcBorders>
              <w:bottom w:val="single" w:sz="8" w:color="939598"/>
            </w:tcBorders>
          </w:tcPr>
          <w:p>
            <w:pPr>
              <w:spacing w:after="0"/>
              <w:rPr>
                <w:sz w:val="18"/>
                <w:szCs w:val="18"/>
                <w:color w:val="auto"/>
              </w:rPr>
            </w:pPr>
          </w:p>
        </w:tc>
        <w:tc>
          <w:tcPr>
            <w:tcW w:w="320" w:type="dxa"/>
            <w:vAlign w:val="bottom"/>
            <w:tcBorders>
              <w:bottom w:val="single" w:sz="8" w:color="939598"/>
            </w:tcBorders>
          </w:tcPr>
          <w:p>
            <w:pPr>
              <w:spacing w:after="0"/>
              <w:rPr>
                <w:sz w:val="18"/>
                <w:szCs w:val="18"/>
                <w:color w:val="auto"/>
              </w:rPr>
            </w:pPr>
          </w:p>
        </w:tc>
        <w:tc>
          <w:tcPr>
            <w:tcW w:w="840" w:type="dxa"/>
            <w:vAlign w:val="bottom"/>
            <w:tcBorders>
              <w:bottom w:val="single" w:sz="8" w:color="939598"/>
            </w:tcBorders>
          </w:tcPr>
          <w:p>
            <w:pPr>
              <w:spacing w:after="0"/>
              <w:rPr>
                <w:sz w:val="18"/>
                <w:szCs w:val="18"/>
                <w:color w:val="auto"/>
              </w:rPr>
            </w:pPr>
          </w:p>
        </w:tc>
        <w:tc>
          <w:tcPr>
            <w:tcW w:w="1100" w:type="dxa"/>
            <w:vAlign w:val="bottom"/>
            <w:tcBorders>
              <w:bottom w:val="single" w:sz="8" w:color="939598"/>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2080" w:type="dxa"/>
            <w:vAlign w:val="bottom"/>
          </w:tcPr>
          <w:p>
            <w:pPr>
              <w:ind w:left="20"/>
              <w:spacing w:after="0"/>
              <w:rPr>
                <w:sz w:val="20"/>
                <w:szCs w:val="20"/>
                <w:color w:val="auto"/>
              </w:rPr>
            </w:pPr>
            <w:r>
              <w:rPr>
                <w:rFonts w:ascii="Arial" w:cs="Arial" w:eastAsia="Arial" w:hAnsi="Arial"/>
                <w:sz w:val="13"/>
                <w:szCs w:val="13"/>
                <w:b w:val="1"/>
                <w:bCs w:val="1"/>
                <w:color w:val="auto"/>
              </w:rPr>
              <w:t>James Currier</w:t>
            </w:r>
          </w:p>
        </w:tc>
        <w:tc>
          <w:tcPr>
            <w:tcW w:w="520" w:type="dxa"/>
            <w:vAlign w:val="bottom"/>
            <w:vMerge w:val="restart"/>
          </w:tcPr>
          <w:p>
            <w:pPr>
              <w:jc w:val="center"/>
              <w:spacing w:after="0"/>
              <w:rPr>
                <w:sz w:val="20"/>
                <w:szCs w:val="20"/>
                <w:color w:val="auto"/>
              </w:rPr>
            </w:pPr>
            <w:r>
              <w:rPr>
                <w:rFonts w:ascii="Arial" w:cs="Arial" w:eastAsia="Arial" w:hAnsi="Arial"/>
                <w:sz w:val="13"/>
                <w:szCs w:val="13"/>
                <w:color w:val="auto"/>
                <w:w w:val="96"/>
              </w:rPr>
              <w:t>2025</w:t>
            </w:r>
          </w:p>
        </w:tc>
        <w:tc>
          <w:tcPr>
            <w:tcW w:w="1180" w:type="dxa"/>
            <w:vAlign w:val="bottom"/>
            <w:vMerge w:val="restart"/>
          </w:tcPr>
          <w:p>
            <w:pPr>
              <w:jc w:val="right"/>
              <w:ind w:right="198"/>
              <w:spacing w:after="0"/>
              <w:rPr>
                <w:sz w:val="20"/>
                <w:szCs w:val="20"/>
                <w:color w:val="auto"/>
              </w:rPr>
            </w:pPr>
            <w:r>
              <w:rPr>
                <w:rFonts w:ascii="Arial" w:cs="Arial" w:eastAsia="Arial" w:hAnsi="Arial"/>
                <w:sz w:val="13"/>
                <w:szCs w:val="13"/>
                <w:color w:val="auto"/>
              </w:rPr>
              <w:t>826,269</w:t>
            </w:r>
          </w:p>
        </w:tc>
        <w:tc>
          <w:tcPr>
            <w:tcW w:w="740" w:type="dxa"/>
            <w:vAlign w:val="bottom"/>
            <w:vMerge w:val="restart"/>
          </w:tcPr>
          <w:p>
            <w:pPr>
              <w:ind w:left="360"/>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ind w:right="58"/>
              <w:spacing w:after="0"/>
              <w:rPr>
                <w:sz w:val="20"/>
                <w:szCs w:val="20"/>
                <w:color w:val="auto"/>
              </w:rPr>
            </w:pPr>
            <w:r>
              <w:rPr>
                <w:rFonts w:ascii="Arial" w:cs="Arial" w:eastAsia="Arial" w:hAnsi="Arial"/>
                <w:sz w:val="13"/>
                <w:szCs w:val="13"/>
                <w:color w:val="auto"/>
              </w:rPr>
              <w:t>2,996,212</w:t>
            </w:r>
          </w:p>
        </w:tc>
        <w:tc>
          <w:tcPr>
            <w:tcW w:w="1120" w:type="dxa"/>
            <w:vAlign w:val="bottom"/>
            <w:vMerge w:val="restart"/>
          </w:tcPr>
          <w:p>
            <w:pPr>
              <w:jc w:val="right"/>
              <w:ind w:right="158"/>
              <w:spacing w:after="0"/>
              <w:rPr>
                <w:sz w:val="20"/>
                <w:szCs w:val="20"/>
                <w:color w:val="auto"/>
              </w:rPr>
            </w:pPr>
            <w:r>
              <w:rPr>
                <w:rFonts w:ascii="Arial" w:cs="Arial" w:eastAsia="Arial" w:hAnsi="Arial"/>
                <w:sz w:val="13"/>
                <w:szCs w:val="13"/>
                <w:color w:val="auto"/>
              </w:rPr>
              <w:t>999,096</w:t>
            </w:r>
          </w:p>
        </w:tc>
        <w:tc>
          <w:tcPr>
            <w:tcW w:w="1220" w:type="dxa"/>
            <w:vAlign w:val="bottom"/>
            <w:vMerge w:val="restart"/>
          </w:tcPr>
          <w:p>
            <w:pPr>
              <w:jc w:val="right"/>
              <w:ind w:right="159"/>
              <w:spacing w:after="0"/>
              <w:rPr>
                <w:sz w:val="20"/>
                <w:szCs w:val="20"/>
                <w:color w:val="auto"/>
              </w:rPr>
            </w:pPr>
            <w:r>
              <w:rPr>
                <w:rFonts w:ascii="Arial" w:cs="Arial" w:eastAsia="Arial" w:hAnsi="Arial"/>
                <w:sz w:val="13"/>
                <w:szCs w:val="13"/>
                <w:color w:val="auto"/>
              </w:rPr>
              <w:t>1,163,200</w:t>
            </w:r>
          </w:p>
        </w:tc>
        <w:tc>
          <w:tcPr>
            <w:tcW w:w="1080" w:type="dxa"/>
            <w:vAlign w:val="bottom"/>
            <w:vMerge w:val="restart"/>
          </w:tcPr>
          <w:p>
            <w:pPr>
              <w:jc w:val="right"/>
              <w:ind w:right="139"/>
              <w:spacing w:after="0"/>
              <w:rPr>
                <w:sz w:val="20"/>
                <w:szCs w:val="20"/>
                <w:color w:val="auto"/>
              </w:rPr>
            </w:pPr>
            <w:r>
              <w:rPr>
                <w:rFonts w:ascii="Arial" w:cs="Arial" w:eastAsia="Arial" w:hAnsi="Arial"/>
                <w:sz w:val="13"/>
                <w:szCs w:val="13"/>
                <w:color w:val="auto"/>
              </w:rPr>
              <w:t>329,567</w:t>
            </w:r>
          </w:p>
        </w:tc>
        <w:tc>
          <w:tcPr>
            <w:tcW w:w="320" w:type="dxa"/>
            <w:vAlign w:val="bottom"/>
          </w:tcPr>
          <w:p>
            <w:pPr>
              <w:spacing w:after="0"/>
              <w:rPr>
                <w:sz w:val="13"/>
                <w:szCs w:val="13"/>
                <w:color w:val="auto"/>
              </w:rPr>
            </w:pPr>
          </w:p>
        </w:tc>
        <w:tc>
          <w:tcPr>
            <w:tcW w:w="840" w:type="dxa"/>
            <w:vAlign w:val="bottom"/>
            <w:vMerge w:val="restart"/>
          </w:tcPr>
          <w:p>
            <w:pPr>
              <w:jc w:val="right"/>
              <w:ind w:right="118"/>
              <w:spacing w:after="0"/>
              <w:rPr>
                <w:sz w:val="20"/>
                <w:szCs w:val="20"/>
                <w:color w:val="auto"/>
              </w:rPr>
            </w:pPr>
            <w:r>
              <w:rPr>
                <w:rFonts w:ascii="Arial" w:cs="Arial" w:eastAsia="Arial" w:hAnsi="Arial"/>
                <w:sz w:val="13"/>
                <w:szCs w:val="13"/>
                <w:color w:val="auto"/>
              </w:rPr>
              <w:t>79,112</w:t>
            </w: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6,393,456</w:t>
            </w:r>
          </w:p>
        </w:tc>
        <w:tc>
          <w:tcPr>
            <w:tcW w:w="0" w:type="dxa"/>
            <w:vAlign w:val="bottom"/>
          </w:tcPr>
          <w:p>
            <w:pPr>
              <w:spacing w:after="0"/>
              <w:rPr>
                <w:sz w:val="1"/>
                <w:szCs w:val="1"/>
                <w:color w:val="auto"/>
              </w:rPr>
            </w:pPr>
          </w:p>
        </w:tc>
      </w:tr>
      <w:tr>
        <w:trPr>
          <w:trHeight w:val="148"/>
        </w:trPr>
        <w:tc>
          <w:tcPr>
            <w:tcW w:w="2080" w:type="dxa"/>
            <w:vAlign w:val="bottom"/>
          </w:tcPr>
          <w:p>
            <w:pPr>
              <w:ind w:left="20"/>
              <w:spacing w:after="0"/>
              <w:rPr>
                <w:sz w:val="20"/>
                <w:szCs w:val="20"/>
                <w:color w:val="auto"/>
              </w:rPr>
            </w:pPr>
            <w:r>
              <w:rPr>
                <w:rFonts w:ascii="Arial" w:cs="Arial" w:eastAsia="Arial" w:hAnsi="Arial"/>
                <w:sz w:val="13"/>
                <w:szCs w:val="13"/>
                <w:color w:val="auto"/>
              </w:rPr>
              <w:t>President and Chief Executive</w:t>
            </w:r>
          </w:p>
        </w:tc>
        <w:tc>
          <w:tcPr>
            <w:tcW w:w="52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080" w:type="dxa"/>
            <w:vAlign w:val="bottom"/>
          </w:tcPr>
          <w:p>
            <w:pPr>
              <w:ind w:left="20"/>
              <w:spacing w:after="0" w:line="106" w:lineRule="exact"/>
              <w:rPr>
                <w:sz w:val="20"/>
                <w:szCs w:val="20"/>
                <w:color w:val="auto"/>
              </w:rPr>
            </w:pPr>
            <w:r>
              <w:rPr>
                <w:rFonts w:ascii="Arial" w:cs="Arial" w:eastAsia="Arial" w:hAnsi="Arial"/>
                <w:sz w:val="12"/>
                <w:szCs w:val="12"/>
                <w:color w:val="auto"/>
              </w:rPr>
              <w:t>Officer, Aerospace Technologies</w:t>
            </w:r>
          </w:p>
        </w:tc>
        <w:tc>
          <w:tcPr>
            <w:tcW w:w="520" w:type="dxa"/>
            <w:vAlign w:val="bottom"/>
            <w:tcBorders>
              <w:bottom w:val="single" w:sz="8" w:color="939598"/>
            </w:tcBorders>
          </w:tcPr>
          <w:p>
            <w:pPr>
              <w:spacing w:after="0"/>
              <w:rPr>
                <w:sz w:val="9"/>
                <w:szCs w:val="9"/>
                <w:color w:val="auto"/>
              </w:rPr>
            </w:pPr>
          </w:p>
        </w:tc>
        <w:tc>
          <w:tcPr>
            <w:tcW w:w="1180" w:type="dxa"/>
            <w:vAlign w:val="bottom"/>
            <w:tcBorders>
              <w:bottom w:val="single" w:sz="8" w:color="939598"/>
            </w:tcBorders>
          </w:tcPr>
          <w:p>
            <w:pPr>
              <w:spacing w:after="0"/>
              <w:rPr>
                <w:sz w:val="9"/>
                <w:szCs w:val="9"/>
                <w:color w:val="auto"/>
              </w:rPr>
            </w:pPr>
          </w:p>
        </w:tc>
        <w:tc>
          <w:tcPr>
            <w:tcW w:w="740" w:type="dxa"/>
            <w:vAlign w:val="bottom"/>
            <w:tcBorders>
              <w:bottom w:val="single" w:sz="8" w:color="939598"/>
            </w:tcBorders>
          </w:tcPr>
          <w:p>
            <w:pPr>
              <w:spacing w:after="0"/>
              <w:rPr>
                <w:sz w:val="9"/>
                <w:szCs w:val="9"/>
                <w:color w:val="auto"/>
              </w:rPr>
            </w:pPr>
          </w:p>
        </w:tc>
        <w:tc>
          <w:tcPr>
            <w:tcW w:w="840" w:type="dxa"/>
            <w:vAlign w:val="bottom"/>
            <w:tcBorders>
              <w:bottom w:val="single" w:sz="8" w:color="939598"/>
            </w:tcBorders>
          </w:tcPr>
          <w:p>
            <w:pPr>
              <w:spacing w:after="0"/>
              <w:rPr>
                <w:sz w:val="9"/>
                <w:szCs w:val="9"/>
                <w:color w:val="auto"/>
              </w:rPr>
            </w:pPr>
          </w:p>
        </w:tc>
        <w:tc>
          <w:tcPr>
            <w:tcW w:w="1120" w:type="dxa"/>
            <w:vAlign w:val="bottom"/>
            <w:tcBorders>
              <w:bottom w:val="single" w:sz="8" w:color="939598"/>
            </w:tcBorders>
          </w:tcPr>
          <w:p>
            <w:pPr>
              <w:spacing w:after="0"/>
              <w:rPr>
                <w:sz w:val="9"/>
                <w:szCs w:val="9"/>
                <w:color w:val="auto"/>
              </w:rPr>
            </w:pPr>
          </w:p>
        </w:tc>
        <w:tc>
          <w:tcPr>
            <w:tcW w:w="1220" w:type="dxa"/>
            <w:vAlign w:val="bottom"/>
            <w:tcBorders>
              <w:bottom w:val="single" w:sz="8" w:color="939598"/>
            </w:tcBorders>
          </w:tcPr>
          <w:p>
            <w:pPr>
              <w:spacing w:after="0"/>
              <w:rPr>
                <w:sz w:val="9"/>
                <w:szCs w:val="9"/>
                <w:color w:val="auto"/>
              </w:rPr>
            </w:pPr>
          </w:p>
        </w:tc>
        <w:tc>
          <w:tcPr>
            <w:tcW w:w="1080" w:type="dxa"/>
            <w:vAlign w:val="bottom"/>
            <w:tcBorders>
              <w:bottom w:val="single" w:sz="8" w:color="939598"/>
            </w:tcBorders>
          </w:tcPr>
          <w:p>
            <w:pPr>
              <w:spacing w:after="0"/>
              <w:rPr>
                <w:sz w:val="9"/>
                <w:szCs w:val="9"/>
                <w:color w:val="auto"/>
              </w:rPr>
            </w:pPr>
          </w:p>
        </w:tc>
        <w:tc>
          <w:tcPr>
            <w:tcW w:w="320" w:type="dxa"/>
            <w:vAlign w:val="bottom"/>
            <w:tcBorders>
              <w:bottom w:val="single" w:sz="8" w:color="939598"/>
            </w:tcBorders>
          </w:tcPr>
          <w:p>
            <w:pPr>
              <w:spacing w:after="0"/>
              <w:rPr>
                <w:sz w:val="9"/>
                <w:szCs w:val="9"/>
                <w:color w:val="auto"/>
              </w:rPr>
            </w:pPr>
          </w:p>
        </w:tc>
        <w:tc>
          <w:tcPr>
            <w:tcW w:w="840" w:type="dxa"/>
            <w:vAlign w:val="bottom"/>
            <w:tcBorders>
              <w:bottom w:val="single" w:sz="8" w:color="939598"/>
            </w:tcBorders>
          </w:tcPr>
          <w:p>
            <w:pPr>
              <w:spacing w:after="0"/>
              <w:rPr>
                <w:sz w:val="9"/>
                <w:szCs w:val="9"/>
                <w:color w:val="auto"/>
              </w:rPr>
            </w:pPr>
          </w:p>
        </w:tc>
        <w:tc>
          <w:tcPr>
            <w:tcW w:w="1100" w:type="dxa"/>
            <w:vAlign w:val="bottom"/>
            <w:tcBorders>
              <w:bottom w:val="single" w:sz="8" w:color="939598"/>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208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3"/>
                <w:szCs w:val="13"/>
                <w:color w:val="auto"/>
                <w:w w:val="96"/>
              </w:rPr>
              <w:t>2024</w:t>
            </w:r>
          </w:p>
        </w:tc>
        <w:tc>
          <w:tcPr>
            <w:tcW w:w="1180" w:type="dxa"/>
            <w:vAlign w:val="bottom"/>
          </w:tcPr>
          <w:p>
            <w:pPr>
              <w:jc w:val="right"/>
              <w:ind w:right="198"/>
              <w:spacing w:after="0"/>
              <w:rPr>
                <w:sz w:val="20"/>
                <w:szCs w:val="20"/>
                <w:color w:val="auto"/>
              </w:rPr>
            </w:pPr>
            <w:r>
              <w:rPr>
                <w:rFonts w:ascii="Arial" w:cs="Arial" w:eastAsia="Arial" w:hAnsi="Arial"/>
                <w:sz w:val="13"/>
                <w:szCs w:val="13"/>
                <w:color w:val="auto"/>
              </w:rPr>
              <w:t>756,538</w:t>
            </w:r>
          </w:p>
        </w:tc>
        <w:tc>
          <w:tcPr>
            <w:tcW w:w="740" w:type="dxa"/>
            <w:vAlign w:val="bottom"/>
          </w:tcPr>
          <w:p>
            <w:pPr>
              <w:ind w:left="3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8"/>
              <w:spacing w:after="0"/>
              <w:rPr>
                <w:sz w:val="20"/>
                <w:szCs w:val="20"/>
                <w:color w:val="auto"/>
              </w:rPr>
            </w:pPr>
            <w:r>
              <w:rPr>
                <w:rFonts w:ascii="Arial" w:cs="Arial" w:eastAsia="Arial" w:hAnsi="Arial"/>
                <w:sz w:val="13"/>
                <w:szCs w:val="13"/>
                <w:color w:val="auto"/>
              </w:rPr>
              <w:t>2,557,379</w:t>
            </w:r>
          </w:p>
        </w:tc>
        <w:tc>
          <w:tcPr>
            <w:tcW w:w="1120" w:type="dxa"/>
            <w:vAlign w:val="bottom"/>
          </w:tcPr>
          <w:p>
            <w:pPr>
              <w:jc w:val="right"/>
              <w:ind w:right="158"/>
              <w:spacing w:after="0"/>
              <w:rPr>
                <w:sz w:val="20"/>
                <w:szCs w:val="20"/>
                <w:color w:val="auto"/>
              </w:rPr>
            </w:pPr>
            <w:r>
              <w:rPr>
                <w:rFonts w:ascii="Arial" w:cs="Arial" w:eastAsia="Arial" w:hAnsi="Arial"/>
                <w:sz w:val="13"/>
                <w:szCs w:val="13"/>
                <w:color w:val="auto"/>
              </w:rPr>
              <w:t>852,471</w:t>
            </w:r>
          </w:p>
        </w:tc>
        <w:tc>
          <w:tcPr>
            <w:tcW w:w="1220" w:type="dxa"/>
            <w:vAlign w:val="bottom"/>
          </w:tcPr>
          <w:p>
            <w:pPr>
              <w:jc w:val="right"/>
              <w:ind w:right="159"/>
              <w:spacing w:after="0"/>
              <w:rPr>
                <w:sz w:val="20"/>
                <w:szCs w:val="20"/>
                <w:color w:val="auto"/>
              </w:rPr>
            </w:pPr>
            <w:r>
              <w:rPr>
                <w:rFonts w:ascii="Arial" w:cs="Arial" w:eastAsia="Arial" w:hAnsi="Arial"/>
                <w:sz w:val="13"/>
                <w:szCs w:val="13"/>
                <w:color w:val="auto"/>
              </w:rPr>
              <w:t>1,017,522</w:t>
            </w:r>
          </w:p>
        </w:tc>
        <w:tc>
          <w:tcPr>
            <w:tcW w:w="1080" w:type="dxa"/>
            <w:vAlign w:val="bottom"/>
          </w:tcPr>
          <w:p>
            <w:pPr>
              <w:jc w:val="right"/>
              <w:ind w:right="139"/>
              <w:spacing w:after="0"/>
              <w:rPr>
                <w:sz w:val="20"/>
                <w:szCs w:val="20"/>
                <w:color w:val="auto"/>
              </w:rPr>
            </w:pPr>
            <w:r>
              <w:rPr>
                <w:rFonts w:ascii="Arial" w:cs="Arial" w:eastAsia="Arial" w:hAnsi="Arial"/>
                <w:sz w:val="13"/>
                <w:szCs w:val="13"/>
                <w:color w:val="auto"/>
              </w:rPr>
              <w:t>262,881</w:t>
            </w:r>
          </w:p>
        </w:tc>
        <w:tc>
          <w:tcPr>
            <w:tcW w:w="320" w:type="dxa"/>
            <w:vAlign w:val="bottom"/>
          </w:tcPr>
          <w:p>
            <w:pPr>
              <w:spacing w:after="0"/>
              <w:rPr>
                <w:sz w:val="24"/>
                <w:szCs w:val="24"/>
                <w:color w:val="auto"/>
              </w:rPr>
            </w:pPr>
          </w:p>
        </w:tc>
        <w:tc>
          <w:tcPr>
            <w:tcW w:w="840" w:type="dxa"/>
            <w:vAlign w:val="bottom"/>
          </w:tcPr>
          <w:p>
            <w:pPr>
              <w:jc w:val="right"/>
              <w:ind w:right="118"/>
              <w:spacing w:after="0"/>
              <w:rPr>
                <w:sz w:val="20"/>
                <w:szCs w:val="20"/>
                <w:color w:val="auto"/>
              </w:rPr>
            </w:pPr>
            <w:r>
              <w:rPr>
                <w:rFonts w:ascii="Arial" w:cs="Arial" w:eastAsia="Arial" w:hAnsi="Arial"/>
                <w:sz w:val="13"/>
                <w:szCs w:val="13"/>
                <w:color w:val="auto"/>
              </w:rPr>
              <w:t>64,139</w:t>
            </w:r>
          </w:p>
        </w:tc>
        <w:tc>
          <w:tcPr>
            <w:tcW w:w="1100" w:type="dxa"/>
            <w:vAlign w:val="bottom"/>
          </w:tcPr>
          <w:p>
            <w:pPr>
              <w:jc w:val="right"/>
              <w:spacing w:after="0"/>
              <w:rPr>
                <w:sz w:val="20"/>
                <w:szCs w:val="20"/>
                <w:color w:val="auto"/>
              </w:rPr>
            </w:pPr>
            <w:r>
              <w:rPr>
                <w:rFonts w:ascii="Arial" w:cs="Arial" w:eastAsia="Arial" w:hAnsi="Arial"/>
                <w:sz w:val="13"/>
                <w:szCs w:val="13"/>
                <w:color w:val="auto"/>
              </w:rPr>
              <w:t>5,510,931</w:t>
            </w: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520" w:type="dxa"/>
            <w:vAlign w:val="bottom"/>
            <w:tcBorders>
              <w:bottom w:val="single" w:sz="8" w:color="939598"/>
            </w:tcBorders>
          </w:tcPr>
          <w:p>
            <w:pPr>
              <w:spacing w:after="0"/>
              <w:rPr>
                <w:sz w:val="11"/>
                <w:szCs w:val="11"/>
                <w:color w:val="auto"/>
              </w:rPr>
            </w:pPr>
          </w:p>
        </w:tc>
        <w:tc>
          <w:tcPr>
            <w:tcW w:w="1180" w:type="dxa"/>
            <w:vAlign w:val="bottom"/>
            <w:tcBorders>
              <w:bottom w:val="single" w:sz="8" w:color="939598"/>
            </w:tcBorders>
          </w:tcPr>
          <w:p>
            <w:pPr>
              <w:spacing w:after="0"/>
              <w:rPr>
                <w:sz w:val="11"/>
                <w:szCs w:val="11"/>
                <w:color w:val="auto"/>
              </w:rPr>
            </w:pPr>
          </w:p>
        </w:tc>
        <w:tc>
          <w:tcPr>
            <w:tcW w:w="740" w:type="dxa"/>
            <w:vAlign w:val="bottom"/>
            <w:tcBorders>
              <w:bottom w:val="single" w:sz="8" w:color="939598"/>
            </w:tcBorders>
          </w:tcPr>
          <w:p>
            <w:pPr>
              <w:spacing w:after="0"/>
              <w:rPr>
                <w:sz w:val="11"/>
                <w:szCs w:val="11"/>
                <w:color w:val="auto"/>
              </w:rPr>
            </w:pPr>
          </w:p>
        </w:tc>
        <w:tc>
          <w:tcPr>
            <w:tcW w:w="840" w:type="dxa"/>
            <w:vAlign w:val="bottom"/>
            <w:tcBorders>
              <w:bottom w:val="single" w:sz="8" w:color="939598"/>
            </w:tcBorders>
          </w:tcPr>
          <w:p>
            <w:pPr>
              <w:spacing w:after="0"/>
              <w:rPr>
                <w:sz w:val="11"/>
                <w:szCs w:val="11"/>
                <w:color w:val="auto"/>
              </w:rPr>
            </w:pPr>
          </w:p>
        </w:tc>
        <w:tc>
          <w:tcPr>
            <w:tcW w:w="1120" w:type="dxa"/>
            <w:vAlign w:val="bottom"/>
            <w:tcBorders>
              <w:bottom w:val="single" w:sz="8" w:color="939598"/>
            </w:tcBorders>
          </w:tcPr>
          <w:p>
            <w:pPr>
              <w:spacing w:after="0"/>
              <w:rPr>
                <w:sz w:val="11"/>
                <w:szCs w:val="11"/>
                <w:color w:val="auto"/>
              </w:rPr>
            </w:pPr>
          </w:p>
        </w:tc>
        <w:tc>
          <w:tcPr>
            <w:tcW w:w="1220" w:type="dxa"/>
            <w:vAlign w:val="bottom"/>
            <w:tcBorders>
              <w:bottom w:val="single" w:sz="8" w:color="939598"/>
            </w:tcBorders>
          </w:tcPr>
          <w:p>
            <w:pPr>
              <w:spacing w:after="0"/>
              <w:rPr>
                <w:sz w:val="11"/>
                <w:szCs w:val="11"/>
                <w:color w:val="auto"/>
              </w:rPr>
            </w:pPr>
          </w:p>
        </w:tc>
        <w:tc>
          <w:tcPr>
            <w:tcW w:w="1080" w:type="dxa"/>
            <w:vAlign w:val="bottom"/>
            <w:tcBorders>
              <w:bottom w:val="single" w:sz="8" w:color="939598"/>
            </w:tcBorders>
          </w:tcPr>
          <w:p>
            <w:pPr>
              <w:spacing w:after="0"/>
              <w:rPr>
                <w:sz w:val="11"/>
                <w:szCs w:val="11"/>
                <w:color w:val="auto"/>
              </w:rPr>
            </w:pPr>
          </w:p>
        </w:tc>
        <w:tc>
          <w:tcPr>
            <w:tcW w:w="320" w:type="dxa"/>
            <w:vAlign w:val="bottom"/>
            <w:tcBorders>
              <w:bottom w:val="single" w:sz="8" w:color="939598"/>
            </w:tcBorders>
          </w:tcPr>
          <w:p>
            <w:pPr>
              <w:spacing w:after="0"/>
              <w:rPr>
                <w:sz w:val="11"/>
                <w:szCs w:val="11"/>
                <w:color w:val="auto"/>
              </w:rPr>
            </w:pPr>
          </w:p>
        </w:tc>
        <w:tc>
          <w:tcPr>
            <w:tcW w:w="840" w:type="dxa"/>
            <w:vAlign w:val="bottom"/>
            <w:tcBorders>
              <w:bottom w:val="single" w:sz="8" w:color="939598"/>
            </w:tcBorders>
          </w:tcPr>
          <w:p>
            <w:pPr>
              <w:spacing w:after="0"/>
              <w:rPr>
                <w:sz w:val="11"/>
                <w:szCs w:val="11"/>
                <w:color w:val="auto"/>
              </w:rPr>
            </w:pPr>
          </w:p>
        </w:tc>
        <w:tc>
          <w:tcPr>
            <w:tcW w:w="110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208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3"/>
                <w:szCs w:val="13"/>
                <w:color w:val="auto"/>
                <w:w w:val="96"/>
              </w:rPr>
              <w:t>2023</w:t>
            </w:r>
          </w:p>
        </w:tc>
        <w:tc>
          <w:tcPr>
            <w:tcW w:w="1180" w:type="dxa"/>
            <w:vAlign w:val="bottom"/>
          </w:tcPr>
          <w:p>
            <w:pPr>
              <w:jc w:val="right"/>
              <w:ind w:right="198"/>
              <w:spacing w:after="0"/>
              <w:rPr>
                <w:sz w:val="20"/>
                <w:szCs w:val="20"/>
                <w:color w:val="auto"/>
              </w:rPr>
            </w:pPr>
            <w:r>
              <w:rPr>
                <w:rFonts w:ascii="Arial" w:cs="Arial" w:eastAsia="Arial" w:hAnsi="Arial"/>
                <w:sz w:val="13"/>
                <w:szCs w:val="13"/>
                <w:color w:val="auto"/>
              </w:rPr>
              <w:t>531,560</w:t>
            </w:r>
          </w:p>
        </w:tc>
        <w:tc>
          <w:tcPr>
            <w:tcW w:w="740" w:type="dxa"/>
            <w:vAlign w:val="bottom"/>
          </w:tcPr>
          <w:p>
            <w:pPr>
              <w:ind w:left="3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8"/>
              <w:spacing w:after="0"/>
              <w:rPr>
                <w:sz w:val="20"/>
                <w:szCs w:val="20"/>
                <w:color w:val="auto"/>
              </w:rPr>
            </w:pPr>
            <w:r>
              <w:rPr>
                <w:rFonts w:ascii="Arial" w:cs="Arial" w:eastAsia="Arial" w:hAnsi="Arial"/>
                <w:sz w:val="13"/>
                <w:szCs w:val="13"/>
                <w:color w:val="auto"/>
              </w:rPr>
              <w:t>2,469,418</w:t>
            </w:r>
          </w:p>
        </w:tc>
        <w:tc>
          <w:tcPr>
            <w:tcW w:w="1120" w:type="dxa"/>
            <w:vAlign w:val="bottom"/>
          </w:tcPr>
          <w:p>
            <w:pPr>
              <w:jc w:val="right"/>
              <w:ind w:right="158"/>
              <w:spacing w:after="0"/>
              <w:rPr>
                <w:sz w:val="20"/>
                <w:szCs w:val="20"/>
                <w:color w:val="auto"/>
              </w:rPr>
            </w:pPr>
            <w:r>
              <w:rPr>
                <w:rFonts w:ascii="Arial" w:cs="Arial" w:eastAsia="Arial" w:hAnsi="Arial"/>
                <w:sz w:val="13"/>
                <w:szCs w:val="13"/>
                <w:color w:val="auto"/>
              </w:rPr>
              <w:t>919,053</w:t>
            </w:r>
          </w:p>
        </w:tc>
        <w:tc>
          <w:tcPr>
            <w:tcW w:w="1220" w:type="dxa"/>
            <w:vAlign w:val="bottom"/>
          </w:tcPr>
          <w:p>
            <w:pPr>
              <w:jc w:val="right"/>
              <w:ind w:right="159"/>
              <w:spacing w:after="0"/>
              <w:rPr>
                <w:sz w:val="20"/>
                <w:szCs w:val="20"/>
                <w:color w:val="auto"/>
              </w:rPr>
            </w:pPr>
            <w:r>
              <w:rPr>
                <w:rFonts w:ascii="Arial" w:cs="Arial" w:eastAsia="Arial" w:hAnsi="Arial"/>
                <w:sz w:val="13"/>
                <w:szCs w:val="13"/>
                <w:color w:val="auto"/>
              </w:rPr>
              <w:t>829,692</w:t>
            </w:r>
          </w:p>
        </w:tc>
        <w:tc>
          <w:tcPr>
            <w:tcW w:w="1080" w:type="dxa"/>
            <w:vAlign w:val="bottom"/>
          </w:tcPr>
          <w:p>
            <w:pPr>
              <w:jc w:val="right"/>
              <w:ind w:right="139"/>
              <w:spacing w:after="0"/>
              <w:rPr>
                <w:sz w:val="20"/>
                <w:szCs w:val="20"/>
                <w:color w:val="auto"/>
              </w:rPr>
            </w:pPr>
            <w:r>
              <w:rPr>
                <w:rFonts w:ascii="Arial" w:cs="Arial" w:eastAsia="Arial" w:hAnsi="Arial"/>
                <w:sz w:val="13"/>
                <w:szCs w:val="13"/>
                <w:color w:val="auto"/>
              </w:rPr>
              <w:t>99,247</w:t>
            </w:r>
          </w:p>
        </w:tc>
        <w:tc>
          <w:tcPr>
            <w:tcW w:w="320" w:type="dxa"/>
            <w:vAlign w:val="bottom"/>
          </w:tcPr>
          <w:p>
            <w:pPr>
              <w:spacing w:after="0"/>
              <w:rPr>
                <w:sz w:val="24"/>
                <w:szCs w:val="24"/>
                <w:color w:val="auto"/>
              </w:rPr>
            </w:pPr>
          </w:p>
        </w:tc>
        <w:tc>
          <w:tcPr>
            <w:tcW w:w="840" w:type="dxa"/>
            <w:vAlign w:val="bottom"/>
          </w:tcPr>
          <w:p>
            <w:pPr>
              <w:jc w:val="right"/>
              <w:ind w:right="118"/>
              <w:spacing w:after="0"/>
              <w:rPr>
                <w:sz w:val="20"/>
                <w:szCs w:val="20"/>
                <w:color w:val="auto"/>
              </w:rPr>
            </w:pPr>
            <w:r>
              <w:rPr>
                <w:rFonts w:ascii="Arial" w:cs="Arial" w:eastAsia="Arial" w:hAnsi="Arial"/>
                <w:sz w:val="13"/>
                <w:szCs w:val="13"/>
                <w:color w:val="auto"/>
              </w:rPr>
              <w:t>46,413</w:t>
            </w:r>
          </w:p>
        </w:tc>
        <w:tc>
          <w:tcPr>
            <w:tcW w:w="1100" w:type="dxa"/>
            <w:vAlign w:val="bottom"/>
          </w:tcPr>
          <w:p>
            <w:pPr>
              <w:jc w:val="right"/>
              <w:spacing w:after="0"/>
              <w:rPr>
                <w:sz w:val="20"/>
                <w:szCs w:val="20"/>
                <w:color w:val="auto"/>
              </w:rPr>
            </w:pPr>
            <w:r>
              <w:rPr>
                <w:rFonts w:ascii="Arial" w:cs="Arial" w:eastAsia="Arial" w:hAnsi="Arial"/>
                <w:sz w:val="13"/>
                <w:szCs w:val="13"/>
                <w:color w:val="auto"/>
              </w:rPr>
              <w:t>4,895,383</w:t>
            </w:r>
          </w:p>
        </w:tc>
        <w:tc>
          <w:tcPr>
            <w:tcW w:w="0" w:type="dxa"/>
            <w:vAlign w:val="bottom"/>
          </w:tcPr>
          <w:p>
            <w:pPr>
              <w:spacing w:after="0"/>
              <w:rPr>
                <w:sz w:val="1"/>
                <w:szCs w:val="1"/>
                <w:color w:val="auto"/>
              </w:rPr>
            </w:pPr>
          </w:p>
        </w:tc>
      </w:tr>
      <w:tr>
        <w:trPr>
          <w:trHeight w:val="135"/>
        </w:trPr>
        <w:tc>
          <w:tcPr>
            <w:tcW w:w="2080" w:type="dxa"/>
            <w:vAlign w:val="bottom"/>
            <w:tcBorders>
              <w:bottom w:val="single" w:sz="8" w:color="939598"/>
            </w:tcBorders>
          </w:tcPr>
          <w:p>
            <w:pPr>
              <w:spacing w:after="0"/>
              <w:rPr>
                <w:sz w:val="11"/>
                <w:szCs w:val="11"/>
                <w:color w:val="auto"/>
              </w:rPr>
            </w:pPr>
          </w:p>
        </w:tc>
        <w:tc>
          <w:tcPr>
            <w:tcW w:w="520" w:type="dxa"/>
            <w:vAlign w:val="bottom"/>
            <w:tcBorders>
              <w:bottom w:val="single" w:sz="8" w:color="939598"/>
            </w:tcBorders>
          </w:tcPr>
          <w:p>
            <w:pPr>
              <w:spacing w:after="0"/>
              <w:rPr>
                <w:sz w:val="11"/>
                <w:szCs w:val="11"/>
                <w:color w:val="auto"/>
              </w:rPr>
            </w:pPr>
          </w:p>
        </w:tc>
        <w:tc>
          <w:tcPr>
            <w:tcW w:w="1180" w:type="dxa"/>
            <w:vAlign w:val="bottom"/>
            <w:tcBorders>
              <w:bottom w:val="single" w:sz="8" w:color="939598"/>
            </w:tcBorders>
          </w:tcPr>
          <w:p>
            <w:pPr>
              <w:spacing w:after="0"/>
              <w:rPr>
                <w:sz w:val="11"/>
                <w:szCs w:val="11"/>
                <w:color w:val="auto"/>
              </w:rPr>
            </w:pPr>
          </w:p>
        </w:tc>
        <w:tc>
          <w:tcPr>
            <w:tcW w:w="740" w:type="dxa"/>
            <w:vAlign w:val="bottom"/>
            <w:tcBorders>
              <w:bottom w:val="single" w:sz="8" w:color="939598"/>
            </w:tcBorders>
          </w:tcPr>
          <w:p>
            <w:pPr>
              <w:spacing w:after="0"/>
              <w:rPr>
                <w:sz w:val="11"/>
                <w:szCs w:val="11"/>
                <w:color w:val="auto"/>
              </w:rPr>
            </w:pPr>
          </w:p>
        </w:tc>
        <w:tc>
          <w:tcPr>
            <w:tcW w:w="840" w:type="dxa"/>
            <w:vAlign w:val="bottom"/>
            <w:tcBorders>
              <w:bottom w:val="single" w:sz="8" w:color="939598"/>
            </w:tcBorders>
          </w:tcPr>
          <w:p>
            <w:pPr>
              <w:spacing w:after="0"/>
              <w:rPr>
                <w:sz w:val="11"/>
                <w:szCs w:val="11"/>
                <w:color w:val="auto"/>
              </w:rPr>
            </w:pPr>
          </w:p>
        </w:tc>
        <w:tc>
          <w:tcPr>
            <w:tcW w:w="1120" w:type="dxa"/>
            <w:vAlign w:val="bottom"/>
            <w:tcBorders>
              <w:bottom w:val="single" w:sz="8" w:color="939598"/>
            </w:tcBorders>
          </w:tcPr>
          <w:p>
            <w:pPr>
              <w:spacing w:after="0"/>
              <w:rPr>
                <w:sz w:val="11"/>
                <w:szCs w:val="11"/>
                <w:color w:val="auto"/>
              </w:rPr>
            </w:pPr>
          </w:p>
        </w:tc>
        <w:tc>
          <w:tcPr>
            <w:tcW w:w="1220" w:type="dxa"/>
            <w:vAlign w:val="bottom"/>
            <w:tcBorders>
              <w:bottom w:val="single" w:sz="8" w:color="939598"/>
            </w:tcBorders>
          </w:tcPr>
          <w:p>
            <w:pPr>
              <w:spacing w:after="0"/>
              <w:rPr>
                <w:sz w:val="11"/>
                <w:szCs w:val="11"/>
                <w:color w:val="auto"/>
              </w:rPr>
            </w:pPr>
          </w:p>
        </w:tc>
        <w:tc>
          <w:tcPr>
            <w:tcW w:w="1080" w:type="dxa"/>
            <w:vAlign w:val="bottom"/>
            <w:tcBorders>
              <w:bottom w:val="single" w:sz="8" w:color="939598"/>
            </w:tcBorders>
          </w:tcPr>
          <w:p>
            <w:pPr>
              <w:spacing w:after="0"/>
              <w:rPr>
                <w:sz w:val="11"/>
                <w:szCs w:val="11"/>
                <w:color w:val="auto"/>
              </w:rPr>
            </w:pPr>
          </w:p>
        </w:tc>
        <w:tc>
          <w:tcPr>
            <w:tcW w:w="320" w:type="dxa"/>
            <w:vAlign w:val="bottom"/>
            <w:tcBorders>
              <w:bottom w:val="single" w:sz="8" w:color="939598"/>
            </w:tcBorders>
          </w:tcPr>
          <w:p>
            <w:pPr>
              <w:spacing w:after="0"/>
              <w:rPr>
                <w:sz w:val="11"/>
                <w:szCs w:val="11"/>
                <w:color w:val="auto"/>
              </w:rPr>
            </w:pPr>
          </w:p>
        </w:tc>
        <w:tc>
          <w:tcPr>
            <w:tcW w:w="840" w:type="dxa"/>
            <w:vAlign w:val="bottom"/>
            <w:tcBorders>
              <w:bottom w:val="single" w:sz="8" w:color="939598"/>
            </w:tcBorders>
          </w:tcPr>
          <w:p>
            <w:pPr>
              <w:spacing w:after="0"/>
              <w:rPr>
                <w:sz w:val="11"/>
                <w:szCs w:val="11"/>
                <w:color w:val="auto"/>
              </w:rPr>
            </w:pPr>
          </w:p>
        </w:tc>
        <w:tc>
          <w:tcPr>
            <w:tcW w:w="110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80" w:type="dxa"/>
            <w:vAlign w:val="bottom"/>
          </w:tcPr>
          <w:p>
            <w:pPr>
              <w:ind w:left="20"/>
              <w:spacing w:after="0" w:line="151" w:lineRule="exact"/>
              <w:rPr>
                <w:sz w:val="20"/>
                <w:szCs w:val="20"/>
                <w:color w:val="auto"/>
              </w:rPr>
            </w:pPr>
            <w:r>
              <w:rPr>
                <w:rFonts w:ascii="Arial" w:cs="Arial" w:eastAsia="Arial" w:hAnsi="Arial"/>
                <w:sz w:val="13"/>
                <w:szCs w:val="13"/>
                <w:b w:val="1"/>
                <w:bCs w:val="1"/>
                <w:color w:val="auto"/>
              </w:rPr>
              <w:t>James Masso</w:t>
            </w:r>
            <w:r>
              <w:rPr>
                <w:rFonts w:ascii="Arial" w:cs="Arial" w:eastAsia="Arial" w:hAnsi="Arial"/>
                <w:sz w:val="16"/>
                <w:szCs w:val="16"/>
                <w:b w:val="1"/>
                <w:bCs w:val="1"/>
                <w:color w:val="auto"/>
                <w:vertAlign w:val="superscript"/>
              </w:rPr>
              <w:t>(3)</w:t>
            </w:r>
          </w:p>
        </w:tc>
        <w:tc>
          <w:tcPr>
            <w:tcW w:w="520" w:type="dxa"/>
            <w:vAlign w:val="bottom"/>
            <w:vMerge w:val="restart"/>
          </w:tcPr>
          <w:p>
            <w:pPr>
              <w:jc w:val="center"/>
              <w:spacing w:after="0"/>
              <w:rPr>
                <w:sz w:val="20"/>
                <w:szCs w:val="20"/>
                <w:color w:val="auto"/>
              </w:rPr>
            </w:pPr>
            <w:r>
              <w:rPr>
                <w:rFonts w:ascii="Arial" w:cs="Arial" w:eastAsia="Arial" w:hAnsi="Arial"/>
                <w:sz w:val="13"/>
                <w:szCs w:val="13"/>
                <w:color w:val="auto"/>
                <w:w w:val="96"/>
              </w:rPr>
              <w:t>2025</w:t>
            </w:r>
          </w:p>
        </w:tc>
        <w:tc>
          <w:tcPr>
            <w:tcW w:w="1180" w:type="dxa"/>
            <w:vAlign w:val="bottom"/>
            <w:vMerge w:val="restart"/>
          </w:tcPr>
          <w:p>
            <w:pPr>
              <w:jc w:val="right"/>
              <w:ind w:right="198"/>
              <w:spacing w:after="0"/>
              <w:rPr>
                <w:sz w:val="20"/>
                <w:szCs w:val="20"/>
                <w:color w:val="auto"/>
              </w:rPr>
            </w:pPr>
            <w:r>
              <w:rPr>
                <w:rFonts w:ascii="Arial" w:cs="Arial" w:eastAsia="Arial" w:hAnsi="Arial"/>
                <w:sz w:val="13"/>
                <w:szCs w:val="13"/>
                <w:color w:val="auto"/>
              </w:rPr>
              <w:t>298,558</w:t>
            </w:r>
          </w:p>
        </w:tc>
        <w:tc>
          <w:tcPr>
            <w:tcW w:w="740" w:type="dxa"/>
            <w:vAlign w:val="bottom"/>
            <w:vMerge w:val="restart"/>
          </w:tcPr>
          <w:p>
            <w:pPr>
              <w:ind w:left="360"/>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ind w:right="58"/>
              <w:spacing w:after="0"/>
              <w:rPr>
                <w:sz w:val="20"/>
                <w:szCs w:val="20"/>
                <w:color w:val="auto"/>
              </w:rPr>
            </w:pPr>
            <w:r>
              <w:rPr>
                <w:rFonts w:ascii="Arial" w:cs="Arial" w:eastAsia="Arial" w:hAnsi="Arial"/>
                <w:sz w:val="13"/>
                <w:szCs w:val="13"/>
                <w:color w:val="auto"/>
              </w:rPr>
              <w:t>3,850,310</w:t>
            </w:r>
          </w:p>
        </w:tc>
        <w:tc>
          <w:tcPr>
            <w:tcW w:w="1120" w:type="dxa"/>
            <w:vAlign w:val="bottom"/>
            <w:vMerge w:val="restart"/>
          </w:tcPr>
          <w:p>
            <w:pPr>
              <w:jc w:val="right"/>
              <w:ind w:right="158"/>
              <w:spacing w:after="0"/>
              <w:rPr>
                <w:sz w:val="20"/>
                <w:szCs w:val="20"/>
                <w:color w:val="auto"/>
              </w:rPr>
            </w:pPr>
            <w:r>
              <w:rPr>
                <w:rFonts w:ascii="Arial" w:cs="Arial" w:eastAsia="Arial" w:hAnsi="Arial"/>
                <w:sz w:val="13"/>
                <w:szCs w:val="13"/>
                <w:color w:val="auto"/>
              </w:rPr>
              <w:t>413,165</w:t>
            </w:r>
          </w:p>
        </w:tc>
        <w:tc>
          <w:tcPr>
            <w:tcW w:w="1220" w:type="dxa"/>
            <w:vAlign w:val="bottom"/>
            <w:vMerge w:val="restart"/>
          </w:tcPr>
          <w:p>
            <w:pPr>
              <w:jc w:val="right"/>
              <w:ind w:right="159"/>
              <w:spacing w:after="0"/>
              <w:rPr>
                <w:sz w:val="20"/>
                <w:szCs w:val="20"/>
                <w:color w:val="auto"/>
              </w:rPr>
            </w:pPr>
            <w:r>
              <w:rPr>
                <w:rFonts w:ascii="Arial" w:cs="Arial" w:eastAsia="Arial" w:hAnsi="Arial"/>
                <w:sz w:val="13"/>
                <w:szCs w:val="13"/>
                <w:color w:val="auto"/>
              </w:rPr>
              <w:t>314,300</w:t>
            </w:r>
          </w:p>
        </w:tc>
        <w:tc>
          <w:tcPr>
            <w:tcW w:w="1080" w:type="dxa"/>
            <w:vAlign w:val="bottom"/>
            <w:vMerge w:val="restart"/>
          </w:tcPr>
          <w:p>
            <w:pPr>
              <w:jc w:val="right"/>
              <w:ind w:right="139"/>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840" w:type="dxa"/>
            <w:vAlign w:val="bottom"/>
            <w:vMerge w:val="restart"/>
          </w:tcPr>
          <w:p>
            <w:pPr>
              <w:jc w:val="right"/>
              <w:ind w:right="118"/>
              <w:spacing w:after="0"/>
              <w:rPr>
                <w:sz w:val="20"/>
                <w:szCs w:val="20"/>
                <w:color w:val="auto"/>
              </w:rPr>
            </w:pPr>
            <w:r>
              <w:rPr>
                <w:rFonts w:ascii="Arial" w:cs="Arial" w:eastAsia="Arial" w:hAnsi="Arial"/>
                <w:sz w:val="13"/>
                <w:szCs w:val="13"/>
                <w:color w:val="auto"/>
              </w:rPr>
              <w:t>5,200</w:t>
            </w: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4,881,533</w:t>
            </w:r>
          </w:p>
        </w:tc>
        <w:tc>
          <w:tcPr>
            <w:tcW w:w="0" w:type="dxa"/>
            <w:vAlign w:val="bottom"/>
          </w:tcPr>
          <w:p>
            <w:pPr>
              <w:spacing w:after="0"/>
              <w:rPr>
                <w:sz w:val="1"/>
                <w:szCs w:val="1"/>
                <w:color w:val="auto"/>
              </w:rPr>
            </w:pPr>
          </w:p>
        </w:tc>
      </w:tr>
      <w:tr>
        <w:trPr>
          <w:trHeight w:val="149"/>
        </w:trPr>
        <w:tc>
          <w:tcPr>
            <w:tcW w:w="2080" w:type="dxa"/>
            <w:vAlign w:val="bottom"/>
          </w:tcPr>
          <w:p>
            <w:pPr>
              <w:ind w:left="20"/>
              <w:spacing w:after="0"/>
              <w:rPr>
                <w:sz w:val="20"/>
                <w:szCs w:val="20"/>
                <w:color w:val="auto"/>
              </w:rPr>
            </w:pPr>
            <w:r>
              <w:rPr>
                <w:rFonts w:ascii="Arial" w:cs="Arial" w:eastAsia="Arial" w:hAnsi="Arial"/>
                <w:sz w:val="13"/>
                <w:szCs w:val="13"/>
                <w:color w:val="auto"/>
              </w:rPr>
              <w:t>President and</w:t>
            </w:r>
          </w:p>
        </w:tc>
        <w:tc>
          <w:tcPr>
            <w:tcW w:w="52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tcPr>
          <w:p>
            <w:pPr>
              <w:ind w:left="20"/>
              <w:spacing w:after="0"/>
              <w:rPr>
                <w:sz w:val="20"/>
                <w:szCs w:val="20"/>
                <w:color w:val="auto"/>
              </w:rPr>
            </w:pPr>
            <w:r>
              <w:rPr>
                <w:rFonts w:ascii="Arial" w:cs="Arial" w:eastAsia="Arial" w:hAnsi="Arial"/>
                <w:sz w:val="13"/>
                <w:szCs w:val="13"/>
                <w:color w:val="auto"/>
              </w:rPr>
              <w:t>Chief Executive</w:t>
            </w:r>
          </w:p>
        </w:tc>
        <w:tc>
          <w:tcPr>
            <w:tcW w:w="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80" w:type="dxa"/>
            <w:vAlign w:val="bottom"/>
          </w:tcPr>
          <w:p>
            <w:pPr>
              <w:ind w:left="20"/>
              <w:spacing w:after="0"/>
              <w:rPr>
                <w:sz w:val="20"/>
                <w:szCs w:val="20"/>
                <w:color w:val="auto"/>
              </w:rPr>
            </w:pPr>
            <w:r>
              <w:rPr>
                <w:rFonts w:ascii="Arial" w:cs="Arial" w:eastAsia="Arial" w:hAnsi="Arial"/>
                <w:sz w:val="13"/>
                <w:szCs w:val="13"/>
                <w:color w:val="auto"/>
              </w:rPr>
              <w:t>Officer, Process Automation</w:t>
            </w: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2080" w:type="dxa"/>
            <w:vAlign w:val="bottom"/>
            <w:tcBorders>
              <w:bottom w:val="single" w:sz="8" w:color="939598"/>
            </w:tcBorders>
          </w:tcPr>
          <w:p>
            <w:pPr>
              <w:spacing w:after="0"/>
              <w:rPr>
                <w:sz w:val="22"/>
                <w:szCs w:val="22"/>
                <w:color w:val="auto"/>
              </w:rPr>
            </w:pPr>
          </w:p>
        </w:tc>
        <w:tc>
          <w:tcPr>
            <w:tcW w:w="520" w:type="dxa"/>
            <w:vAlign w:val="bottom"/>
            <w:tcBorders>
              <w:bottom w:val="single" w:sz="8" w:color="939598"/>
            </w:tcBorders>
          </w:tcPr>
          <w:p>
            <w:pPr>
              <w:spacing w:after="0"/>
              <w:rPr>
                <w:sz w:val="22"/>
                <w:szCs w:val="22"/>
                <w:color w:val="auto"/>
              </w:rPr>
            </w:pPr>
          </w:p>
        </w:tc>
        <w:tc>
          <w:tcPr>
            <w:tcW w:w="1180" w:type="dxa"/>
            <w:vAlign w:val="bottom"/>
            <w:tcBorders>
              <w:bottom w:val="single" w:sz="8" w:color="939598"/>
            </w:tcBorders>
          </w:tcPr>
          <w:p>
            <w:pPr>
              <w:spacing w:after="0"/>
              <w:rPr>
                <w:sz w:val="22"/>
                <w:szCs w:val="22"/>
                <w:color w:val="auto"/>
              </w:rPr>
            </w:pPr>
          </w:p>
        </w:tc>
        <w:tc>
          <w:tcPr>
            <w:tcW w:w="740" w:type="dxa"/>
            <w:vAlign w:val="bottom"/>
            <w:tcBorders>
              <w:bottom w:val="single" w:sz="8" w:color="939598"/>
            </w:tcBorders>
          </w:tcPr>
          <w:p>
            <w:pPr>
              <w:spacing w:after="0"/>
              <w:rPr>
                <w:sz w:val="22"/>
                <w:szCs w:val="22"/>
                <w:color w:val="auto"/>
              </w:rPr>
            </w:pPr>
          </w:p>
        </w:tc>
        <w:tc>
          <w:tcPr>
            <w:tcW w:w="840" w:type="dxa"/>
            <w:vAlign w:val="bottom"/>
            <w:tcBorders>
              <w:bottom w:val="single" w:sz="8" w:color="939598"/>
            </w:tcBorders>
          </w:tcPr>
          <w:p>
            <w:pPr>
              <w:spacing w:after="0"/>
              <w:rPr>
                <w:sz w:val="22"/>
                <w:szCs w:val="22"/>
                <w:color w:val="auto"/>
              </w:rPr>
            </w:pPr>
          </w:p>
        </w:tc>
        <w:tc>
          <w:tcPr>
            <w:tcW w:w="1120" w:type="dxa"/>
            <w:vAlign w:val="bottom"/>
            <w:tcBorders>
              <w:bottom w:val="single" w:sz="8" w:color="939598"/>
            </w:tcBorders>
          </w:tcPr>
          <w:p>
            <w:pPr>
              <w:spacing w:after="0"/>
              <w:rPr>
                <w:sz w:val="22"/>
                <w:szCs w:val="22"/>
                <w:color w:val="auto"/>
              </w:rPr>
            </w:pPr>
          </w:p>
        </w:tc>
        <w:tc>
          <w:tcPr>
            <w:tcW w:w="1220" w:type="dxa"/>
            <w:vAlign w:val="bottom"/>
            <w:tcBorders>
              <w:bottom w:val="single" w:sz="8" w:color="939598"/>
            </w:tcBorders>
          </w:tcPr>
          <w:p>
            <w:pPr>
              <w:spacing w:after="0"/>
              <w:rPr>
                <w:sz w:val="22"/>
                <w:szCs w:val="22"/>
                <w:color w:val="auto"/>
              </w:rPr>
            </w:pPr>
          </w:p>
        </w:tc>
        <w:tc>
          <w:tcPr>
            <w:tcW w:w="1080" w:type="dxa"/>
            <w:vAlign w:val="bottom"/>
            <w:tcBorders>
              <w:bottom w:val="single" w:sz="8" w:color="939598"/>
            </w:tcBorders>
          </w:tcPr>
          <w:p>
            <w:pPr>
              <w:spacing w:after="0"/>
              <w:rPr>
                <w:sz w:val="22"/>
                <w:szCs w:val="22"/>
                <w:color w:val="auto"/>
              </w:rPr>
            </w:pPr>
          </w:p>
        </w:tc>
        <w:tc>
          <w:tcPr>
            <w:tcW w:w="320" w:type="dxa"/>
            <w:vAlign w:val="bottom"/>
            <w:tcBorders>
              <w:bottom w:val="single" w:sz="8" w:color="939598"/>
            </w:tcBorders>
          </w:tcPr>
          <w:p>
            <w:pPr>
              <w:spacing w:after="0"/>
              <w:rPr>
                <w:sz w:val="22"/>
                <w:szCs w:val="22"/>
                <w:color w:val="auto"/>
              </w:rPr>
            </w:pPr>
          </w:p>
        </w:tc>
        <w:tc>
          <w:tcPr>
            <w:tcW w:w="840" w:type="dxa"/>
            <w:vAlign w:val="bottom"/>
            <w:tcBorders>
              <w:bottom w:val="single" w:sz="8" w:color="939598"/>
            </w:tcBorders>
          </w:tcPr>
          <w:p>
            <w:pPr>
              <w:spacing w:after="0"/>
              <w:rPr>
                <w:sz w:val="22"/>
                <w:szCs w:val="22"/>
                <w:color w:val="auto"/>
              </w:rPr>
            </w:pPr>
          </w:p>
        </w:tc>
        <w:tc>
          <w:tcPr>
            <w:tcW w:w="1100" w:type="dxa"/>
            <w:vAlign w:val="bottom"/>
            <w:tcBorders>
              <w:bottom w:val="single" w:sz="8" w:color="939598"/>
            </w:tcBorders>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2080" w:type="dxa"/>
            <w:vAlign w:val="bottom"/>
          </w:tcPr>
          <w:p>
            <w:pPr>
              <w:ind w:left="20"/>
              <w:spacing w:after="0" w:line="151" w:lineRule="exact"/>
              <w:rPr>
                <w:sz w:val="20"/>
                <w:szCs w:val="20"/>
                <w:color w:val="auto"/>
              </w:rPr>
            </w:pPr>
            <w:r>
              <w:rPr>
                <w:rFonts w:ascii="Arial" w:cs="Arial" w:eastAsia="Arial" w:hAnsi="Arial"/>
                <w:sz w:val="13"/>
                <w:szCs w:val="13"/>
                <w:b w:val="1"/>
                <w:bCs w:val="1"/>
                <w:color w:val="auto"/>
              </w:rPr>
              <w:t>Billal Hammoud</w:t>
            </w:r>
            <w:r>
              <w:rPr>
                <w:rFonts w:ascii="Arial" w:cs="Arial" w:eastAsia="Arial" w:hAnsi="Arial"/>
                <w:sz w:val="16"/>
                <w:szCs w:val="16"/>
                <w:b w:val="1"/>
                <w:bCs w:val="1"/>
                <w:color w:val="auto"/>
                <w:vertAlign w:val="superscript"/>
              </w:rPr>
              <w:t>(4)</w:t>
            </w:r>
          </w:p>
        </w:tc>
        <w:tc>
          <w:tcPr>
            <w:tcW w:w="520" w:type="dxa"/>
            <w:vAlign w:val="bottom"/>
            <w:vMerge w:val="restart"/>
          </w:tcPr>
          <w:p>
            <w:pPr>
              <w:jc w:val="center"/>
              <w:spacing w:after="0"/>
              <w:rPr>
                <w:sz w:val="20"/>
                <w:szCs w:val="20"/>
                <w:color w:val="auto"/>
              </w:rPr>
            </w:pPr>
            <w:r>
              <w:rPr>
                <w:rFonts w:ascii="Arial" w:cs="Arial" w:eastAsia="Arial" w:hAnsi="Arial"/>
                <w:sz w:val="13"/>
                <w:szCs w:val="13"/>
                <w:color w:val="auto"/>
                <w:w w:val="96"/>
              </w:rPr>
              <w:t>2025</w:t>
            </w:r>
          </w:p>
        </w:tc>
        <w:tc>
          <w:tcPr>
            <w:tcW w:w="1180" w:type="dxa"/>
            <w:vAlign w:val="bottom"/>
            <w:vMerge w:val="restart"/>
          </w:tcPr>
          <w:p>
            <w:pPr>
              <w:jc w:val="right"/>
              <w:ind w:right="198"/>
              <w:spacing w:after="0"/>
              <w:rPr>
                <w:sz w:val="20"/>
                <w:szCs w:val="20"/>
                <w:color w:val="auto"/>
              </w:rPr>
            </w:pPr>
            <w:r>
              <w:rPr>
                <w:rFonts w:ascii="Arial" w:cs="Arial" w:eastAsia="Arial" w:hAnsi="Arial"/>
                <w:sz w:val="13"/>
                <w:szCs w:val="13"/>
                <w:color w:val="auto"/>
              </w:rPr>
              <w:t>693,539</w:t>
            </w:r>
          </w:p>
        </w:tc>
        <w:tc>
          <w:tcPr>
            <w:tcW w:w="740" w:type="dxa"/>
            <w:vAlign w:val="bottom"/>
            <w:vMerge w:val="restart"/>
          </w:tcPr>
          <w:p>
            <w:pPr>
              <w:ind w:left="360"/>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ind w:right="58"/>
              <w:spacing w:after="0"/>
              <w:rPr>
                <w:sz w:val="20"/>
                <w:szCs w:val="20"/>
                <w:color w:val="auto"/>
              </w:rPr>
            </w:pPr>
            <w:r>
              <w:rPr>
                <w:rFonts w:ascii="Arial" w:cs="Arial" w:eastAsia="Arial" w:hAnsi="Arial"/>
                <w:sz w:val="13"/>
                <w:szCs w:val="13"/>
                <w:color w:val="auto"/>
              </w:rPr>
              <w:t>2,477,084</w:t>
            </w:r>
          </w:p>
        </w:tc>
        <w:tc>
          <w:tcPr>
            <w:tcW w:w="1120" w:type="dxa"/>
            <w:vAlign w:val="bottom"/>
            <w:vMerge w:val="restart"/>
          </w:tcPr>
          <w:p>
            <w:pPr>
              <w:jc w:val="right"/>
              <w:ind w:right="158"/>
              <w:spacing w:after="0"/>
              <w:rPr>
                <w:sz w:val="20"/>
                <w:szCs w:val="20"/>
                <w:color w:val="auto"/>
              </w:rPr>
            </w:pPr>
            <w:r>
              <w:rPr>
                <w:rFonts w:ascii="Arial" w:cs="Arial" w:eastAsia="Arial" w:hAnsi="Arial"/>
                <w:sz w:val="13"/>
                <w:szCs w:val="13"/>
                <w:color w:val="auto"/>
              </w:rPr>
              <w:t>486,402</w:t>
            </w:r>
          </w:p>
        </w:tc>
        <w:tc>
          <w:tcPr>
            <w:tcW w:w="1220" w:type="dxa"/>
            <w:vAlign w:val="bottom"/>
            <w:vMerge w:val="restart"/>
          </w:tcPr>
          <w:p>
            <w:pPr>
              <w:jc w:val="right"/>
              <w:ind w:right="159"/>
              <w:spacing w:after="0"/>
              <w:rPr>
                <w:sz w:val="20"/>
                <w:szCs w:val="20"/>
                <w:color w:val="auto"/>
              </w:rPr>
            </w:pPr>
            <w:r>
              <w:rPr>
                <w:rFonts w:ascii="Arial" w:cs="Arial" w:eastAsia="Arial" w:hAnsi="Arial"/>
                <w:sz w:val="13"/>
                <w:szCs w:val="13"/>
                <w:color w:val="auto"/>
              </w:rPr>
              <w:t>1,008,837</w:t>
            </w:r>
          </w:p>
        </w:tc>
        <w:tc>
          <w:tcPr>
            <w:tcW w:w="1080" w:type="dxa"/>
            <w:vAlign w:val="bottom"/>
            <w:vMerge w:val="restart"/>
          </w:tcPr>
          <w:p>
            <w:pPr>
              <w:jc w:val="right"/>
              <w:ind w:right="139"/>
              <w:spacing w:after="0"/>
              <w:rPr>
                <w:sz w:val="20"/>
                <w:szCs w:val="20"/>
                <w:color w:val="auto"/>
              </w:rPr>
            </w:pPr>
            <w:r>
              <w:rPr>
                <w:rFonts w:ascii="Arial" w:cs="Arial" w:eastAsia="Arial" w:hAnsi="Arial"/>
                <w:sz w:val="13"/>
                <w:szCs w:val="13"/>
                <w:color w:val="auto"/>
              </w:rPr>
              <w:t>10,255</w:t>
            </w:r>
          </w:p>
        </w:tc>
        <w:tc>
          <w:tcPr>
            <w:tcW w:w="320" w:type="dxa"/>
            <w:vAlign w:val="bottom"/>
          </w:tcPr>
          <w:p>
            <w:pPr>
              <w:spacing w:after="0"/>
              <w:rPr>
                <w:sz w:val="13"/>
                <w:szCs w:val="13"/>
                <w:color w:val="auto"/>
              </w:rPr>
            </w:pPr>
          </w:p>
        </w:tc>
        <w:tc>
          <w:tcPr>
            <w:tcW w:w="840" w:type="dxa"/>
            <w:vAlign w:val="bottom"/>
            <w:vMerge w:val="restart"/>
          </w:tcPr>
          <w:p>
            <w:pPr>
              <w:jc w:val="right"/>
              <w:ind w:right="118"/>
              <w:spacing w:after="0"/>
              <w:rPr>
                <w:sz w:val="20"/>
                <w:szCs w:val="20"/>
                <w:color w:val="auto"/>
              </w:rPr>
            </w:pPr>
            <w:r>
              <w:rPr>
                <w:rFonts w:ascii="Arial" w:cs="Arial" w:eastAsia="Arial" w:hAnsi="Arial"/>
                <w:sz w:val="13"/>
                <w:szCs w:val="13"/>
                <w:color w:val="auto"/>
              </w:rPr>
              <w:t>58,327</w:t>
            </w: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4,734,443</w:t>
            </w:r>
          </w:p>
        </w:tc>
        <w:tc>
          <w:tcPr>
            <w:tcW w:w="0" w:type="dxa"/>
            <w:vAlign w:val="bottom"/>
          </w:tcPr>
          <w:p>
            <w:pPr>
              <w:spacing w:after="0"/>
              <w:rPr>
                <w:sz w:val="1"/>
                <w:szCs w:val="1"/>
                <w:color w:val="auto"/>
              </w:rPr>
            </w:pPr>
          </w:p>
        </w:tc>
      </w:tr>
      <w:tr>
        <w:trPr>
          <w:trHeight w:val="149"/>
        </w:trPr>
        <w:tc>
          <w:tcPr>
            <w:tcW w:w="2080" w:type="dxa"/>
            <w:vAlign w:val="bottom"/>
          </w:tcPr>
          <w:p>
            <w:pPr>
              <w:ind w:left="20"/>
              <w:spacing w:after="0"/>
              <w:rPr>
                <w:sz w:val="20"/>
                <w:szCs w:val="20"/>
                <w:color w:val="auto"/>
              </w:rPr>
            </w:pPr>
            <w:r>
              <w:rPr>
                <w:rFonts w:ascii="Arial" w:cs="Arial" w:eastAsia="Arial" w:hAnsi="Arial"/>
                <w:sz w:val="13"/>
                <w:szCs w:val="13"/>
                <w:color w:val="auto"/>
              </w:rPr>
              <w:t>President and</w:t>
            </w:r>
          </w:p>
        </w:tc>
        <w:tc>
          <w:tcPr>
            <w:tcW w:w="52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tcPr>
          <w:p>
            <w:pPr>
              <w:ind w:left="20"/>
              <w:spacing w:after="0"/>
              <w:rPr>
                <w:sz w:val="20"/>
                <w:szCs w:val="20"/>
                <w:color w:val="auto"/>
              </w:rPr>
            </w:pPr>
            <w:r>
              <w:rPr>
                <w:rFonts w:ascii="Arial" w:cs="Arial" w:eastAsia="Arial" w:hAnsi="Arial"/>
                <w:sz w:val="13"/>
                <w:szCs w:val="13"/>
                <w:color w:val="auto"/>
              </w:rPr>
              <w:t>Chief Executive</w:t>
            </w:r>
          </w:p>
        </w:tc>
        <w:tc>
          <w:tcPr>
            <w:tcW w:w="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80" w:type="dxa"/>
            <w:vAlign w:val="bottom"/>
          </w:tcPr>
          <w:p>
            <w:pPr>
              <w:ind w:left="20"/>
              <w:spacing w:after="0"/>
              <w:rPr>
                <w:sz w:val="20"/>
                <w:szCs w:val="20"/>
                <w:color w:val="auto"/>
              </w:rPr>
            </w:pPr>
            <w:r>
              <w:rPr>
                <w:rFonts w:ascii="Arial" w:cs="Arial" w:eastAsia="Arial" w:hAnsi="Arial"/>
                <w:sz w:val="13"/>
                <w:szCs w:val="13"/>
                <w:color w:val="auto"/>
              </w:rPr>
              <w:t>Officer, Building Automation</w:t>
            </w: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2080" w:type="dxa"/>
            <w:vAlign w:val="bottom"/>
            <w:tcBorders>
              <w:bottom w:val="single" w:sz="8" w:color="939598"/>
            </w:tcBorders>
          </w:tcPr>
          <w:p>
            <w:pPr>
              <w:spacing w:after="0"/>
              <w:rPr>
                <w:sz w:val="22"/>
                <w:szCs w:val="22"/>
                <w:color w:val="auto"/>
              </w:rPr>
            </w:pPr>
          </w:p>
        </w:tc>
        <w:tc>
          <w:tcPr>
            <w:tcW w:w="520" w:type="dxa"/>
            <w:vAlign w:val="bottom"/>
            <w:tcBorders>
              <w:bottom w:val="single" w:sz="8" w:color="939598"/>
            </w:tcBorders>
          </w:tcPr>
          <w:p>
            <w:pPr>
              <w:spacing w:after="0"/>
              <w:rPr>
                <w:sz w:val="22"/>
                <w:szCs w:val="22"/>
                <w:color w:val="auto"/>
              </w:rPr>
            </w:pPr>
          </w:p>
        </w:tc>
        <w:tc>
          <w:tcPr>
            <w:tcW w:w="1180" w:type="dxa"/>
            <w:vAlign w:val="bottom"/>
            <w:tcBorders>
              <w:bottom w:val="single" w:sz="8" w:color="939598"/>
            </w:tcBorders>
          </w:tcPr>
          <w:p>
            <w:pPr>
              <w:spacing w:after="0"/>
              <w:rPr>
                <w:sz w:val="22"/>
                <w:szCs w:val="22"/>
                <w:color w:val="auto"/>
              </w:rPr>
            </w:pPr>
          </w:p>
        </w:tc>
        <w:tc>
          <w:tcPr>
            <w:tcW w:w="740" w:type="dxa"/>
            <w:vAlign w:val="bottom"/>
            <w:tcBorders>
              <w:bottom w:val="single" w:sz="8" w:color="939598"/>
            </w:tcBorders>
          </w:tcPr>
          <w:p>
            <w:pPr>
              <w:spacing w:after="0"/>
              <w:rPr>
                <w:sz w:val="22"/>
                <w:szCs w:val="22"/>
                <w:color w:val="auto"/>
              </w:rPr>
            </w:pPr>
          </w:p>
        </w:tc>
        <w:tc>
          <w:tcPr>
            <w:tcW w:w="840" w:type="dxa"/>
            <w:vAlign w:val="bottom"/>
            <w:tcBorders>
              <w:bottom w:val="single" w:sz="8" w:color="939598"/>
            </w:tcBorders>
          </w:tcPr>
          <w:p>
            <w:pPr>
              <w:spacing w:after="0"/>
              <w:rPr>
                <w:sz w:val="22"/>
                <w:szCs w:val="22"/>
                <w:color w:val="auto"/>
              </w:rPr>
            </w:pPr>
          </w:p>
        </w:tc>
        <w:tc>
          <w:tcPr>
            <w:tcW w:w="1120" w:type="dxa"/>
            <w:vAlign w:val="bottom"/>
            <w:tcBorders>
              <w:bottom w:val="single" w:sz="8" w:color="939598"/>
            </w:tcBorders>
          </w:tcPr>
          <w:p>
            <w:pPr>
              <w:spacing w:after="0"/>
              <w:rPr>
                <w:sz w:val="22"/>
                <w:szCs w:val="22"/>
                <w:color w:val="auto"/>
              </w:rPr>
            </w:pPr>
          </w:p>
        </w:tc>
        <w:tc>
          <w:tcPr>
            <w:tcW w:w="1220" w:type="dxa"/>
            <w:vAlign w:val="bottom"/>
            <w:tcBorders>
              <w:bottom w:val="single" w:sz="8" w:color="939598"/>
            </w:tcBorders>
          </w:tcPr>
          <w:p>
            <w:pPr>
              <w:spacing w:after="0"/>
              <w:rPr>
                <w:sz w:val="22"/>
                <w:szCs w:val="22"/>
                <w:color w:val="auto"/>
              </w:rPr>
            </w:pPr>
          </w:p>
        </w:tc>
        <w:tc>
          <w:tcPr>
            <w:tcW w:w="1080" w:type="dxa"/>
            <w:vAlign w:val="bottom"/>
            <w:tcBorders>
              <w:bottom w:val="single" w:sz="8" w:color="939598"/>
            </w:tcBorders>
          </w:tcPr>
          <w:p>
            <w:pPr>
              <w:spacing w:after="0"/>
              <w:rPr>
                <w:sz w:val="22"/>
                <w:szCs w:val="22"/>
                <w:color w:val="auto"/>
              </w:rPr>
            </w:pPr>
          </w:p>
        </w:tc>
        <w:tc>
          <w:tcPr>
            <w:tcW w:w="320" w:type="dxa"/>
            <w:vAlign w:val="bottom"/>
            <w:tcBorders>
              <w:bottom w:val="single" w:sz="8" w:color="939598"/>
            </w:tcBorders>
          </w:tcPr>
          <w:p>
            <w:pPr>
              <w:spacing w:after="0"/>
              <w:rPr>
                <w:sz w:val="22"/>
                <w:szCs w:val="22"/>
                <w:color w:val="auto"/>
              </w:rPr>
            </w:pPr>
          </w:p>
        </w:tc>
        <w:tc>
          <w:tcPr>
            <w:tcW w:w="840" w:type="dxa"/>
            <w:vAlign w:val="bottom"/>
            <w:tcBorders>
              <w:bottom w:val="single" w:sz="8" w:color="939598"/>
            </w:tcBorders>
          </w:tcPr>
          <w:p>
            <w:pPr>
              <w:spacing w:after="0"/>
              <w:rPr>
                <w:sz w:val="22"/>
                <w:szCs w:val="22"/>
                <w:color w:val="auto"/>
              </w:rPr>
            </w:pPr>
          </w:p>
        </w:tc>
        <w:tc>
          <w:tcPr>
            <w:tcW w:w="1100" w:type="dxa"/>
            <w:vAlign w:val="bottom"/>
            <w:tcBorders>
              <w:bottom w:val="single" w:sz="8" w:color="939598"/>
            </w:tcBorders>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2080" w:type="dxa"/>
            <w:vAlign w:val="bottom"/>
          </w:tcPr>
          <w:p>
            <w:pPr>
              <w:ind w:left="20"/>
              <w:spacing w:after="0"/>
              <w:rPr>
                <w:sz w:val="20"/>
                <w:szCs w:val="20"/>
                <w:color w:val="auto"/>
              </w:rPr>
            </w:pPr>
            <w:r>
              <w:rPr>
                <w:rFonts w:ascii="Arial" w:cs="Arial" w:eastAsia="Arial" w:hAnsi="Arial"/>
                <w:sz w:val="13"/>
                <w:szCs w:val="13"/>
                <w:b w:val="1"/>
                <w:bCs w:val="1"/>
                <w:color w:val="auto"/>
              </w:rPr>
              <w:t>Gregory P. Lewis</w:t>
            </w:r>
          </w:p>
        </w:tc>
        <w:tc>
          <w:tcPr>
            <w:tcW w:w="520" w:type="dxa"/>
            <w:vAlign w:val="bottom"/>
            <w:vMerge w:val="restart"/>
          </w:tcPr>
          <w:p>
            <w:pPr>
              <w:jc w:val="center"/>
              <w:spacing w:after="0"/>
              <w:rPr>
                <w:sz w:val="20"/>
                <w:szCs w:val="20"/>
                <w:color w:val="auto"/>
              </w:rPr>
            </w:pPr>
            <w:r>
              <w:rPr>
                <w:rFonts w:ascii="Arial" w:cs="Arial" w:eastAsia="Arial" w:hAnsi="Arial"/>
                <w:sz w:val="13"/>
                <w:szCs w:val="13"/>
                <w:color w:val="auto"/>
                <w:w w:val="96"/>
              </w:rPr>
              <w:t>2025</w:t>
            </w:r>
          </w:p>
        </w:tc>
        <w:tc>
          <w:tcPr>
            <w:tcW w:w="1180" w:type="dxa"/>
            <w:vAlign w:val="bottom"/>
            <w:vMerge w:val="restart"/>
          </w:tcPr>
          <w:p>
            <w:pPr>
              <w:jc w:val="right"/>
              <w:ind w:right="198"/>
              <w:spacing w:after="0"/>
              <w:rPr>
                <w:sz w:val="20"/>
                <w:szCs w:val="20"/>
                <w:color w:val="auto"/>
              </w:rPr>
            </w:pPr>
            <w:r>
              <w:rPr>
                <w:rFonts w:ascii="Arial" w:cs="Arial" w:eastAsia="Arial" w:hAnsi="Arial"/>
                <w:sz w:val="13"/>
                <w:szCs w:val="13"/>
                <w:color w:val="auto"/>
              </w:rPr>
              <w:t>428,423</w:t>
            </w:r>
          </w:p>
        </w:tc>
        <w:tc>
          <w:tcPr>
            <w:tcW w:w="740" w:type="dxa"/>
            <w:vAlign w:val="bottom"/>
            <w:vMerge w:val="restart"/>
          </w:tcPr>
          <w:p>
            <w:pPr>
              <w:ind w:left="360"/>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ind w:right="58"/>
              <w:spacing w:after="0"/>
              <w:rPr>
                <w:sz w:val="20"/>
                <w:szCs w:val="20"/>
                <w:color w:val="auto"/>
              </w:rPr>
            </w:pPr>
            <w:r>
              <w:rPr>
                <w:rFonts w:ascii="Arial" w:cs="Arial" w:eastAsia="Arial" w:hAnsi="Arial"/>
                <w:sz w:val="13"/>
                <w:szCs w:val="13"/>
                <w:color w:val="auto"/>
              </w:rPr>
              <w:t>738,607</w:t>
            </w:r>
          </w:p>
        </w:tc>
        <w:tc>
          <w:tcPr>
            <w:tcW w:w="1120" w:type="dxa"/>
            <w:vAlign w:val="bottom"/>
            <w:vMerge w:val="restart"/>
          </w:tcPr>
          <w:p>
            <w:pPr>
              <w:jc w:val="right"/>
              <w:ind w:right="158"/>
              <w:spacing w:after="0"/>
              <w:rPr>
                <w:sz w:val="20"/>
                <w:szCs w:val="20"/>
                <w:color w:val="auto"/>
              </w:rPr>
            </w:pPr>
            <w:r>
              <w:rPr>
                <w:rFonts w:ascii="Arial" w:cs="Arial" w:eastAsia="Arial" w:hAnsi="Arial"/>
                <w:sz w:val="13"/>
                <w:szCs w:val="13"/>
                <w:color w:val="auto"/>
              </w:rPr>
              <w:t>249,774</w:t>
            </w:r>
          </w:p>
        </w:tc>
        <w:tc>
          <w:tcPr>
            <w:tcW w:w="1220" w:type="dxa"/>
            <w:vAlign w:val="bottom"/>
            <w:vMerge w:val="restart"/>
          </w:tcPr>
          <w:p>
            <w:pPr>
              <w:jc w:val="right"/>
              <w:ind w:right="159"/>
              <w:spacing w:after="0"/>
              <w:rPr>
                <w:sz w:val="20"/>
                <w:szCs w:val="20"/>
                <w:color w:val="auto"/>
              </w:rPr>
            </w:pPr>
            <w:r>
              <w:rPr>
                <w:rFonts w:ascii="Arial" w:cs="Arial" w:eastAsia="Arial" w:hAnsi="Arial"/>
                <w:sz w:val="13"/>
                <w:szCs w:val="13"/>
                <w:color w:val="auto"/>
              </w:rPr>
              <w:t>381,000</w:t>
            </w:r>
          </w:p>
        </w:tc>
        <w:tc>
          <w:tcPr>
            <w:tcW w:w="1080" w:type="dxa"/>
            <w:vAlign w:val="bottom"/>
            <w:vMerge w:val="restart"/>
          </w:tcPr>
          <w:p>
            <w:pPr>
              <w:jc w:val="right"/>
              <w:ind w:right="139"/>
              <w:spacing w:after="0"/>
              <w:rPr>
                <w:sz w:val="20"/>
                <w:szCs w:val="20"/>
                <w:color w:val="auto"/>
              </w:rPr>
            </w:pPr>
            <w:r>
              <w:rPr>
                <w:rFonts w:ascii="Arial" w:cs="Arial" w:eastAsia="Arial" w:hAnsi="Arial"/>
                <w:sz w:val="13"/>
                <w:szCs w:val="13"/>
                <w:color w:val="auto"/>
              </w:rPr>
              <w:t>103,446</w:t>
            </w:r>
          </w:p>
        </w:tc>
        <w:tc>
          <w:tcPr>
            <w:tcW w:w="320" w:type="dxa"/>
            <w:vAlign w:val="bottom"/>
          </w:tcPr>
          <w:p>
            <w:pPr>
              <w:spacing w:after="0"/>
              <w:rPr>
                <w:sz w:val="13"/>
                <w:szCs w:val="13"/>
                <w:color w:val="auto"/>
              </w:rPr>
            </w:pPr>
          </w:p>
        </w:tc>
        <w:tc>
          <w:tcPr>
            <w:tcW w:w="840" w:type="dxa"/>
            <w:vAlign w:val="bottom"/>
            <w:vMerge w:val="restart"/>
          </w:tcPr>
          <w:p>
            <w:pPr>
              <w:jc w:val="right"/>
              <w:ind w:right="118"/>
              <w:spacing w:after="0"/>
              <w:rPr>
                <w:sz w:val="20"/>
                <w:szCs w:val="20"/>
                <w:color w:val="auto"/>
              </w:rPr>
            </w:pPr>
            <w:r>
              <w:rPr>
                <w:rFonts w:ascii="Arial" w:cs="Arial" w:eastAsia="Arial" w:hAnsi="Arial"/>
                <w:sz w:val="13"/>
                <w:szCs w:val="13"/>
                <w:color w:val="auto"/>
              </w:rPr>
              <w:t>38,190</w:t>
            </w: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1,939,440</w:t>
            </w:r>
          </w:p>
        </w:tc>
        <w:tc>
          <w:tcPr>
            <w:tcW w:w="0" w:type="dxa"/>
            <w:vAlign w:val="bottom"/>
          </w:tcPr>
          <w:p>
            <w:pPr>
              <w:spacing w:after="0"/>
              <w:rPr>
                <w:sz w:val="1"/>
                <w:szCs w:val="1"/>
                <w:color w:val="auto"/>
              </w:rPr>
            </w:pPr>
          </w:p>
        </w:tc>
      </w:tr>
      <w:tr>
        <w:trPr>
          <w:trHeight w:val="148"/>
        </w:trPr>
        <w:tc>
          <w:tcPr>
            <w:tcW w:w="2080" w:type="dxa"/>
            <w:vAlign w:val="bottom"/>
          </w:tcPr>
          <w:p>
            <w:pPr>
              <w:ind w:left="20"/>
              <w:spacing w:after="0"/>
              <w:rPr>
                <w:sz w:val="20"/>
                <w:szCs w:val="20"/>
                <w:color w:val="auto"/>
              </w:rPr>
            </w:pPr>
            <w:r>
              <w:rPr>
                <w:rFonts w:ascii="Arial" w:cs="Arial" w:eastAsia="Arial" w:hAnsi="Arial"/>
                <w:sz w:val="13"/>
                <w:szCs w:val="13"/>
                <w:color w:val="auto"/>
              </w:rPr>
              <w:t>Former Senior Vice President and</w:t>
            </w:r>
          </w:p>
        </w:tc>
        <w:tc>
          <w:tcPr>
            <w:tcW w:w="52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080" w:type="dxa"/>
            <w:vAlign w:val="bottom"/>
          </w:tcPr>
          <w:p>
            <w:pPr>
              <w:ind w:left="20"/>
              <w:spacing w:after="0" w:line="106" w:lineRule="exact"/>
              <w:rPr>
                <w:sz w:val="20"/>
                <w:szCs w:val="20"/>
                <w:color w:val="auto"/>
              </w:rPr>
            </w:pPr>
            <w:r>
              <w:rPr>
                <w:rFonts w:ascii="Arial" w:cs="Arial" w:eastAsia="Arial" w:hAnsi="Arial"/>
                <w:sz w:val="12"/>
                <w:szCs w:val="12"/>
                <w:color w:val="auto"/>
              </w:rPr>
              <w:t>Chief Financial Officer</w:t>
            </w:r>
          </w:p>
        </w:tc>
        <w:tc>
          <w:tcPr>
            <w:tcW w:w="520" w:type="dxa"/>
            <w:vAlign w:val="bottom"/>
            <w:tcBorders>
              <w:bottom w:val="single" w:sz="8" w:color="939598"/>
            </w:tcBorders>
          </w:tcPr>
          <w:p>
            <w:pPr>
              <w:spacing w:after="0"/>
              <w:rPr>
                <w:sz w:val="9"/>
                <w:szCs w:val="9"/>
                <w:color w:val="auto"/>
              </w:rPr>
            </w:pPr>
          </w:p>
        </w:tc>
        <w:tc>
          <w:tcPr>
            <w:tcW w:w="1180" w:type="dxa"/>
            <w:vAlign w:val="bottom"/>
            <w:tcBorders>
              <w:bottom w:val="single" w:sz="8" w:color="939598"/>
            </w:tcBorders>
          </w:tcPr>
          <w:p>
            <w:pPr>
              <w:spacing w:after="0"/>
              <w:rPr>
                <w:sz w:val="9"/>
                <w:szCs w:val="9"/>
                <w:color w:val="auto"/>
              </w:rPr>
            </w:pPr>
          </w:p>
        </w:tc>
        <w:tc>
          <w:tcPr>
            <w:tcW w:w="740" w:type="dxa"/>
            <w:vAlign w:val="bottom"/>
            <w:tcBorders>
              <w:bottom w:val="single" w:sz="8" w:color="939598"/>
            </w:tcBorders>
          </w:tcPr>
          <w:p>
            <w:pPr>
              <w:spacing w:after="0"/>
              <w:rPr>
                <w:sz w:val="9"/>
                <w:szCs w:val="9"/>
                <w:color w:val="auto"/>
              </w:rPr>
            </w:pPr>
          </w:p>
        </w:tc>
        <w:tc>
          <w:tcPr>
            <w:tcW w:w="840" w:type="dxa"/>
            <w:vAlign w:val="bottom"/>
            <w:tcBorders>
              <w:bottom w:val="single" w:sz="8" w:color="939598"/>
            </w:tcBorders>
          </w:tcPr>
          <w:p>
            <w:pPr>
              <w:spacing w:after="0"/>
              <w:rPr>
                <w:sz w:val="9"/>
                <w:szCs w:val="9"/>
                <w:color w:val="auto"/>
              </w:rPr>
            </w:pPr>
          </w:p>
        </w:tc>
        <w:tc>
          <w:tcPr>
            <w:tcW w:w="1120" w:type="dxa"/>
            <w:vAlign w:val="bottom"/>
            <w:tcBorders>
              <w:bottom w:val="single" w:sz="8" w:color="939598"/>
            </w:tcBorders>
          </w:tcPr>
          <w:p>
            <w:pPr>
              <w:spacing w:after="0"/>
              <w:rPr>
                <w:sz w:val="9"/>
                <w:szCs w:val="9"/>
                <w:color w:val="auto"/>
              </w:rPr>
            </w:pPr>
          </w:p>
        </w:tc>
        <w:tc>
          <w:tcPr>
            <w:tcW w:w="1220" w:type="dxa"/>
            <w:vAlign w:val="bottom"/>
            <w:tcBorders>
              <w:bottom w:val="single" w:sz="8" w:color="939598"/>
            </w:tcBorders>
          </w:tcPr>
          <w:p>
            <w:pPr>
              <w:spacing w:after="0"/>
              <w:rPr>
                <w:sz w:val="9"/>
                <w:szCs w:val="9"/>
                <w:color w:val="auto"/>
              </w:rPr>
            </w:pPr>
          </w:p>
        </w:tc>
        <w:tc>
          <w:tcPr>
            <w:tcW w:w="1080" w:type="dxa"/>
            <w:vAlign w:val="bottom"/>
            <w:tcBorders>
              <w:bottom w:val="single" w:sz="8" w:color="939598"/>
            </w:tcBorders>
          </w:tcPr>
          <w:p>
            <w:pPr>
              <w:spacing w:after="0"/>
              <w:rPr>
                <w:sz w:val="9"/>
                <w:szCs w:val="9"/>
                <w:color w:val="auto"/>
              </w:rPr>
            </w:pPr>
          </w:p>
        </w:tc>
        <w:tc>
          <w:tcPr>
            <w:tcW w:w="320" w:type="dxa"/>
            <w:vAlign w:val="bottom"/>
            <w:tcBorders>
              <w:bottom w:val="single" w:sz="8" w:color="939598"/>
            </w:tcBorders>
          </w:tcPr>
          <w:p>
            <w:pPr>
              <w:spacing w:after="0"/>
              <w:rPr>
                <w:sz w:val="9"/>
                <w:szCs w:val="9"/>
                <w:color w:val="auto"/>
              </w:rPr>
            </w:pPr>
          </w:p>
        </w:tc>
        <w:tc>
          <w:tcPr>
            <w:tcW w:w="840" w:type="dxa"/>
            <w:vAlign w:val="bottom"/>
            <w:tcBorders>
              <w:bottom w:val="single" w:sz="8" w:color="939598"/>
            </w:tcBorders>
          </w:tcPr>
          <w:p>
            <w:pPr>
              <w:spacing w:after="0"/>
              <w:rPr>
                <w:sz w:val="9"/>
                <w:szCs w:val="9"/>
                <w:color w:val="auto"/>
              </w:rPr>
            </w:pPr>
          </w:p>
        </w:tc>
        <w:tc>
          <w:tcPr>
            <w:tcW w:w="1100" w:type="dxa"/>
            <w:vAlign w:val="bottom"/>
            <w:tcBorders>
              <w:bottom w:val="single" w:sz="8" w:color="939598"/>
            </w:tcBorders>
          </w:tcPr>
          <w:p>
            <w:pPr>
              <w:spacing w:after="0"/>
              <w:rPr>
                <w:sz w:val="9"/>
                <w:szCs w:val="9"/>
                <w:color w:val="auto"/>
              </w:rPr>
            </w:pPr>
          </w:p>
        </w:tc>
        <w:tc>
          <w:tcPr>
            <w:tcW w:w="0" w:type="dxa"/>
            <w:vAlign w:val="bottom"/>
          </w:tcPr>
          <w:p>
            <w:pPr>
              <w:spacing w:after="0"/>
              <w:rPr>
                <w:sz w:val="1"/>
                <w:szCs w:val="1"/>
                <w:color w:val="auto"/>
              </w:rPr>
            </w:pPr>
          </w:p>
        </w:tc>
      </w:tr>
      <w:tr>
        <w:trPr>
          <w:trHeight w:val="276"/>
        </w:trPr>
        <w:tc>
          <w:tcPr>
            <w:tcW w:w="208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3"/>
                <w:szCs w:val="13"/>
                <w:color w:val="auto"/>
                <w:w w:val="96"/>
              </w:rPr>
              <w:t>2024</w:t>
            </w:r>
          </w:p>
        </w:tc>
        <w:tc>
          <w:tcPr>
            <w:tcW w:w="1180" w:type="dxa"/>
            <w:vAlign w:val="bottom"/>
          </w:tcPr>
          <w:p>
            <w:pPr>
              <w:jc w:val="right"/>
              <w:ind w:right="198"/>
              <w:spacing w:after="0"/>
              <w:rPr>
                <w:sz w:val="20"/>
                <w:szCs w:val="20"/>
                <w:color w:val="auto"/>
              </w:rPr>
            </w:pPr>
            <w:r>
              <w:rPr>
                <w:rFonts w:ascii="Arial" w:cs="Arial" w:eastAsia="Arial" w:hAnsi="Arial"/>
                <w:sz w:val="13"/>
                <w:szCs w:val="13"/>
                <w:color w:val="auto"/>
              </w:rPr>
              <w:t>1,000,961</w:t>
            </w:r>
          </w:p>
        </w:tc>
        <w:tc>
          <w:tcPr>
            <w:tcW w:w="740" w:type="dxa"/>
            <w:vAlign w:val="bottom"/>
          </w:tcPr>
          <w:p>
            <w:pPr>
              <w:ind w:left="3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8"/>
              <w:spacing w:after="0"/>
              <w:rPr>
                <w:sz w:val="20"/>
                <w:szCs w:val="20"/>
                <w:color w:val="auto"/>
              </w:rPr>
            </w:pPr>
            <w:r>
              <w:rPr>
                <w:rFonts w:ascii="Arial" w:cs="Arial" w:eastAsia="Arial" w:hAnsi="Arial"/>
                <w:sz w:val="13"/>
                <w:szCs w:val="13"/>
                <w:color w:val="auto"/>
              </w:rPr>
              <w:t>4,500,003</w:t>
            </w:r>
          </w:p>
        </w:tc>
        <w:tc>
          <w:tcPr>
            <w:tcW w:w="1120" w:type="dxa"/>
            <w:vAlign w:val="bottom"/>
          </w:tcPr>
          <w:p>
            <w:pPr>
              <w:jc w:val="right"/>
              <w:ind w:right="158"/>
              <w:spacing w:after="0"/>
              <w:rPr>
                <w:sz w:val="20"/>
                <w:szCs w:val="20"/>
                <w:color w:val="auto"/>
              </w:rPr>
            </w:pPr>
            <w:r>
              <w:rPr>
                <w:rFonts w:ascii="Arial" w:cs="Arial" w:eastAsia="Arial" w:hAnsi="Arial"/>
                <w:sz w:val="13"/>
                <w:szCs w:val="13"/>
                <w:color w:val="auto"/>
              </w:rPr>
              <w:t>1,499,999</w:t>
            </w:r>
          </w:p>
        </w:tc>
        <w:tc>
          <w:tcPr>
            <w:tcW w:w="1220" w:type="dxa"/>
            <w:vAlign w:val="bottom"/>
          </w:tcPr>
          <w:p>
            <w:pPr>
              <w:jc w:val="right"/>
              <w:ind w:right="159"/>
              <w:spacing w:after="0"/>
              <w:rPr>
                <w:sz w:val="20"/>
                <w:szCs w:val="20"/>
                <w:color w:val="auto"/>
              </w:rPr>
            </w:pPr>
            <w:r>
              <w:rPr>
                <w:rFonts w:ascii="Arial" w:cs="Arial" w:eastAsia="Arial" w:hAnsi="Arial"/>
                <w:sz w:val="13"/>
                <w:szCs w:val="13"/>
                <w:color w:val="auto"/>
              </w:rPr>
              <w:t>970,800</w:t>
            </w:r>
          </w:p>
        </w:tc>
        <w:tc>
          <w:tcPr>
            <w:tcW w:w="1080" w:type="dxa"/>
            <w:vAlign w:val="bottom"/>
          </w:tcPr>
          <w:p>
            <w:pPr>
              <w:jc w:val="right"/>
              <w:ind w:right="139"/>
              <w:spacing w:after="0"/>
              <w:rPr>
                <w:sz w:val="20"/>
                <w:szCs w:val="20"/>
                <w:color w:val="auto"/>
              </w:rPr>
            </w:pPr>
            <w:r>
              <w:rPr>
                <w:rFonts w:ascii="Arial" w:cs="Arial" w:eastAsia="Arial" w:hAnsi="Arial"/>
                <w:sz w:val="13"/>
                <w:szCs w:val="13"/>
                <w:color w:val="auto"/>
              </w:rPr>
              <w:t>265,775</w:t>
            </w:r>
          </w:p>
        </w:tc>
        <w:tc>
          <w:tcPr>
            <w:tcW w:w="320" w:type="dxa"/>
            <w:vAlign w:val="bottom"/>
          </w:tcPr>
          <w:p>
            <w:pPr>
              <w:spacing w:after="0"/>
              <w:rPr>
                <w:sz w:val="24"/>
                <w:szCs w:val="24"/>
                <w:color w:val="auto"/>
              </w:rPr>
            </w:pPr>
          </w:p>
        </w:tc>
        <w:tc>
          <w:tcPr>
            <w:tcW w:w="840" w:type="dxa"/>
            <w:vAlign w:val="bottom"/>
          </w:tcPr>
          <w:p>
            <w:pPr>
              <w:jc w:val="right"/>
              <w:ind w:right="118"/>
              <w:spacing w:after="0"/>
              <w:rPr>
                <w:sz w:val="20"/>
                <w:szCs w:val="20"/>
                <w:color w:val="auto"/>
              </w:rPr>
            </w:pPr>
            <w:r>
              <w:rPr>
                <w:rFonts w:ascii="Arial" w:cs="Arial" w:eastAsia="Arial" w:hAnsi="Arial"/>
                <w:sz w:val="13"/>
                <w:szCs w:val="13"/>
                <w:color w:val="auto"/>
              </w:rPr>
              <w:t>93,355</w:t>
            </w:r>
          </w:p>
        </w:tc>
        <w:tc>
          <w:tcPr>
            <w:tcW w:w="1100" w:type="dxa"/>
            <w:vAlign w:val="bottom"/>
          </w:tcPr>
          <w:p>
            <w:pPr>
              <w:jc w:val="right"/>
              <w:spacing w:after="0"/>
              <w:rPr>
                <w:sz w:val="20"/>
                <w:szCs w:val="20"/>
                <w:color w:val="auto"/>
              </w:rPr>
            </w:pPr>
            <w:r>
              <w:rPr>
                <w:rFonts w:ascii="Arial" w:cs="Arial" w:eastAsia="Arial" w:hAnsi="Arial"/>
                <w:sz w:val="13"/>
                <w:szCs w:val="13"/>
                <w:color w:val="auto"/>
              </w:rPr>
              <w:t>8,330,894</w:t>
            </w: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520" w:type="dxa"/>
            <w:vAlign w:val="bottom"/>
            <w:tcBorders>
              <w:bottom w:val="single" w:sz="8" w:color="939598"/>
            </w:tcBorders>
          </w:tcPr>
          <w:p>
            <w:pPr>
              <w:spacing w:after="0"/>
              <w:rPr>
                <w:sz w:val="11"/>
                <w:szCs w:val="11"/>
                <w:color w:val="auto"/>
              </w:rPr>
            </w:pPr>
          </w:p>
        </w:tc>
        <w:tc>
          <w:tcPr>
            <w:tcW w:w="1180" w:type="dxa"/>
            <w:vAlign w:val="bottom"/>
            <w:tcBorders>
              <w:bottom w:val="single" w:sz="8" w:color="939598"/>
            </w:tcBorders>
          </w:tcPr>
          <w:p>
            <w:pPr>
              <w:spacing w:after="0"/>
              <w:rPr>
                <w:sz w:val="11"/>
                <w:szCs w:val="11"/>
                <w:color w:val="auto"/>
              </w:rPr>
            </w:pPr>
          </w:p>
        </w:tc>
        <w:tc>
          <w:tcPr>
            <w:tcW w:w="740" w:type="dxa"/>
            <w:vAlign w:val="bottom"/>
            <w:tcBorders>
              <w:bottom w:val="single" w:sz="8" w:color="939598"/>
            </w:tcBorders>
          </w:tcPr>
          <w:p>
            <w:pPr>
              <w:spacing w:after="0"/>
              <w:rPr>
                <w:sz w:val="11"/>
                <w:szCs w:val="11"/>
                <w:color w:val="auto"/>
              </w:rPr>
            </w:pPr>
          </w:p>
        </w:tc>
        <w:tc>
          <w:tcPr>
            <w:tcW w:w="840" w:type="dxa"/>
            <w:vAlign w:val="bottom"/>
            <w:tcBorders>
              <w:bottom w:val="single" w:sz="8" w:color="939598"/>
            </w:tcBorders>
          </w:tcPr>
          <w:p>
            <w:pPr>
              <w:spacing w:after="0"/>
              <w:rPr>
                <w:sz w:val="11"/>
                <w:szCs w:val="11"/>
                <w:color w:val="auto"/>
              </w:rPr>
            </w:pPr>
          </w:p>
        </w:tc>
        <w:tc>
          <w:tcPr>
            <w:tcW w:w="1120" w:type="dxa"/>
            <w:vAlign w:val="bottom"/>
            <w:tcBorders>
              <w:bottom w:val="single" w:sz="8" w:color="939598"/>
            </w:tcBorders>
          </w:tcPr>
          <w:p>
            <w:pPr>
              <w:spacing w:after="0"/>
              <w:rPr>
                <w:sz w:val="11"/>
                <w:szCs w:val="11"/>
                <w:color w:val="auto"/>
              </w:rPr>
            </w:pPr>
          </w:p>
        </w:tc>
        <w:tc>
          <w:tcPr>
            <w:tcW w:w="1220" w:type="dxa"/>
            <w:vAlign w:val="bottom"/>
            <w:tcBorders>
              <w:bottom w:val="single" w:sz="8" w:color="939598"/>
            </w:tcBorders>
          </w:tcPr>
          <w:p>
            <w:pPr>
              <w:spacing w:after="0"/>
              <w:rPr>
                <w:sz w:val="11"/>
                <w:szCs w:val="11"/>
                <w:color w:val="auto"/>
              </w:rPr>
            </w:pPr>
          </w:p>
        </w:tc>
        <w:tc>
          <w:tcPr>
            <w:tcW w:w="1080" w:type="dxa"/>
            <w:vAlign w:val="bottom"/>
            <w:tcBorders>
              <w:bottom w:val="single" w:sz="8" w:color="939598"/>
            </w:tcBorders>
          </w:tcPr>
          <w:p>
            <w:pPr>
              <w:spacing w:after="0"/>
              <w:rPr>
                <w:sz w:val="11"/>
                <w:szCs w:val="11"/>
                <w:color w:val="auto"/>
              </w:rPr>
            </w:pPr>
          </w:p>
        </w:tc>
        <w:tc>
          <w:tcPr>
            <w:tcW w:w="320" w:type="dxa"/>
            <w:vAlign w:val="bottom"/>
            <w:tcBorders>
              <w:bottom w:val="single" w:sz="8" w:color="939598"/>
            </w:tcBorders>
          </w:tcPr>
          <w:p>
            <w:pPr>
              <w:spacing w:after="0"/>
              <w:rPr>
                <w:sz w:val="11"/>
                <w:szCs w:val="11"/>
                <w:color w:val="auto"/>
              </w:rPr>
            </w:pPr>
          </w:p>
        </w:tc>
        <w:tc>
          <w:tcPr>
            <w:tcW w:w="840" w:type="dxa"/>
            <w:vAlign w:val="bottom"/>
            <w:tcBorders>
              <w:bottom w:val="single" w:sz="8" w:color="939598"/>
            </w:tcBorders>
          </w:tcPr>
          <w:p>
            <w:pPr>
              <w:spacing w:after="0"/>
              <w:rPr>
                <w:sz w:val="11"/>
                <w:szCs w:val="11"/>
                <w:color w:val="auto"/>
              </w:rPr>
            </w:pPr>
          </w:p>
        </w:tc>
        <w:tc>
          <w:tcPr>
            <w:tcW w:w="110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208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3"/>
                <w:szCs w:val="13"/>
                <w:color w:val="auto"/>
                <w:w w:val="96"/>
              </w:rPr>
              <w:t>2023</w:t>
            </w:r>
          </w:p>
        </w:tc>
        <w:tc>
          <w:tcPr>
            <w:tcW w:w="1180" w:type="dxa"/>
            <w:vAlign w:val="bottom"/>
          </w:tcPr>
          <w:p>
            <w:pPr>
              <w:jc w:val="right"/>
              <w:ind w:right="198"/>
              <w:spacing w:after="0"/>
              <w:rPr>
                <w:sz w:val="20"/>
                <w:szCs w:val="20"/>
                <w:color w:val="auto"/>
              </w:rPr>
            </w:pPr>
            <w:r>
              <w:rPr>
                <w:rFonts w:ascii="Arial" w:cs="Arial" w:eastAsia="Arial" w:hAnsi="Arial"/>
                <w:sz w:val="13"/>
                <w:szCs w:val="13"/>
                <w:color w:val="auto"/>
              </w:rPr>
              <w:t>920,612</w:t>
            </w:r>
          </w:p>
        </w:tc>
        <w:tc>
          <w:tcPr>
            <w:tcW w:w="740" w:type="dxa"/>
            <w:vAlign w:val="bottom"/>
          </w:tcPr>
          <w:p>
            <w:pPr>
              <w:ind w:left="3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8"/>
              <w:spacing w:after="0"/>
              <w:rPr>
                <w:sz w:val="20"/>
                <w:szCs w:val="20"/>
                <w:color w:val="auto"/>
              </w:rPr>
            </w:pPr>
            <w:r>
              <w:rPr>
                <w:rFonts w:ascii="Arial" w:cs="Arial" w:eastAsia="Arial" w:hAnsi="Arial"/>
                <w:sz w:val="13"/>
                <w:szCs w:val="13"/>
                <w:color w:val="auto"/>
              </w:rPr>
              <w:t>4,102,410</w:t>
            </w:r>
          </w:p>
        </w:tc>
        <w:tc>
          <w:tcPr>
            <w:tcW w:w="1120" w:type="dxa"/>
            <w:vAlign w:val="bottom"/>
          </w:tcPr>
          <w:p>
            <w:pPr>
              <w:jc w:val="right"/>
              <w:ind w:right="158"/>
              <w:spacing w:after="0"/>
              <w:rPr>
                <w:sz w:val="20"/>
                <w:szCs w:val="20"/>
                <w:color w:val="auto"/>
              </w:rPr>
            </w:pPr>
            <w:r>
              <w:rPr>
                <w:rFonts w:ascii="Arial" w:cs="Arial" w:eastAsia="Arial" w:hAnsi="Arial"/>
                <w:sz w:val="13"/>
                <w:szCs w:val="13"/>
                <w:color w:val="auto"/>
              </w:rPr>
              <w:t>1,367,716</w:t>
            </w:r>
          </w:p>
        </w:tc>
        <w:tc>
          <w:tcPr>
            <w:tcW w:w="1220" w:type="dxa"/>
            <w:vAlign w:val="bottom"/>
          </w:tcPr>
          <w:p>
            <w:pPr>
              <w:jc w:val="right"/>
              <w:ind w:right="159"/>
              <w:spacing w:after="0"/>
              <w:rPr>
                <w:sz w:val="20"/>
                <w:szCs w:val="20"/>
                <w:color w:val="auto"/>
              </w:rPr>
            </w:pPr>
            <w:r>
              <w:rPr>
                <w:rFonts w:ascii="Arial" w:cs="Arial" w:eastAsia="Arial" w:hAnsi="Arial"/>
                <w:sz w:val="13"/>
                <w:szCs w:val="13"/>
                <w:color w:val="auto"/>
              </w:rPr>
              <w:t>1,162,900</w:t>
            </w:r>
          </w:p>
        </w:tc>
        <w:tc>
          <w:tcPr>
            <w:tcW w:w="1080" w:type="dxa"/>
            <w:vAlign w:val="bottom"/>
          </w:tcPr>
          <w:p>
            <w:pPr>
              <w:jc w:val="right"/>
              <w:ind w:right="139"/>
              <w:spacing w:after="0"/>
              <w:rPr>
                <w:sz w:val="20"/>
                <w:szCs w:val="20"/>
                <w:color w:val="auto"/>
              </w:rPr>
            </w:pPr>
            <w:r>
              <w:rPr>
                <w:rFonts w:ascii="Arial" w:cs="Arial" w:eastAsia="Arial" w:hAnsi="Arial"/>
                <w:sz w:val="13"/>
                <w:szCs w:val="13"/>
                <w:color w:val="auto"/>
              </w:rPr>
              <w:t>322,347</w:t>
            </w:r>
          </w:p>
        </w:tc>
        <w:tc>
          <w:tcPr>
            <w:tcW w:w="320" w:type="dxa"/>
            <w:vAlign w:val="bottom"/>
          </w:tcPr>
          <w:p>
            <w:pPr>
              <w:spacing w:after="0"/>
              <w:rPr>
                <w:sz w:val="24"/>
                <w:szCs w:val="24"/>
                <w:color w:val="auto"/>
              </w:rPr>
            </w:pPr>
          </w:p>
        </w:tc>
        <w:tc>
          <w:tcPr>
            <w:tcW w:w="840" w:type="dxa"/>
            <w:vAlign w:val="bottom"/>
          </w:tcPr>
          <w:p>
            <w:pPr>
              <w:jc w:val="right"/>
              <w:ind w:right="118"/>
              <w:spacing w:after="0"/>
              <w:rPr>
                <w:sz w:val="20"/>
                <w:szCs w:val="20"/>
                <w:color w:val="auto"/>
              </w:rPr>
            </w:pPr>
            <w:r>
              <w:rPr>
                <w:rFonts w:ascii="Arial" w:cs="Arial" w:eastAsia="Arial" w:hAnsi="Arial"/>
                <w:sz w:val="13"/>
                <w:szCs w:val="13"/>
                <w:color w:val="auto"/>
              </w:rPr>
              <w:t>75,443</w:t>
            </w:r>
          </w:p>
        </w:tc>
        <w:tc>
          <w:tcPr>
            <w:tcW w:w="1100" w:type="dxa"/>
            <w:vAlign w:val="bottom"/>
          </w:tcPr>
          <w:p>
            <w:pPr>
              <w:jc w:val="right"/>
              <w:spacing w:after="0"/>
              <w:rPr>
                <w:sz w:val="20"/>
                <w:szCs w:val="20"/>
                <w:color w:val="auto"/>
              </w:rPr>
            </w:pPr>
            <w:r>
              <w:rPr>
                <w:rFonts w:ascii="Arial" w:cs="Arial" w:eastAsia="Arial" w:hAnsi="Arial"/>
                <w:sz w:val="13"/>
                <w:szCs w:val="13"/>
                <w:color w:val="auto"/>
              </w:rPr>
              <w:t>7,951,428</w:t>
            </w:r>
          </w:p>
        </w:tc>
        <w:tc>
          <w:tcPr>
            <w:tcW w:w="0" w:type="dxa"/>
            <w:vAlign w:val="bottom"/>
          </w:tcPr>
          <w:p>
            <w:pPr>
              <w:spacing w:after="0"/>
              <w:rPr>
                <w:sz w:val="1"/>
                <w:szCs w:val="1"/>
                <w:color w:val="auto"/>
              </w:rPr>
            </w:pPr>
          </w:p>
        </w:tc>
      </w:tr>
      <w:tr>
        <w:trPr>
          <w:trHeight w:val="135"/>
        </w:trPr>
        <w:tc>
          <w:tcPr>
            <w:tcW w:w="2080" w:type="dxa"/>
            <w:vAlign w:val="bottom"/>
            <w:tcBorders>
              <w:bottom w:val="single" w:sz="8" w:color="939598"/>
            </w:tcBorders>
          </w:tcPr>
          <w:p>
            <w:pPr>
              <w:spacing w:after="0"/>
              <w:rPr>
                <w:sz w:val="11"/>
                <w:szCs w:val="11"/>
                <w:color w:val="auto"/>
              </w:rPr>
            </w:pPr>
          </w:p>
        </w:tc>
        <w:tc>
          <w:tcPr>
            <w:tcW w:w="520" w:type="dxa"/>
            <w:vAlign w:val="bottom"/>
            <w:tcBorders>
              <w:bottom w:val="single" w:sz="8" w:color="939598"/>
            </w:tcBorders>
          </w:tcPr>
          <w:p>
            <w:pPr>
              <w:spacing w:after="0"/>
              <w:rPr>
                <w:sz w:val="11"/>
                <w:szCs w:val="11"/>
                <w:color w:val="auto"/>
              </w:rPr>
            </w:pPr>
          </w:p>
        </w:tc>
        <w:tc>
          <w:tcPr>
            <w:tcW w:w="1180" w:type="dxa"/>
            <w:vAlign w:val="bottom"/>
            <w:tcBorders>
              <w:bottom w:val="single" w:sz="8" w:color="939598"/>
            </w:tcBorders>
          </w:tcPr>
          <w:p>
            <w:pPr>
              <w:spacing w:after="0"/>
              <w:rPr>
                <w:sz w:val="11"/>
                <w:szCs w:val="11"/>
                <w:color w:val="auto"/>
              </w:rPr>
            </w:pPr>
          </w:p>
        </w:tc>
        <w:tc>
          <w:tcPr>
            <w:tcW w:w="740" w:type="dxa"/>
            <w:vAlign w:val="bottom"/>
            <w:tcBorders>
              <w:bottom w:val="single" w:sz="8" w:color="939598"/>
            </w:tcBorders>
          </w:tcPr>
          <w:p>
            <w:pPr>
              <w:spacing w:after="0"/>
              <w:rPr>
                <w:sz w:val="11"/>
                <w:szCs w:val="11"/>
                <w:color w:val="auto"/>
              </w:rPr>
            </w:pPr>
          </w:p>
        </w:tc>
        <w:tc>
          <w:tcPr>
            <w:tcW w:w="840" w:type="dxa"/>
            <w:vAlign w:val="bottom"/>
            <w:tcBorders>
              <w:bottom w:val="single" w:sz="8" w:color="939598"/>
            </w:tcBorders>
          </w:tcPr>
          <w:p>
            <w:pPr>
              <w:spacing w:after="0"/>
              <w:rPr>
                <w:sz w:val="11"/>
                <w:szCs w:val="11"/>
                <w:color w:val="auto"/>
              </w:rPr>
            </w:pPr>
          </w:p>
        </w:tc>
        <w:tc>
          <w:tcPr>
            <w:tcW w:w="1120" w:type="dxa"/>
            <w:vAlign w:val="bottom"/>
            <w:tcBorders>
              <w:bottom w:val="single" w:sz="8" w:color="939598"/>
            </w:tcBorders>
          </w:tcPr>
          <w:p>
            <w:pPr>
              <w:spacing w:after="0"/>
              <w:rPr>
                <w:sz w:val="11"/>
                <w:szCs w:val="11"/>
                <w:color w:val="auto"/>
              </w:rPr>
            </w:pPr>
          </w:p>
        </w:tc>
        <w:tc>
          <w:tcPr>
            <w:tcW w:w="1220" w:type="dxa"/>
            <w:vAlign w:val="bottom"/>
            <w:tcBorders>
              <w:bottom w:val="single" w:sz="8" w:color="939598"/>
            </w:tcBorders>
          </w:tcPr>
          <w:p>
            <w:pPr>
              <w:spacing w:after="0"/>
              <w:rPr>
                <w:sz w:val="11"/>
                <w:szCs w:val="11"/>
                <w:color w:val="auto"/>
              </w:rPr>
            </w:pPr>
          </w:p>
        </w:tc>
        <w:tc>
          <w:tcPr>
            <w:tcW w:w="1080" w:type="dxa"/>
            <w:vAlign w:val="bottom"/>
            <w:tcBorders>
              <w:bottom w:val="single" w:sz="8" w:color="939598"/>
            </w:tcBorders>
          </w:tcPr>
          <w:p>
            <w:pPr>
              <w:spacing w:after="0"/>
              <w:rPr>
                <w:sz w:val="11"/>
                <w:szCs w:val="11"/>
                <w:color w:val="auto"/>
              </w:rPr>
            </w:pPr>
          </w:p>
        </w:tc>
        <w:tc>
          <w:tcPr>
            <w:tcW w:w="320" w:type="dxa"/>
            <w:vAlign w:val="bottom"/>
            <w:tcBorders>
              <w:bottom w:val="single" w:sz="8" w:color="939598"/>
            </w:tcBorders>
          </w:tcPr>
          <w:p>
            <w:pPr>
              <w:spacing w:after="0"/>
              <w:rPr>
                <w:sz w:val="11"/>
                <w:szCs w:val="11"/>
                <w:color w:val="auto"/>
              </w:rPr>
            </w:pPr>
          </w:p>
        </w:tc>
        <w:tc>
          <w:tcPr>
            <w:tcW w:w="840" w:type="dxa"/>
            <w:vAlign w:val="bottom"/>
            <w:tcBorders>
              <w:bottom w:val="single" w:sz="8" w:color="939598"/>
            </w:tcBorders>
          </w:tcPr>
          <w:p>
            <w:pPr>
              <w:spacing w:after="0"/>
              <w:rPr>
                <w:sz w:val="11"/>
                <w:szCs w:val="11"/>
                <w:color w:val="auto"/>
              </w:rPr>
            </w:pPr>
          </w:p>
        </w:tc>
        <w:tc>
          <w:tcPr>
            <w:tcW w:w="110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80" w:type="dxa"/>
            <w:vAlign w:val="bottom"/>
          </w:tcPr>
          <w:p>
            <w:pPr>
              <w:ind w:left="20"/>
              <w:spacing w:after="0"/>
              <w:rPr>
                <w:sz w:val="20"/>
                <w:szCs w:val="20"/>
                <w:color w:val="auto"/>
              </w:rPr>
            </w:pPr>
            <w:r>
              <w:rPr>
                <w:rFonts w:ascii="Arial" w:cs="Arial" w:eastAsia="Arial" w:hAnsi="Arial"/>
                <w:sz w:val="13"/>
                <w:szCs w:val="13"/>
                <w:b w:val="1"/>
                <w:bCs w:val="1"/>
                <w:color w:val="auto"/>
              </w:rPr>
              <w:t>Lucian Boldea</w:t>
            </w:r>
          </w:p>
        </w:tc>
        <w:tc>
          <w:tcPr>
            <w:tcW w:w="520" w:type="dxa"/>
            <w:vAlign w:val="bottom"/>
            <w:vMerge w:val="restart"/>
          </w:tcPr>
          <w:p>
            <w:pPr>
              <w:jc w:val="center"/>
              <w:spacing w:after="0"/>
              <w:rPr>
                <w:sz w:val="20"/>
                <w:szCs w:val="20"/>
                <w:color w:val="auto"/>
              </w:rPr>
            </w:pPr>
            <w:r>
              <w:rPr>
                <w:rFonts w:ascii="Arial" w:cs="Arial" w:eastAsia="Arial" w:hAnsi="Arial"/>
                <w:sz w:val="13"/>
                <w:szCs w:val="13"/>
                <w:color w:val="auto"/>
                <w:w w:val="96"/>
              </w:rPr>
              <w:t>2025</w:t>
            </w:r>
          </w:p>
        </w:tc>
        <w:tc>
          <w:tcPr>
            <w:tcW w:w="1180" w:type="dxa"/>
            <w:vAlign w:val="bottom"/>
            <w:vMerge w:val="restart"/>
          </w:tcPr>
          <w:p>
            <w:pPr>
              <w:jc w:val="right"/>
              <w:ind w:right="198"/>
              <w:spacing w:after="0"/>
              <w:rPr>
                <w:sz w:val="20"/>
                <w:szCs w:val="20"/>
                <w:color w:val="auto"/>
              </w:rPr>
            </w:pPr>
            <w:r>
              <w:rPr>
                <w:rFonts w:ascii="Arial" w:cs="Arial" w:eastAsia="Arial" w:hAnsi="Arial"/>
                <w:sz w:val="13"/>
                <w:szCs w:val="13"/>
                <w:color w:val="auto"/>
              </w:rPr>
              <w:t>587,077</w:t>
            </w:r>
          </w:p>
        </w:tc>
        <w:tc>
          <w:tcPr>
            <w:tcW w:w="740" w:type="dxa"/>
            <w:vAlign w:val="bottom"/>
            <w:vMerge w:val="restart"/>
          </w:tcPr>
          <w:p>
            <w:pPr>
              <w:ind w:left="360"/>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ind w:right="58"/>
              <w:spacing w:after="0"/>
              <w:rPr>
                <w:sz w:val="20"/>
                <w:szCs w:val="20"/>
                <w:color w:val="auto"/>
              </w:rPr>
            </w:pPr>
            <w:r>
              <w:rPr>
                <w:rFonts w:ascii="Arial" w:cs="Arial" w:eastAsia="Arial" w:hAnsi="Arial"/>
                <w:sz w:val="13"/>
                <w:szCs w:val="13"/>
                <w:color w:val="auto"/>
              </w:rPr>
              <w:t>2,996,212</w:t>
            </w:r>
          </w:p>
        </w:tc>
        <w:tc>
          <w:tcPr>
            <w:tcW w:w="1120" w:type="dxa"/>
            <w:vAlign w:val="bottom"/>
            <w:vMerge w:val="restart"/>
          </w:tcPr>
          <w:p>
            <w:pPr>
              <w:jc w:val="right"/>
              <w:ind w:right="158"/>
              <w:spacing w:after="0"/>
              <w:rPr>
                <w:sz w:val="20"/>
                <w:szCs w:val="20"/>
                <w:color w:val="auto"/>
              </w:rPr>
            </w:pPr>
            <w:r>
              <w:rPr>
                <w:rFonts w:ascii="Arial" w:cs="Arial" w:eastAsia="Arial" w:hAnsi="Arial"/>
                <w:sz w:val="13"/>
                <w:szCs w:val="13"/>
                <w:color w:val="auto"/>
              </w:rPr>
              <w:t>994,714</w:t>
            </w:r>
          </w:p>
        </w:tc>
        <w:tc>
          <w:tcPr>
            <w:tcW w:w="1220" w:type="dxa"/>
            <w:vAlign w:val="bottom"/>
            <w:vMerge w:val="restart"/>
          </w:tcPr>
          <w:p>
            <w:pPr>
              <w:jc w:val="right"/>
              <w:ind w:right="159"/>
              <w:spacing w:after="0"/>
              <w:rPr>
                <w:sz w:val="20"/>
                <w:szCs w:val="20"/>
                <w:color w:val="auto"/>
              </w:rPr>
            </w:pPr>
            <w:r>
              <w:rPr>
                <w:rFonts w:ascii="Arial" w:cs="Arial" w:eastAsia="Arial" w:hAnsi="Arial"/>
                <w:sz w:val="13"/>
                <w:szCs w:val="13"/>
                <w:color w:val="auto"/>
              </w:rPr>
              <w:t>—</w:t>
            </w:r>
          </w:p>
        </w:tc>
        <w:tc>
          <w:tcPr>
            <w:tcW w:w="1080" w:type="dxa"/>
            <w:vAlign w:val="bottom"/>
            <w:vMerge w:val="restart"/>
          </w:tcPr>
          <w:p>
            <w:pPr>
              <w:jc w:val="right"/>
              <w:ind w:right="139"/>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840" w:type="dxa"/>
            <w:vAlign w:val="bottom"/>
            <w:vMerge w:val="restart"/>
          </w:tcPr>
          <w:p>
            <w:pPr>
              <w:jc w:val="right"/>
              <w:ind w:right="118"/>
              <w:spacing w:after="0"/>
              <w:rPr>
                <w:sz w:val="20"/>
                <w:szCs w:val="20"/>
                <w:color w:val="auto"/>
              </w:rPr>
            </w:pPr>
            <w:r>
              <w:rPr>
                <w:rFonts w:ascii="Arial" w:cs="Arial" w:eastAsia="Arial" w:hAnsi="Arial"/>
                <w:sz w:val="13"/>
                <w:szCs w:val="13"/>
                <w:color w:val="auto"/>
              </w:rPr>
              <w:t>2,551,399</w:t>
            </w: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7,129,402</w:t>
            </w:r>
          </w:p>
        </w:tc>
        <w:tc>
          <w:tcPr>
            <w:tcW w:w="0" w:type="dxa"/>
            <w:vAlign w:val="bottom"/>
          </w:tcPr>
          <w:p>
            <w:pPr>
              <w:spacing w:after="0"/>
              <w:rPr>
                <w:sz w:val="1"/>
                <w:szCs w:val="1"/>
                <w:color w:val="auto"/>
              </w:rPr>
            </w:pPr>
          </w:p>
        </w:tc>
      </w:tr>
      <w:tr>
        <w:trPr>
          <w:trHeight w:val="148"/>
        </w:trPr>
        <w:tc>
          <w:tcPr>
            <w:tcW w:w="2080" w:type="dxa"/>
            <w:vAlign w:val="bottom"/>
          </w:tcPr>
          <w:p>
            <w:pPr>
              <w:ind w:left="20"/>
              <w:spacing w:after="0"/>
              <w:rPr>
                <w:sz w:val="20"/>
                <w:szCs w:val="20"/>
                <w:color w:val="auto"/>
              </w:rPr>
            </w:pPr>
            <w:r>
              <w:rPr>
                <w:rFonts w:ascii="Arial" w:cs="Arial" w:eastAsia="Arial" w:hAnsi="Arial"/>
                <w:sz w:val="13"/>
                <w:szCs w:val="13"/>
                <w:color w:val="auto"/>
              </w:rPr>
              <w:t>Former President and Chief</w:t>
            </w:r>
          </w:p>
        </w:tc>
        <w:tc>
          <w:tcPr>
            <w:tcW w:w="52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080" w:type="dxa"/>
            <w:vAlign w:val="bottom"/>
          </w:tcPr>
          <w:p>
            <w:pPr>
              <w:ind w:left="20"/>
              <w:spacing w:after="0" w:line="106" w:lineRule="exact"/>
              <w:rPr>
                <w:sz w:val="20"/>
                <w:szCs w:val="20"/>
                <w:color w:val="auto"/>
              </w:rPr>
            </w:pPr>
            <w:r>
              <w:rPr>
                <w:rFonts w:ascii="Arial" w:cs="Arial" w:eastAsia="Arial" w:hAnsi="Arial"/>
                <w:sz w:val="12"/>
                <w:szCs w:val="12"/>
                <w:color w:val="auto"/>
              </w:rPr>
              <w:t>Executive Officer, Industrial</w:t>
            </w:r>
          </w:p>
        </w:tc>
        <w:tc>
          <w:tcPr>
            <w:tcW w:w="520" w:type="dxa"/>
            <w:vAlign w:val="bottom"/>
            <w:tcBorders>
              <w:bottom w:val="single" w:sz="8" w:color="939598"/>
            </w:tcBorders>
          </w:tcPr>
          <w:p>
            <w:pPr>
              <w:spacing w:after="0"/>
              <w:rPr>
                <w:sz w:val="9"/>
                <w:szCs w:val="9"/>
                <w:color w:val="auto"/>
              </w:rPr>
            </w:pPr>
          </w:p>
        </w:tc>
        <w:tc>
          <w:tcPr>
            <w:tcW w:w="1180" w:type="dxa"/>
            <w:vAlign w:val="bottom"/>
            <w:tcBorders>
              <w:bottom w:val="single" w:sz="8" w:color="939598"/>
            </w:tcBorders>
          </w:tcPr>
          <w:p>
            <w:pPr>
              <w:spacing w:after="0"/>
              <w:rPr>
                <w:sz w:val="9"/>
                <w:szCs w:val="9"/>
                <w:color w:val="auto"/>
              </w:rPr>
            </w:pPr>
          </w:p>
        </w:tc>
        <w:tc>
          <w:tcPr>
            <w:tcW w:w="740" w:type="dxa"/>
            <w:vAlign w:val="bottom"/>
            <w:tcBorders>
              <w:bottom w:val="single" w:sz="8" w:color="939598"/>
            </w:tcBorders>
          </w:tcPr>
          <w:p>
            <w:pPr>
              <w:spacing w:after="0"/>
              <w:rPr>
                <w:sz w:val="9"/>
                <w:szCs w:val="9"/>
                <w:color w:val="auto"/>
              </w:rPr>
            </w:pPr>
          </w:p>
        </w:tc>
        <w:tc>
          <w:tcPr>
            <w:tcW w:w="840" w:type="dxa"/>
            <w:vAlign w:val="bottom"/>
            <w:tcBorders>
              <w:bottom w:val="single" w:sz="8" w:color="939598"/>
            </w:tcBorders>
          </w:tcPr>
          <w:p>
            <w:pPr>
              <w:spacing w:after="0"/>
              <w:rPr>
                <w:sz w:val="9"/>
                <w:szCs w:val="9"/>
                <w:color w:val="auto"/>
              </w:rPr>
            </w:pPr>
          </w:p>
        </w:tc>
        <w:tc>
          <w:tcPr>
            <w:tcW w:w="1120" w:type="dxa"/>
            <w:vAlign w:val="bottom"/>
            <w:tcBorders>
              <w:bottom w:val="single" w:sz="8" w:color="939598"/>
            </w:tcBorders>
          </w:tcPr>
          <w:p>
            <w:pPr>
              <w:spacing w:after="0"/>
              <w:rPr>
                <w:sz w:val="9"/>
                <w:szCs w:val="9"/>
                <w:color w:val="auto"/>
              </w:rPr>
            </w:pPr>
          </w:p>
        </w:tc>
        <w:tc>
          <w:tcPr>
            <w:tcW w:w="1220" w:type="dxa"/>
            <w:vAlign w:val="bottom"/>
            <w:tcBorders>
              <w:bottom w:val="single" w:sz="8" w:color="939598"/>
            </w:tcBorders>
          </w:tcPr>
          <w:p>
            <w:pPr>
              <w:spacing w:after="0"/>
              <w:rPr>
                <w:sz w:val="9"/>
                <w:szCs w:val="9"/>
                <w:color w:val="auto"/>
              </w:rPr>
            </w:pPr>
          </w:p>
        </w:tc>
        <w:tc>
          <w:tcPr>
            <w:tcW w:w="1080" w:type="dxa"/>
            <w:vAlign w:val="bottom"/>
            <w:tcBorders>
              <w:bottom w:val="single" w:sz="8" w:color="939598"/>
            </w:tcBorders>
          </w:tcPr>
          <w:p>
            <w:pPr>
              <w:spacing w:after="0"/>
              <w:rPr>
                <w:sz w:val="9"/>
                <w:szCs w:val="9"/>
                <w:color w:val="auto"/>
              </w:rPr>
            </w:pPr>
          </w:p>
        </w:tc>
        <w:tc>
          <w:tcPr>
            <w:tcW w:w="320" w:type="dxa"/>
            <w:vAlign w:val="bottom"/>
            <w:tcBorders>
              <w:bottom w:val="single" w:sz="8" w:color="939598"/>
            </w:tcBorders>
          </w:tcPr>
          <w:p>
            <w:pPr>
              <w:spacing w:after="0"/>
              <w:rPr>
                <w:sz w:val="9"/>
                <w:szCs w:val="9"/>
                <w:color w:val="auto"/>
              </w:rPr>
            </w:pPr>
          </w:p>
        </w:tc>
        <w:tc>
          <w:tcPr>
            <w:tcW w:w="840" w:type="dxa"/>
            <w:vAlign w:val="bottom"/>
            <w:tcBorders>
              <w:bottom w:val="single" w:sz="8" w:color="939598"/>
            </w:tcBorders>
          </w:tcPr>
          <w:p>
            <w:pPr>
              <w:spacing w:after="0"/>
              <w:rPr>
                <w:sz w:val="9"/>
                <w:szCs w:val="9"/>
                <w:color w:val="auto"/>
              </w:rPr>
            </w:pPr>
          </w:p>
        </w:tc>
        <w:tc>
          <w:tcPr>
            <w:tcW w:w="1100" w:type="dxa"/>
            <w:vAlign w:val="bottom"/>
            <w:tcBorders>
              <w:bottom w:val="single" w:sz="8" w:color="939598"/>
            </w:tcBorders>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2080" w:type="dxa"/>
            <w:vAlign w:val="bottom"/>
          </w:tcPr>
          <w:p>
            <w:pPr>
              <w:ind w:left="20"/>
              <w:spacing w:after="0"/>
              <w:rPr>
                <w:sz w:val="20"/>
                <w:szCs w:val="20"/>
                <w:color w:val="auto"/>
              </w:rPr>
            </w:pPr>
            <w:r>
              <w:rPr>
                <w:rFonts w:ascii="Arial" w:cs="Arial" w:eastAsia="Arial" w:hAnsi="Arial"/>
                <w:sz w:val="13"/>
                <w:szCs w:val="13"/>
                <w:color w:val="auto"/>
              </w:rPr>
              <w:t>Automation</w:t>
            </w:r>
          </w:p>
        </w:tc>
        <w:tc>
          <w:tcPr>
            <w:tcW w:w="520" w:type="dxa"/>
            <w:vAlign w:val="bottom"/>
            <w:vMerge w:val="restart"/>
          </w:tcPr>
          <w:p>
            <w:pPr>
              <w:jc w:val="center"/>
              <w:spacing w:after="0"/>
              <w:rPr>
                <w:sz w:val="20"/>
                <w:szCs w:val="20"/>
                <w:color w:val="auto"/>
              </w:rPr>
            </w:pPr>
            <w:r>
              <w:rPr>
                <w:rFonts w:ascii="Arial" w:cs="Arial" w:eastAsia="Arial" w:hAnsi="Arial"/>
                <w:sz w:val="13"/>
                <w:szCs w:val="13"/>
                <w:color w:val="auto"/>
                <w:w w:val="96"/>
              </w:rPr>
              <w:t>2024</w:t>
            </w:r>
          </w:p>
        </w:tc>
        <w:tc>
          <w:tcPr>
            <w:tcW w:w="1180" w:type="dxa"/>
            <w:vAlign w:val="bottom"/>
            <w:vMerge w:val="restart"/>
          </w:tcPr>
          <w:p>
            <w:pPr>
              <w:jc w:val="right"/>
              <w:ind w:right="198"/>
              <w:spacing w:after="0"/>
              <w:rPr>
                <w:sz w:val="20"/>
                <w:szCs w:val="20"/>
                <w:color w:val="auto"/>
              </w:rPr>
            </w:pPr>
            <w:r>
              <w:rPr>
                <w:rFonts w:ascii="Arial" w:cs="Arial" w:eastAsia="Arial" w:hAnsi="Arial"/>
                <w:sz w:val="13"/>
                <w:szCs w:val="13"/>
                <w:color w:val="auto"/>
              </w:rPr>
              <w:t>826,769</w:t>
            </w:r>
          </w:p>
        </w:tc>
        <w:tc>
          <w:tcPr>
            <w:tcW w:w="740" w:type="dxa"/>
            <w:vAlign w:val="bottom"/>
            <w:vMerge w:val="restart"/>
          </w:tcPr>
          <w:p>
            <w:pPr>
              <w:ind w:left="360"/>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ind w:right="58"/>
              <w:spacing w:after="0"/>
              <w:rPr>
                <w:sz w:val="20"/>
                <w:szCs w:val="20"/>
                <w:color w:val="auto"/>
              </w:rPr>
            </w:pPr>
            <w:r>
              <w:rPr>
                <w:rFonts w:ascii="Arial" w:cs="Arial" w:eastAsia="Arial" w:hAnsi="Arial"/>
                <w:sz w:val="13"/>
                <w:szCs w:val="13"/>
                <w:color w:val="auto"/>
              </w:rPr>
              <w:t>3,063,704</w:t>
            </w:r>
          </w:p>
        </w:tc>
        <w:tc>
          <w:tcPr>
            <w:tcW w:w="1120" w:type="dxa"/>
            <w:vAlign w:val="bottom"/>
            <w:vMerge w:val="restart"/>
          </w:tcPr>
          <w:p>
            <w:pPr>
              <w:jc w:val="right"/>
              <w:ind w:right="158"/>
              <w:spacing w:after="0"/>
              <w:rPr>
                <w:sz w:val="20"/>
                <w:szCs w:val="20"/>
                <w:color w:val="auto"/>
              </w:rPr>
            </w:pPr>
            <w:r>
              <w:rPr>
                <w:rFonts w:ascii="Arial" w:cs="Arial" w:eastAsia="Arial" w:hAnsi="Arial"/>
                <w:sz w:val="13"/>
                <w:szCs w:val="13"/>
                <w:color w:val="auto"/>
              </w:rPr>
              <w:t>1,021,239</w:t>
            </w:r>
          </w:p>
        </w:tc>
        <w:tc>
          <w:tcPr>
            <w:tcW w:w="1220" w:type="dxa"/>
            <w:vAlign w:val="bottom"/>
            <w:vMerge w:val="restart"/>
          </w:tcPr>
          <w:p>
            <w:pPr>
              <w:jc w:val="right"/>
              <w:ind w:right="159"/>
              <w:spacing w:after="0"/>
              <w:rPr>
                <w:sz w:val="20"/>
                <w:szCs w:val="20"/>
                <w:color w:val="auto"/>
              </w:rPr>
            </w:pPr>
            <w:r>
              <w:rPr>
                <w:rFonts w:ascii="Arial" w:cs="Arial" w:eastAsia="Arial" w:hAnsi="Arial"/>
                <w:sz w:val="13"/>
                <w:szCs w:val="13"/>
                <w:color w:val="auto"/>
              </w:rPr>
              <w:t>666,600</w:t>
            </w:r>
          </w:p>
        </w:tc>
        <w:tc>
          <w:tcPr>
            <w:tcW w:w="1080" w:type="dxa"/>
            <w:vAlign w:val="bottom"/>
            <w:vMerge w:val="restart"/>
          </w:tcPr>
          <w:p>
            <w:pPr>
              <w:jc w:val="right"/>
              <w:ind w:right="139"/>
              <w:spacing w:after="0"/>
              <w:rPr>
                <w:sz w:val="20"/>
                <w:szCs w:val="20"/>
                <w:color w:val="auto"/>
              </w:rPr>
            </w:pPr>
            <w:r>
              <w:rPr>
                <w:rFonts w:ascii="Arial" w:cs="Arial" w:eastAsia="Arial" w:hAnsi="Arial"/>
                <w:sz w:val="13"/>
                <w:szCs w:val="13"/>
                <w:color w:val="auto"/>
              </w:rPr>
              <w:t>4,608</w:t>
            </w:r>
          </w:p>
        </w:tc>
        <w:tc>
          <w:tcPr>
            <w:tcW w:w="320" w:type="dxa"/>
            <w:vAlign w:val="bottom"/>
          </w:tcPr>
          <w:p>
            <w:pPr>
              <w:spacing w:after="0"/>
              <w:rPr>
                <w:sz w:val="15"/>
                <w:szCs w:val="15"/>
                <w:color w:val="auto"/>
              </w:rPr>
            </w:pPr>
          </w:p>
        </w:tc>
        <w:tc>
          <w:tcPr>
            <w:tcW w:w="840" w:type="dxa"/>
            <w:vAlign w:val="bottom"/>
            <w:vMerge w:val="restart"/>
          </w:tcPr>
          <w:p>
            <w:pPr>
              <w:jc w:val="right"/>
              <w:ind w:right="118"/>
              <w:spacing w:after="0"/>
              <w:rPr>
                <w:sz w:val="20"/>
                <w:szCs w:val="20"/>
                <w:color w:val="auto"/>
              </w:rPr>
            </w:pPr>
            <w:r>
              <w:rPr>
                <w:rFonts w:ascii="Arial" w:cs="Arial" w:eastAsia="Arial" w:hAnsi="Arial"/>
                <w:sz w:val="13"/>
                <w:szCs w:val="13"/>
                <w:color w:val="auto"/>
              </w:rPr>
              <w:t>62,974</w:t>
            </w: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5,645,893</w:t>
            </w:r>
          </w:p>
        </w:tc>
        <w:tc>
          <w:tcPr>
            <w:tcW w:w="0" w:type="dxa"/>
            <w:vAlign w:val="bottom"/>
          </w:tcPr>
          <w:p>
            <w:pPr>
              <w:spacing w:after="0"/>
              <w:rPr>
                <w:sz w:val="1"/>
                <w:szCs w:val="1"/>
                <w:color w:val="auto"/>
              </w:rPr>
            </w:pPr>
          </w:p>
        </w:tc>
      </w:tr>
      <w:tr>
        <w:trPr>
          <w:trHeight w:val="94"/>
        </w:trPr>
        <w:tc>
          <w:tcPr>
            <w:tcW w:w="20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80" w:type="dxa"/>
            <w:vAlign w:val="bottom"/>
          </w:tcPr>
          <w:p>
            <w:pPr>
              <w:spacing w:after="0"/>
              <w:rPr>
                <w:sz w:val="11"/>
                <w:szCs w:val="11"/>
                <w:color w:val="auto"/>
              </w:rPr>
            </w:pPr>
          </w:p>
        </w:tc>
        <w:tc>
          <w:tcPr>
            <w:tcW w:w="520" w:type="dxa"/>
            <w:vAlign w:val="bottom"/>
            <w:tcBorders>
              <w:bottom w:val="single" w:sz="8" w:color="939598"/>
            </w:tcBorders>
          </w:tcPr>
          <w:p>
            <w:pPr>
              <w:spacing w:after="0"/>
              <w:rPr>
                <w:sz w:val="11"/>
                <w:szCs w:val="11"/>
                <w:color w:val="auto"/>
              </w:rPr>
            </w:pPr>
          </w:p>
        </w:tc>
        <w:tc>
          <w:tcPr>
            <w:tcW w:w="1180" w:type="dxa"/>
            <w:vAlign w:val="bottom"/>
            <w:tcBorders>
              <w:bottom w:val="single" w:sz="8" w:color="939598"/>
            </w:tcBorders>
          </w:tcPr>
          <w:p>
            <w:pPr>
              <w:spacing w:after="0"/>
              <w:rPr>
                <w:sz w:val="11"/>
                <w:szCs w:val="11"/>
                <w:color w:val="auto"/>
              </w:rPr>
            </w:pPr>
          </w:p>
        </w:tc>
        <w:tc>
          <w:tcPr>
            <w:tcW w:w="740" w:type="dxa"/>
            <w:vAlign w:val="bottom"/>
            <w:tcBorders>
              <w:bottom w:val="single" w:sz="8" w:color="939598"/>
            </w:tcBorders>
          </w:tcPr>
          <w:p>
            <w:pPr>
              <w:spacing w:after="0"/>
              <w:rPr>
                <w:sz w:val="11"/>
                <w:szCs w:val="11"/>
                <w:color w:val="auto"/>
              </w:rPr>
            </w:pPr>
          </w:p>
        </w:tc>
        <w:tc>
          <w:tcPr>
            <w:tcW w:w="840" w:type="dxa"/>
            <w:vAlign w:val="bottom"/>
            <w:tcBorders>
              <w:bottom w:val="single" w:sz="8" w:color="939598"/>
            </w:tcBorders>
          </w:tcPr>
          <w:p>
            <w:pPr>
              <w:spacing w:after="0"/>
              <w:rPr>
                <w:sz w:val="11"/>
                <w:szCs w:val="11"/>
                <w:color w:val="auto"/>
              </w:rPr>
            </w:pPr>
          </w:p>
        </w:tc>
        <w:tc>
          <w:tcPr>
            <w:tcW w:w="1120" w:type="dxa"/>
            <w:vAlign w:val="bottom"/>
            <w:tcBorders>
              <w:bottom w:val="single" w:sz="8" w:color="939598"/>
            </w:tcBorders>
          </w:tcPr>
          <w:p>
            <w:pPr>
              <w:spacing w:after="0"/>
              <w:rPr>
                <w:sz w:val="11"/>
                <w:szCs w:val="11"/>
                <w:color w:val="auto"/>
              </w:rPr>
            </w:pPr>
          </w:p>
        </w:tc>
        <w:tc>
          <w:tcPr>
            <w:tcW w:w="1220" w:type="dxa"/>
            <w:vAlign w:val="bottom"/>
            <w:tcBorders>
              <w:bottom w:val="single" w:sz="8" w:color="939598"/>
            </w:tcBorders>
          </w:tcPr>
          <w:p>
            <w:pPr>
              <w:spacing w:after="0"/>
              <w:rPr>
                <w:sz w:val="11"/>
                <w:szCs w:val="11"/>
                <w:color w:val="auto"/>
              </w:rPr>
            </w:pPr>
          </w:p>
        </w:tc>
        <w:tc>
          <w:tcPr>
            <w:tcW w:w="1080" w:type="dxa"/>
            <w:vAlign w:val="bottom"/>
            <w:tcBorders>
              <w:bottom w:val="single" w:sz="8" w:color="939598"/>
            </w:tcBorders>
          </w:tcPr>
          <w:p>
            <w:pPr>
              <w:spacing w:after="0"/>
              <w:rPr>
                <w:sz w:val="11"/>
                <w:szCs w:val="11"/>
                <w:color w:val="auto"/>
              </w:rPr>
            </w:pPr>
          </w:p>
        </w:tc>
        <w:tc>
          <w:tcPr>
            <w:tcW w:w="320" w:type="dxa"/>
            <w:vAlign w:val="bottom"/>
            <w:tcBorders>
              <w:bottom w:val="single" w:sz="8" w:color="939598"/>
            </w:tcBorders>
          </w:tcPr>
          <w:p>
            <w:pPr>
              <w:spacing w:after="0"/>
              <w:rPr>
                <w:sz w:val="11"/>
                <w:szCs w:val="11"/>
                <w:color w:val="auto"/>
              </w:rPr>
            </w:pPr>
          </w:p>
        </w:tc>
        <w:tc>
          <w:tcPr>
            <w:tcW w:w="840" w:type="dxa"/>
            <w:vAlign w:val="bottom"/>
            <w:tcBorders>
              <w:bottom w:val="single" w:sz="8" w:color="939598"/>
            </w:tcBorders>
          </w:tcPr>
          <w:p>
            <w:pPr>
              <w:spacing w:after="0"/>
              <w:rPr>
                <w:sz w:val="11"/>
                <w:szCs w:val="11"/>
                <w:color w:val="auto"/>
              </w:rPr>
            </w:pPr>
          </w:p>
        </w:tc>
        <w:tc>
          <w:tcPr>
            <w:tcW w:w="110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208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3"/>
                <w:szCs w:val="13"/>
                <w:color w:val="auto"/>
                <w:w w:val="96"/>
              </w:rPr>
              <w:t>2023</w:t>
            </w:r>
          </w:p>
        </w:tc>
        <w:tc>
          <w:tcPr>
            <w:tcW w:w="1180" w:type="dxa"/>
            <w:vAlign w:val="bottom"/>
          </w:tcPr>
          <w:p>
            <w:pPr>
              <w:jc w:val="right"/>
              <w:ind w:right="198"/>
              <w:spacing w:after="0"/>
              <w:rPr>
                <w:sz w:val="20"/>
                <w:szCs w:val="20"/>
                <w:color w:val="auto"/>
              </w:rPr>
            </w:pPr>
            <w:r>
              <w:rPr>
                <w:rFonts w:ascii="Arial" w:cs="Arial" w:eastAsia="Arial" w:hAnsi="Arial"/>
                <w:sz w:val="13"/>
                <w:szCs w:val="13"/>
                <w:color w:val="auto"/>
              </w:rPr>
              <w:t>769,231</w:t>
            </w:r>
          </w:p>
        </w:tc>
        <w:tc>
          <w:tcPr>
            <w:tcW w:w="740" w:type="dxa"/>
            <w:vAlign w:val="bottom"/>
          </w:tcPr>
          <w:p>
            <w:pPr>
              <w:ind w:left="3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8"/>
              <w:spacing w:after="0"/>
              <w:rPr>
                <w:sz w:val="20"/>
                <w:szCs w:val="20"/>
                <w:color w:val="auto"/>
              </w:rPr>
            </w:pPr>
            <w:r>
              <w:rPr>
                <w:rFonts w:ascii="Arial" w:cs="Arial" w:eastAsia="Arial" w:hAnsi="Arial"/>
                <w:sz w:val="13"/>
                <w:szCs w:val="13"/>
                <w:color w:val="auto"/>
              </w:rPr>
              <w:t>2,850,019</w:t>
            </w:r>
          </w:p>
        </w:tc>
        <w:tc>
          <w:tcPr>
            <w:tcW w:w="1120" w:type="dxa"/>
            <w:vAlign w:val="bottom"/>
          </w:tcPr>
          <w:p>
            <w:pPr>
              <w:jc w:val="right"/>
              <w:ind w:right="158"/>
              <w:spacing w:after="0"/>
              <w:rPr>
                <w:sz w:val="20"/>
                <w:szCs w:val="20"/>
                <w:color w:val="auto"/>
              </w:rPr>
            </w:pPr>
            <w:r>
              <w:rPr>
                <w:rFonts w:ascii="Arial" w:cs="Arial" w:eastAsia="Arial" w:hAnsi="Arial"/>
                <w:sz w:val="13"/>
                <w:szCs w:val="13"/>
                <w:color w:val="auto"/>
              </w:rPr>
              <w:t>950,058</w:t>
            </w:r>
          </w:p>
        </w:tc>
        <w:tc>
          <w:tcPr>
            <w:tcW w:w="1220" w:type="dxa"/>
            <w:vAlign w:val="bottom"/>
          </w:tcPr>
          <w:p>
            <w:pPr>
              <w:jc w:val="right"/>
              <w:ind w:right="159"/>
              <w:spacing w:after="0"/>
              <w:rPr>
                <w:sz w:val="20"/>
                <w:szCs w:val="20"/>
                <w:color w:val="auto"/>
              </w:rPr>
            </w:pPr>
            <w:r>
              <w:rPr>
                <w:rFonts w:ascii="Arial" w:cs="Arial" w:eastAsia="Arial" w:hAnsi="Arial"/>
                <w:sz w:val="13"/>
                <w:szCs w:val="13"/>
                <w:color w:val="auto"/>
              </w:rPr>
              <w:t>975,200</w:t>
            </w:r>
          </w:p>
        </w:tc>
        <w:tc>
          <w:tcPr>
            <w:tcW w:w="1080" w:type="dxa"/>
            <w:vAlign w:val="bottom"/>
          </w:tcPr>
          <w:p>
            <w:pPr>
              <w:jc w:val="right"/>
              <w:ind w:right="139"/>
              <w:spacing w:after="0"/>
              <w:rPr>
                <w:sz w:val="20"/>
                <w:szCs w:val="20"/>
                <w:color w:val="auto"/>
              </w:rPr>
            </w:pPr>
            <w:r>
              <w:rPr>
                <w:rFonts w:ascii="Arial" w:cs="Arial" w:eastAsia="Arial" w:hAnsi="Arial"/>
                <w:sz w:val="13"/>
                <w:szCs w:val="13"/>
                <w:color w:val="auto"/>
              </w:rPr>
              <w:t>501</w:t>
            </w:r>
          </w:p>
        </w:tc>
        <w:tc>
          <w:tcPr>
            <w:tcW w:w="320" w:type="dxa"/>
            <w:vAlign w:val="bottom"/>
          </w:tcPr>
          <w:p>
            <w:pPr>
              <w:spacing w:after="0"/>
              <w:rPr>
                <w:sz w:val="24"/>
                <w:szCs w:val="24"/>
                <w:color w:val="auto"/>
              </w:rPr>
            </w:pPr>
          </w:p>
        </w:tc>
        <w:tc>
          <w:tcPr>
            <w:tcW w:w="840" w:type="dxa"/>
            <w:vAlign w:val="bottom"/>
          </w:tcPr>
          <w:p>
            <w:pPr>
              <w:jc w:val="right"/>
              <w:ind w:right="118"/>
              <w:spacing w:after="0"/>
              <w:rPr>
                <w:sz w:val="20"/>
                <w:szCs w:val="20"/>
                <w:color w:val="auto"/>
              </w:rPr>
            </w:pPr>
            <w:r>
              <w:rPr>
                <w:rFonts w:ascii="Arial" w:cs="Arial" w:eastAsia="Arial" w:hAnsi="Arial"/>
                <w:sz w:val="13"/>
                <w:szCs w:val="13"/>
                <w:color w:val="auto"/>
              </w:rPr>
              <w:t>214,697</w:t>
            </w:r>
          </w:p>
        </w:tc>
        <w:tc>
          <w:tcPr>
            <w:tcW w:w="1100" w:type="dxa"/>
            <w:vAlign w:val="bottom"/>
          </w:tcPr>
          <w:p>
            <w:pPr>
              <w:jc w:val="right"/>
              <w:spacing w:after="0"/>
              <w:rPr>
                <w:sz w:val="20"/>
                <w:szCs w:val="20"/>
                <w:color w:val="auto"/>
              </w:rPr>
            </w:pPr>
            <w:r>
              <w:rPr>
                <w:rFonts w:ascii="Arial" w:cs="Arial" w:eastAsia="Arial" w:hAnsi="Arial"/>
                <w:sz w:val="13"/>
                <w:szCs w:val="13"/>
                <w:color w:val="auto"/>
              </w:rPr>
              <w:t>5,759,706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003415"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pacing w:after="0" w:line="255" w:lineRule="exact"/>
        <w:rPr>
          <w:sz w:val="20"/>
          <w:szCs w:val="20"/>
          <w:color w:val="auto"/>
        </w:rPr>
      </w:pPr>
    </w:p>
    <w:p>
      <w:pPr>
        <w:ind w:left="200" w:hanging="192"/>
        <w:spacing w:after="0"/>
        <w:tabs>
          <w:tab w:leader="none" w:pos="200" w:val="left"/>
        </w:tabs>
        <w:numPr>
          <w:ilvl w:val="0"/>
          <w:numId w:val="181"/>
        </w:numPr>
        <w:rPr>
          <w:rFonts w:ascii="Arial" w:cs="Arial" w:eastAsia="Arial" w:hAnsi="Arial"/>
          <w:sz w:val="16"/>
          <w:szCs w:val="16"/>
          <w:color w:val="auto"/>
          <w:vertAlign w:val="superscript"/>
        </w:rPr>
      </w:pPr>
      <w:r>
        <w:rPr>
          <w:rFonts w:ascii="Arial" w:cs="Arial" w:eastAsia="Arial" w:hAnsi="Arial"/>
          <w:sz w:val="13"/>
          <w:szCs w:val="13"/>
          <w:color w:val="auto"/>
        </w:rPr>
        <w:t>Represents actual base salary paid in 2025.</w:t>
      </w:r>
    </w:p>
    <w:p>
      <w:pPr>
        <w:spacing w:after="0" w:line="35" w:lineRule="exact"/>
        <w:rPr>
          <w:rFonts w:ascii="Arial" w:cs="Arial" w:eastAsia="Arial" w:hAnsi="Arial"/>
          <w:sz w:val="16"/>
          <w:szCs w:val="16"/>
          <w:color w:val="auto"/>
          <w:vertAlign w:val="superscript"/>
        </w:rPr>
      </w:pPr>
    </w:p>
    <w:p>
      <w:pPr>
        <w:ind w:left="200" w:hanging="192"/>
        <w:spacing w:after="0" w:line="235" w:lineRule="auto"/>
        <w:tabs>
          <w:tab w:leader="none" w:pos="200" w:val="left"/>
        </w:tabs>
        <w:numPr>
          <w:ilvl w:val="0"/>
          <w:numId w:val="181"/>
        </w:numPr>
        <w:rPr>
          <w:rFonts w:ascii="Arial" w:cs="Arial" w:eastAsia="Arial" w:hAnsi="Arial"/>
          <w:sz w:val="16"/>
          <w:szCs w:val="16"/>
          <w:color w:val="auto"/>
          <w:vertAlign w:val="superscript"/>
        </w:rPr>
      </w:pPr>
      <w:r>
        <w:rPr>
          <w:rFonts w:ascii="Arial" w:cs="Arial" w:eastAsia="Arial" w:hAnsi="Arial"/>
          <w:sz w:val="13"/>
          <w:szCs w:val="13"/>
          <w:color w:val="auto"/>
        </w:rPr>
        <w:t>The 2025 Stock Awards column represents the sum of two components: (i) PSU awards under the 2025–2027 Performance Plan, and (ii) RSU awards granted during the year. The unit grant date fair values of PSUs issued in 2025 were $211.59 for annual grants made to Messrs. Kapur, Stepniak, Currier, Hammoud, Lewis, and Boldea, on February 19, 2025. PSU unit values were calculated based on (a) the value of Honeywell stock on the date of grant for the 75% of the award tied to performance against internal metrics, and (b) a multi-factor Monte Carlo simulation of Honeywell’s stock price and TSR relative to each of the other companies in the Compensation Peer Group, determined in accordance with FASB ASC Topic 718, for the 25% of the award with payout determined based on three-year TSR relative to the Compensation Peer Group. The unit grant date fair values of RSUs issued in 2025 were $209.81 for annual grants made to Messrs. Kapur, Stepniak, Currier, Hammoud, Lewis, and Boldea on February 19, 2025. RSU unit values are determined using the average of the high and low stock prices of Honeywell stock on the grant date. The one-time transaction awards granted in 2025 are not included in this table because no compensation expense was required to be recognized with respect to such RSUs in 2025 due to the probable outcome of the performance-based vesting condition.</w:t>
      </w:r>
    </w:p>
    <w:p>
      <w:pPr>
        <w:spacing w:after="0" w:line="25" w:lineRule="exact"/>
        <w:rPr>
          <w:rFonts w:ascii="Arial" w:cs="Arial" w:eastAsia="Arial" w:hAnsi="Arial"/>
          <w:sz w:val="16"/>
          <w:szCs w:val="16"/>
          <w:color w:val="auto"/>
          <w:vertAlign w:val="superscript"/>
        </w:rPr>
      </w:pPr>
    </w:p>
    <w:p>
      <w:pPr>
        <w:ind w:left="200" w:right="400" w:hanging="192"/>
        <w:spacing w:after="0" w:line="226" w:lineRule="auto"/>
        <w:tabs>
          <w:tab w:leader="none" w:pos="200" w:val="left"/>
        </w:tabs>
        <w:numPr>
          <w:ilvl w:val="0"/>
          <w:numId w:val="181"/>
        </w:numPr>
        <w:rPr>
          <w:rFonts w:ascii="Arial" w:cs="Arial" w:eastAsia="Arial" w:hAnsi="Arial"/>
          <w:sz w:val="16"/>
          <w:szCs w:val="16"/>
          <w:color w:val="auto"/>
          <w:vertAlign w:val="superscript"/>
        </w:rPr>
      </w:pPr>
      <w:r>
        <w:rPr>
          <w:rFonts w:ascii="Arial" w:cs="Arial" w:eastAsia="Arial" w:hAnsi="Arial"/>
          <w:sz w:val="13"/>
          <w:szCs w:val="13"/>
          <w:color w:val="auto"/>
        </w:rPr>
        <w:t>Mr. Masso received his annual RSU and PSU grant on his hire date of July 14, 2025, as well as a one-time sign-on RSU equal to $2,500,131. The unit grant date fair value of Mr. Masso's PSU issued in 2025 was $245.82, and the unit grant date fair value of both his annual and sign-on RSU was $236.71.</w:t>
      </w:r>
    </w:p>
    <w:p>
      <w:pPr>
        <w:spacing w:after="0" w:line="23" w:lineRule="exact"/>
        <w:rPr>
          <w:rFonts w:ascii="Arial" w:cs="Arial" w:eastAsia="Arial" w:hAnsi="Arial"/>
          <w:sz w:val="16"/>
          <w:szCs w:val="16"/>
          <w:color w:val="auto"/>
          <w:vertAlign w:val="superscript"/>
        </w:rPr>
      </w:pPr>
    </w:p>
    <w:p>
      <w:pPr>
        <w:ind w:left="200" w:right="440" w:hanging="192"/>
        <w:spacing w:after="0" w:line="226" w:lineRule="auto"/>
        <w:tabs>
          <w:tab w:leader="none" w:pos="200" w:val="left"/>
        </w:tabs>
        <w:numPr>
          <w:ilvl w:val="0"/>
          <w:numId w:val="181"/>
        </w:numPr>
        <w:rPr>
          <w:rFonts w:ascii="Arial" w:cs="Arial" w:eastAsia="Arial" w:hAnsi="Arial"/>
          <w:sz w:val="16"/>
          <w:szCs w:val="16"/>
          <w:color w:val="auto"/>
          <w:vertAlign w:val="superscript"/>
        </w:rPr>
      </w:pPr>
      <w:r>
        <w:rPr>
          <w:rFonts w:ascii="Arial" w:cs="Arial" w:eastAsia="Arial" w:hAnsi="Arial"/>
          <w:sz w:val="13"/>
          <w:szCs w:val="13"/>
          <w:color w:val="auto"/>
        </w:rPr>
        <w:t>Mr. Hammoud received a one-time discretionary RSU on December 17, 2025 with a grant date value of $1,000,048 in recognition of his leadership in both the successful integration of Access Solutions and financial outperformance.</w:t>
      </w:r>
    </w:p>
    <w:p>
      <w:pPr>
        <w:spacing w:after="0" w:line="23" w:lineRule="exact"/>
        <w:rPr>
          <w:rFonts w:ascii="Arial" w:cs="Arial" w:eastAsia="Arial" w:hAnsi="Arial"/>
          <w:sz w:val="16"/>
          <w:szCs w:val="16"/>
          <w:color w:val="auto"/>
          <w:vertAlign w:val="superscript"/>
        </w:rPr>
      </w:pPr>
    </w:p>
    <w:p>
      <w:pPr>
        <w:ind w:left="200"/>
        <w:spacing w:after="0"/>
        <w:rPr>
          <w:rFonts w:ascii="Arial" w:cs="Arial" w:eastAsia="Arial" w:hAnsi="Arial"/>
          <w:sz w:val="16"/>
          <w:szCs w:val="16"/>
          <w:color w:val="auto"/>
          <w:vertAlign w:val="superscript"/>
        </w:rPr>
      </w:pPr>
      <w:r>
        <w:rPr>
          <w:rFonts w:ascii="Arial" w:cs="Arial" w:eastAsia="Arial" w:hAnsi="Arial"/>
          <w:sz w:val="13"/>
          <w:szCs w:val="13"/>
          <w:color w:val="auto"/>
        </w:rPr>
        <w:t>The following table provides a breakdown of the amounts reported as Stock Awards for Messrs. Kapur, Stepniak, Currier, Masso, Hammoud, Lewis and Boldea.</w:t>
      </w:r>
    </w:p>
    <w:p>
      <w:pPr>
        <w:spacing w:after="0" w:line="180"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86</w:t>
      </w:r>
      <w:r>
        <w:rPr>
          <w:sz w:val="20"/>
          <w:szCs w:val="20"/>
          <w:color w:val="auto"/>
        </w:rPr>
        <w:tab/>
      </w:r>
      <w:r>
        <w:rPr>
          <w:sz w:val="1"/>
          <w:szCs w:val="1"/>
          <w:color w:val="auto"/>
        </w:rPr>
        <w:drawing>
          <wp:inline distT="0" distB="0" distL="0" distR="0">
            <wp:extent cx="548640" cy="102870"/>
            <wp:effectExtent l="0" t="0" r="0" b="0"/>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2026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3"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3"/>
          <w:szCs w:val="13"/>
          <w:b w:val="1"/>
          <w:bCs w:val="1"/>
          <w:color w:val="6D6E71"/>
        </w:rPr>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4100" w:type="dxa"/>
            <w:vAlign w:val="bottom"/>
          </w:tcPr>
          <w:p>
            <w:pPr>
              <w:spacing w:after="0"/>
              <w:rPr>
                <w:sz w:val="13"/>
                <w:szCs w:val="13"/>
                <w:color w:val="auto"/>
              </w:rPr>
            </w:pPr>
          </w:p>
        </w:tc>
        <w:tc>
          <w:tcPr>
            <w:tcW w:w="4300" w:type="dxa"/>
            <w:vAlign w:val="bottom"/>
          </w:tcPr>
          <w:p>
            <w:pPr>
              <w:jc w:val="right"/>
              <w:ind w:right="137"/>
              <w:spacing w:after="0"/>
              <w:rPr>
                <w:sz w:val="20"/>
                <w:szCs w:val="20"/>
                <w:color w:val="auto"/>
              </w:rPr>
            </w:pPr>
            <w:r>
              <w:rPr>
                <w:rFonts w:ascii="Arial" w:cs="Arial" w:eastAsia="Arial" w:hAnsi="Arial"/>
                <w:sz w:val="13"/>
                <w:szCs w:val="13"/>
                <w:b w:val="1"/>
                <w:bCs w:val="1"/>
                <w:color w:val="auto"/>
              </w:rPr>
              <w:t>2025–2027</w:t>
            </w:r>
          </w:p>
        </w:tc>
        <w:tc>
          <w:tcPr>
            <w:tcW w:w="130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48"/>
        </w:trPr>
        <w:tc>
          <w:tcPr>
            <w:tcW w:w="4100" w:type="dxa"/>
            <w:vAlign w:val="bottom"/>
          </w:tcPr>
          <w:p>
            <w:pPr>
              <w:spacing w:after="0"/>
              <w:rPr>
                <w:sz w:val="12"/>
                <w:szCs w:val="12"/>
                <w:color w:val="auto"/>
              </w:rPr>
            </w:pPr>
          </w:p>
        </w:tc>
        <w:tc>
          <w:tcPr>
            <w:tcW w:w="4300" w:type="dxa"/>
            <w:vAlign w:val="bottom"/>
          </w:tcPr>
          <w:p>
            <w:pPr>
              <w:jc w:val="right"/>
              <w:ind w:right="157"/>
              <w:spacing w:after="0"/>
              <w:rPr>
                <w:sz w:val="20"/>
                <w:szCs w:val="20"/>
                <w:color w:val="auto"/>
              </w:rPr>
            </w:pPr>
            <w:r>
              <w:rPr>
                <w:rFonts w:ascii="Arial" w:cs="Arial" w:eastAsia="Arial" w:hAnsi="Arial"/>
                <w:sz w:val="13"/>
                <w:szCs w:val="13"/>
                <w:b w:val="1"/>
                <w:bCs w:val="1"/>
                <w:color w:val="auto"/>
              </w:rPr>
              <w:t>Performance</w:t>
            </w:r>
          </w:p>
        </w:tc>
        <w:tc>
          <w:tcPr>
            <w:tcW w:w="1300" w:type="dxa"/>
            <w:vAlign w:val="bottom"/>
          </w:tcPr>
          <w:p>
            <w:pPr>
              <w:jc w:val="right"/>
              <w:ind w:right="57"/>
              <w:spacing w:after="0"/>
              <w:rPr>
                <w:sz w:val="20"/>
                <w:szCs w:val="20"/>
                <w:color w:val="auto"/>
              </w:rPr>
            </w:pPr>
            <w:r>
              <w:rPr>
                <w:rFonts w:ascii="Arial" w:cs="Arial" w:eastAsia="Arial" w:hAnsi="Arial"/>
                <w:sz w:val="13"/>
                <w:szCs w:val="13"/>
                <w:b w:val="1"/>
                <w:bCs w:val="1"/>
                <w:color w:val="auto"/>
              </w:rPr>
              <w:t>Restricted Stock</w:t>
            </w: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Total Stock</w:t>
            </w:r>
          </w:p>
        </w:tc>
      </w:tr>
      <w:tr>
        <w:trPr>
          <w:trHeight w:val="185"/>
        </w:trPr>
        <w:tc>
          <w:tcPr>
            <w:tcW w:w="4100" w:type="dxa"/>
            <w:vAlign w:val="bottom"/>
          </w:tcPr>
          <w:p>
            <w:pPr>
              <w:ind w:left="20"/>
              <w:spacing w:after="0"/>
              <w:rPr>
                <w:sz w:val="20"/>
                <w:szCs w:val="20"/>
                <w:color w:val="auto"/>
              </w:rPr>
            </w:pPr>
            <w:r>
              <w:rPr>
                <w:rFonts w:ascii="Arial" w:cs="Arial" w:eastAsia="Arial" w:hAnsi="Arial"/>
                <w:sz w:val="13"/>
                <w:szCs w:val="13"/>
                <w:b w:val="1"/>
                <w:bCs w:val="1"/>
                <w:color w:val="auto"/>
              </w:rPr>
              <w:t>NEO</w:t>
            </w:r>
          </w:p>
        </w:tc>
        <w:tc>
          <w:tcPr>
            <w:tcW w:w="4300" w:type="dxa"/>
            <w:vAlign w:val="bottom"/>
          </w:tcPr>
          <w:p>
            <w:pPr>
              <w:jc w:val="right"/>
              <w:ind w:right="137"/>
              <w:spacing w:after="0"/>
              <w:rPr>
                <w:sz w:val="20"/>
                <w:szCs w:val="20"/>
                <w:color w:val="auto"/>
              </w:rPr>
            </w:pPr>
            <w:r>
              <w:rPr>
                <w:rFonts w:ascii="Arial" w:cs="Arial" w:eastAsia="Arial" w:hAnsi="Arial"/>
                <w:sz w:val="13"/>
                <w:szCs w:val="13"/>
                <w:b w:val="1"/>
                <w:bCs w:val="1"/>
                <w:color w:val="auto"/>
              </w:rPr>
              <w:t>Stock Units</w:t>
            </w:r>
          </w:p>
        </w:tc>
        <w:tc>
          <w:tcPr>
            <w:tcW w:w="1300" w:type="dxa"/>
            <w:vAlign w:val="bottom"/>
          </w:tcPr>
          <w:p>
            <w:pPr>
              <w:jc w:val="right"/>
              <w:ind w:right="57"/>
              <w:spacing w:after="0"/>
              <w:rPr>
                <w:sz w:val="20"/>
                <w:szCs w:val="20"/>
                <w:color w:val="auto"/>
              </w:rPr>
            </w:pPr>
            <w:r>
              <w:rPr>
                <w:rFonts w:ascii="Arial" w:cs="Arial" w:eastAsia="Arial" w:hAnsi="Arial"/>
                <w:sz w:val="13"/>
                <w:szCs w:val="13"/>
                <w:b w:val="1"/>
                <w:bCs w:val="1"/>
                <w:color w:val="auto"/>
              </w:rPr>
              <w:t>Units</w:t>
            </w: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Awards</w:t>
            </w:r>
          </w:p>
        </w:tc>
      </w:tr>
      <w:tr>
        <w:trPr>
          <w:trHeight w:val="22"/>
        </w:trPr>
        <w:tc>
          <w:tcPr>
            <w:tcW w:w="4100" w:type="dxa"/>
            <w:vAlign w:val="bottom"/>
            <w:tcBorders>
              <w:bottom w:val="single" w:sz="8" w:color="D7282F"/>
            </w:tcBorders>
          </w:tcPr>
          <w:p>
            <w:pPr>
              <w:spacing w:after="0" w:line="20" w:lineRule="exact"/>
              <w:rPr>
                <w:sz w:val="1"/>
                <w:szCs w:val="1"/>
                <w:color w:val="auto"/>
              </w:rPr>
            </w:pPr>
          </w:p>
        </w:tc>
        <w:tc>
          <w:tcPr>
            <w:tcW w:w="4300" w:type="dxa"/>
            <w:vAlign w:val="bottom"/>
            <w:tcBorders>
              <w:bottom w:val="single" w:sz="8" w:color="D7282F"/>
            </w:tcBorders>
          </w:tcPr>
          <w:p>
            <w:pPr>
              <w:spacing w:after="0" w:line="20" w:lineRule="exact"/>
              <w:rPr>
                <w:sz w:val="1"/>
                <w:szCs w:val="1"/>
                <w:color w:val="auto"/>
              </w:rPr>
            </w:pPr>
          </w:p>
        </w:tc>
        <w:tc>
          <w:tcPr>
            <w:tcW w:w="1300" w:type="dxa"/>
            <w:vAlign w:val="bottom"/>
            <w:tcBorders>
              <w:bottom w:val="single" w:sz="8" w:color="D7282F"/>
            </w:tcBorders>
          </w:tcPr>
          <w:p>
            <w:pPr>
              <w:spacing w:after="0" w:line="20" w:lineRule="exact"/>
              <w:rPr>
                <w:sz w:val="1"/>
                <w:szCs w:val="1"/>
                <w:color w:val="auto"/>
              </w:rPr>
            </w:pPr>
          </w:p>
        </w:tc>
        <w:tc>
          <w:tcPr>
            <w:tcW w:w="1060" w:type="dxa"/>
            <w:vAlign w:val="bottom"/>
            <w:tcBorders>
              <w:bottom w:val="single" w:sz="8" w:color="D7282F"/>
            </w:tcBorders>
          </w:tcPr>
          <w:p>
            <w:pPr>
              <w:spacing w:after="0" w:line="20" w:lineRule="exact"/>
              <w:rPr>
                <w:sz w:val="1"/>
                <w:szCs w:val="1"/>
                <w:color w:val="auto"/>
              </w:rPr>
            </w:pPr>
          </w:p>
        </w:tc>
      </w:tr>
      <w:tr>
        <w:trPr>
          <w:trHeight w:val="283"/>
        </w:trPr>
        <w:tc>
          <w:tcPr>
            <w:tcW w:w="4100" w:type="dxa"/>
            <w:vAlign w:val="bottom"/>
          </w:tcPr>
          <w:p>
            <w:pPr>
              <w:ind w:left="20"/>
              <w:spacing w:after="0"/>
              <w:rPr>
                <w:sz w:val="20"/>
                <w:szCs w:val="20"/>
                <w:color w:val="auto"/>
              </w:rPr>
            </w:pPr>
            <w:r>
              <w:rPr>
                <w:rFonts w:ascii="Arial" w:cs="Arial" w:eastAsia="Arial" w:hAnsi="Arial"/>
                <w:sz w:val="13"/>
                <w:szCs w:val="13"/>
                <w:b w:val="1"/>
                <w:bCs w:val="1"/>
                <w:color w:val="auto"/>
              </w:rPr>
              <w:t>Mr. Kapur</w:t>
            </w:r>
          </w:p>
        </w:tc>
        <w:tc>
          <w:tcPr>
            <w:tcW w:w="4300" w:type="dxa"/>
            <w:vAlign w:val="bottom"/>
          </w:tcPr>
          <w:p>
            <w:pPr>
              <w:jc w:val="right"/>
              <w:ind w:right="177"/>
              <w:spacing w:after="0"/>
              <w:rPr>
                <w:sz w:val="20"/>
                <w:szCs w:val="20"/>
                <w:color w:val="auto"/>
              </w:rPr>
            </w:pPr>
            <w:r>
              <w:rPr>
                <w:rFonts w:ascii="Arial" w:cs="Arial" w:eastAsia="Arial" w:hAnsi="Arial"/>
                <w:sz w:val="13"/>
                <w:szCs w:val="13"/>
                <w:color w:val="auto"/>
              </w:rPr>
              <w:t>$   7,257,537</w:t>
            </w:r>
          </w:p>
        </w:tc>
        <w:tc>
          <w:tcPr>
            <w:tcW w:w="1300" w:type="dxa"/>
            <w:vAlign w:val="bottom"/>
          </w:tcPr>
          <w:p>
            <w:pPr>
              <w:jc w:val="right"/>
              <w:ind w:right="97"/>
              <w:spacing w:after="0"/>
              <w:rPr>
                <w:sz w:val="20"/>
                <w:szCs w:val="20"/>
                <w:color w:val="auto"/>
              </w:rPr>
            </w:pPr>
            <w:r>
              <w:rPr>
                <w:rFonts w:ascii="Arial" w:cs="Arial" w:eastAsia="Arial" w:hAnsi="Arial"/>
                <w:sz w:val="13"/>
                <w:szCs w:val="13"/>
                <w:color w:val="auto"/>
              </w:rPr>
              <w:t>$   3,608,732</w:t>
            </w:r>
          </w:p>
        </w:tc>
        <w:tc>
          <w:tcPr>
            <w:tcW w:w="1060" w:type="dxa"/>
            <w:vAlign w:val="bottom"/>
          </w:tcPr>
          <w:p>
            <w:pPr>
              <w:jc w:val="right"/>
              <w:spacing w:after="0"/>
              <w:rPr>
                <w:sz w:val="20"/>
                <w:szCs w:val="20"/>
                <w:color w:val="auto"/>
              </w:rPr>
            </w:pPr>
            <w:r>
              <w:rPr>
                <w:rFonts w:ascii="Arial" w:cs="Arial" w:eastAsia="Arial" w:hAnsi="Arial"/>
                <w:sz w:val="13"/>
                <w:szCs w:val="13"/>
                <w:color w:val="auto"/>
              </w:rPr>
              <w:t>$   10,866,269</w:t>
            </w:r>
          </w:p>
        </w:tc>
      </w:tr>
      <w:tr>
        <w:trPr>
          <w:trHeight w:val="130"/>
        </w:trPr>
        <w:tc>
          <w:tcPr>
            <w:tcW w:w="4100" w:type="dxa"/>
            <w:vAlign w:val="bottom"/>
            <w:tcBorders>
              <w:bottom w:val="single" w:sz="8" w:color="939598"/>
            </w:tcBorders>
          </w:tcPr>
          <w:p>
            <w:pPr>
              <w:spacing w:after="0"/>
              <w:rPr>
                <w:sz w:val="11"/>
                <w:szCs w:val="11"/>
                <w:color w:val="auto"/>
              </w:rPr>
            </w:pPr>
          </w:p>
        </w:tc>
        <w:tc>
          <w:tcPr>
            <w:tcW w:w="4300" w:type="dxa"/>
            <w:vAlign w:val="bottom"/>
            <w:tcBorders>
              <w:bottom w:val="single" w:sz="8" w:color="939598"/>
            </w:tcBorders>
          </w:tcPr>
          <w:p>
            <w:pPr>
              <w:spacing w:after="0"/>
              <w:rPr>
                <w:sz w:val="11"/>
                <w:szCs w:val="11"/>
                <w:color w:val="auto"/>
              </w:rPr>
            </w:pPr>
          </w:p>
        </w:tc>
        <w:tc>
          <w:tcPr>
            <w:tcW w:w="1300" w:type="dxa"/>
            <w:vAlign w:val="bottom"/>
            <w:tcBorders>
              <w:bottom w:val="single" w:sz="8" w:color="939598"/>
            </w:tcBorders>
          </w:tcPr>
          <w:p>
            <w:pPr>
              <w:spacing w:after="0"/>
              <w:rPr>
                <w:sz w:val="11"/>
                <w:szCs w:val="11"/>
                <w:color w:val="auto"/>
              </w:rPr>
            </w:pPr>
          </w:p>
        </w:tc>
        <w:tc>
          <w:tcPr>
            <w:tcW w:w="1060" w:type="dxa"/>
            <w:vAlign w:val="bottom"/>
            <w:tcBorders>
              <w:bottom w:val="single" w:sz="8" w:color="939598"/>
            </w:tcBorders>
          </w:tcPr>
          <w:p>
            <w:pPr>
              <w:spacing w:after="0"/>
              <w:rPr>
                <w:sz w:val="11"/>
                <w:szCs w:val="11"/>
                <w:color w:val="auto"/>
              </w:rPr>
            </w:pPr>
          </w:p>
        </w:tc>
      </w:tr>
      <w:tr>
        <w:trPr>
          <w:trHeight w:val="283"/>
        </w:trPr>
        <w:tc>
          <w:tcPr>
            <w:tcW w:w="4100" w:type="dxa"/>
            <w:vAlign w:val="bottom"/>
          </w:tcPr>
          <w:p>
            <w:pPr>
              <w:ind w:left="20"/>
              <w:spacing w:after="0"/>
              <w:rPr>
                <w:sz w:val="20"/>
                <w:szCs w:val="20"/>
                <w:color w:val="auto"/>
              </w:rPr>
            </w:pPr>
            <w:r>
              <w:rPr>
                <w:rFonts w:ascii="Arial" w:cs="Arial" w:eastAsia="Arial" w:hAnsi="Arial"/>
                <w:sz w:val="13"/>
                <w:szCs w:val="13"/>
                <w:b w:val="1"/>
                <w:bCs w:val="1"/>
                <w:color w:val="auto"/>
              </w:rPr>
              <w:t>Mr. Stepniak</w:t>
            </w:r>
          </w:p>
        </w:tc>
        <w:tc>
          <w:tcPr>
            <w:tcW w:w="4300" w:type="dxa"/>
            <w:vAlign w:val="bottom"/>
          </w:tcPr>
          <w:p>
            <w:pPr>
              <w:jc w:val="right"/>
              <w:ind w:right="177"/>
              <w:spacing w:after="0"/>
              <w:rPr>
                <w:sz w:val="20"/>
                <w:szCs w:val="20"/>
                <w:color w:val="auto"/>
              </w:rPr>
            </w:pPr>
            <w:r>
              <w:rPr>
                <w:rFonts w:ascii="Arial" w:cs="Arial" w:eastAsia="Arial" w:hAnsi="Arial"/>
                <w:sz w:val="13"/>
                <w:szCs w:val="13"/>
                <w:color w:val="auto"/>
              </w:rPr>
              <w:t>1,904,310</w:t>
            </w:r>
          </w:p>
        </w:tc>
        <w:tc>
          <w:tcPr>
            <w:tcW w:w="1300" w:type="dxa"/>
            <w:vAlign w:val="bottom"/>
          </w:tcPr>
          <w:p>
            <w:pPr>
              <w:jc w:val="right"/>
              <w:ind w:right="97"/>
              <w:spacing w:after="0"/>
              <w:rPr>
                <w:sz w:val="20"/>
                <w:szCs w:val="20"/>
                <w:color w:val="auto"/>
              </w:rPr>
            </w:pPr>
            <w:r>
              <w:rPr>
                <w:rFonts w:ascii="Arial" w:cs="Arial" w:eastAsia="Arial" w:hAnsi="Arial"/>
                <w:sz w:val="13"/>
                <w:szCs w:val="13"/>
                <w:color w:val="auto"/>
              </w:rPr>
              <w:t>944,145</w:t>
            </w:r>
          </w:p>
        </w:tc>
        <w:tc>
          <w:tcPr>
            <w:tcW w:w="1060" w:type="dxa"/>
            <w:vAlign w:val="bottom"/>
          </w:tcPr>
          <w:p>
            <w:pPr>
              <w:jc w:val="right"/>
              <w:spacing w:after="0"/>
              <w:rPr>
                <w:sz w:val="20"/>
                <w:szCs w:val="20"/>
                <w:color w:val="auto"/>
              </w:rPr>
            </w:pPr>
            <w:r>
              <w:rPr>
                <w:rFonts w:ascii="Arial" w:cs="Arial" w:eastAsia="Arial" w:hAnsi="Arial"/>
                <w:sz w:val="13"/>
                <w:szCs w:val="13"/>
                <w:color w:val="auto"/>
              </w:rPr>
              <w:t>2,848,455</w:t>
            </w:r>
          </w:p>
        </w:tc>
      </w:tr>
      <w:tr>
        <w:trPr>
          <w:trHeight w:val="129"/>
        </w:trPr>
        <w:tc>
          <w:tcPr>
            <w:tcW w:w="4100" w:type="dxa"/>
            <w:vAlign w:val="bottom"/>
            <w:tcBorders>
              <w:bottom w:val="single" w:sz="8" w:color="939598"/>
            </w:tcBorders>
          </w:tcPr>
          <w:p>
            <w:pPr>
              <w:spacing w:after="0"/>
              <w:rPr>
                <w:sz w:val="11"/>
                <w:szCs w:val="11"/>
                <w:color w:val="auto"/>
              </w:rPr>
            </w:pPr>
          </w:p>
        </w:tc>
        <w:tc>
          <w:tcPr>
            <w:tcW w:w="4300" w:type="dxa"/>
            <w:vAlign w:val="bottom"/>
            <w:tcBorders>
              <w:bottom w:val="single" w:sz="8" w:color="939598"/>
            </w:tcBorders>
          </w:tcPr>
          <w:p>
            <w:pPr>
              <w:spacing w:after="0"/>
              <w:rPr>
                <w:sz w:val="11"/>
                <w:szCs w:val="11"/>
                <w:color w:val="auto"/>
              </w:rPr>
            </w:pPr>
          </w:p>
        </w:tc>
        <w:tc>
          <w:tcPr>
            <w:tcW w:w="1300" w:type="dxa"/>
            <w:vAlign w:val="bottom"/>
            <w:tcBorders>
              <w:bottom w:val="single" w:sz="8" w:color="939598"/>
            </w:tcBorders>
          </w:tcPr>
          <w:p>
            <w:pPr>
              <w:spacing w:after="0"/>
              <w:rPr>
                <w:sz w:val="11"/>
                <w:szCs w:val="11"/>
                <w:color w:val="auto"/>
              </w:rPr>
            </w:pPr>
          </w:p>
        </w:tc>
        <w:tc>
          <w:tcPr>
            <w:tcW w:w="1060" w:type="dxa"/>
            <w:vAlign w:val="bottom"/>
            <w:tcBorders>
              <w:bottom w:val="single" w:sz="8" w:color="939598"/>
            </w:tcBorders>
          </w:tcPr>
          <w:p>
            <w:pPr>
              <w:spacing w:after="0"/>
              <w:rPr>
                <w:sz w:val="11"/>
                <w:szCs w:val="11"/>
                <w:color w:val="auto"/>
              </w:rPr>
            </w:pPr>
          </w:p>
        </w:tc>
      </w:tr>
      <w:tr>
        <w:trPr>
          <w:trHeight w:val="283"/>
        </w:trPr>
        <w:tc>
          <w:tcPr>
            <w:tcW w:w="4100" w:type="dxa"/>
            <w:vAlign w:val="bottom"/>
          </w:tcPr>
          <w:p>
            <w:pPr>
              <w:ind w:left="20"/>
              <w:spacing w:after="0"/>
              <w:rPr>
                <w:sz w:val="20"/>
                <w:szCs w:val="20"/>
                <w:color w:val="auto"/>
              </w:rPr>
            </w:pPr>
            <w:r>
              <w:rPr>
                <w:rFonts w:ascii="Arial" w:cs="Arial" w:eastAsia="Arial" w:hAnsi="Arial"/>
                <w:sz w:val="13"/>
                <w:szCs w:val="13"/>
                <w:b w:val="1"/>
                <w:bCs w:val="1"/>
                <w:color w:val="auto"/>
              </w:rPr>
              <w:t>Mr. Currier</w:t>
            </w:r>
          </w:p>
        </w:tc>
        <w:tc>
          <w:tcPr>
            <w:tcW w:w="4300" w:type="dxa"/>
            <w:vAlign w:val="bottom"/>
          </w:tcPr>
          <w:p>
            <w:pPr>
              <w:jc w:val="right"/>
              <w:ind w:right="177"/>
              <w:spacing w:after="0"/>
              <w:rPr>
                <w:sz w:val="20"/>
                <w:szCs w:val="20"/>
                <w:color w:val="auto"/>
              </w:rPr>
            </w:pPr>
            <w:r>
              <w:rPr>
                <w:rFonts w:ascii="Arial" w:cs="Arial" w:eastAsia="Arial" w:hAnsi="Arial"/>
                <w:sz w:val="13"/>
                <w:szCs w:val="13"/>
                <w:color w:val="auto"/>
              </w:rPr>
              <w:t>2,010,105</w:t>
            </w:r>
          </w:p>
        </w:tc>
        <w:tc>
          <w:tcPr>
            <w:tcW w:w="1300" w:type="dxa"/>
            <w:vAlign w:val="bottom"/>
          </w:tcPr>
          <w:p>
            <w:pPr>
              <w:jc w:val="right"/>
              <w:ind w:right="97"/>
              <w:spacing w:after="0"/>
              <w:rPr>
                <w:sz w:val="20"/>
                <w:szCs w:val="20"/>
                <w:color w:val="auto"/>
              </w:rPr>
            </w:pPr>
            <w:r>
              <w:rPr>
                <w:rFonts w:ascii="Arial" w:cs="Arial" w:eastAsia="Arial" w:hAnsi="Arial"/>
                <w:sz w:val="13"/>
                <w:szCs w:val="13"/>
                <w:color w:val="auto"/>
              </w:rPr>
              <w:t>986,107</w:t>
            </w:r>
          </w:p>
        </w:tc>
        <w:tc>
          <w:tcPr>
            <w:tcW w:w="1060" w:type="dxa"/>
            <w:vAlign w:val="bottom"/>
          </w:tcPr>
          <w:p>
            <w:pPr>
              <w:jc w:val="right"/>
              <w:spacing w:after="0"/>
              <w:rPr>
                <w:sz w:val="20"/>
                <w:szCs w:val="20"/>
                <w:color w:val="auto"/>
              </w:rPr>
            </w:pPr>
            <w:r>
              <w:rPr>
                <w:rFonts w:ascii="Arial" w:cs="Arial" w:eastAsia="Arial" w:hAnsi="Arial"/>
                <w:sz w:val="13"/>
                <w:szCs w:val="13"/>
                <w:color w:val="auto"/>
              </w:rPr>
              <w:t>2,996,212</w:t>
            </w:r>
          </w:p>
        </w:tc>
      </w:tr>
      <w:tr>
        <w:trPr>
          <w:trHeight w:val="130"/>
        </w:trPr>
        <w:tc>
          <w:tcPr>
            <w:tcW w:w="4100" w:type="dxa"/>
            <w:vAlign w:val="bottom"/>
            <w:tcBorders>
              <w:bottom w:val="single" w:sz="8" w:color="939598"/>
            </w:tcBorders>
          </w:tcPr>
          <w:p>
            <w:pPr>
              <w:spacing w:after="0"/>
              <w:rPr>
                <w:sz w:val="11"/>
                <w:szCs w:val="11"/>
                <w:color w:val="auto"/>
              </w:rPr>
            </w:pPr>
          </w:p>
        </w:tc>
        <w:tc>
          <w:tcPr>
            <w:tcW w:w="4300" w:type="dxa"/>
            <w:vAlign w:val="bottom"/>
            <w:tcBorders>
              <w:bottom w:val="single" w:sz="8" w:color="939598"/>
            </w:tcBorders>
          </w:tcPr>
          <w:p>
            <w:pPr>
              <w:spacing w:after="0"/>
              <w:rPr>
                <w:sz w:val="11"/>
                <w:szCs w:val="11"/>
                <w:color w:val="auto"/>
              </w:rPr>
            </w:pPr>
          </w:p>
        </w:tc>
        <w:tc>
          <w:tcPr>
            <w:tcW w:w="1300" w:type="dxa"/>
            <w:vAlign w:val="bottom"/>
            <w:tcBorders>
              <w:bottom w:val="single" w:sz="8" w:color="939598"/>
            </w:tcBorders>
          </w:tcPr>
          <w:p>
            <w:pPr>
              <w:spacing w:after="0"/>
              <w:rPr>
                <w:sz w:val="11"/>
                <w:szCs w:val="11"/>
                <w:color w:val="auto"/>
              </w:rPr>
            </w:pPr>
          </w:p>
        </w:tc>
        <w:tc>
          <w:tcPr>
            <w:tcW w:w="1060" w:type="dxa"/>
            <w:vAlign w:val="bottom"/>
            <w:tcBorders>
              <w:bottom w:val="single" w:sz="8" w:color="939598"/>
            </w:tcBorders>
          </w:tcPr>
          <w:p>
            <w:pPr>
              <w:spacing w:after="0"/>
              <w:rPr>
                <w:sz w:val="11"/>
                <w:szCs w:val="11"/>
                <w:color w:val="auto"/>
              </w:rPr>
            </w:pPr>
          </w:p>
        </w:tc>
      </w:tr>
      <w:tr>
        <w:trPr>
          <w:trHeight w:val="282"/>
        </w:trPr>
        <w:tc>
          <w:tcPr>
            <w:tcW w:w="4100" w:type="dxa"/>
            <w:vAlign w:val="bottom"/>
          </w:tcPr>
          <w:p>
            <w:pPr>
              <w:ind w:left="20"/>
              <w:spacing w:after="0"/>
              <w:rPr>
                <w:sz w:val="20"/>
                <w:szCs w:val="20"/>
                <w:color w:val="auto"/>
              </w:rPr>
            </w:pPr>
            <w:r>
              <w:rPr>
                <w:rFonts w:ascii="Arial" w:cs="Arial" w:eastAsia="Arial" w:hAnsi="Arial"/>
                <w:sz w:val="13"/>
                <w:szCs w:val="13"/>
                <w:b w:val="1"/>
                <w:bCs w:val="1"/>
                <w:color w:val="auto"/>
              </w:rPr>
              <w:t>Mr. Masso</w:t>
            </w:r>
          </w:p>
        </w:tc>
        <w:tc>
          <w:tcPr>
            <w:tcW w:w="4300" w:type="dxa"/>
            <w:vAlign w:val="bottom"/>
          </w:tcPr>
          <w:p>
            <w:pPr>
              <w:jc w:val="right"/>
              <w:ind w:right="177"/>
              <w:spacing w:after="0"/>
              <w:rPr>
                <w:sz w:val="20"/>
                <w:szCs w:val="20"/>
                <w:color w:val="auto"/>
              </w:rPr>
            </w:pPr>
            <w:r>
              <w:rPr>
                <w:rFonts w:ascii="Arial" w:cs="Arial" w:eastAsia="Arial" w:hAnsi="Arial"/>
                <w:sz w:val="13"/>
                <w:szCs w:val="13"/>
                <w:color w:val="auto"/>
              </w:rPr>
              <w:t>900,193</w:t>
            </w:r>
          </w:p>
        </w:tc>
        <w:tc>
          <w:tcPr>
            <w:tcW w:w="1300" w:type="dxa"/>
            <w:vAlign w:val="bottom"/>
          </w:tcPr>
          <w:p>
            <w:pPr>
              <w:jc w:val="right"/>
              <w:ind w:right="97"/>
              <w:spacing w:after="0"/>
              <w:rPr>
                <w:sz w:val="20"/>
                <w:szCs w:val="20"/>
                <w:color w:val="auto"/>
              </w:rPr>
            </w:pPr>
            <w:r>
              <w:rPr>
                <w:rFonts w:ascii="Arial" w:cs="Arial" w:eastAsia="Arial" w:hAnsi="Arial"/>
                <w:sz w:val="13"/>
                <w:szCs w:val="13"/>
                <w:color w:val="auto"/>
              </w:rPr>
              <w:t>2,950,117</w:t>
            </w:r>
          </w:p>
        </w:tc>
        <w:tc>
          <w:tcPr>
            <w:tcW w:w="1060" w:type="dxa"/>
            <w:vAlign w:val="bottom"/>
          </w:tcPr>
          <w:p>
            <w:pPr>
              <w:jc w:val="right"/>
              <w:spacing w:after="0"/>
              <w:rPr>
                <w:sz w:val="20"/>
                <w:szCs w:val="20"/>
                <w:color w:val="auto"/>
              </w:rPr>
            </w:pPr>
            <w:r>
              <w:rPr>
                <w:rFonts w:ascii="Arial" w:cs="Arial" w:eastAsia="Arial" w:hAnsi="Arial"/>
                <w:sz w:val="13"/>
                <w:szCs w:val="13"/>
                <w:color w:val="auto"/>
              </w:rPr>
              <w:t>3,850,310</w:t>
            </w:r>
          </w:p>
        </w:tc>
      </w:tr>
      <w:tr>
        <w:trPr>
          <w:trHeight w:val="130"/>
        </w:trPr>
        <w:tc>
          <w:tcPr>
            <w:tcW w:w="4100" w:type="dxa"/>
            <w:vAlign w:val="bottom"/>
            <w:tcBorders>
              <w:bottom w:val="single" w:sz="8" w:color="939598"/>
            </w:tcBorders>
          </w:tcPr>
          <w:p>
            <w:pPr>
              <w:spacing w:after="0"/>
              <w:rPr>
                <w:sz w:val="11"/>
                <w:szCs w:val="11"/>
                <w:color w:val="auto"/>
              </w:rPr>
            </w:pPr>
          </w:p>
        </w:tc>
        <w:tc>
          <w:tcPr>
            <w:tcW w:w="4300" w:type="dxa"/>
            <w:vAlign w:val="bottom"/>
            <w:tcBorders>
              <w:bottom w:val="single" w:sz="8" w:color="939598"/>
            </w:tcBorders>
          </w:tcPr>
          <w:p>
            <w:pPr>
              <w:spacing w:after="0"/>
              <w:rPr>
                <w:sz w:val="11"/>
                <w:szCs w:val="11"/>
                <w:color w:val="auto"/>
              </w:rPr>
            </w:pPr>
          </w:p>
        </w:tc>
        <w:tc>
          <w:tcPr>
            <w:tcW w:w="1300" w:type="dxa"/>
            <w:vAlign w:val="bottom"/>
            <w:tcBorders>
              <w:bottom w:val="single" w:sz="8" w:color="939598"/>
            </w:tcBorders>
          </w:tcPr>
          <w:p>
            <w:pPr>
              <w:spacing w:after="0"/>
              <w:rPr>
                <w:sz w:val="11"/>
                <w:szCs w:val="11"/>
                <w:color w:val="auto"/>
              </w:rPr>
            </w:pPr>
          </w:p>
        </w:tc>
        <w:tc>
          <w:tcPr>
            <w:tcW w:w="1060" w:type="dxa"/>
            <w:vAlign w:val="bottom"/>
            <w:tcBorders>
              <w:bottom w:val="single" w:sz="8" w:color="939598"/>
            </w:tcBorders>
          </w:tcPr>
          <w:p>
            <w:pPr>
              <w:spacing w:after="0"/>
              <w:rPr>
                <w:sz w:val="11"/>
                <w:szCs w:val="11"/>
                <w:color w:val="auto"/>
              </w:rPr>
            </w:pPr>
          </w:p>
        </w:tc>
      </w:tr>
      <w:tr>
        <w:trPr>
          <w:trHeight w:val="283"/>
        </w:trPr>
        <w:tc>
          <w:tcPr>
            <w:tcW w:w="4100" w:type="dxa"/>
            <w:vAlign w:val="bottom"/>
          </w:tcPr>
          <w:p>
            <w:pPr>
              <w:ind w:left="20"/>
              <w:spacing w:after="0"/>
              <w:rPr>
                <w:sz w:val="20"/>
                <w:szCs w:val="20"/>
                <w:color w:val="auto"/>
              </w:rPr>
            </w:pPr>
            <w:r>
              <w:rPr>
                <w:rFonts w:ascii="Arial" w:cs="Arial" w:eastAsia="Arial" w:hAnsi="Arial"/>
                <w:sz w:val="13"/>
                <w:szCs w:val="13"/>
                <w:b w:val="1"/>
                <w:bCs w:val="1"/>
                <w:color w:val="auto"/>
              </w:rPr>
              <w:t>Mr. Hammoud</w:t>
            </w:r>
          </w:p>
        </w:tc>
        <w:tc>
          <w:tcPr>
            <w:tcW w:w="4300" w:type="dxa"/>
            <w:vAlign w:val="bottom"/>
          </w:tcPr>
          <w:p>
            <w:pPr>
              <w:jc w:val="right"/>
              <w:ind w:right="177"/>
              <w:spacing w:after="0"/>
              <w:rPr>
                <w:sz w:val="20"/>
                <w:szCs w:val="20"/>
                <w:color w:val="auto"/>
              </w:rPr>
            </w:pPr>
            <w:r>
              <w:rPr>
                <w:rFonts w:ascii="Arial" w:cs="Arial" w:eastAsia="Arial" w:hAnsi="Arial"/>
                <w:sz w:val="13"/>
                <w:szCs w:val="13"/>
                <w:color w:val="auto"/>
              </w:rPr>
              <w:t>994,473</w:t>
            </w:r>
          </w:p>
        </w:tc>
        <w:tc>
          <w:tcPr>
            <w:tcW w:w="1300" w:type="dxa"/>
            <w:vAlign w:val="bottom"/>
          </w:tcPr>
          <w:p>
            <w:pPr>
              <w:jc w:val="right"/>
              <w:ind w:right="97"/>
              <w:spacing w:after="0"/>
              <w:rPr>
                <w:sz w:val="20"/>
                <w:szCs w:val="20"/>
                <w:color w:val="auto"/>
              </w:rPr>
            </w:pPr>
            <w:r>
              <w:rPr>
                <w:rFonts w:ascii="Arial" w:cs="Arial" w:eastAsia="Arial" w:hAnsi="Arial"/>
                <w:sz w:val="13"/>
                <w:szCs w:val="13"/>
                <w:color w:val="auto"/>
              </w:rPr>
              <w:t>1,482,611</w:t>
            </w:r>
          </w:p>
        </w:tc>
        <w:tc>
          <w:tcPr>
            <w:tcW w:w="1060" w:type="dxa"/>
            <w:vAlign w:val="bottom"/>
          </w:tcPr>
          <w:p>
            <w:pPr>
              <w:jc w:val="right"/>
              <w:spacing w:after="0"/>
              <w:rPr>
                <w:sz w:val="20"/>
                <w:szCs w:val="20"/>
                <w:color w:val="auto"/>
              </w:rPr>
            </w:pPr>
            <w:r>
              <w:rPr>
                <w:rFonts w:ascii="Arial" w:cs="Arial" w:eastAsia="Arial" w:hAnsi="Arial"/>
                <w:sz w:val="13"/>
                <w:szCs w:val="13"/>
                <w:color w:val="auto"/>
              </w:rPr>
              <w:t>2,477,084</w:t>
            </w:r>
          </w:p>
        </w:tc>
      </w:tr>
      <w:tr>
        <w:trPr>
          <w:trHeight w:val="129"/>
        </w:trPr>
        <w:tc>
          <w:tcPr>
            <w:tcW w:w="4100" w:type="dxa"/>
            <w:vAlign w:val="bottom"/>
            <w:tcBorders>
              <w:bottom w:val="single" w:sz="8" w:color="939598"/>
            </w:tcBorders>
          </w:tcPr>
          <w:p>
            <w:pPr>
              <w:spacing w:after="0"/>
              <w:rPr>
                <w:sz w:val="11"/>
                <w:szCs w:val="11"/>
                <w:color w:val="auto"/>
              </w:rPr>
            </w:pPr>
          </w:p>
        </w:tc>
        <w:tc>
          <w:tcPr>
            <w:tcW w:w="4300" w:type="dxa"/>
            <w:vAlign w:val="bottom"/>
            <w:tcBorders>
              <w:bottom w:val="single" w:sz="8" w:color="939598"/>
            </w:tcBorders>
          </w:tcPr>
          <w:p>
            <w:pPr>
              <w:spacing w:after="0"/>
              <w:rPr>
                <w:sz w:val="11"/>
                <w:szCs w:val="11"/>
                <w:color w:val="auto"/>
              </w:rPr>
            </w:pPr>
          </w:p>
        </w:tc>
        <w:tc>
          <w:tcPr>
            <w:tcW w:w="1300" w:type="dxa"/>
            <w:vAlign w:val="bottom"/>
            <w:tcBorders>
              <w:bottom w:val="single" w:sz="8" w:color="939598"/>
            </w:tcBorders>
          </w:tcPr>
          <w:p>
            <w:pPr>
              <w:spacing w:after="0"/>
              <w:rPr>
                <w:sz w:val="11"/>
                <w:szCs w:val="11"/>
                <w:color w:val="auto"/>
              </w:rPr>
            </w:pPr>
          </w:p>
        </w:tc>
        <w:tc>
          <w:tcPr>
            <w:tcW w:w="1060" w:type="dxa"/>
            <w:vAlign w:val="bottom"/>
            <w:tcBorders>
              <w:bottom w:val="single" w:sz="8" w:color="939598"/>
            </w:tcBorders>
          </w:tcPr>
          <w:p>
            <w:pPr>
              <w:spacing w:after="0"/>
              <w:rPr>
                <w:sz w:val="11"/>
                <w:szCs w:val="11"/>
                <w:color w:val="auto"/>
              </w:rPr>
            </w:pPr>
          </w:p>
        </w:tc>
      </w:tr>
      <w:tr>
        <w:trPr>
          <w:trHeight w:val="283"/>
        </w:trPr>
        <w:tc>
          <w:tcPr>
            <w:tcW w:w="4100" w:type="dxa"/>
            <w:vAlign w:val="bottom"/>
          </w:tcPr>
          <w:p>
            <w:pPr>
              <w:ind w:left="20"/>
              <w:spacing w:after="0"/>
              <w:rPr>
                <w:sz w:val="20"/>
                <w:szCs w:val="20"/>
                <w:color w:val="auto"/>
              </w:rPr>
            </w:pPr>
            <w:r>
              <w:rPr>
                <w:rFonts w:ascii="Arial" w:cs="Arial" w:eastAsia="Arial" w:hAnsi="Arial"/>
                <w:sz w:val="13"/>
                <w:szCs w:val="13"/>
                <w:b w:val="1"/>
                <w:bCs w:val="1"/>
                <w:color w:val="auto"/>
              </w:rPr>
              <w:t>Mr. Lewis</w:t>
            </w:r>
          </w:p>
        </w:tc>
        <w:tc>
          <w:tcPr>
            <w:tcW w:w="4300" w:type="dxa"/>
            <w:vAlign w:val="bottom"/>
          </w:tcPr>
          <w:p>
            <w:pPr>
              <w:jc w:val="right"/>
              <w:ind w:right="177"/>
              <w:spacing w:after="0"/>
              <w:rPr>
                <w:sz w:val="20"/>
                <w:szCs w:val="20"/>
                <w:color w:val="auto"/>
              </w:rPr>
            </w:pPr>
            <w:r>
              <w:rPr>
                <w:rFonts w:ascii="Arial" w:cs="Arial" w:eastAsia="Arial" w:hAnsi="Arial"/>
                <w:sz w:val="13"/>
                <w:szCs w:val="13"/>
                <w:color w:val="auto"/>
              </w:rPr>
              <w:t>507,816</w:t>
            </w:r>
          </w:p>
        </w:tc>
        <w:tc>
          <w:tcPr>
            <w:tcW w:w="1300" w:type="dxa"/>
            <w:vAlign w:val="bottom"/>
          </w:tcPr>
          <w:p>
            <w:pPr>
              <w:jc w:val="right"/>
              <w:ind w:right="97"/>
              <w:spacing w:after="0"/>
              <w:rPr>
                <w:sz w:val="20"/>
                <w:szCs w:val="20"/>
                <w:color w:val="auto"/>
              </w:rPr>
            </w:pPr>
            <w:r>
              <w:rPr>
                <w:rFonts w:ascii="Arial" w:cs="Arial" w:eastAsia="Arial" w:hAnsi="Arial"/>
                <w:sz w:val="13"/>
                <w:szCs w:val="13"/>
                <w:color w:val="auto"/>
              </w:rPr>
              <w:t>230,791</w:t>
            </w:r>
          </w:p>
        </w:tc>
        <w:tc>
          <w:tcPr>
            <w:tcW w:w="1060" w:type="dxa"/>
            <w:vAlign w:val="bottom"/>
          </w:tcPr>
          <w:p>
            <w:pPr>
              <w:jc w:val="right"/>
              <w:spacing w:after="0"/>
              <w:rPr>
                <w:sz w:val="20"/>
                <w:szCs w:val="20"/>
                <w:color w:val="auto"/>
              </w:rPr>
            </w:pPr>
            <w:r>
              <w:rPr>
                <w:rFonts w:ascii="Arial" w:cs="Arial" w:eastAsia="Arial" w:hAnsi="Arial"/>
                <w:sz w:val="13"/>
                <w:szCs w:val="13"/>
                <w:color w:val="auto"/>
              </w:rPr>
              <w:t>738,607</w:t>
            </w:r>
          </w:p>
        </w:tc>
      </w:tr>
      <w:tr>
        <w:trPr>
          <w:trHeight w:val="130"/>
        </w:trPr>
        <w:tc>
          <w:tcPr>
            <w:tcW w:w="4100" w:type="dxa"/>
            <w:vAlign w:val="bottom"/>
            <w:tcBorders>
              <w:bottom w:val="single" w:sz="8" w:color="939598"/>
            </w:tcBorders>
          </w:tcPr>
          <w:p>
            <w:pPr>
              <w:spacing w:after="0"/>
              <w:rPr>
                <w:sz w:val="11"/>
                <w:szCs w:val="11"/>
                <w:color w:val="auto"/>
              </w:rPr>
            </w:pPr>
          </w:p>
        </w:tc>
        <w:tc>
          <w:tcPr>
            <w:tcW w:w="4300" w:type="dxa"/>
            <w:vAlign w:val="bottom"/>
            <w:tcBorders>
              <w:bottom w:val="single" w:sz="8" w:color="939598"/>
            </w:tcBorders>
          </w:tcPr>
          <w:p>
            <w:pPr>
              <w:spacing w:after="0"/>
              <w:rPr>
                <w:sz w:val="11"/>
                <w:szCs w:val="11"/>
                <w:color w:val="auto"/>
              </w:rPr>
            </w:pPr>
          </w:p>
        </w:tc>
        <w:tc>
          <w:tcPr>
            <w:tcW w:w="1300" w:type="dxa"/>
            <w:vAlign w:val="bottom"/>
            <w:tcBorders>
              <w:bottom w:val="single" w:sz="8" w:color="939598"/>
            </w:tcBorders>
          </w:tcPr>
          <w:p>
            <w:pPr>
              <w:spacing w:after="0"/>
              <w:rPr>
                <w:sz w:val="11"/>
                <w:szCs w:val="11"/>
                <w:color w:val="auto"/>
              </w:rPr>
            </w:pPr>
          </w:p>
        </w:tc>
        <w:tc>
          <w:tcPr>
            <w:tcW w:w="1060" w:type="dxa"/>
            <w:vAlign w:val="bottom"/>
            <w:tcBorders>
              <w:bottom w:val="single" w:sz="8" w:color="939598"/>
            </w:tcBorders>
          </w:tcPr>
          <w:p>
            <w:pPr>
              <w:spacing w:after="0"/>
              <w:rPr>
                <w:sz w:val="11"/>
                <w:szCs w:val="11"/>
                <w:color w:val="auto"/>
              </w:rPr>
            </w:pPr>
          </w:p>
        </w:tc>
      </w:tr>
      <w:tr>
        <w:trPr>
          <w:trHeight w:val="282"/>
        </w:trPr>
        <w:tc>
          <w:tcPr>
            <w:tcW w:w="4100" w:type="dxa"/>
            <w:vAlign w:val="bottom"/>
          </w:tcPr>
          <w:p>
            <w:pPr>
              <w:ind w:left="20"/>
              <w:spacing w:after="0"/>
              <w:rPr>
                <w:sz w:val="20"/>
                <w:szCs w:val="20"/>
                <w:color w:val="auto"/>
              </w:rPr>
            </w:pPr>
            <w:r>
              <w:rPr>
                <w:rFonts w:ascii="Arial" w:cs="Arial" w:eastAsia="Arial" w:hAnsi="Arial"/>
                <w:sz w:val="13"/>
                <w:szCs w:val="13"/>
                <w:b w:val="1"/>
                <w:bCs w:val="1"/>
                <w:color w:val="auto"/>
              </w:rPr>
              <w:t>Mr. Boldea</w:t>
            </w:r>
          </w:p>
        </w:tc>
        <w:tc>
          <w:tcPr>
            <w:tcW w:w="4300" w:type="dxa"/>
            <w:vAlign w:val="bottom"/>
          </w:tcPr>
          <w:p>
            <w:pPr>
              <w:jc w:val="right"/>
              <w:ind w:right="177"/>
              <w:spacing w:after="0"/>
              <w:rPr>
                <w:sz w:val="20"/>
                <w:szCs w:val="20"/>
                <w:color w:val="auto"/>
              </w:rPr>
            </w:pPr>
            <w:r>
              <w:rPr>
                <w:rFonts w:ascii="Arial" w:cs="Arial" w:eastAsia="Arial" w:hAnsi="Arial"/>
                <w:sz w:val="13"/>
                <w:szCs w:val="13"/>
                <w:color w:val="auto"/>
              </w:rPr>
              <w:t>2,010,105</w:t>
            </w:r>
          </w:p>
        </w:tc>
        <w:tc>
          <w:tcPr>
            <w:tcW w:w="1300" w:type="dxa"/>
            <w:vAlign w:val="bottom"/>
          </w:tcPr>
          <w:p>
            <w:pPr>
              <w:jc w:val="right"/>
              <w:ind w:right="97"/>
              <w:spacing w:after="0"/>
              <w:rPr>
                <w:sz w:val="20"/>
                <w:szCs w:val="20"/>
                <w:color w:val="auto"/>
              </w:rPr>
            </w:pPr>
            <w:r>
              <w:rPr>
                <w:rFonts w:ascii="Arial" w:cs="Arial" w:eastAsia="Arial" w:hAnsi="Arial"/>
                <w:sz w:val="13"/>
                <w:szCs w:val="13"/>
                <w:color w:val="auto"/>
              </w:rPr>
              <w:t>986,107</w:t>
            </w:r>
          </w:p>
        </w:tc>
        <w:tc>
          <w:tcPr>
            <w:tcW w:w="1060" w:type="dxa"/>
            <w:vAlign w:val="bottom"/>
          </w:tcPr>
          <w:p>
            <w:pPr>
              <w:jc w:val="right"/>
              <w:spacing w:after="0"/>
              <w:rPr>
                <w:sz w:val="20"/>
                <w:szCs w:val="20"/>
                <w:color w:val="auto"/>
              </w:rPr>
            </w:pPr>
            <w:r>
              <w:rPr>
                <w:rFonts w:ascii="Arial" w:cs="Arial" w:eastAsia="Arial" w:hAnsi="Arial"/>
                <w:sz w:val="13"/>
                <w:szCs w:val="13"/>
                <w:color w:val="auto"/>
              </w:rPr>
              <w:t>2,996,212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82550</wp:posOffset>
            </wp:positionV>
            <wp:extent cx="6840855"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p>
      <w:pPr>
        <w:spacing w:after="0" w:line="267" w:lineRule="exact"/>
        <w:rPr>
          <w:sz w:val="20"/>
          <w:szCs w:val="20"/>
          <w:color w:val="auto"/>
        </w:rPr>
      </w:pPr>
    </w:p>
    <w:p>
      <w:pPr>
        <w:ind w:left="200" w:hanging="192"/>
        <w:spacing w:after="0" w:line="222" w:lineRule="auto"/>
        <w:tabs>
          <w:tab w:leader="none" w:pos="200" w:val="left"/>
        </w:tabs>
        <w:numPr>
          <w:ilvl w:val="0"/>
          <w:numId w:val="182"/>
        </w:numPr>
        <w:rPr>
          <w:rFonts w:ascii="Arial" w:cs="Arial" w:eastAsia="Arial" w:hAnsi="Arial"/>
          <w:sz w:val="16"/>
          <w:szCs w:val="16"/>
          <w:color w:val="auto"/>
          <w:vertAlign w:val="superscript"/>
        </w:rPr>
      </w:pPr>
      <w:r>
        <w:rPr>
          <w:rFonts w:ascii="Arial" w:cs="Arial" w:eastAsia="Arial" w:hAnsi="Arial"/>
          <w:sz w:val="13"/>
          <w:szCs w:val="13"/>
          <w:color w:val="auto"/>
        </w:rPr>
        <w:t>The 2025 Option Awards shown reflect the aggregate grant date fair value of the awards computed in accordance with FASB ASC Topic 718, using the Black-Scholes option-pricing model at the time of grant, with the expected-term input derived from a risk-adjusted Monte Carlo simulation of the historical exercise behavior and probability-weighted movements in Honeywell’s stock price over time. Annual officer stock options were awarded to Messrs. Kapur, Stepniak, Currier, Hammoud, Lewis, and Boldea with grant date of February 19, 2025, at a Black-Scholes value of $43.82 per option. The portion of the one-time spin-off awards granted in the form of stock options in 2025 are not included in this table because no compensation expense was required to be recognized with respect to such stock options due to the probable outcome of the performance based vesting. Mr. Masso's option grant was given with a grant date of July 14, 2025 at a Black-Scholes value of $44.88. A discussion of the assumptions used in the valuation of option awards made in fiscal year 2025 may be found in Note 15 of the Notes to the Financial Statements in the Company’s Form 10-K for the year ended December 31, 2025.</w:t>
      </w:r>
    </w:p>
    <w:p>
      <w:pPr>
        <w:spacing w:after="0" w:line="39" w:lineRule="exact"/>
        <w:rPr>
          <w:rFonts w:ascii="Arial" w:cs="Arial" w:eastAsia="Arial" w:hAnsi="Arial"/>
          <w:sz w:val="16"/>
          <w:szCs w:val="16"/>
          <w:color w:val="auto"/>
          <w:vertAlign w:val="superscript"/>
        </w:rPr>
      </w:pPr>
    </w:p>
    <w:p>
      <w:pPr>
        <w:ind w:left="200" w:right="40" w:hanging="192"/>
        <w:spacing w:after="0" w:line="223" w:lineRule="auto"/>
        <w:tabs>
          <w:tab w:leader="none" w:pos="200" w:val="left"/>
        </w:tabs>
        <w:numPr>
          <w:ilvl w:val="0"/>
          <w:numId w:val="182"/>
        </w:numPr>
        <w:rPr>
          <w:rFonts w:ascii="Arial" w:cs="Arial" w:eastAsia="Arial" w:hAnsi="Arial"/>
          <w:sz w:val="16"/>
          <w:szCs w:val="16"/>
          <w:color w:val="auto"/>
          <w:vertAlign w:val="superscript"/>
        </w:rPr>
      </w:pPr>
      <w:r>
        <w:rPr>
          <w:rFonts w:ascii="Arial" w:cs="Arial" w:eastAsia="Arial" w:hAnsi="Arial"/>
          <w:sz w:val="13"/>
          <w:szCs w:val="13"/>
          <w:color w:val="auto"/>
        </w:rPr>
        <w:t>The 2025 Non-Equity Incentive Plan Compensation value for each NEO, except Messrs. Stepniak, Currier, and Hammoud represents their annual ICP award for the 2025 plan year. 80% of the ICP award is determined using the pre-set formulaic methodology discussed beginning on page 66, 15% is based on individual assessments determined by the MDCC discussed beginning on page 68, and the remaining 5% is based on the Corporate Responsibility KPIs discussed on page 73. The amount for Messrs. Stepniak, Currier, and Hammoud includes the sum of both their 2025 annual ICP award and their earned payout from Performance Plan cash units issued for the January 1, 2023–December 31, 2025, cycle, that is required to be reported in the final year of the performance period under SEC rules, even though granted in 2023 and covering a three-year period. The following table provides the breakdown of the amounts reported as 2025 Non-Equity Incentive Plan Compensation for Messrs. Stepniak, Currier, and Hammoud:</w:t>
      </w:r>
    </w:p>
    <w:p>
      <w:pPr>
        <w:spacing w:after="0" w:line="92"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380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600" w:type="dxa"/>
            <w:vAlign w:val="bottom"/>
          </w:tcPr>
          <w:p>
            <w:pPr>
              <w:jc w:val="right"/>
              <w:ind w:right="217"/>
              <w:spacing w:after="0"/>
              <w:rPr>
                <w:sz w:val="20"/>
                <w:szCs w:val="20"/>
                <w:color w:val="auto"/>
              </w:rPr>
            </w:pPr>
            <w:r>
              <w:rPr>
                <w:rFonts w:ascii="Arial" w:cs="Arial" w:eastAsia="Arial" w:hAnsi="Arial"/>
                <w:sz w:val="13"/>
                <w:szCs w:val="13"/>
                <w:b w:val="1"/>
                <w:bCs w:val="1"/>
                <w:color w:val="auto"/>
              </w:rPr>
              <w:t>2023–2025</w:t>
            </w:r>
          </w:p>
        </w:tc>
        <w:tc>
          <w:tcPr>
            <w:tcW w:w="1300" w:type="dxa"/>
            <w:vAlign w:val="bottom"/>
          </w:tcPr>
          <w:p>
            <w:pPr>
              <w:jc w:val="right"/>
              <w:spacing w:after="0"/>
              <w:rPr>
                <w:sz w:val="20"/>
                <w:szCs w:val="20"/>
                <w:color w:val="auto"/>
              </w:rPr>
            </w:pPr>
            <w:r>
              <w:rPr>
                <w:rFonts w:ascii="Arial" w:cs="Arial" w:eastAsia="Arial" w:hAnsi="Arial"/>
                <w:sz w:val="13"/>
                <w:szCs w:val="13"/>
                <w:b w:val="1"/>
                <w:bCs w:val="1"/>
                <w:color w:val="auto"/>
              </w:rPr>
              <w:t>Total Non-Equity</w:t>
            </w:r>
          </w:p>
        </w:tc>
      </w:tr>
      <w:tr>
        <w:trPr>
          <w:trHeight w:val="149"/>
        </w:trPr>
        <w:tc>
          <w:tcPr>
            <w:tcW w:w="3800" w:type="dxa"/>
            <w:vAlign w:val="bottom"/>
          </w:tcPr>
          <w:p>
            <w:pPr>
              <w:spacing w:after="0"/>
              <w:rPr>
                <w:sz w:val="12"/>
                <w:szCs w:val="12"/>
                <w:color w:val="auto"/>
              </w:rPr>
            </w:pPr>
          </w:p>
        </w:tc>
        <w:tc>
          <w:tcPr>
            <w:tcW w:w="4060" w:type="dxa"/>
            <w:vAlign w:val="bottom"/>
          </w:tcPr>
          <w:p>
            <w:pPr>
              <w:jc w:val="right"/>
              <w:ind w:right="197"/>
              <w:spacing w:after="0"/>
              <w:rPr>
                <w:sz w:val="20"/>
                <w:szCs w:val="20"/>
                <w:color w:val="auto"/>
              </w:rPr>
            </w:pPr>
            <w:r>
              <w:rPr>
                <w:rFonts w:ascii="Arial" w:cs="Arial" w:eastAsia="Arial" w:hAnsi="Arial"/>
                <w:sz w:val="13"/>
                <w:szCs w:val="13"/>
                <w:b w:val="1"/>
                <w:bCs w:val="1"/>
                <w:color w:val="auto"/>
              </w:rPr>
              <w:t>2025 ICP</w:t>
            </w:r>
          </w:p>
        </w:tc>
        <w:tc>
          <w:tcPr>
            <w:tcW w:w="1600" w:type="dxa"/>
            <w:vAlign w:val="bottom"/>
          </w:tcPr>
          <w:p>
            <w:pPr>
              <w:jc w:val="right"/>
              <w:ind w:right="217"/>
              <w:spacing w:after="0"/>
              <w:rPr>
                <w:sz w:val="20"/>
                <w:szCs w:val="20"/>
                <w:color w:val="auto"/>
              </w:rPr>
            </w:pPr>
            <w:r>
              <w:rPr>
                <w:rFonts w:ascii="Arial" w:cs="Arial" w:eastAsia="Arial" w:hAnsi="Arial"/>
                <w:sz w:val="13"/>
                <w:szCs w:val="13"/>
                <w:b w:val="1"/>
                <w:bCs w:val="1"/>
                <w:color w:val="auto"/>
              </w:rPr>
              <w:t>Performance</w:t>
            </w:r>
          </w:p>
        </w:tc>
        <w:tc>
          <w:tcPr>
            <w:tcW w:w="1300" w:type="dxa"/>
            <w:vAlign w:val="bottom"/>
          </w:tcPr>
          <w:p>
            <w:pPr>
              <w:jc w:val="right"/>
              <w:spacing w:after="0"/>
              <w:rPr>
                <w:sz w:val="20"/>
                <w:szCs w:val="20"/>
                <w:color w:val="auto"/>
              </w:rPr>
            </w:pPr>
            <w:r>
              <w:rPr>
                <w:rFonts w:ascii="Arial" w:cs="Arial" w:eastAsia="Arial" w:hAnsi="Arial"/>
                <w:sz w:val="13"/>
                <w:szCs w:val="13"/>
                <w:b w:val="1"/>
                <w:bCs w:val="1"/>
                <w:color w:val="auto"/>
              </w:rPr>
              <w:t>Incentive Plan</w:t>
            </w:r>
          </w:p>
        </w:tc>
      </w:tr>
      <w:tr>
        <w:trPr>
          <w:trHeight w:val="185"/>
        </w:trPr>
        <w:tc>
          <w:tcPr>
            <w:tcW w:w="3800" w:type="dxa"/>
            <w:vAlign w:val="bottom"/>
          </w:tcPr>
          <w:p>
            <w:pPr>
              <w:ind w:left="20"/>
              <w:spacing w:after="0"/>
              <w:rPr>
                <w:sz w:val="20"/>
                <w:szCs w:val="20"/>
                <w:color w:val="auto"/>
              </w:rPr>
            </w:pPr>
            <w:r>
              <w:rPr>
                <w:rFonts w:ascii="Arial" w:cs="Arial" w:eastAsia="Arial" w:hAnsi="Arial"/>
                <w:sz w:val="13"/>
                <w:szCs w:val="13"/>
                <w:b w:val="1"/>
                <w:bCs w:val="1"/>
                <w:color w:val="auto"/>
              </w:rPr>
              <w:t>NEO</w:t>
            </w:r>
          </w:p>
        </w:tc>
        <w:tc>
          <w:tcPr>
            <w:tcW w:w="4060" w:type="dxa"/>
            <w:vAlign w:val="bottom"/>
          </w:tcPr>
          <w:p>
            <w:pPr>
              <w:jc w:val="right"/>
              <w:ind w:right="197"/>
              <w:spacing w:after="0"/>
              <w:rPr>
                <w:sz w:val="20"/>
                <w:szCs w:val="20"/>
                <w:color w:val="auto"/>
              </w:rPr>
            </w:pPr>
            <w:r>
              <w:rPr>
                <w:rFonts w:ascii="Arial" w:cs="Arial" w:eastAsia="Arial" w:hAnsi="Arial"/>
                <w:sz w:val="13"/>
                <w:szCs w:val="13"/>
                <w:b w:val="1"/>
                <w:bCs w:val="1"/>
                <w:color w:val="auto"/>
              </w:rPr>
              <w:t>Award</w:t>
            </w:r>
          </w:p>
        </w:tc>
        <w:tc>
          <w:tcPr>
            <w:tcW w:w="1600" w:type="dxa"/>
            <w:vAlign w:val="bottom"/>
          </w:tcPr>
          <w:p>
            <w:pPr>
              <w:jc w:val="right"/>
              <w:ind w:right="217"/>
              <w:spacing w:after="0"/>
              <w:rPr>
                <w:sz w:val="20"/>
                <w:szCs w:val="20"/>
                <w:color w:val="auto"/>
              </w:rPr>
            </w:pPr>
            <w:r>
              <w:rPr>
                <w:rFonts w:ascii="Arial" w:cs="Arial" w:eastAsia="Arial" w:hAnsi="Arial"/>
                <w:sz w:val="13"/>
                <w:szCs w:val="13"/>
                <w:b w:val="1"/>
                <w:bCs w:val="1"/>
                <w:color w:val="auto"/>
              </w:rPr>
              <w:t>Cash Unit Payout</w:t>
            </w:r>
          </w:p>
        </w:tc>
        <w:tc>
          <w:tcPr>
            <w:tcW w:w="1300" w:type="dxa"/>
            <w:vAlign w:val="bottom"/>
          </w:tcPr>
          <w:p>
            <w:pPr>
              <w:jc w:val="right"/>
              <w:spacing w:after="0"/>
              <w:rPr>
                <w:sz w:val="20"/>
                <w:szCs w:val="20"/>
                <w:color w:val="auto"/>
              </w:rPr>
            </w:pPr>
            <w:r>
              <w:rPr>
                <w:rFonts w:ascii="Arial" w:cs="Arial" w:eastAsia="Arial" w:hAnsi="Arial"/>
                <w:sz w:val="13"/>
                <w:szCs w:val="13"/>
                <w:b w:val="1"/>
                <w:bCs w:val="1"/>
                <w:color w:val="auto"/>
              </w:rPr>
              <w:t>Compensation</w:t>
            </w:r>
          </w:p>
        </w:tc>
      </w:tr>
      <w:tr>
        <w:trPr>
          <w:trHeight w:val="22"/>
        </w:trPr>
        <w:tc>
          <w:tcPr>
            <w:tcW w:w="3800" w:type="dxa"/>
            <w:vAlign w:val="bottom"/>
            <w:tcBorders>
              <w:bottom w:val="single" w:sz="8" w:color="D7282F"/>
            </w:tcBorders>
          </w:tcPr>
          <w:p>
            <w:pPr>
              <w:spacing w:after="0" w:line="20" w:lineRule="exact"/>
              <w:rPr>
                <w:sz w:val="1"/>
                <w:szCs w:val="1"/>
                <w:color w:val="auto"/>
              </w:rPr>
            </w:pPr>
          </w:p>
        </w:tc>
        <w:tc>
          <w:tcPr>
            <w:tcW w:w="4060" w:type="dxa"/>
            <w:vAlign w:val="bottom"/>
            <w:tcBorders>
              <w:bottom w:val="single" w:sz="8" w:color="D7282F"/>
            </w:tcBorders>
          </w:tcPr>
          <w:p>
            <w:pPr>
              <w:spacing w:after="0" w:line="20" w:lineRule="exact"/>
              <w:rPr>
                <w:sz w:val="1"/>
                <w:szCs w:val="1"/>
                <w:color w:val="auto"/>
              </w:rPr>
            </w:pPr>
          </w:p>
        </w:tc>
        <w:tc>
          <w:tcPr>
            <w:tcW w:w="1600" w:type="dxa"/>
            <w:vAlign w:val="bottom"/>
            <w:tcBorders>
              <w:bottom w:val="single" w:sz="8" w:color="D7282F"/>
            </w:tcBorders>
          </w:tcPr>
          <w:p>
            <w:pPr>
              <w:spacing w:after="0" w:line="20" w:lineRule="exact"/>
              <w:rPr>
                <w:sz w:val="1"/>
                <w:szCs w:val="1"/>
                <w:color w:val="auto"/>
              </w:rPr>
            </w:pPr>
          </w:p>
        </w:tc>
        <w:tc>
          <w:tcPr>
            <w:tcW w:w="1300" w:type="dxa"/>
            <w:vAlign w:val="bottom"/>
            <w:tcBorders>
              <w:bottom w:val="single" w:sz="8" w:color="D7282F"/>
            </w:tcBorders>
          </w:tcPr>
          <w:p>
            <w:pPr>
              <w:spacing w:after="0" w:line="20" w:lineRule="exact"/>
              <w:rPr>
                <w:sz w:val="1"/>
                <w:szCs w:val="1"/>
                <w:color w:val="auto"/>
              </w:rPr>
            </w:pPr>
          </w:p>
        </w:tc>
      </w:tr>
      <w:tr>
        <w:trPr>
          <w:trHeight w:val="283"/>
        </w:trPr>
        <w:tc>
          <w:tcPr>
            <w:tcW w:w="3800" w:type="dxa"/>
            <w:vAlign w:val="bottom"/>
          </w:tcPr>
          <w:p>
            <w:pPr>
              <w:ind w:left="20"/>
              <w:spacing w:after="0"/>
              <w:rPr>
                <w:sz w:val="20"/>
                <w:szCs w:val="20"/>
                <w:color w:val="auto"/>
              </w:rPr>
            </w:pPr>
            <w:r>
              <w:rPr>
                <w:rFonts w:ascii="Arial" w:cs="Arial" w:eastAsia="Arial" w:hAnsi="Arial"/>
                <w:sz w:val="13"/>
                <w:szCs w:val="13"/>
                <w:b w:val="1"/>
                <w:bCs w:val="1"/>
                <w:color w:val="auto"/>
              </w:rPr>
              <w:t>Mr. Stepniak</w:t>
            </w:r>
          </w:p>
        </w:tc>
        <w:tc>
          <w:tcPr>
            <w:tcW w:w="4060" w:type="dxa"/>
            <w:vAlign w:val="bottom"/>
          </w:tcPr>
          <w:p>
            <w:pPr>
              <w:jc w:val="right"/>
              <w:ind w:right="237"/>
              <w:spacing w:after="0"/>
              <w:rPr>
                <w:sz w:val="20"/>
                <w:szCs w:val="20"/>
                <w:color w:val="auto"/>
              </w:rPr>
            </w:pPr>
            <w:r>
              <w:rPr>
                <w:rFonts w:ascii="Arial" w:cs="Arial" w:eastAsia="Arial" w:hAnsi="Arial"/>
                <w:sz w:val="13"/>
                <w:szCs w:val="13"/>
                <w:color w:val="auto"/>
              </w:rPr>
              <w:t>$   1,031,000</w:t>
            </w:r>
          </w:p>
        </w:tc>
        <w:tc>
          <w:tcPr>
            <w:tcW w:w="1600" w:type="dxa"/>
            <w:vAlign w:val="bottom"/>
          </w:tcPr>
          <w:p>
            <w:pPr>
              <w:jc w:val="right"/>
              <w:ind w:right="257"/>
              <w:spacing w:after="0"/>
              <w:rPr>
                <w:sz w:val="20"/>
                <w:szCs w:val="20"/>
                <w:color w:val="auto"/>
              </w:rPr>
            </w:pPr>
            <w:r>
              <w:rPr>
                <w:rFonts w:ascii="Arial" w:cs="Arial" w:eastAsia="Arial" w:hAnsi="Arial"/>
                <w:sz w:val="13"/>
                <w:szCs w:val="13"/>
                <w:color w:val="auto"/>
              </w:rPr>
              <w:t>$   214,197</w:t>
            </w:r>
          </w:p>
        </w:tc>
        <w:tc>
          <w:tcPr>
            <w:tcW w:w="1300" w:type="dxa"/>
            <w:vAlign w:val="bottom"/>
          </w:tcPr>
          <w:p>
            <w:pPr>
              <w:jc w:val="right"/>
              <w:spacing w:after="0"/>
              <w:rPr>
                <w:sz w:val="20"/>
                <w:szCs w:val="20"/>
                <w:color w:val="auto"/>
              </w:rPr>
            </w:pPr>
            <w:r>
              <w:rPr>
                <w:rFonts w:ascii="Arial" w:cs="Arial" w:eastAsia="Arial" w:hAnsi="Arial"/>
                <w:sz w:val="13"/>
                <w:szCs w:val="13"/>
                <w:color w:val="auto"/>
              </w:rPr>
              <w:t>$   1,245,197</w:t>
            </w:r>
          </w:p>
        </w:tc>
      </w:tr>
      <w:tr>
        <w:trPr>
          <w:trHeight w:val="130"/>
        </w:trPr>
        <w:tc>
          <w:tcPr>
            <w:tcW w:w="3800" w:type="dxa"/>
            <w:vAlign w:val="bottom"/>
            <w:tcBorders>
              <w:bottom w:val="single" w:sz="8" w:color="939598"/>
            </w:tcBorders>
          </w:tcPr>
          <w:p>
            <w:pPr>
              <w:spacing w:after="0"/>
              <w:rPr>
                <w:sz w:val="11"/>
                <w:szCs w:val="11"/>
                <w:color w:val="auto"/>
              </w:rPr>
            </w:pPr>
          </w:p>
        </w:tc>
        <w:tc>
          <w:tcPr>
            <w:tcW w:w="4060" w:type="dxa"/>
            <w:vAlign w:val="bottom"/>
            <w:tcBorders>
              <w:bottom w:val="single" w:sz="8" w:color="939598"/>
            </w:tcBorders>
          </w:tcPr>
          <w:p>
            <w:pPr>
              <w:spacing w:after="0"/>
              <w:rPr>
                <w:sz w:val="11"/>
                <w:szCs w:val="11"/>
                <w:color w:val="auto"/>
              </w:rPr>
            </w:pPr>
          </w:p>
        </w:tc>
        <w:tc>
          <w:tcPr>
            <w:tcW w:w="1600" w:type="dxa"/>
            <w:vAlign w:val="bottom"/>
            <w:tcBorders>
              <w:bottom w:val="single" w:sz="8" w:color="939598"/>
            </w:tcBorders>
          </w:tcPr>
          <w:p>
            <w:pPr>
              <w:spacing w:after="0"/>
              <w:rPr>
                <w:sz w:val="11"/>
                <w:szCs w:val="11"/>
                <w:color w:val="auto"/>
              </w:rPr>
            </w:pPr>
          </w:p>
        </w:tc>
        <w:tc>
          <w:tcPr>
            <w:tcW w:w="1300" w:type="dxa"/>
            <w:vAlign w:val="bottom"/>
            <w:tcBorders>
              <w:bottom w:val="single" w:sz="8" w:color="939598"/>
            </w:tcBorders>
          </w:tcPr>
          <w:p>
            <w:pPr>
              <w:spacing w:after="0"/>
              <w:rPr>
                <w:sz w:val="11"/>
                <w:szCs w:val="11"/>
                <w:color w:val="auto"/>
              </w:rPr>
            </w:pPr>
          </w:p>
        </w:tc>
      </w:tr>
      <w:tr>
        <w:trPr>
          <w:trHeight w:val="283"/>
        </w:trPr>
        <w:tc>
          <w:tcPr>
            <w:tcW w:w="3800" w:type="dxa"/>
            <w:vAlign w:val="bottom"/>
          </w:tcPr>
          <w:p>
            <w:pPr>
              <w:ind w:left="20"/>
              <w:spacing w:after="0"/>
              <w:rPr>
                <w:sz w:val="20"/>
                <w:szCs w:val="20"/>
                <w:color w:val="auto"/>
              </w:rPr>
            </w:pPr>
            <w:r>
              <w:rPr>
                <w:rFonts w:ascii="Arial" w:cs="Arial" w:eastAsia="Arial" w:hAnsi="Arial"/>
                <w:sz w:val="13"/>
                <w:szCs w:val="13"/>
                <w:b w:val="1"/>
                <w:bCs w:val="1"/>
                <w:color w:val="auto"/>
              </w:rPr>
              <w:t>Mr. Currier</w:t>
            </w:r>
          </w:p>
        </w:tc>
        <w:tc>
          <w:tcPr>
            <w:tcW w:w="4060" w:type="dxa"/>
            <w:vAlign w:val="bottom"/>
          </w:tcPr>
          <w:p>
            <w:pPr>
              <w:jc w:val="right"/>
              <w:ind w:right="237"/>
              <w:spacing w:after="0"/>
              <w:rPr>
                <w:sz w:val="20"/>
                <w:szCs w:val="20"/>
                <w:color w:val="auto"/>
              </w:rPr>
            </w:pPr>
            <w:r>
              <w:rPr>
                <w:rFonts w:ascii="Arial" w:cs="Arial" w:eastAsia="Arial" w:hAnsi="Arial"/>
                <w:sz w:val="13"/>
                <w:szCs w:val="13"/>
                <w:color w:val="auto"/>
              </w:rPr>
              <w:t>1,033,600</w:t>
            </w:r>
          </w:p>
        </w:tc>
        <w:tc>
          <w:tcPr>
            <w:tcW w:w="1600" w:type="dxa"/>
            <w:vAlign w:val="bottom"/>
          </w:tcPr>
          <w:p>
            <w:pPr>
              <w:jc w:val="right"/>
              <w:ind w:right="257"/>
              <w:spacing w:after="0"/>
              <w:rPr>
                <w:sz w:val="20"/>
                <w:szCs w:val="20"/>
                <w:color w:val="auto"/>
              </w:rPr>
            </w:pPr>
            <w:r>
              <w:rPr>
                <w:rFonts w:ascii="Arial" w:cs="Arial" w:eastAsia="Arial" w:hAnsi="Arial"/>
                <w:sz w:val="13"/>
                <w:szCs w:val="13"/>
                <w:color w:val="auto"/>
              </w:rPr>
              <w:t>129,600</w:t>
            </w:r>
          </w:p>
        </w:tc>
        <w:tc>
          <w:tcPr>
            <w:tcW w:w="1300" w:type="dxa"/>
            <w:vAlign w:val="bottom"/>
          </w:tcPr>
          <w:p>
            <w:pPr>
              <w:jc w:val="right"/>
              <w:spacing w:after="0"/>
              <w:rPr>
                <w:sz w:val="20"/>
                <w:szCs w:val="20"/>
                <w:color w:val="auto"/>
              </w:rPr>
            </w:pPr>
            <w:r>
              <w:rPr>
                <w:rFonts w:ascii="Arial" w:cs="Arial" w:eastAsia="Arial" w:hAnsi="Arial"/>
                <w:sz w:val="13"/>
                <w:szCs w:val="13"/>
                <w:color w:val="auto"/>
              </w:rPr>
              <w:t>1,163,200</w:t>
            </w:r>
          </w:p>
        </w:tc>
      </w:tr>
      <w:tr>
        <w:trPr>
          <w:trHeight w:val="130"/>
        </w:trPr>
        <w:tc>
          <w:tcPr>
            <w:tcW w:w="3800" w:type="dxa"/>
            <w:vAlign w:val="bottom"/>
            <w:tcBorders>
              <w:bottom w:val="single" w:sz="8" w:color="939598"/>
            </w:tcBorders>
          </w:tcPr>
          <w:p>
            <w:pPr>
              <w:spacing w:after="0"/>
              <w:rPr>
                <w:sz w:val="11"/>
                <w:szCs w:val="11"/>
                <w:color w:val="auto"/>
              </w:rPr>
            </w:pPr>
          </w:p>
        </w:tc>
        <w:tc>
          <w:tcPr>
            <w:tcW w:w="4060" w:type="dxa"/>
            <w:vAlign w:val="bottom"/>
            <w:tcBorders>
              <w:bottom w:val="single" w:sz="8" w:color="939598"/>
            </w:tcBorders>
          </w:tcPr>
          <w:p>
            <w:pPr>
              <w:spacing w:after="0"/>
              <w:rPr>
                <w:sz w:val="11"/>
                <w:szCs w:val="11"/>
                <w:color w:val="auto"/>
              </w:rPr>
            </w:pPr>
          </w:p>
        </w:tc>
        <w:tc>
          <w:tcPr>
            <w:tcW w:w="1600" w:type="dxa"/>
            <w:vAlign w:val="bottom"/>
            <w:tcBorders>
              <w:bottom w:val="single" w:sz="8" w:color="939598"/>
            </w:tcBorders>
          </w:tcPr>
          <w:p>
            <w:pPr>
              <w:spacing w:after="0"/>
              <w:rPr>
                <w:sz w:val="11"/>
                <w:szCs w:val="11"/>
                <w:color w:val="auto"/>
              </w:rPr>
            </w:pPr>
          </w:p>
        </w:tc>
        <w:tc>
          <w:tcPr>
            <w:tcW w:w="1300" w:type="dxa"/>
            <w:vAlign w:val="bottom"/>
            <w:tcBorders>
              <w:bottom w:val="single" w:sz="8" w:color="939598"/>
            </w:tcBorders>
          </w:tcPr>
          <w:p>
            <w:pPr>
              <w:spacing w:after="0"/>
              <w:rPr>
                <w:sz w:val="11"/>
                <w:szCs w:val="11"/>
                <w:color w:val="auto"/>
              </w:rPr>
            </w:pPr>
          </w:p>
        </w:tc>
      </w:tr>
      <w:tr>
        <w:trPr>
          <w:trHeight w:val="282"/>
        </w:trPr>
        <w:tc>
          <w:tcPr>
            <w:tcW w:w="3800" w:type="dxa"/>
            <w:vAlign w:val="bottom"/>
          </w:tcPr>
          <w:p>
            <w:pPr>
              <w:ind w:left="20"/>
              <w:spacing w:after="0"/>
              <w:rPr>
                <w:sz w:val="20"/>
                <w:szCs w:val="20"/>
                <w:color w:val="auto"/>
              </w:rPr>
            </w:pPr>
            <w:r>
              <w:rPr>
                <w:rFonts w:ascii="Arial" w:cs="Arial" w:eastAsia="Arial" w:hAnsi="Arial"/>
                <w:sz w:val="13"/>
                <w:szCs w:val="13"/>
                <w:b w:val="1"/>
                <w:bCs w:val="1"/>
                <w:color w:val="auto"/>
              </w:rPr>
              <w:t>Mr. Hammoud</w:t>
            </w:r>
          </w:p>
        </w:tc>
        <w:tc>
          <w:tcPr>
            <w:tcW w:w="4060" w:type="dxa"/>
            <w:vAlign w:val="bottom"/>
          </w:tcPr>
          <w:p>
            <w:pPr>
              <w:jc w:val="right"/>
              <w:ind w:right="197"/>
              <w:spacing w:after="0"/>
              <w:rPr>
                <w:sz w:val="20"/>
                <w:szCs w:val="20"/>
                <w:color w:val="auto"/>
              </w:rPr>
            </w:pPr>
            <w:r>
              <w:rPr>
                <w:rFonts w:ascii="Arial" w:cs="Arial" w:eastAsia="Arial" w:hAnsi="Arial"/>
                <w:sz w:val="13"/>
                <w:szCs w:val="13"/>
                <w:color w:val="auto"/>
              </w:rPr>
              <w:t>877,400</w:t>
            </w:r>
          </w:p>
        </w:tc>
        <w:tc>
          <w:tcPr>
            <w:tcW w:w="1600" w:type="dxa"/>
            <w:vAlign w:val="bottom"/>
          </w:tcPr>
          <w:p>
            <w:pPr>
              <w:jc w:val="right"/>
              <w:ind w:right="217"/>
              <w:spacing w:after="0"/>
              <w:rPr>
                <w:sz w:val="20"/>
                <w:szCs w:val="20"/>
                <w:color w:val="auto"/>
              </w:rPr>
            </w:pPr>
            <w:r>
              <w:rPr>
                <w:rFonts w:ascii="Arial" w:cs="Arial" w:eastAsia="Arial" w:hAnsi="Arial"/>
                <w:sz w:val="13"/>
                <w:szCs w:val="13"/>
                <w:color w:val="auto"/>
              </w:rPr>
              <w:t>131,437</w:t>
            </w:r>
          </w:p>
        </w:tc>
        <w:tc>
          <w:tcPr>
            <w:tcW w:w="1300" w:type="dxa"/>
            <w:vAlign w:val="bottom"/>
          </w:tcPr>
          <w:p>
            <w:pPr>
              <w:jc w:val="right"/>
              <w:spacing w:after="0"/>
              <w:rPr>
                <w:sz w:val="20"/>
                <w:szCs w:val="20"/>
                <w:color w:val="auto"/>
              </w:rPr>
            </w:pPr>
            <w:r>
              <w:rPr>
                <w:rFonts w:ascii="Arial" w:cs="Arial" w:eastAsia="Arial" w:hAnsi="Arial"/>
                <w:sz w:val="13"/>
                <w:szCs w:val="13"/>
                <w:color w:val="auto"/>
              </w:rPr>
              <w:t>1,008,837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82550</wp:posOffset>
            </wp:positionV>
            <wp:extent cx="6840855"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67" w:lineRule="exact"/>
        <w:rPr>
          <w:sz w:val="20"/>
          <w:szCs w:val="20"/>
          <w:color w:val="auto"/>
        </w:rPr>
      </w:pPr>
    </w:p>
    <w:p>
      <w:pPr>
        <w:ind w:left="200" w:right="20" w:hanging="192"/>
        <w:spacing w:after="0" w:line="223" w:lineRule="auto"/>
        <w:tabs>
          <w:tab w:leader="none" w:pos="200" w:val="left"/>
        </w:tabs>
        <w:numPr>
          <w:ilvl w:val="0"/>
          <w:numId w:val="183"/>
        </w:numPr>
        <w:rPr>
          <w:rFonts w:ascii="Arial" w:cs="Arial" w:eastAsia="Arial" w:hAnsi="Arial"/>
          <w:sz w:val="16"/>
          <w:szCs w:val="16"/>
          <w:color w:val="auto"/>
          <w:vertAlign w:val="superscript"/>
        </w:rPr>
      </w:pPr>
      <w:r>
        <w:rPr>
          <w:rFonts w:ascii="Arial" w:cs="Arial" w:eastAsia="Arial" w:hAnsi="Arial"/>
          <w:sz w:val="13"/>
          <w:szCs w:val="13"/>
          <w:color w:val="auto"/>
        </w:rPr>
        <w:t>Represents (i) the aggregate change in the present value of each Named Executive Officer’s accumulated benefit under the Company’s pension plans from December 31, 2024, to December 31, 2025, (as disclosed in the Pension Benefits table on page 94 of this Proxy Statement) and (ii) interest earned in 2025 on deferred compensation that is considered “above-market interest” under SEC rules (as discussed beginning on page 97), as further detailed below.</w:t>
      </w:r>
    </w:p>
    <w:p>
      <w:pPr>
        <w:spacing w:after="0" w:line="90"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36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60" w:type="dxa"/>
            <w:vAlign w:val="bottom"/>
          </w:tcPr>
          <w:p>
            <w:pPr>
              <w:jc w:val="right"/>
              <w:spacing w:after="0"/>
              <w:rPr>
                <w:sz w:val="20"/>
                <w:szCs w:val="20"/>
                <w:color w:val="auto"/>
              </w:rPr>
            </w:pPr>
            <w:r>
              <w:rPr>
                <w:rFonts w:ascii="Arial" w:cs="Arial" w:eastAsia="Arial" w:hAnsi="Arial"/>
                <w:sz w:val="13"/>
                <w:szCs w:val="13"/>
                <w:b w:val="1"/>
                <w:bCs w:val="1"/>
                <w:color w:val="auto"/>
              </w:rPr>
              <w:t>Total Change in Pension</w:t>
            </w:r>
          </w:p>
        </w:tc>
      </w:tr>
      <w:tr>
        <w:trPr>
          <w:trHeight w:val="162"/>
        </w:trPr>
        <w:tc>
          <w:tcPr>
            <w:tcW w:w="36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Arial" w:cs="Arial" w:eastAsia="Arial" w:hAnsi="Arial"/>
                <w:sz w:val="13"/>
                <w:szCs w:val="13"/>
                <w:b w:val="1"/>
                <w:bCs w:val="1"/>
                <w:color w:val="auto"/>
              </w:rPr>
              <w:t>Value and Nonqualified</w:t>
            </w:r>
          </w:p>
        </w:tc>
      </w:tr>
      <w:tr>
        <w:trPr>
          <w:trHeight w:val="148"/>
        </w:trPr>
        <w:tc>
          <w:tcPr>
            <w:tcW w:w="3600" w:type="dxa"/>
            <w:vAlign w:val="bottom"/>
          </w:tcPr>
          <w:p>
            <w:pPr>
              <w:spacing w:after="0"/>
              <w:rPr>
                <w:sz w:val="12"/>
                <w:szCs w:val="12"/>
                <w:color w:val="auto"/>
              </w:rPr>
            </w:pPr>
          </w:p>
        </w:tc>
        <w:tc>
          <w:tcPr>
            <w:tcW w:w="3940" w:type="dxa"/>
            <w:vAlign w:val="bottom"/>
          </w:tcPr>
          <w:p>
            <w:pPr>
              <w:jc w:val="right"/>
              <w:ind w:right="177"/>
              <w:spacing w:after="0"/>
              <w:rPr>
                <w:sz w:val="20"/>
                <w:szCs w:val="20"/>
                <w:color w:val="auto"/>
              </w:rPr>
            </w:pPr>
            <w:r>
              <w:rPr>
                <w:rFonts w:ascii="Arial" w:cs="Arial" w:eastAsia="Arial" w:hAnsi="Arial"/>
                <w:sz w:val="13"/>
                <w:szCs w:val="13"/>
                <w:b w:val="1"/>
                <w:bCs w:val="1"/>
                <w:color w:val="auto"/>
              </w:rPr>
              <w:t>Change in</w:t>
            </w: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60" w:type="dxa"/>
            <w:vAlign w:val="bottom"/>
          </w:tcPr>
          <w:p>
            <w:pPr>
              <w:jc w:val="right"/>
              <w:spacing w:after="0"/>
              <w:rPr>
                <w:sz w:val="20"/>
                <w:szCs w:val="20"/>
                <w:color w:val="auto"/>
              </w:rPr>
            </w:pPr>
            <w:r>
              <w:rPr>
                <w:rFonts w:ascii="Arial" w:cs="Arial" w:eastAsia="Arial" w:hAnsi="Arial"/>
                <w:sz w:val="13"/>
                <w:szCs w:val="13"/>
                <w:b w:val="1"/>
                <w:bCs w:val="1"/>
                <w:color w:val="auto"/>
              </w:rPr>
              <w:t>Deferred Compensation</w:t>
            </w:r>
          </w:p>
        </w:tc>
      </w:tr>
      <w:tr>
        <w:trPr>
          <w:trHeight w:val="193"/>
        </w:trPr>
        <w:tc>
          <w:tcPr>
            <w:tcW w:w="3600" w:type="dxa"/>
            <w:vAlign w:val="bottom"/>
            <w:tcBorders>
              <w:bottom w:val="single" w:sz="8" w:color="D7282F"/>
            </w:tcBorders>
          </w:tcPr>
          <w:p>
            <w:pPr>
              <w:ind w:left="20"/>
              <w:spacing w:after="0"/>
              <w:rPr>
                <w:sz w:val="20"/>
                <w:szCs w:val="20"/>
                <w:color w:val="auto"/>
              </w:rPr>
            </w:pPr>
            <w:r>
              <w:rPr>
                <w:rFonts w:ascii="Arial" w:cs="Arial" w:eastAsia="Arial" w:hAnsi="Arial"/>
                <w:sz w:val="13"/>
                <w:szCs w:val="13"/>
                <w:b w:val="1"/>
                <w:bCs w:val="1"/>
                <w:color w:val="auto"/>
              </w:rPr>
              <w:t>NEO</w:t>
            </w:r>
          </w:p>
        </w:tc>
        <w:tc>
          <w:tcPr>
            <w:tcW w:w="3940" w:type="dxa"/>
            <w:vAlign w:val="bottom"/>
            <w:tcBorders>
              <w:bottom w:val="single" w:sz="8" w:color="D7282F"/>
            </w:tcBorders>
          </w:tcPr>
          <w:p>
            <w:pPr>
              <w:jc w:val="right"/>
              <w:ind w:right="177"/>
              <w:spacing w:after="0"/>
              <w:rPr>
                <w:sz w:val="20"/>
                <w:szCs w:val="20"/>
                <w:color w:val="auto"/>
              </w:rPr>
            </w:pPr>
            <w:r>
              <w:rPr>
                <w:rFonts w:ascii="Arial" w:cs="Arial" w:eastAsia="Arial" w:hAnsi="Arial"/>
                <w:sz w:val="13"/>
                <w:szCs w:val="13"/>
                <w:b w:val="1"/>
                <w:bCs w:val="1"/>
                <w:color w:val="auto"/>
              </w:rPr>
              <w:t>Pension Value</w:t>
            </w:r>
            <w:r>
              <w:rPr>
                <w:rFonts w:ascii="Arial" w:cs="Arial" w:eastAsia="Arial" w:hAnsi="Arial"/>
                <w:sz w:val="16"/>
                <w:szCs w:val="16"/>
                <w:b w:val="1"/>
                <w:bCs w:val="1"/>
                <w:color w:val="auto"/>
                <w:vertAlign w:val="superscript"/>
              </w:rPr>
              <w:t>(a)</w:t>
            </w:r>
          </w:p>
        </w:tc>
        <w:tc>
          <w:tcPr>
            <w:tcW w:w="1460" w:type="dxa"/>
            <w:vAlign w:val="bottom"/>
            <w:tcBorders>
              <w:bottom w:val="single" w:sz="8" w:color="D7282F"/>
            </w:tcBorders>
            <w:gridSpan w:val="2"/>
          </w:tcPr>
          <w:p>
            <w:pPr>
              <w:ind w:left="240"/>
              <w:spacing w:after="0"/>
              <w:rPr>
                <w:sz w:val="20"/>
                <w:szCs w:val="20"/>
                <w:color w:val="auto"/>
              </w:rPr>
            </w:pPr>
            <w:r>
              <w:rPr>
                <w:rFonts w:ascii="Arial" w:cs="Arial" w:eastAsia="Arial" w:hAnsi="Arial"/>
                <w:sz w:val="13"/>
                <w:szCs w:val="13"/>
                <w:b w:val="1"/>
                <w:bCs w:val="1"/>
                <w:color w:val="auto"/>
              </w:rPr>
              <w:t>NQDC Interest</w:t>
            </w:r>
            <w:r>
              <w:rPr>
                <w:rFonts w:ascii="Arial" w:cs="Arial" w:eastAsia="Arial" w:hAnsi="Arial"/>
                <w:sz w:val="16"/>
                <w:szCs w:val="16"/>
                <w:b w:val="1"/>
                <w:bCs w:val="1"/>
                <w:color w:val="auto"/>
                <w:vertAlign w:val="superscript"/>
              </w:rPr>
              <w:t>(b)</w:t>
            </w:r>
          </w:p>
        </w:tc>
        <w:tc>
          <w:tcPr>
            <w:tcW w:w="1760" w:type="dxa"/>
            <w:vAlign w:val="bottom"/>
            <w:tcBorders>
              <w:bottom w:val="single" w:sz="8" w:color="D7282F"/>
            </w:tcBorders>
          </w:tcPr>
          <w:p>
            <w:pPr>
              <w:jc w:val="right"/>
              <w:spacing w:after="0"/>
              <w:rPr>
                <w:sz w:val="20"/>
                <w:szCs w:val="20"/>
                <w:color w:val="auto"/>
              </w:rPr>
            </w:pPr>
            <w:r>
              <w:rPr>
                <w:rFonts w:ascii="Arial" w:cs="Arial" w:eastAsia="Arial" w:hAnsi="Arial"/>
                <w:sz w:val="13"/>
                <w:szCs w:val="13"/>
                <w:b w:val="1"/>
                <w:bCs w:val="1"/>
                <w:color w:val="auto"/>
              </w:rPr>
              <w:t>Earnings</w:t>
            </w:r>
          </w:p>
        </w:tc>
      </w:tr>
      <w:tr>
        <w:trPr>
          <w:trHeight w:val="283"/>
        </w:trPr>
        <w:tc>
          <w:tcPr>
            <w:tcW w:w="3600" w:type="dxa"/>
            <w:vAlign w:val="bottom"/>
          </w:tcPr>
          <w:p>
            <w:pPr>
              <w:ind w:left="20"/>
              <w:spacing w:after="0"/>
              <w:rPr>
                <w:sz w:val="20"/>
                <w:szCs w:val="20"/>
                <w:color w:val="auto"/>
              </w:rPr>
            </w:pPr>
            <w:r>
              <w:rPr>
                <w:rFonts w:ascii="Arial" w:cs="Arial" w:eastAsia="Arial" w:hAnsi="Arial"/>
                <w:sz w:val="13"/>
                <w:szCs w:val="13"/>
                <w:b w:val="1"/>
                <w:bCs w:val="1"/>
                <w:color w:val="auto"/>
              </w:rPr>
              <w:t>Mr. Kapur</w:t>
            </w:r>
          </w:p>
        </w:tc>
        <w:tc>
          <w:tcPr>
            <w:tcW w:w="3940" w:type="dxa"/>
            <w:vAlign w:val="bottom"/>
          </w:tcPr>
          <w:p>
            <w:pPr>
              <w:jc w:val="right"/>
              <w:ind w:right="217"/>
              <w:spacing w:after="0"/>
              <w:rPr>
                <w:sz w:val="20"/>
                <w:szCs w:val="20"/>
                <w:color w:val="auto"/>
              </w:rPr>
            </w:pPr>
            <w:r>
              <w:rPr>
                <w:rFonts w:ascii="Arial" w:cs="Arial" w:eastAsia="Arial" w:hAnsi="Arial"/>
                <w:sz w:val="13"/>
                <w:szCs w:val="13"/>
                <w:color w:val="auto"/>
              </w:rPr>
              <w:t>$   573,547</w:t>
            </w:r>
          </w:p>
        </w:tc>
        <w:tc>
          <w:tcPr>
            <w:tcW w:w="80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660" w:type="dxa"/>
            <w:vAlign w:val="bottom"/>
          </w:tcPr>
          <w:p>
            <w:pPr>
              <w:ind w:left="240"/>
              <w:spacing w:after="0"/>
              <w:rPr>
                <w:sz w:val="20"/>
                <w:szCs w:val="20"/>
                <w:color w:val="auto"/>
              </w:rPr>
            </w:pPr>
            <w:r>
              <w:rPr>
                <w:rFonts w:ascii="Arial" w:cs="Arial" w:eastAsia="Arial" w:hAnsi="Arial"/>
                <w:sz w:val="13"/>
                <w:szCs w:val="13"/>
                <w:color w:val="auto"/>
              </w:rPr>
              <w:t>—</w:t>
            </w:r>
          </w:p>
        </w:tc>
        <w:tc>
          <w:tcPr>
            <w:tcW w:w="1760" w:type="dxa"/>
            <w:vAlign w:val="bottom"/>
          </w:tcPr>
          <w:p>
            <w:pPr>
              <w:jc w:val="right"/>
              <w:spacing w:after="0"/>
              <w:rPr>
                <w:sz w:val="20"/>
                <w:szCs w:val="20"/>
                <w:color w:val="auto"/>
              </w:rPr>
            </w:pPr>
            <w:r>
              <w:rPr>
                <w:rFonts w:ascii="Arial" w:cs="Arial" w:eastAsia="Arial" w:hAnsi="Arial"/>
                <w:sz w:val="13"/>
                <w:szCs w:val="13"/>
                <w:color w:val="auto"/>
              </w:rPr>
              <w:t>$   573,547</w:t>
            </w:r>
          </w:p>
        </w:tc>
      </w:tr>
      <w:tr>
        <w:trPr>
          <w:trHeight w:val="130"/>
        </w:trPr>
        <w:tc>
          <w:tcPr>
            <w:tcW w:w="3600" w:type="dxa"/>
            <w:vAlign w:val="bottom"/>
            <w:tcBorders>
              <w:bottom w:val="single" w:sz="8" w:color="939598"/>
            </w:tcBorders>
          </w:tcPr>
          <w:p>
            <w:pPr>
              <w:spacing w:after="0"/>
              <w:rPr>
                <w:sz w:val="11"/>
                <w:szCs w:val="11"/>
                <w:color w:val="auto"/>
              </w:rPr>
            </w:pPr>
          </w:p>
        </w:tc>
        <w:tc>
          <w:tcPr>
            <w:tcW w:w="3940" w:type="dxa"/>
            <w:vAlign w:val="bottom"/>
            <w:tcBorders>
              <w:bottom w:val="single" w:sz="8" w:color="939598"/>
            </w:tcBorders>
          </w:tcPr>
          <w:p>
            <w:pPr>
              <w:spacing w:after="0"/>
              <w:rPr>
                <w:sz w:val="11"/>
                <w:szCs w:val="11"/>
                <w:color w:val="auto"/>
              </w:rPr>
            </w:pPr>
          </w:p>
        </w:tc>
        <w:tc>
          <w:tcPr>
            <w:tcW w:w="800" w:type="dxa"/>
            <w:vAlign w:val="bottom"/>
            <w:tcBorders>
              <w:bottom w:val="single" w:sz="8" w:color="939598"/>
            </w:tcBorders>
          </w:tcPr>
          <w:p>
            <w:pPr>
              <w:spacing w:after="0"/>
              <w:rPr>
                <w:sz w:val="11"/>
                <w:szCs w:val="11"/>
                <w:color w:val="auto"/>
              </w:rPr>
            </w:pPr>
          </w:p>
        </w:tc>
        <w:tc>
          <w:tcPr>
            <w:tcW w:w="660" w:type="dxa"/>
            <w:vAlign w:val="bottom"/>
            <w:tcBorders>
              <w:bottom w:val="single" w:sz="8" w:color="939598"/>
            </w:tcBorders>
          </w:tcPr>
          <w:p>
            <w:pPr>
              <w:spacing w:after="0"/>
              <w:rPr>
                <w:sz w:val="11"/>
                <w:szCs w:val="11"/>
                <w:color w:val="auto"/>
              </w:rPr>
            </w:pPr>
          </w:p>
        </w:tc>
        <w:tc>
          <w:tcPr>
            <w:tcW w:w="1760" w:type="dxa"/>
            <w:vAlign w:val="bottom"/>
            <w:tcBorders>
              <w:bottom w:val="single" w:sz="8" w:color="939598"/>
            </w:tcBorders>
          </w:tcPr>
          <w:p>
            <w:pPr>
              <w:spacing w:after="0"/>
              <w:rPr>
                <w:sz w:val="11"/>
                <w:szCs w:val="11"/>
                <w:color w:val="auto"/>
              </w:rPr>
            </w:pPr>
          </w:p>
        </w:tc>
      </w:tr>
      <w:tr>
        <w:trPr>
          <w:trHeight w:val="282"/>
        </w:trPr>
        <w:tc>
          <w:tcPr>
            <w:tcW w:w="3600" w:type="dxa"/>
            <w:vAlign w:val="bottom"/>
          </w:tcPr>
          <w:p>
            <w:pPr>
              <w:ind w:left="20"/>
              <w:spacing w:after="0"/>
              <w:rPr>
                <w:sz w:val="20"/>
                <w:szCs w:val="20"/>
                <w:color w:val="auto"/>
              </w:rPr>
            </w:pPr>
            <w:r>
              <w:rPr>
                <w:rFonts w:ascii="Arial" w:cs="Arial" w:eastAsia="Arial" w:hAnsi="Arial"/>
                <w:sz w:val="13"/>
                <w:szCs w:val="13"/>
                <w:b w:val="1"/>
                <w:bCs w:val="1"/>
                <w:color w:val="auto"/>
              </w:rPr>
              <w:t>Mr. Stepniak</w:t>
            </w:r>
          </w:p>
        </w:tc>
        <w:tc>
          <w:tcPr>
            <w:tcW w:w="394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24"/>
                <w:szCs w:val="24"/>
                <w:color w:val="auto"/>
              </w:rPr>
            </w:pPr>
          </w:p>
        </w:tc>
        <w:tc>
          <w:tcPr>
            <w:tcW w:w="660" w:type="dxa"/>
            <w:vAlign w:val="bottom"/>
          </w:tcPr>
          <w:p>
            <w:pPr>
              <w:ind w:left="240"/>
              <w:spacing w:after="0"/>
              <w:rPr>
                <w:sz w:val="20"/>
                <w:szCs w:val="20"/>
                <w:color w:val="auto"/>
              </w:rPr>
            </w:pPr>
            <w:r>
              <w:rPr>
                <w:rFonts w:ascii="Arial" w:cs="Arial" w:eastAsia="Arial" w:hAnsi="Arial"/>
                <w:sz w:val="13"/>
                <w:szCs w:val="13"/>
                <w:color w:val="auto"/>
              </w:rPr>
              <w:t>—</w:t>
            </w:r>
          </w:p>
        </w:tc>
        <w:tc>
          <w:tcPr>
            <w:tcW w:w="17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30"/>
        </w:trPr>
        <w:tc>
          <w:tcPr>
            <w:tcW w:w="3600" w:type="dxa"/>
            <w:vAlign w:val="bottom"/>
            <w:tcBorders>
              <w:bottom w:val="single" w:sz="8" w:color="939598"/>
            </w:tcBorders>
          </w:tcPr>
          <w:p>
            <w:pPr>
              <w:spacing w:after="0"/>
              <w:rPr>
                <w:sz w:val="11"/>
                <w:szCs w:val="11"/>
                <w:color w:val="auto"/>
              </w:rPr>
            </w:pPr>
          </w:p>
        </w:tc>
        <w:tc>
          <w:tcPr>
            <w:tcW w:w="3940" w:type="dxa"/>
            <w:vAlign w:val="bottom"/>
            <w:tcBorders>
              <w:bottom w:val="single" w:sz="8" w:color="939598"/>
            </w:tcBorders>
          </w:tcPr>
          <w:p>
            <w:pPr>
              <w:spacing w:after="0"/>
              <w:rPr>
                <w:sz w:val="11"/>
                <w:szCs w:val="11"/>
                <w:color w:val="auto"/>
              </w:rPr>
            </w:pPr>
          </w:p>
        </w:tc>
        <w:tc>
          <w:tcPr>
            <w:tcW w:w="800" w:type="dxa"/>
            <w:vAlign w:val="bottom"/>
            <w:tcBorders>
              <w:bottom w:val="single" w:sz="8" w:color="939598"/>
            </w:tcBorders>
          </w:tcPr>
          <w:p>
            <w:pPr>
              <w:spacing w:after="0"/>
              <w:rPr>
                <w:sz w:val="11"/>
                <w:szCs w:val="11"/>
                <w:color w:val="auto"/>
              </w:rPr>
            </w:pPr>
          </w:p>
        </w:tc>
        <w:tc>
          <w:tcPr>
            <w:tcW w:w="660" w:type="dxa"/>
            <w:vAlign w:val="bottom"/>
            <w:tcBorders>
              <w:bottom w:val="single" w:sz="8" w:color="939598"/>
            </w:tcBorders>
          </w:tcPr>
          <w:p>
            <w:pPr>
              <w:spacing w:after="0"/>
              <w:rPr>
                <w:sz w:val="11"/>
                <w:szCs w:val="11"/>
                <w:color w:val="auto"/>
              </w:rPr>
            </w:pPr>
          </w:p>
        </w:tc>
        <w:tc>
          <w:tcPr>
            <w:tcW w:w="1760" w:type="dxa"/>
            <w:vAlign w:val="bottom"/>
            <w:tcBorders>
              <w:bottom w:val="single" w:sz="8" w:color="939598"/>
            </w:tcBorders>
          </w:tcPr>
          <w:p>
            <w:pPr>
              <w:spacing w:after="0"/>
              <w:rPr>
                <w:sz w:val="11"/>
                <w:szCs w:val="11"/>
                <w:color w:val="auto"/>
              </w:rPr>
            </w:pPr>
          </w:p>
        </w:tc>
      </w:tr>
      <w:tr>
        <w:trPr>
          <w:trHeight w:val="282"/>
        </w:trPr>
        <w:tc>
          <w:tcPr>
            <w:tcW w:w="3600" w:type="dxa"/>
            <w:vAlign w:val="bottom"/>
          </w:tcPr>
          <w:p>
            <w:pPr>
              <w:ind w:left="20"/>
              <w:spacing w:after="0"/>
              <w:rPr>
                <w:sz w:val="20"/>
                <w:szCs w:val="20"/>
                <w:color w:val="auto"/>
              </w:rPr>
            </w:pPr>
            <w:r>
              <w:rPr>
                <w:rFonts w:ascii="Arial" w:cs="Arial" w:eastAsia="Arial" w:hAnsi="Arial"/>
                <w:sz w:val="13"/>
                <w:szCs w:val="13"/>
                <w:b w:val="1"/>
                <w:bCs w:val="1"/>
                <w:color w:val="auto"/>
              </w:rPr>
              <w:t>Mr. Currier</w:t>
            </w:r>
          </w:p>
        </w:tc>
        <w:tc>
          <w:tcPr>
            <w:tcW w:w="3940" w:type="dxa"/>
            <w:vAlign w:val="bottom"/>
          </w:tcPr>
          <w:p>
            <w:pPr>
              <w:jc w:val="right"/>
              <w:ind w:right="217"/>
              <w:spacing w:after="0"/>
              <w:rPr>
                <w:sz w:val="20"/>
                <w:szCs w:val="20"/>
                <w:color w:val="auto"/>
              </w:rPr>
            </w:pPr>
            <w:r>
              <w:rPr>
                <w:rFonts w:ascii="Arial" w:cs="Arial" w:eastAsia="Arial" w:hAnsi="Arial"/>
                <w:sz w:val="13"/>
                <w:szCs w:val="13"/>
                <w:color w:val="auto"/>
              </w:rPr>
              <w:t>329,567</w:t>
            </w:r>
          </w:p>
        </w:tc>
        <w:tc>
          <w:tcPr>
            <w:tcW w:w="800" w:type="dxa"/>
            <w:vAlign w:val="bottom"/>
          </w:tcPr>
          <w:p>
            <w:pPr>
              <w:spacing w:after="0"/>
              <w:rPr>
                <w:sz w:val="24"/>
                <w:szCs w:val="24"/>
                <w:color w:val="auto"/>
              </w:rPr>
            </w:pPr>
          </w:p>
        </w:tc>
        <w:tc>
          <w:tcPr>
            <w:tcW w:w="660" w:type="dxa"/>
            <w:vAlign w:val="bottom"/>
          </w:tcPr>
          <w:p>
            <w:pPr>
              <w:ind w:left="240"/>
              <w:spacing w:after="0"/>
              <w:rPr>
                <w:sz w:val="20"/>
                <w:szCs w:val="20"/>
                <w:color w:val="auto"/>
              </w:rPr>
            </w:pPr>
            <w:r>
              <w:rPr>
                <w:rFonts w:ascii="Arial" w:cs="Arial" w:eastAsia="Arial" w:hAnsi="Arial"/>
                <w:sz w:val="13"/>
                <w:szCs w:val="13"/>
                <w:color w:val="auto"/>
              </w:rPr>
              <w:t>—</w:t>
            </w:r>
          </w:p>
        </w:tc>
        <w:tc>
          <w:tcPr>
            <w:tcW w:w="1760" w:type="dxa"/>
            <w:vAlign w:val="bottom"/>
          </w:tcPr>
          <w:p>
            <w:pPr>
              <w:jc w:val="right"/>
              <w:spacing w:after="0"/>
              <w:rPr>
                <w:sz w:val="20"/>
                <w:szCs w:val="20"/>
                <w:color w:val="auto"/>
              </w:rPr>
            </w:pPr>
            <w:r>
              <w:rPr>
                <w:rFonts w:ascii="Arial" w:cs="Arial" w:eastAsia="Arial" w:hAnsi="Arial"/>
                <w:sz w:val="13"/>
                <w:szCs w:val="13"/>
                <w:color w:val="auto"/>
              </w:rPr>
              <w:t>329,567</w:t>
            </w:r>
          </w:p>
        </w:tc>
      </w:tr>
      <w:tr>
        <w:trPr>
          <w:trHeight w:val="130"/>
        </w:trPr>
        <w:tc>
          <w:tcPr>
            <w:tcW w:w="3600" w:type="dxa"/>
            <w:vAlign w:val="bottom"/>
            <w:tcBorders>
              <w:bottom w:val="single" w:sz="8" w:color="939598"/>
            </w:tcBorders>
          </w:tcPr>
          <w:p>
            <w:pPr>
              <w:spacing w:after="0"/>
              <w:rPr>
                <w:sz w:val="11"/>
                <w:szCs w:val="11"/>
                <w:color w:val="auto"/>
              </w:rPr>
            </w:pPr>
          </w:p>
        </w:tc>
        <w:tc>
          <w:tcPr>
            <w:tcW w:w="3940" w:type="dxa"/>
            <w:vAlign w:val="bottom"/>
            <w:tcBorders>
              <w:bottom w:val="single" w:sz="8" w:color="939598"/>
            </w:tcBorders>
          </w:tcPr>
          <w:p>
            <w:pPr>
              <w:spacing w:after="0"/>
              <w:rPr>
                <w:sz w:val="11"/>
                <w:szCs w:val="11"/>
                <w:color w:val="auto"/>
              </w:rPr>
            </w:pPr>
          </w:p>
        </w:tc>
        <w:tc>
          <w:tcPr>
            <w:tcW w:w="800" w:type="dxa"/>
            <w:vAlign w:val="bottom"/>
            <w:tcBorders>
              <w:bottom w:val="single" w:sz="8" w:color="939598"/>
            </w:tcBorders>
          </w:tcPr>
          <w:p>
            <w:pPr>
              <w:spacing w:after="0"/>
              <w:rPr>
                <w:sz w:val="11"/>
                <w:szCs w:val="11"/>
                <w:color w:val="auto"/>
              </w:rPr>
            </w:pPr>
          </w:p>
        </w:tc>
        <w:tc>
          <w:tcPr>
            <w:tcW w:w="660" w:type="dxa"/>
            <w:vAlign w:val="bottom"/>
            <w:tcBorders>
              <w:bottom w:val="single" w:sz="8" w:color="939598"/>
            </w:tcBorders>
          </w:tcPr>
          <w:p>
            <w:pPr>
              <w:spacing w:after="0"/>
              <w:rPr>
                <w:sz w:val="11"/>
                <w:szCs w:val="11"/>
                <w:color w:val="auto"/>
              </w:rPr>
            </w:pPr>
          </w:p>
        </w:tc>
        <w:tc>
          <w:tcPr>
            <w:tcW w:w="1760" w:type="dxa"/>
            <w:vAlign w:val="bottom"/>
            <w:tcBorders>
              <w:bottom w:val="single" w:sz="8" w:color="939598"/>
            </w:tcBorders>
          </w:tcPr>
          <w:p>
            <w:pPr>
              <w:spacing w:after="0"/>
              <w:rPr>
                <w:sz w:val="11"/>
                <w:szCs w:val="11"/>
                <w:color w:val="auto"/>
              </w:rPr>
            </w:pPr>
          </w:p>
        </w:tc>
      </w:tr>
      <w:tr>
        <w:trPr>
          <w:trHeight w:val="283"/>
        </w:trPr>
        <w:tc>
          <w:tcPr>
            <w:tcW w:w="3600" w:type="dxa"/>
            <w:vAlign w:val="bottom"/>
          </w:tcPr>
          <w:p>
            <w:pPr>
              <w:ind w:left="20"/>
              <w:spacing w:after="0"/>
              <w:rPr>
                <w:sz w:val="20"/>
                <w:szCs w:val="20"/>
                <w:color w:val="auto"/>
              </w:rPr>
            </w:pPr>
            <w:r>
              <w:rPr>
                <w:rFonts w:ascii="Arial" w:cs="Arial" w:eastAsia="Arial" w:hAnsi="Arial"/>
                <w:sz w:val="13"/>
                <w:szCs w:val="13"/>
                <w:b w:val="1"/>
                <w:bCs w:val="1"/>
                <w:color w:val="auto"/>
              </w:rPr>
              <w:t>Mr. Masso</w:t>
            </w:r>
          </w:p>
        </w:tc>
        <w:tc>
          <w:tcPr>
            <w:tcW w:w="394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24"/>
                <w:szCs w:val="24"/>
                <w:color w:val="auto"/>
              </w:rPr>
            </w:pPr>
          </w:p>
        </w:tc>
        <w:tc>
          <w:tcPr>
            <w:tcW w:w="660" w:type="dxa"/>
            <w:vAlign w:val="bottom"/>
          </w:tcPr>
          <w:p>
            <w:pPr>
              <w:ind w:left="240"/>
              <w:spacing w:after="0"/>
              <w:rPr>
                <w:sz w:val="20"/>
                <w:szCs w:val="20"/>
                <w:color w:val="auto"/>
              </w:rPr>
            </w:pPr>
            <w:r>
              <w:rPr>
                <w:rFonts w:ascii="Arial" w:cs="Arial" w:eastAsia="Arial" w:hAnsi="Arial"/>
                <w:sz w:val="13"/>
                <w:szCs w:val="13"/>
                <w:color w:val="auto"/>
              </w:rPr>
              <w:t>—</w:t>
            </w:r>
          </w:p>
        </w:tc>
        <w:tc>
          <w:tcPr>
            <w:tcW w:w="17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9"/>
        </w:trPr>
        <w:tc>
          <w:tcPr>
            <w:tcW w:w="3600" w:type="dxa"/>
            <w:vAlign w:val="bottom"/>
            <w:tcBorders>
              <w:bottom w:val="single" w:sz="8" w:color="939598"/>
            </w:tcBorders>
          </w:tcPr>
          <w:p>
            <w:pPr>
              <w:spacing w:after="0"/>
              <w:rPr>
                <w:sz w:val="11"/>
                <w:szCs w:val="11"/>
                <w:color w:val="auto"/>
              </w:rPr>
            </w:pPr>
          </w:p>
        </w:tc>
        <w:tc>
          <w:tcPr>
            <w:tcW w:w="3940" w:type="dxa"/>
            <w:vAlign w:val="bottom"/>
            <w:tcBorders>
              <w:bottom w:val="single" w:sz="8" w:color="939598"/>
            </w:tcBorders>
          </w:tcPr>
          <w:p>
            <w:pPr>
              <w:spacing w:after="0"/>
              <w:rPr>
                <w:sz w:val="11"/>
                <w:szCs w:val="11"/>
                <w:color w:val="auto"/>
              </w:rPr>
            </w:pPr>
          </w:p>
        </w:tc>
        <w:tc>
          <w:tcPr>
            <w:tcW w:w="800" w:type="dxa"/>
            <w:vAlign w:val="bottom"/>
            <w:tcBorders>
              <w:bottom w:val="single" w:sz="8" w:color="939598"/>
            </w:tcBorders>
          </w:tcPr>
          <w:p>
            <w:pPr>
              <w:spacing w:after="0"/>
              <w:rPr>
                <w:sz w:val="11"/>
                <w:szCs w:val="11"/>
                <w:color w:val="auto"/>
              </w:rPr>
            </w:pPr>
          </w:p>
        </w:tc>
        <w:tc>
          <w:tcPr>
            <w:tcW w:w="660" w:type="dxa"/>
            <w:vAlign w:val="bottom"/>
            <w:tcBorders>
              <w:bottom w:val="single" w:sz="8" w:color="939598"/>
            </w:tcBorders>
          </w:tcPr>
          <w:p>
            <w:pPr>
              <w:spacing w:after="0"/>
              <w:rPr>
                <w:sz w:val="11"/>
                <w:szCs w:val="11"/>
                <w:color w:val="auto"/>
              </w:rPr>
            </w:pPr>
          </w:p>
        </w:tc>
        <w:tc>
          <w:tcPr>
            <w:tcW w:w="1760" w:type="dxa"/>
            <w:vAlign w:val="bottom"/>
            <w:tcBorders>
              <w:bottom w:val="single" w:sz="8" w:color="939598"/>
            </w:tcBorders>
          </w:tcPr>
          <w:p>
            <w:pPr>
              <w:spacing w:after="0"/>
              <w:rPr>
                <w:sz w:val="11"/>
                <w:szCs w:val="11"/>
                <w:color w:val="auto"/>
              </w:rPr>
            </w:pPr>
          </w:p>
        </w:tc>
      </w:tr>
      <w:tr>
        <w:trPr>
          <w:trHeight w:val="283"/>
        </w:trPr>
        <w:tc>
          <w:tcPr>
            <w:tcW w:w="3600" w:type="dxa"/>
            <w:vAlign w:val="bottom"/>
          </w:tcPr>
          <w:p>
            <w:pPr>
              <w:ind w:left="20"/>
              <w:spacing w:after="0"/>
              <w:rPr>
                <w:sz w:val="20"/>
                <w:szCs w:val="20"/>
                <w:color w:val="auto"/>
              </w:rPr>
            </w:pPr>
            <w:r>
              <w:rPr>
                <w:rFonts w:ascii="Arial" w:cs="Arial" w:eastAsia="Arial" w:hAnsi="Arial"/>
                <w:sz w:val="13"/>
                <w:szCs w:val="13"/>
                <w:b w:val="1"/>
                <w:bCs w:val="1"/>
                <w:color w:val="auto"/>
              </w:rPr>
              <w:t>Mr. Hammoud</w:t>
            </w:r>
          </w:p>
        </w:tc>
        <w:tc>
          <w:tcPr>
            <w:tcW w:w="3940" w:type="dxa"/>
            <w:vAlign w:val="bottom"/>
          </w:tcPr>
          <w:p>
            <w:pPr>
              <w:jc w:val="right"/>
              <w:ind w:right="217"/>
              <w:spacing w:after="0"/>
              <w:rPr>
                <w:sz w:val="20"/>
                <w:szCs w:val="20"/>
                <w:color w:val="auto"/>
              </w:rPr>
            </w:pPr>
            <w:r>
              <w:rPr>
                <w:rFonts w:ascii="Arial" w:cs="Arial" w:eastAsia="Arial" w:hAnsi="Arial"/>
                <w:sz w:val="13"/>
                <w:szCs w:val="13"/>
                <w:color w:val="auto"/>
              </w:rPr>
              <w:t>10,255</w:t>
            </w:r>
          </w:p>
        </w:tc>
        <w:tc>
          <w:tcPr>
            <w:tcW w:w="800" w:type="dxa"/>
            <w:vAlign w:val="bottom"/>
          </w:tcPr>
          <w:p>
            <w:pPr>
              <w:spacing w:after="0"/>
              <w:rPr>
                <w:sz w:val="24"/>
                <w:szCs w:val="24"/>
                <w:color w:val="auto"/>
              </w:rPr>
            </w:pPr>
          </w:p>
        </w:tc>
        <w:tc>
          <w:tcPr>
            <w:tcW w:w="660" w:type="dxa"/>
            <w:vAlign w:val="bottom"/>
          </w:tcPr>
          <w:p>
            <w:pPr>
              <w:ind w:left="240"/>
              <w:spacing w:after="0"/>
              <w:rPr>
                <w:sz w:val="20"/>
                <w:szCs w:val="20"/>
                <w:color w:val="auto"/>
              </w:rPr>
            </w:pPr>
            <w:r>
              <w:rPr>
                <w:rFonts w:ascii="Arial" w:cs="Arial" w:eastAsia="Arial" w:hAnsi="Arial"/>
                <w:sz w:val="13"/>
                <w:szCs w:val="13"/>
                <w:color w:val="auto"/>
              </w:rPr>
              <w:t>—</w:t>
            </w:r>
          </w:p>
        </w:tc>
        <w:tc>
          <w:tcPr>
            <w:tcW w:w="1760" w:type="dxa"/>
            <w:vAlign w:val="bottom"/>
          </w:tcPr>
          <w:p>
            <w:pPr>
              <w:jc w:val="right"/>
              <w:spacing w:after="0"/>
              <w:rPr>
                <w:sz w:val="20"/>
                <w:szCs w:val="20"/>
                <w:color w:val="auto"/>
              </w:rPr>
            </w:pPr>
            <w:r>
              <w:rPr>
                <w:rFonts w:ascii="Arial" w:cs="Arial" w:eastAsia="Arial" w:hAnsi="Arial"/>
                <w:sz w:val="13"/>
                <w:szCs w:val="13"/>
                <w:color w:val="auto"/>
              </w:rPr>
              <w:t>10,255</w:t>
            </w:r>
          </w:p>
        </w:tc>
      </w:tr>
      <w:tr>
        <w:trPr>
          <w:trHeight w:val="130"/>
        </w:trPr>
        <w:tc>
          <w:tcPr>
            <w:tcW w:w="3600" w:type="dxa"/>
            <w:vAlign w:val="bottom"/>
            <w:tcBorders>
              <w:bottom w:val="single" w:sz="8" w:color="939598"/>
            </w:tcBorders>
          </w:tcPr>
          <w:p>
            <w:pPr>
              <w:spacing w:after="0"/>
              <w:rPr>
                <w:sz w:val="11"/>
                <w:szCs w:val="11"/>
                <w:color w:val="auto"/>
              </w:rPr>
            </w:pPr>
          </w:p>
        </w:tc>
        <w:tc>
          <w:tcPr>
            <w:tcW w:w="3940" w:type="dxa"/>
            <w:vAlign w:val="bottom"/>
            <w:tcBorders>
              <w:bottom w:val="single" w:sz="8" w:color="939598"/>
            </w:tcBorders>
          </w:tcPr>
          <w:p>
            <w:pPr>
              <w:spacing w:after="0"/>
              <w:rPr>
                <w:sz w:val="11"/>
                <w:szCs w:val="11"/>
                <w:color w:val="auto"/>
              </w:rPr>
            </w:pPr>
          </w:p>
        </w:tc>
        <w:tc>
          <w:tcPr>
            <w:tcW w:w="800" w:type="dxa"/>
            <w:vAlign w:val="bottom"/>
            <w:tcBorders>
              <w:bottom w:val="single" w:sz="8" w:color="939598"/>
            </w:tcBorders>
          </w:tcPr>
          <w:p>
            <w:pPr>
              <w:spacing w:after="0"/>
              <w:rPr>
                <w:sz w:val="11"/>
                <w:szCs w:val="11"/>
                <w:color w:val="auto"/>
              </w:rPr>
            </w:pPr>
          </w:p>
        </w:tc>
        <w:tc>
          <w:tcPr>
            <w:tcW w:w="660" w:type="dxa"/>
            <w:vAlign w:val="bottom"/>
            <w:tcBorders>
              <w:bottom w:val="single" w:sz="8" w:color="939598"/>
            </w:tcBorders>
          </w:tcPr>
          <w:p>
            <w:pPr>
              <w:spacing w:after="0"/>
              <w:rPr>
                <w:sz w:val="11"/>
                <w:szCs w:val="11"/>
                <w:color w:val="auto"/>
              </w:rPr>
            </w:pPr>
          </w:p>
        </w:tc>
        <w:tc>
          <w:tcPr>
            <w:tcW w:w="1760" w:type="dxa"/>
            <w:vAlign w:val="bottom"/>
            <w:tcBorders>
              <w:bottom w:val="single" w:sz="8" w:color="939598"/>
            </w:tcBorders>
          </w:tcPr>
          <w:p>
            <w:pPr>
              <w:spacing w:after="0"/>
              <w:rPr>
                <w:sz w:val="11"/>
                <w:szCs w:val="11"/>
                <w:color w:val="auto"/>
              </w:rPr>
            </w:pPr>
          </w:p>
        </w:tc>
      </w:tr>
      <w:tr>
        <w:trPr>
          <w:trHeight w:val="283"/>
        </w:trPr>
        <w:tc>
          <w:tcPr>
            <w:tcW w:w="3600" w:type="dxa"/>
            <w:vAlign w:val="bottom"/>
          </w:tcPr>
          <w:p>
            <w:pPr>
              <w:ind w:left="20"/>
              <w:spacing w:after="0"/>
              <w:rPr>
                <w:sz w:val="20"/>
                <w:szCs w:val="20"/>
                <w:color w:val="auto"/>
              </w:rPr>
            </w:pPr>
            <w:r>
              <w:rPr>
                <w:rFonts w:ascii="Arial" w:cs="Arial" w:eastAsia="Arial" w:hAnsi="Arial"/>
                <w:sz w:val="13"/>
                <w:szCs w:val="13"/>
                <w:b w:val="1"/>
                <w:bCs w:val="1"/>
                <w:color w:val="auto"/>
              </w:rPr>
              <w:t>Mr. Lewis</w:t>
            </w:r>
          </w:p>
        </w:tc>
        <w:tc>
          <w:tcPr>
            <w:tcW w:w="3940" w:type="dxa"/>
            <w:vAlign w:val="bottom"/>
          </w:tcPr>
          <w:p>
            <w:pPr>
              <w:jc w:val="right"/>
              <w:ind w:right="217"/>
              <w:spacing w:after="0"/>
              <w:rPr>
                <w:sz w:val="20"/>
                <w:szCs w:val="20"/>
                <w:color w:val="auto"/>
              </w:rPr>
            </w:pPr>
            <w:r>
              <w:rPr>
                <w:rFonts w:ascii="Arial" w:cs="Arial" w:eastAsia="Arial" w:hAnsi="Arial"/>
                <w:sz w:val="13"/>
                <w:szCs w:val="13"/>
                <w:color w:val="auto"/>
              </w:rPr>
              <w:t>103,446</w:t>
            </w:r>
          </w:p>
        </w:tc>
        <w:tc>
          <w:tcPr>
            <w:tcW w:w="800" w:type="dxa"/>
            <w:vAlign w:val="bottom"/>
          </w:tcPr>
          <w:p>
            <w:pPr>
              <w:spacing w:after="0"/>
              <w:rPr>
                <w:sz w:val="24"/>
                <w:szCs w:val="24"/>
                <w:color w:val="auto"/>
              </w:rPr>
            </w:pPr>
          </w:p>
        </w:tc>
        <w:tc>
          <w:tcPr>
            <w:tcW w:w="660" w:type="dxa"/>
            <w:vAlign w:val="bottom"/>
          </w:tcPr>
          <w:p>
            <w:pPr>
              <w:ind w:left="240"/>
              <w:spacing w:after="0"/>
              <w:rPr>
                <w:sz w:val="20"/>
                <w:szCs w:val="20"/>
                <w:color w:val="auto"/>
              </w:rPr>
            </w:pPr>
            <w:r>
              <w:rPr>
                <w:rFonts w:ascii="Arial" w:cs="Arial" w:eastAsia="Arial" w:hAnsi="Arial"/>
                <w:sz w:val="13"/>
                <w:szCs w:val="13"/>
                <w:color w:val="auto"/>
              </w:rPr>
              <w:t>—</w:t>
            </w:r>
          </w:p>
        </w:tc>
        <w:tc>
          <w:tcPr>
            <w:tcW w:w="1760" w:type="dxa"/>
            <w:vAlign w:val="bottom"/>
          </w:tcPr>
          <w:p>
            <w:pPr>
              <w:jc w:val="right"/>
              <w:spacing w:after="0"/>
              <w:rPr>
                <w:sz w:val="20"/>
                <w:szCs w:val="20"/>
                <w:color w:val="auto"/>
              </w:rPr>
            </w:pPr>
            <w:r>
              <w:rPr>
                <w:rFonts w:ascii="Arial" w:cs="Arial" w:eastAsia="Arial" w:hAnsi="Arial"/>
                <w:sz w:val="13"/>
                <w:szCs w:val="13"/>
                <w:color w:val="auto"/>
              </w:rPr>
              <w:t>103,446</w:t>
            </w:r>
          </w:p>
        </w:tc>
      </w:tr>
      <w:tr>
        <w:trPr>
          <w:trHeight w:val="129"/>
        </w:trPr>
        <w:tc>
          <w:tcPr>
            <w:tcW w:w="3600" w:type="dxa"/>
            <w:vAlign w:val="bottom"/>
            <w:tcBorders>
              <w:bottom w:val="single" w:sz="8" w:color="939598"/>
            </w:tcBorders>
          </w:tcPr>
          <w:p>
            <w:pPr>
              <w:spacing w:after="0"/>
              <w:rPr>
                <w:sz w:val="11"/>
                <w:szCs w:val="11"/>
                <w:color w:val="auto"/>
              </w:rPr>
            </w:pPr>
          </w:p>
        </w:tc>
        <w:tc>
          <w:tcPr>
            <w:tcW w:w="3940" w:type="dxa"/>
            <w:vAlign w:val="bottom"/>
            <w:tcBorders>
              <w:bottom w:val="single" w:sz="8" w:color="939598"/>
            </w:tcBorders>
          </w:tcPr>
          <w:p>
            <w:pPr>
              <w:spacing w:after="0"/>
              <w:rPr>
                <w:sz w:val="11"/>
                <w:szCs w:val="11"/>
                <w:color w:val="auto"/>
              </w:rPr>
            </w:pPr>
          </w:p>
        </w:tc>
        <w:tc>
          <w:tcPr>
            <w:tcW w:w="800" w:type="dxa"/>
            <w:vAlign w:val="bottom"/>
            <w:tcBorders>
              <w:bottom w:val="single" w:sz="8" w:color="939598"/>
            </w:tcBorders>
          </w:tcPr>
          <w:p>
            <w:pPr>
              <w:spacing w:after="0"/>
              <w:rPr>
                <w:sz w:val="11"/>
                <w:szCs w:val="11"/>
                <w:color w:val="auto"/>
              </w:rPr>
            </w:pPr>
          </w:p>
        </w:tc>
        <w:tc>
          <w:tcPr>
            <w:tcW w:w="660" w:type="dxa"/>
            <w:vAlign w:val="bottom"/>
            <w:tcBorders>
              <w:bottom w:val="single" w:sz="8" w:color="939598"/>
            </w:tcBorders>
          </w:tcPr>
          <w:p>
            <w:pPr>
              <w:spacing w:after="0"/>
              <w:rPr>
                <w:sz w:val="11"/>
                <w:szCs w:val="11"/>
                <w:color w:val="auto"/>
              </w:rPr>
            </w:pPr>
          </w:p>
        </w:tc>
        <w:tc>
          <w:tcPr>
            <w:tcW w:w="1760" w:type="dxa"/>
            <w:vAlign w:val="bottom"/>
            <w:tcBorders>
              <w:bottom w:val="single" w:sz="8" w:color="939598"/>
            </w:tcBorders>
          </w:tcPr>
          <w:p>
            <w:pPr>
              <w:spacing w:after="0"/>
              <w:rPr>
                <w:sz w:val="11"/>
                <w:szCs w:val="11"/>
                <w:color w:val="auto"/>
              </w:rPr>
            </w:pPr>
          </w:p>
        </w:tc>
      </w:tr>
      <w:tr>
        <w:trPr>
          <w:trHeight w:val="283"/>
        </w:trPr>
        <w:tc>
          <w:tcPr>
            <w:tcW w:w="3600" w:type="dxa"/>
            <w:vAlign w:val="bottom"/>
          </w:tcPr>
          <w:p>
            <w:pPr>
              <w:ind w:left="20"/>
              <w:spacing w:after="0"/>
              <w:rPr>
                <w:sz w:val="20"/>
                <w:szCs w:val="20"/>
                <w:color w:val="auto"/>
              </w:rPr>
            </w:pPr>
            <w:r>
              <w:rPr>
                <w:rFonts w:ascii="Arial" w:cs="Arial" w:eastAsia="Arial" w:hAnsi="Arial"/>
                <w:sz w:val="13"/>
                <w:szCs w:val="13"/>
                <w:b w:val="1"/>
                <w:bCs w:val="1"/>
                <w:color w:val="auto"/>
              </w:rPr>
              <w:t>Mr. Boldea</w:t>
            </w:r>
          </w:p>
        </w:tc>
        <w:tc>
          <w:tcPr>
            <w:tcW w:w="394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24"/>
                <w:szCs w:val="24"/>
                <w:color w:val="auto"/>
              </w:rPr>
            </w:pPr>
          </w:p>
        </w:tc>
        <w:tc>
          <w:tcPr>
            <w:tcW w:w="660" w:type="dxa"/>
            <w:vAlign w:val="bottom"/>
          </w:tcPr>
          <w:p>
            <w:pPr>
              <w:ind w:left="240"/>
              <w:spacing w:after="0"/>
              <w:rPr>
                <w:sz w:val="20"/>
                <w:szCs w:val="20"/>
                <w:color w:val="auto"/>
              </w:rPr>
            </w:pPr>
            <w:r>
              <w:rPr>
                <w:rFonts w:ascii="Arial" w:cs="Arial" w:eastAsia="Arial" w:hAnsi="Arial"/>
                <w:sz w:val="13"/>
                <w:szCs w:val="13"/>
                <w:color w:val="auto"/>
              </w:rPr>
              <w:t>—</w:t>
            </w:r>
          </w:p>
        </w:tc>
        <w:tc>
          <w:tcPr>
            <w:tcW w:w="1760" w:type="dxa"/>
            <w:vAlign w:val="bottom"/>
          </w:tcPr>
          <w:p>
            <w:pPr>
              <w:jc w:val="right"/>
              <w:spacing w:after="0"/>
              <w:rPr>
                <w:sz w:val="20"/>
                <w:szCs w:val="20"/>
                <w:color w:val="auto"/>
              </w:rPr>
            </w:pPr>
            <w:r>
              <w:rPr>
                <w:rFonts w:ascii="Arial" w:cs="Arial" w:eastAsia="Arial" w:hAnsi="Arial"/>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81915</wp:posOffset>
            </wp:positionV>
            <wp:extent cx="6840855"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67" w:lineRule="exact"/>
        <w:rPr>
          <w:sz w:val="20"/>
          <w:szCs w:val="20"/>
          <w:color w:val="auto"/>
        </w:rPr>
      </w:pPr>
    </w:p>
    <w:p>
      <w:pPr>
        <w:ind w:left="400" w:right="200" w:hanging="198"/>
        <w:spacing w:after="0" w:line="216" w:lineRule="auto"/>
        <w:tabs>
          <w:tab w:leader="none" w:pos="400" w:val="left"/>
        </w:tabs>
        <w:numPr>
          <w:ilvl w:val="1"/>
          <w:numId w:val="184"/>
        </w:numPr>
        <w:rPr>
          <w:rFonts w:ascii="Arial" w:cs="Arial" w:eastAsia="Arial" w:hAnsi="Arial"/>
          <w:sz w:val="16"/>
          <w:szCs w:val="16"/>
          <w:color w:val="auto"/>
          <w:vertAlign w:val="superscript"/>
        </w:rPr>
      </w:pPr>
      <w:r>
        <w:rPr>
          <w:rFonts w:ascii="Arial" w:cs="Arial" w:eastAsia="Arial" w:hAnsi="Arial"/>
          <w:sz w:val="13"/>
          <w:szCs w:val="13"/>
          <w:color w:val="auto"/>
        </w:rPr>
        <w:t>The change in aggregate pension value was calculated as the change in present value of the accumulated retirement benefit for each Named Executive Officer and was calculated as the lump sum available from the Retirement Earnings formula at the date indicated. Messrs. Stepniak, Masso, and Boldea are not eligible for a Company-sponsored pension plan.</w:t>
      </w:r>
    </w:p>
    <w:p>
      <w:pPr>
        <w:spacing w:after="0" w:line="50" w:lineRule="exact"/>
        <w:rPr>
          <w:rFonts w:ascii="Arial" w:cs="Arial" w:eastAsia="Arial" w:hAnsi="Arial"/>
          <w:sz w:val="16"/>
          <w:szCs w:val="16"/>
          <w:color w:val="auto"/>
          <w:vertAlign w:val="superscript"/>
        </w:rPr>
      </w:pPr>
    </w:p>
    <w:p>
      <w:pPr>
        <w:ind w:left="400" w:right="140" w:hanging="198"/>
        <w:spacing w:after="0" w:line="216" w:lineRule="auto"/>
        <w:tabs>
          <w:tab w:leader="none" w:pos="400" w:val="left"/>
        </w:tabs>
        <w:numPr>
          <w:ilvl w:val="1"/>
          <w:numId w:val="184"/>
        </w:numPr>
        <w:rPr>
          <w:rFonts w:ascii="Arial" w:cs="Arial" w:eastAsia="Arial" w:hAnsi="Arial"/>
          <w:sz w:val="16"/>
          <w:szCs w:val="16"/>
          <w:color w:val="auto"/>
          <w:vertAlign w:val="superscript"/>
        </w:rPr>
      </w:pPr>
      <w:r>
        <w:rPr>
          <w:rFonts w:ascii="Arial" w:cs="Arial" w:eastAsia="Arial" w:hAnsi="Arial"/>
          <w:sz w:val="13"/>
          <w:szCs w:val="13"/>
          <w:color w:val="auto"/>
        </w:rPr>
        <w:t>Represents earnings under the Honeywell Excess Benefit Plan, Honeywell Supplemental Savings Plan, or Honeywell Deferred Incentive Plan, or deferred RSU awards that are in excess of that determined using SEC market interest rates. There were no excess earnings under these plans in 2025.</w:t>
      </w:r>
    </w:p>
    <w:p>
      <w:pPr>
        <w:spacing w:after="0" w:line="32" w:lineRule="exact"/>
        <w:rPr>
          <w:rFonts w:ascii="Arial" w:cs="Arial" w:eastAsia="Arial" w:hAnsi="Arial"/>
          <w:sz w:val="16"/>
          <w:szCs w:val="16"/>
          <w:color w:val="auto"/>
          <w:vertAlign w:val="superscript"/>
        </w:rPr>
      </w:pPr>
    </w:p>
    <w:p>
      <w:pPr>
        <w:ind w:left="200" w:hanging="192"/>
        <w:spacing w:after="0"/>
        <w:tabs>
          <w:tab w:leader="none" w:pos="200" w:val="left"/>
        </w:tabs>
        <w:numPr>
          <w:ilvl w:val="0"/>
          <w:numId w:val="185"/>
        </w:numPr>
        <w:rPr>
          <w:rFonts w:ascii="Arial" w:cs="Arial" w:eastAsia="Arial" w:hAnsi="Arial"/>
          <w:sz w:val="16"/>
          <w:szCs w:val="16"/>
          <w:color w:val="auto"/>
          <w:vertAlign w:val="superscript"/>
        </w:rPr>
      </w:pPr>
      <w:r>
        <w:rPr>
          <w:rFonts w:ascii="Arial" w:cs="Arial" w:eastAsia="Arial" w:hAnsi="Arial"/>
          <w:sz w:val="13"/>
          <w:szCs w:val="13"/>
          <w:color w:val="auto"/>
        </w:rPr>
        <w:t>For 2025, All Other Compensation consists of the following:</w:t>
      </w:r>
    </w:p>
    <w:p>
      <w:pPr>
        <w:sectPr>
          <w:pgSz w:w="11900" w:h="16838" w:orient="portrait"/>
          <w:cols w:equalWidth="0" w:num="1">
            <w:col w:w="11240"/>
          </w:cols>
          <w:pgMar w:left="320" w:top="230" w:right="339" w:bottom="1440" w:gutter="0" w:footer="0" w:header="0"/>
        </w:sectPr>
      </w:pPr>
    </w:p>
    <w:bookmarkStart w:id="95" w:name="page96"/>
    <w:bookmarkEnd w:id="95"/>
    <w:tbl>
      <w:tblPr>
        <w:tblLayout w:type="fixed"/>
        <w:tblInd w:w="200" w:type="dxa"/>
        <w:tblCellMar>
          <w:top w:w="0" w:type="dxa"/>
          <w:left w:w="0" w:type="dxa"/>
          <w:bottom w:w="0" w:type="dxa"/>
          <w:right w:w="0" w:type="dxa"/>
        </w:tblCellMar>
      </w:tblPr>
      <w:tr>
        <w:trPr>
          <w:trHeight w:val="149"/>
        </w:trPr>
        <w:tc>
          <w:tcPr>
            <w:tcW w:w="1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20" w:type="dxa"/>
            <w:vAlign w:val="bottom"/>
          </w:tcPr>
          <w:p>
            <w:pPr>
              <w:jc w:val="right"/>
              <w:ind w:right="157"/>
              <w:spacing w:after="0"/>
              <w:rPr>
                <w:sz w:val="20"/>
                <w:szCs w:val="20"/>
                <w:color w:val="auto"/>
              </w:rPr>
            </w:pPr>
            <w:r>
              <w:rPr>
                <w:rFonts w:ascii="Arial" w:cs="Arial" w:eastAsia="Arial" w:hAnsi="Arial"/>
                <w:sz w:val="13"/>
                <w:szCs w:val="13"/>
                <w:b w:val="1"/>
                <w:bCs w:val="1"/>
                <w:color w:val="auto"/>
              </w:rPr>
              <w:t>Personal</w:t>
            </w:r>
          </w:p>
        </w:tc>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b w:val="1"/>
                <w:bCs w:val="1"/>
                <w:color w:val="auto"/>
              </w:rPr>
              <w:t>Executive</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20" w:type="dxa"/>
            <w:vAlign w:val="bottom"/>
          </w:tcPr>
          <w:p>
            <w:pPr>
              <w:jc w:val="right"/>
              <w:ind w:right="157"/>
              <w:spacing w:after="0"/>
              <w:rPr>
                <w:sz w:val="20"/>
                <w:szCs w:val="20"/>
                <w:color w:val="auto"/>
              </w:rPr>
            </w:pPr>
            <w:r>
              <w:rPr>
                <w:rFonts w:ascii="Arial" w:cs="Arial" w:eastAsia="Arial" w:hAnsi="Arial"/>
                <w:sz w:val="13"/>
                <w:szCs w:val="13"/>
                <w:b w:val="1"/>
                <w:bCs w:val="1"/>
                <w:color w:val="auto"/>
              </w:rPr>
              <w:t>Use of</w:t>
            </w:r>
          </w:p>
        </w:tc>
        <w:tc>
          <w:tcPr>
            <w:tcW w:w="1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60" w:type="dxa"/>
            <w:vAlign w:val="bottom"/>
          </w:tcPr>
          <w:p>
            <w:pPr>
              <w:jc w:val="right"/>
              <w:ind w:right="137"/>
              <w:spacing w:after="0"/>
              <w:rPr>
                <w:sz w:val="20"/>
                <w:szCs w:val="20"/>
                <w:color w:val="auto"/>
              </w:rPr>
            </w:pPr>
            <w:r>
              <w:rPr>
                <w:rFonts w:ascii="Arial" w:cs="Arial" w:eastAsia="Arial" w:hAnsi="Arial"/>
                <w:sz w:val="13"/>
                <w:szCs w:val="13"/>
                <w:b w:val="1"/>
                <w:bCs w:val="1"/>
                <w:color w:val="auto"/>
              </w:rPr>
              <w:t>Excess</w:t>
            </w:r>
          </w:p>
        </w:tc>
        <w:tc>
          <w:tcPr>
            <w:tcW w:w="920" w:type="dxa"/>
            <w:vAlign w:val="bottom"/>
          </w:tcPr>
          <w:p>
            <w:pPr>
              <w:jc w:val="right"/>
              <w:ind w:right="17"/>
              <w:spacing w:after="0"/>
              <w:rPr>
                <w:sz w:val="20"/>
                <w:szCs w:val="20"/>
                <w:color w:val="auto"/>
              </w:rPr>
            </w:pPr>
            <w:r>
              <w:rPr>
                <w:rFonts w:ascii="Arial" w:cs="Arial" w:eastAsia="Arial" w:hAnsi="Arial"/>
                <w:sz w:val="13"/>
                <w:szCs w:val="13"/>
                <w:b w:val="1"/>
                <w:bCs w:val="1"/>
                <w:color w:val="auto"/>
              </w:rPr>
              <w:t>Physical/</w:t>
            </w:r>
          </w:p>
        </w:tc>
        <w:tc>
          <w:tcPr>
            <w:tcW w:w="220" w:type="dxa"/>
            <w:vAlign w:val="bottom"/>
          </w:tcPr>
          <w:p>
            <w:pPr>
              <w:spacing w:after="0"/>
              <w:rPr>
                <w:sz w:val="12"/>
                <w:szCs w:val="12"/>
                <w:color w:val="auto"/>
              </w:rPr>
            </w:pPr>
          </w:p>
        </w:tc>
        <w:tc>
          <w:tcPr>
            <w:tcW w:w="920" w:type="dxa"/>
            <w:vAlign w:val="bottom"/>
            <w:vMerge w:val="restart"/>
          </w:tcPr>
          <w:p>
            <w:pPr>
              <w:jc w:val="right"/>
              <w:ind w:right="139"/>
              <w:spacing w:after="0"/>
              <w:rPr>
                <w:sz w:val="20"/>
                <w:szCs w:val="20"/>
                <w:color w:val="auto"/>
              </w:rPr>
            </w:pPr>
            <w:r>
              <w:rPr>
                <w:rFonts w:ascii="Arial" w:cs="Arial" w:eastAsia="Arial" w:hAnsi="Arial"/>
                <w:sz w:val="13"/>
                <w:szCs w:val="13"/>
                <w:b w:val="1"/>
                <w:bCs w:val="1"/>
                <w:color w:val="auto"/>
              </w:rPr>
              <w:t>Separation</w:t>
            </w:r>
          </w:p>
        </w:tc>
        <w:tc>
          <w:tcPr>
            <w:tcW w:w="3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54"/>
        </w:trPr>
        <w:tc>
          <w:tcPr>
            <w:tcW w:w="1160" w:type="dxa"/>
            <w:vAlign w:val="bottom"/>
          </w:tcPr>
          <w:p>
            <w:pPr>
              <w:spacing w:after="0"/>
              <w:rPr>
                <w:sz w:val="4"/>
                <w:szCs w:val="4"/>
                <w:color w:val="auto"/>
              </w:rPr>
            </w:pPr>
          </w:p>
        </w:tc>
        <w:tc>
          <w:tcPr>
            <w:tcW w:w="140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rPr>
              <w:t>Matching</w:t>
            </w:r>
          </w:p>
        </w:tc>
        <w:tc>
          <w:tcPr>
            <w:tcW w:w="102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rPr>
              <w:t>Company</w:t>
            </w:r>
          </w:p>
        </w:tc>
        <w:tc>
          <w:tcPr>
            <w:tcW w:w="10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3"/>
                <w:szCs w:val="13"/>
                <w:b w:val="1"/>
                <w:bCs w:val="1"/>
                <w:color w:val="auto"/>
              </w:rPr>
              <w:t>Tax Gross-</w:t>
            </w:r>
          </w:p>
        </w:tc>
        <w:tc>
          <w:tcPr>
            <w:tcW w:w="106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rPr>
              <w:t>Liability</w:t>
            </w:r>
          </w:p>
        </w:tc>
        <w:tc>
          <w:tcPr>
            <w:tcW w:w="92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auto"/>
              </w:rPr>
              <w:t>Medical</w:t>
            </w:r>
          </w:p>
        </w:tc>
        <w:tc>
          <w:tcPr>
            <w:tcW w:w="22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Other</w:t>
            </w:r>
          </w:p>
        </w:tc>
        <w:tc>
          <w:tcPr>
            <w:tcW w:w="0" w:type="dxa"/>
            <w:vAlign w:val="bottom"/>
          </w:tcPr>
          <w:p>
            <w:pPr>
              <w:spacing w:after="0"/>
              <w:rPr>
                <w:sz w:val="1"/>
                <w:szCs w:val="1"/>
                <w:color w:val="auto"/>
              </w:rPr>
            </w:pPr>
          </w:p>
        </w:tc>
      </w:tr>
      <w:tr>
        <w:trPr>
          <w:trHeight w:val="106"/>
        </w:trPr>
        <w:tc>
          <w:tcPr>
            <w:tcW w:w="11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NEO</w:t>
            </w:r>
          </w:p>
        </w:tc>
        <w:tc>
          <w:tcPr>
            <w:tcW w:w="140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02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rPr>
              <w:t>Security</w:t>
            </w:r>
            <w:r>
              <w:rPr>
                <w:rFonts w:ascii="Arial" w:cs="Arial" w:eastAsia="Arial" w:hAnsi="Arial"/>
                <w:sz w:val="16"/>
                <w:szCs w:val="16"/>
                <w:b w:val="1"/>
                <w:bCs w:val="1"/>
                <w:color w:val="auto"/>
                <w:vertAlign w:val="superscript"/>
              </w:rPr>
              <w:t>(c)</w:t>
            </w:r>
          </w:p>
        </w:tc>
        <w:tc>
          <w:tcPr>
            <w:tcW w:w="1080" w:type="dxa"/>
            <w:vAlign w:val="bottom"/>
            <w:gridSpan w:val="2"/>
            <w:vMerge w:val="restart"/>
          </w:tcPr>
          <w:p>
            <w:pPr>
              <w:jc w:val="right"/>
              <w:ind w:right="77"/>
              <w:spacing w:after="0"/>
              <w:rPr>
                <w:sz w:val="20"/>
                <w:szCs w:val="20"/>
                <w:color w:val="auto"/>
              </w:rPr>
            </w:pPr>
            <w:r>
              <w:rPr>
                <w:rFonts w:ascii="Arial" w:cs="Arial" w:eastAsia="Arial" w:hAnsi="Arial"/>
                <w:sz w:val="13"/>
                <w:szCs w:val="13"/>
                <w:b w:val="1"/>
                <w:bCs w:val="1"/>
                <w:color w:val="auto"/>
              </w:rPr>
              <w:t>Relocation</w:t>
            </w:r>
            <w:r>
              <w:rPr>
                <w:rFonts w:ascii="Arial" w:cs="Arial" w:eastAsia="Arial" w:hAnsi="Arial"/>
                <w:sz w:val="16"/>
                <w:szCs w:val="16"/>
                <w:b w:val="1"/>
                <w:bCs w:val="1"/>
                <w:color w:val="auto"/>
                <w:vertAlign w:val="superscript"/>
              </w:rPr>
              <w:t>(d)</w:t>
            </w:r>
          </w:p>
        </w:tc>
        <w:tc>
          <w:tcPr>
            <w:tcW w:w="1060" w:type="dxa"/>
            <w:vAlign w:val="bottom"/>
            <w:gridSpan w:val="2"/>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jc w:val="right"/>
              <w:ind w:right="139"/>
              <w:spacing w:after="0" w:line="106" w:lineRule="exact"/>
              <w:rPr>
                <w:sz w:val="20"/>
                <w:szCs w:val="20"/>
                <w:color w:val="auto"/>
              </w:rPr>
            </w:pPr>
            <w:r>
              <w:rPr>
                <w:rFonts w:ascii="Arial" w:cs="Arial" w:eastAsia="Arial" w:hAnsi="Arial"/>
                <w:sz w:val="10"/>
                <w:szCs w:val="10"/>
                <w:b w:val="1"/>
                <w:bCs w:val="1"/>
                <w:color w:val="auto"/>
              </w:rPr>
              <w:t>Pay</w:t>
            </w:r>
            <w:r>
              <w:rPr>
                <w:rFonts w:ascii="Arial" w:cs="Arial" w:eastAsia="Arial" w:hAnsi="Arial"/>
                <w:sz w:val="12"/>
                <w:szCs w:val="12"/>
                <w:b w:val="1"/>
                <w:bCs w:val="1"/>
                <w:color w:val="auto"/>
                <w:vertAlign w:val="superscript"/>
              </w:rPr>
              <w:t>(h)</w:t>
            </w:r>
          </w:p>
        </w:tc>
        <w:tc>
          <w:tcPr>
            <w:tcW w:w="3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160" w:type="dxa"/>
            <w:vAlign w:val="bottom"/>
            <w:tcBorders>
              <w:bottom w:val="single" w:sz="8" w:color="D7282F"/>
            </w:tcBorders>
            <w:vMerge w:val="continue"/>
          </w:tcPr>
          <w:p>
            <w:pPr>
              <w:spacing w:after="0"/>
              <w:rPr>
                <w:sz w:val="17"/>
                <w:szCs w:val="17"/>
                <w:color w:val="auto"/>
              </w:rPr>
            </w:pPr>
          </w:p>
        </w:tc>
        <w:tc>
          <w:tcPr>
            <w:tcW w:w="1400" w:type="dxa"/>
            <w:vAlign w:val="bottom"/>
            <w:tcBorders>
              <w:bottom w:val="single" w:sz="8" w:color="D7282F"/>
            </w:tcBorders>
          </w:tcPr>
          <w:p>
            <w:pPr>
              <w:jc w:val="right"/>
              <w:ind w:right="97"/>
              <w:spacing w:after="0"/>
              <w:rPr>
                <w:sz w:val="20"/>
                <w:szCs w:val="20"/>
                <w:color w:val="auto"/>
              </w:rPr>
            </w:pPr>
            <w:r>
              <w:rPr>
                <w:rFonts w:ascii="Arial" w:cs="Arial" w:eastAsia="Arial" w:hAnsi="Arial"/>
                <w:sz w:val="13"/>
                <w:szCs w:val="13"/>
                <w:b w:val="1"/>
                <w:bCs w:val="1"/>
                <w:color w:val="auto"/>
              </w:rPr>
              <w:t>Contributions</w:t>
            </w:r>
            <w:r>
              <w:rPr>
                <w:rFonts w:ascii="Arial" w:cs="Arial" w:eastAsia="Arial" w:hAnsi="Arial"/>
                <w:sz w:val="16"/>
                <w:szCs w:val="16"/>
                <w:b w:val="1"/>
                <w:bCs w:val="1"/>
                <w:color w:val="auto"/>
                <w:vertAlign w:val="superscript"/>
              </w:rPr>
              <w:t>(a)</w:t>
            </w:r>
          </w:p>
        </w:tc>
        <w:tc>
          <w:tcPr>
            <w:tcW w:w="1020" w:type="dxa"/>
            <w:vAlign w:val="bottom"/>
            <w:tcBorders>
              <w:bottom w:val="single" w:sz="8" w:color="D7282F"/>
            </w:tcBorders>
          </w:tcPr>
          <w:p>
            <w:pPr>
              <w:jc w:val="right"/>
              <w:ind w:right="157"/>
              <w:spacing w:after="0"/>
              <w:rPr>
                <w:sz w:val="20"/>
                <w:szCs w:val="20"/>
                <w:color w:val="auto"/>
              </w:rPr>
            </w:pPr>
            <w:r>
              <w:rPr>
                <w:rFonts w:ascii="Arial" w:cs="Arial" w:eastAsia="Arial" w:hAnsi="Arial"/>
                <w:sz w:val="13"/>
                <w:szCs w:val="13"/>
                <w:b w:val="1"/>
                <w:bCs w:val="1"/>
                <w:color w:val="auto"/>
              </w:rPr>
              <w:t>Aircraft</w:t>
            </w:r>
            <w:r>
              <w:rPr>
                <w:rFonts w:ascii="Arial" w:cs="Arial" w:eastAsia="Arial" w:hAnsi="Arial"/>
                <w:sz w:val="16"/>
                <w:szCs w:val="16"/>
                <w:b w:val="1"/>
                <w:bCs w:val="1"/>
                <w:color w:val="auto"/>
                <w:vertAlign w:val="superscript"/>
              </w:rPr>
              <w:t>(b)</w:t>
            </w:r>
          </w:p>
        </w:tc>
        <w:tc>
          <w:tcPr>
            <w:tcW w:w="1020" w:type="dxa"/>
            <w:vAlign w:val="bottom"/>
            <w:tcBorders>
              <w:bottom w:val="single" w:sz="8" w:color="D7282F"/>
            </w:tcBorders>
            <w:vMerge w:val="continue"/>
          </w:tcPr>
          <w:p>
            <w:pPr>
              <w:spacing w:after="0"/>
              <w:rPr>
                <w:sz w:val="17"/>
                <w:szCs w:val="17"/>
                <w:color w:val="auto"/>
              </w:rPr>
            </w:pPr>
          </w:p>
        </w:tc>
        <w:tc>
          <w:tcPr>
            <w:tcW w:w="1080" w:type="dxa"/>
            <w:vAlign w:val="bottom"/>
            <w:tcBorders>
              <w:bottom w:val="single" w:sz="8" w:color="D7282F"/>
            </w:tcBorders>
            <w:gridSpan w:val="2"/>
            <w:vMerge w:val="continue"/>
          </w:tcPr>
          <w:p>
            <w:pPr>
              <w:spacing w:after="0"/>
              <w:rPr>
                <w:sz w:val="17"/>
                <w:szCs w:val="17"/>
                <w:color w:val="auto"/>
              </w:rPr>
            </w:pPr>
          </w:p>
        </w:tc>
        <w:tc>
          <w:tcPr>
            <w:tcW w:w="30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140"/>
              <w:spacing w:after="0" w:line="195" w:lineRule="exact"/>
              <w:rPr>
                <w:sz w:val="20"/>
                <w:szCs w:val="20"/>
                <w:color w:val="auto"/>
              </w:rPr>
            </w:pPr>
            <w:r>
              <w:rPr>
                <w:rFonts w:ascii="Arial" w:cs="Arial" w:eastAsia="Arial" w:hAnsi="Arial"/>
                <w:sz w:val="22"/>
                <w:szCs w:val="22"/>
                <w:b w:val="1"/>
                <w:bCs w:val="1"/>
                <w:color w:val="auto"/>
                <w:vertAlign w:val="subscript"/>
              </w:rPr>
              <w:t>Up</w:t>
            </w:r>
            <w:r>
              <w:rPr>
                <w:rFonts w:ascii="Arial" w:cs="Arial" w:eastAsia="Arial" w:hAnsi="Arial"/>
                <w:sz w:val="8"/>
                <w:szCs w:val="8"/>
                <w:b w:val="1"/>
                <w:bCs w:val="1"/>
                <w:color w:val="auto"/>
              </w:rPr>
              <w:t>(e)</w:t>
            </w:r>
          </w:p>
        </w:tc>
        <w:tc>
          <w:tcPr>
            <w:tcW w:w="1060" w:type="dxa"/>
            <w:vAlign w:val="bottom"/>
            <w:tcBorders>
              <w:bottom w:val="single" w:sz="8" w:color="D7282F"/>
            </w:tcBorders>
          </w:tcPr>
          <w:p>
            <w:pPr>
              <w:jc w:val="right"/>
              <w:ind w:right="137"/>
              <w:spacing w:after="0"/>
              <w:rPr>
                <w:sz w:val="20"/>
                <w:szCs w:val="20"/>
                <w:color w:val="auto"/>
              </w:rPr>
            </w:pPr>
            <w:r>
              <w:rPr>
                <w:rFonts w:ascii="Arial" w:cs="Arial" w:eastAsia="Arial" w:hAnsi="Arial"/>
                <w:sz w:val="13"/>
                <w:szCs w:val="13"/>
                <w:b w:val="1"/>
                <w:bCs w:val="1"/>
                <w:color w:val="auto"/>
              </w:rPr>
              <w:t>Insurance</w:t>
            </w:r>
            <w:r>
              <w:rPr>
                <w:rFonts w:ascii="Arial" w:cs="Arial" w:eastAsia="Arial" w:hAnsi="Arial"/>
                <w:sz w:val="16"/>
                <w:szCs w:val="16"/>
                <w:b w:val="1"/>
                <w:bCs w:val="1"/>
                <w:color w:val="auto"/>
                <w:vertAlign w:val="superscript"/>
              </w:rPr>
              <w:t>(f)</w:t>
            </w:r>
          </w:p>
        </w:tc>
        <w:tc>
          <w:tcPr>
            <w:tcW w:w="920" w:type="dxa"/>
            <w:vAlign w:val="bottom"/>
            <w:tcBorders>
              <w:bottom w:val="single" w:sz="8" w:color="D7282F"/>
            </w:tcBorders>
          </w:tcPr>
          <w:p>
            <w:pPr>
              <w:jc w:val="right"/>
              <w:ind w:right="17"/>
              <w:spacing w:after="0"/>
              <w:rPr>
                <w:sz w:val="20"/>
                <w:szCs w:val="20"/>
                <w:color w:val="auto"/>
              </w:rPr>
            </w:pPr>
            <w:r>
              <w:rPr>
                <w:rFonts w:ascii="Arial" w:cs="Arial" w:eastAsia="Arial" w:hAnsi="Arial"/>
                <w:sz w:val="13"/>
                <w:szCs w:val="13"/>
                <w:b w:val="1"/>
                <w:bCs w:val="1"/>
                <w:color w:val="auto"/>
              </w:rPr>
              <w:t xml:space="preserve">Services </w:t>
            </w:r>
            <w:r>
              <w:rPr>
                <w:rFonts w:ascii="Arial" w:cs="Arial" w:eastAsia="Arial" w:hAnsi="Arial"/>
                <w:sz w:val="16"/>
                <w:szCs w:val="16"/>
                <w:b w:val="1"/>
                <w:bCs w:val="1"/>
                <w:color w:val="auto"/>
                <w:vertAlign w:val="superscript"/>
              </w:rPr>
              <w:t>(g)</w:t>
            </w:r>
          </w:p>
        </w:tc>
        <w:tc>
          <w:tcPr>
            <w:tcW w:w="22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spacing w:after="0"/>
              <w:rPr>
                <w:sz w:val="17"/>
                <w:szCs w:val="17"/>
                <w:color w:val="auto"/>
              </w:rPr>
            </w:pPr>
          </w:p>
        </w:tc>
        <w:tc>
          <w:tcPr>
            <w:tcW w:w="1120" w:type="dxa"/>
            <w:vAlign w:val="bottom"/>
            <w:tcBorders>
              <w:bottom w:val="single" w:sz="8" w:color="D7282F"/>
            </w:tcBorders>
            <w:gridSpan w:val="2"/>
          </w:tcPr>
          <w:p>
            <w:pPr>
              <w:jc w:val="right"/>
              <w:spacing w:after="0"/>
              <w:rPr>
                <w:sz w:val="20"/>
                <w:szCs w:val="20"/>
                <w:color w:val="auto"/>
              </w:rPr>
            </w:pPr>
            <w:r>
              <w:rPr>
                <w:rFonts w:ascii="Arial" w:cs="Arial" w:eastAsia="Arial" w:hAnsi="Arial"/>
                <w:sz w:val="13"/>
                <w:szCs w:val="13"/>
                <w:b w:val="1"/>
                <w:bCs w:val="1"/>
                <w:color w:val="auto"/>
              </w:rPr>
              <w:t>Compensation</w:t>
            </w:r>
          </w:p>
        </w:tc>
        <w:tc>
          <w:tcPr>
            <w:tcW w:w="0" w:type="dxa"/>
            <w:vAlign w:val="bottom"/>
          </w:tcPr>
          <w:p>
            <w:pPr>
              <w:spacing w:after="0"/>
              <w:rPr>
                <w:sz w:val="1"/>
                <w:szCs w:val="1"/>
                <w:color w:val="auto"/>
              </w:rPr>
            </w:pPr>
          </w:p>
        </w:tc>
      </w:tr>
      <w:tr>
        <w:trPr>
          <w:trHeight w:val="283"/>
        </w:trPr>
        <w:tc>
          <w:tcPr>
            <w:tcW w:w="1160" w:type="dxa"/>
            <w:vAlign w:val="bottom"/>
          </w:tcPr>
          <w:p>
            <w:pPr>
              <w:ind w:left="20"/>
              <w:spacing w:after="0"/>
              <w:rPr>
                <w:sz w:val="20"/>
                <w:szCs w:val="20"/>
                <w:color w:val="auto"/>
              </w:rPr>
            </w:pPr>
            <w:r>
              <w:rPr>
                <w:rFonts w:ascii="Arial" w:cs="Arial" w:eastAsia="Arial" w:hAnsi="Arial"/>
                <w:sz w:val="13"/>
                <w:szCs w:val="13"/>
                <w:b w:val="1"/>
                <w:bCs w:val="1"/>
                <w:color w:val="auto"/>
              </w:rPr>
              <w:t>Mr. Kapur</w:t>
            </w:r>
          </w:p>
        </w:tc>
        <w:tc>
          <w:tcPr>
            <w:tcW w:w="1400" w:type="dxa"/>
            <w:vAlign w:val="bottom"/>
          </w:tcPr>
          <w:p>
            <w:pPr>
              <w:jc w:val="right"/>
              <w:ind w:right="137"/>
              <w:spacing w:after="0"/>
              <w:rPr>
                <w:sz w:val="20"/>
                <w:szCs w:val="20"/>
                <w:color w:val="auto"/>
              </w:rPr>
            </w:pPr>
            <w:r>
              <w:rPr>
                <w:rFonts w:ascii="Arial" w:cs="Arial" w:eastAsia="Arial" w:hAnsi="Arial"/>
                <w:sz w:val="13"/>
                <w:szCs w:val="13"/>
                <w:color w:val="auto"/>
              </w:rPr>
              <w:t>$   112,000</w:t>
            </w:r>
          </w:p>
        </w:tc>
        <w:tc>
          <w:tcPr>
            <w:tcW w:w="1020" w:type="dxa"/>
            <w:vAlign w:val="bottom"/>
          </w:tcPr>
          <w:p>
            <w:pPr>
              <w:jc w:val="right"/>
              <w:ind w:right="197"/>
              <w:spacing w:after="0"/>
              <w:rPr>
                <w:sz w:val="20"/>
                <w:szCs w:val="20"/>
                <w:color w:val="auto"/>
              </w:rPr>
            </w:pPr>
            <w:r>
              <w:rPr>
                <w:rFonts w:ascii="Arial" w:cs="Arial" w:eastAsia="Arial" w:hAnsi="Arial"/>
                <w:sz w:val="13"/>
                <w:szCs w:val="13"/>
                <w:color w:val="auto"/>
              </w:rPr>
              <w:t>$  36,679</w:t>
            </w:r>
          </w:p>
        </w:tc>
        <w:tc>
          <w:tcPr>
            <w:tcW w:w="1020" w:type="dxa"/>
            <w:vAlign w:val="bottom"/>
          </w:tcPr>
          <w:p>
            <w:pPr>
              <w:jc w:val="right"/>
              <w:ind w:right="177"/>
              <w:spacing w:after="0"/>
              <w:rPr>
                <w:sz w:val="20"/>
                <w:szCs w:val="20"/>
                <w:color w:val="auto"/>
              </w:rPr>
            </w:pPr>
            <w:r>
              <w:rPr>
                <w:rFonts w:ascii="Arial" w:cs="Arial" w:eastAsia="Arial" w:hAnsi="Arial"/>
                <w:sz w:val="13"/>
                <w:szCs w:val="13"/>
                <w:color w:val="auto"/>
              </w:rPr>
              <w:t>$41,026</w:t>
            </w:r>
          </w:p>
        </w:tc>
        <w:tc>
          <w:tcPr>
            <w:tcW w:w="3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8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77"/>
              <w:spacing w:after="0"/>
              <w:rPr>
                <w:sz w:val="20"/>
                <w:szCs w:val="20"/>
                <w:color w:val="auto"/>
              </w:rPr>
            </w:pPr>
            <w:r>
              <w:rPr>
                <w:rFonts w:ascii="Arial" w:cs="Arial" w:eastAsia="Arial" w:hAnsi="Arial"/>
                <w:sz w:val="13"/>
                <w:szCs w:val="13"/>
                <w:color w:val="auto"/>
              </w:rPr>
              <w:t>$  5,200</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  6,000</w:t>
            </w:r>
          </w:p>
        </w:tc>
        <w:tc>
          <w:tcPr>
            <w:tcW w:w="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79"/>
              <w:spacing w:after="0"/>
              <w:rPr>
                <w:sz w:val="20"/>
                <w:szCs w:val="20"/>
                <w:color w:val="auto"/>
              </w:rPr>
            </w:pPr>
            <w:r>
              <w:rPr>
                <w:rFonts w:ascii="Arial" w:cs="Arial" w:eastAsia="Arial" w:hAnsi="Arial"/>
                <w:sz w:val="13"/>
                <w:szCs w:val="13"/>
                <w:color w:val="auto"/>
              </w:rPr>
              <w:t>—</w:t>
            </w:r>
          </w:p>
        </w:tc>
        <w:tc>
          <w:tcPr>
            <w:tcW w:w="3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200,905</w:t>
            </w:r>
          </w:p>
        </w:tc>
        <w:tc>
          <w:tcPr>
            <w:tcW w:w="0" w:type="dxa"/>
            <w:vAlign w:val="bottom"/>
          </w:tcPr>
          <w:p>
            <w:pPr>
              <w:spacing w:after="0"/>
              <w:rPr>
                <w:sz w:val="1"/>
                <w:szCs w:val="1"/>
                <w:color w:val="auto"/>
              </w:rPr>
            </w:pPr>
          </w:p>
        </w:tc>
      </w:tr>
      <w:tr>
        <w:trPr>
          <w:trHeight w:val="130"/>
        </w:trPr>
        <w:tc>
          <w:tcPr>
            <w:tcW w:w="1160" w:type="dxa"/>
            <w:vAlign w:val="bottom"/>
            <w:tcBorders>
              <w:bottom w:val="single" w:sz="8" w:color="939598"/>
            </w:tcBorders>
          </w:tcPr>
          <w:p>
            <w:pPr>
              <w:spacing w:after="0"/>
              <w:rPr>
                <w:sz w:val="11"/>
                <w:szCs w:val="11"/>
                <w:color w:val="auto"/>
              </w:rPr>
            </w:pPr>
          </w:p>
        </w:tc>
        <w:tc>
          <w:tcPr>
            <w:tcW w:w="1400" w:type="dxa"/>
            <w:vAlign w:val="bottom"/>
            <w:tcBorders>
              <w:bottom w:val="single" w:sz="8" w:color="939598"/>
            </w:tcBorders>
          </w:tcPr>
          <w:p>
            <w:pPr>
              <w:spacing w:after="0"/>
              <w:rPr>
                <w:sz w:val="11"/>
                <w:szCs w:val="11"/>
                <w:color w:val="auto"/>
              </w:rPr>
            </w:pPr>
          </w:p>
        </w:tc>
        <w:tc>
          <w:tcPr>
            <w:tcW w:w="1020" w:type="dxa"/>
            <w:vAlign w:val="bottom"/>
            <w:tcBorders>
              <w:bottom w:val="single" w:sz="8" w:color="939598"/>
            </w:tcBorders>
          </w:tcPr>
          <w:p>
            <w:pPr>
              <w:spacing w:after="0"/>
              <w:rPr>
                <w:sz w:val="11"/>
                <w:szCs w:val="11"/>
                <w:color w:val="auto"/>
              </w:rPr>
            </w:pPr>
          </w:p>
        </w:tc>
        <w:tc>
          <w:tcPr>
            <w:tcW w:w="1020" w:type="dxa"/>
            <w:vAlign w:val="bottom"/>
            <w:tcBorders>
              <w:bottom w:val="single" w:sz="8" w:color="939598"/>
            </w:tcBorders>
          </w:tcPr>
          <w:p>
            <w:pPr>
              <w:spacing w:after="0"/>
              <w:rPr>
                <w:sz w:val="11"/>
                <w:szCs w:val="11"/>
                <w:color w:val="auto"/>
              </w:rPr>
            </w:pPr>
          </w:p>
        </w:tc>
        <w:tc>
          <w:tcPr>
            <w:tcW w:w="360" w:type="dxa"/>
            <w:vAlign w:val="bottom"/>
            <w:tcBorders>
              <w:bottom w:val="single" w:sz="8" w:color="939598"/>
            </w:tcBorders>
          </w:tcPr>
          <w:p>
            <w:pPr>
              <w:spacing w:after="0"/>
              <w:rPr>
                <w:sz w:val="11"/>
                <w:szCs w:val="11"/>
                <w:color w:val="auto"/>
              </w:rPr>
            </w:pPr>
          </w:p>
        </w:tc>
        <w:tc>
          <w:tcPr>
            <w:tcW w:w="720" w:type="dxa"/>
            <w:vAlign w:val="bottom"/>
            <w:tcBorders>
              <w:bottom w:val="single" w:sz="8" w:color="939598"/>
            </w:tcBorders>
          </w:tcPr>
          <w:p>
            <w:pPr>
              <w:spacing w:after="0"/>
              <w:rPr>
                <w:sz w:val="11"/>
                <w:szCs w:val="11"/>
                <w:color w:val="auto"/>
              </w:rPr>
            </w:pPr>
          </w:p>
        </w:tc>
        <w:tc>
          <w:tcPr>
            <w:tcW w:w="300" w:type="dxa"/>
            <w:vAlign w:val="bottom"/>
            <w:tcBorders>
              <w:bottom w:val="single" w:sz="8" w:color="939598"/>
            </w:tcBorders>
          </w:tcPr>
          <w:p>
            <w:pPr>
              <w:spacing w:after="0"/>
              <w:rPr>
                <w:sz w:val="11"/>
                <w:szCs w:val="11"/>
                <w:color w:val="auto"/>
              </w:rPr>
            </w:pPr>
          </w:p>
        </w:tc>
        <w:tc>
          <w:tcPr>
            <w:tcW w:w="760" w:type="dxa"/>
            <w:vAlign w:val="bottom"/>
            <w:tcBorders>
              <w:bottom w:val="single" w:sz="8" w:color="939598"/>
            </w:tcBorders>
          </w:tcPr>
          <w:p>
            <w:pPr>
              <w:spacing w:after="0"/>
              <w:rPr>
                <w:sz w:val="11"/>
                <w:szCs w:val="11"/>
                <w:color w:val="auto"/>
              </w:rPr>
            </w:pPr>
          </w:p>
        </w:tc>
        <w:tc>
          <w:tcPr>
            <w:tcW w:w="1060" w:type="dxa"/>
            <w:vAlign w:val="bottom"/>
            <w:tcBorders>
              <w:bottom w:val="single" w:sz="8" w:color="939598"/>
            </w:tcBorders>
          </w:tcPr>
          <w:p>
            <w:pPr>
              <w:spacing w:after="0"/>
              <w:rPr>
                <w:sz w:val="11"/>
                <w:szCs w:val="11"/>
                <w:color w:val="auto"/>
              </w:rPr>
            </w:pPr>
          </w:p>
        </w:tc>
        <w:tc>
          <w:tcPr>
            <w:tcW w:w="920" w:type="dxa"/>
            <w:vAlign w:val="bottom"/>
            <w:tcBorders>
              <w:bottom w:val="single" w:sz="8" w:color="939598"/>
            </w:tcBorders>
          </w:tcPr>
          <w:p>
            <w:pPr>
              <w:spacing w:after="0"/>
              <w:rPr>
                <w:sz w:val="11"/>
                <w:szCs w:val="11"/>
                <w:color w:val="auto"/>
              </w:rPr>
            </w:pPr>
          </w:p>
        </w:tc>
        <w:tc>
          <w:tcPr>
            <w:tcW w:w="220" w:type="dxa"/>
            <w:vAlign w:val="bottom"/>
            <w:tcBorders>
              <w:bottom w:val="single" w:sz="8" w:color="939598"/>
            </w:tcBorders>
          </w:tcPr>
          <w:p>
            <w:pPr>
              <w:spacing w:after="0"/>
              <w:rPr>
                <w:sz w:val="11"/>
                <w:szCs w:val="11"/>
                <w:color w:val="auto"/>
              </w:rPr>
            </w:pPr>
          </w:p>
        </w:tc>
        <w:tc>
          <w:tcPr>
            <w:tcW w:w="920" w:type="dxa"/>
            <w:vAlign w:val="bottom"/>
            <w:tcBorders>
              <w:bottom w:val="single" w:sz="8" w:color="939598"/>
            </w:tcBorders>
          </w:tcPr>
          <w:p>
            <w:pPr>
              <w:spacing w:after="0"/>
              <w:rPr>
                <w:sz w:val="11"/>
                <w:szCs w:val="11"/>
                <w:color w:val="auto"/>
              </w:rPr>
            </w:pPr>
          </w:p>
        </w:tc>
        <w:tc>
          <w:tcPr>
            <w:tcW w:w="380" w:type="dxa"/>
            <w:vAlign w:val="bottom"/>
            <w:tcBorders>
              <w:bottom w:val="single" w:sz="8" w:color="939598"/>
            </w:tcBorders>
          </w:tcPr>
          <w:p>
            <w:pPr>
              <w:spacing w:after="0"/>
              <w:rPr>
                <w:sz w:val="11"/>
                <w:szCs w:val="11"/>
                <w:color w:val="auto"/>
              </w:rPr>
            </w:pPr>
          </w:p>
        </w:tc>
        <w:tc>
          <w:tcPr>
            <w:tcW w:w="74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282"/>
        </w:trPr>
        <w:tc>
          <w:tcPr>
            <w:tcW w:w="1160" w:type="dxa"/>
            <w:vAlign w:val="bottom"/>
          </w:tcPr>
          <w:p>
            <w:pPr>
              <w:ind w:left="20"/>
              <w:spacing w:after="0"/>
              <w:rPr>
                <w:sz w:val="20"/>
                <w:szCs w:val="20"/>
                <w:color w:val="auto"/>
              </w:rPr>
            </w:pPr>
            <w:r>
              <w:rPr>
                <w:rFonts w:ascii="Arial" w:cs="Arial" w:eastAsia="Arial" w:hAnsi="Arial"/>
                <w:sz w:val="13"/>
                <w:szCs w:val="13"/>
                <w:b w:val="1"/>
                <w:bCs w:val="1"/>
                <w:color w:val="auto"/>
              </w:rPr>
              <w:t>Mr. Stepniak</w:t>
            </w:r>
          </w:p>
        </w:tc>
        <w:tc>
          <w:tcPr>
            <w:tcW w:w="1400" w:type="dxa"/>
            <w:vAlign w:val="bottom"/>
          </w:tcPr>
          <w:p>
            <w:pPr>
              <w:jc w:val="right"/>
              <w:ind w:right="137"/>
              <w:spacing w:after="0"/>
              <w:rPr>
                <w:sz w:val="20"/>
                <w:szCs w:val="20"/>
                <w:color w:val="auto"/>
              </w:rPr>
            </w:pPr>
            <w:r>
              <w:rPr>
                <w:rFonts w:ascii="Arial" w:cs="Arial" w:eastAsia="Arial" w:hAnsi="Arial"/>
                <w:sz w:val="13"/>
                <w:szCs w:val="13"/>
                <w:color w:val="auto"/>
              </w:rPr>
              <w:t>24,500</w:t>
            </w:r>
          </w:p>
        </w:tc>
        <w:tc>
          <w:tcPr>
            <w:tcW w:w="1020" w:type="dxa"/>
            <w:vAlign w:val="bottom"/>
          </w:tcPr>
          <w:p>
            <w:pPr>
              <w:jc w:val="right"/>
              <w:ind w:right="197"/>
              <w:spacing w:after="0"/>
              <w:rPr>
                <w:sz w:val="20"/>
                <w:szCs w:val="20"/>
                <w:color w:val="auto"/>
              </w:rPr>
            </w:pPr>
            <w:r>
              <w:rPr>
                <w:rFonts w:ascii="Arial" w:cs="Arial" w:eastAsia="Arial" w:hAnsi="Arial"/>
                <w:sz w:val="13"/>
                <w:szCs w:val="13"/>
                <w:color w:val="auto"/>
              </w:rPr>
              <w:t>17,892</w:t>
            </w:r>
          </w:p>
        </w:tc>
        <w:tc>
          <w:tcPr>
            <w:tcW w:w="102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24"/>
                <w:szCs w:val="24"/>
                <w:color w:val="auto"/>
              </w:rPr>
            </w:pP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262,832</w:t>
            </w:r>
          </w:p>
        </w:tc>
        <w:tc>
          <w:tcPr>
            <w:tcW w:w="300" w:type="dxa"/>
            <w:vAlign w:val="bottom"/>
          </w:tcPr>
          <w:p>
            <w:pPr>
              <w:spacing w:after="0"/>
              <w:rPr>
                <w:sz w:val="24"/>
                <w:szCs w:val="24"/>
                <w:color w:val="auto"/>
              </w:rPr>
            </w:pPr>
          </w:p>
        </w:tc>
        <w:tc>
          <w:tcPr>
            <w:tcW w:w="760" w:type="dxa"/>
            <w:vAlign w:val="bottom"/>
          </w:tcPr>
          <w:p>
            <w:pPr>
              <w:jc w:val="right"/>
              <w:ind w:right="180"/>
              <w:spacing w:after="0"/>
              <w:rPr>
                <w:sz w:val="20"/>
                <w:szCs w:val="20"/>
                <w:color w:val="auto"/>
              </w:rPr>
            </w:pPr>
            <w:r>
              <w:rPr>
                <w:rFonts w:ascii="Arial" w:cs="Arial" w:eastAsia="Arial" w:hAnsi="Arial"/>
                <w:sz w:val="13"/>
                <w:szCs w:val="13"/>
                <w:color w:val="auto"/>
              </w:rPr>
              <w:t>140,691</w:t>
            </w:r>
          </w:p>
        </w:tc>
        <w:tc>
          <w:tcPr>
            <w:tcW w:w="1060" w:type="dxa"/>
            <w:vAlign w:val="bottom"/>
          </w:tcPr>
          <w:p>
            <w:pPr>
              <w:jc w:val="right"/>
              <w:ind w:right="177"/>
              <w:spacing w:after="0"/>
              <w:rPr>
                <w:sz w:val="20"/>
                <w:szCs w:val="20"/>
                <w:color w:val="auto"/>
              </w:rPr>
            </w:pPr>
            <w:r>
              <w:rPr>
                <w:rFonts w:ascii="Arial" w:cs="Arial" w:eastAsia="Arial" w:hAnsi="Arial"/>
                <w:sz w:val="13"/>
                <w:szCs w:val="13"/>
                <w:color w:val="auto"/>
              </w:rPr>
              <w:t>5,200</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6,000</w:t>
            </w:r>
          </w:p>
        </w:tc>
        <w:tc>
          <w:tcPr>
            <w:tcW w:w="220" w:type="dxa"/>
            <w:vAlign w:val="bottom"/>
          </w:tcPr>
          <w:p>
            <w:pPr>
              <w:spacing w:after="0"/>
              <w:rPr>
                <w:sz w:val="24"/>
                <w:szCs w:val="24"/>
                <w:color w:val="auto"/>
              </w:rPr>
            </w:pPr>
          </w:p>
        </w:tc>
        <w:tc>
          <w:tcPr>
            <w:tcW w:w="920" w:type="dxa"/>
            <w:vAlign w:val="bottom"/>
          </w:tcPr>
          <w:p>
            <w:pPr>
              <w:jc w:val="right"/>
              <w:ind w:right="179"/>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457,115</w:t>
            </w:r>
          </w:p>
        </w:tc>
        <w:tc>
          <w:tcPr>
            <w:tcW w:w="0" w:type="dxa"/>
            <w:vAlign w:val="bottom"/>
          </w:tcPr>
          <w:p>
            <w:pPr>
              <w:spacing w:after="0"/>
              <w:rPr>
                <w:sz w:val="1"/>
                <w:szCs w:val="1"/>
                <w:color w:val="auto"/>
              </w:rPr>
            </w:pPr>
          </w:p>
        </w:tc>
      </w:tr>
      <w:tr>
        <w:trPr>
          <w:trHeight w:val="130"/>
        </w:trPr>
        <w:tc>
          <w:tcPr>
            <w:tcW w:w="1160" w:type="dxa"/>
            <w:vAlign w:val="bottom"/>
            <w:tcBorders>
              <w:bottom w:val="single" w:sz="8" w:color="939598"/>
            </w:tcBorders>
          </w:tcPr>
          <w:p>
            <w:pPr>
              <w:spacing w:after="0"/>
              <w:rPr>
                <w:sz w:val="11"/>
                <w:szCs w:val="11"/>
                <w:color w:val="auto"/>
              </w:rPr>
            </w:pPr>
          </w:p>
        </w:tc>
        <w:tc>
          <w:tcPr>
            <w:tcW w:w="1400" w:type="dxa"/>
            <w:vAlign w:val="bottom"/>
            <w:tcBorders>
              <w:bottom w:val="single" w:sz="8" w:color="939598"/>
            </w:tcBorders>
          </w:tcPr>
          <w:p>
            <w:pPr>
              <w:spacing w:after="0"/>
              <w:rPr>
                <w:sz w:val="11"/>
                <w:szCs w:val="11"/>
                <w:color w:val="auto"/>
              </w:rPr>
            </w:pPr>
          </w:p>
        </w:tc>
        <w:tc>
          <w:tcPr>
            <w:tcW w:w="1020" w:type="dxa"/>
            <w:vAlign w:val="bottom"/>
            <w:tcBorders>
              <w:bottom w:val="single" w:sz="8" w:color="939598"/>
            </w:tcBorders>
          </w:tcPr>
          <w:p>
            <w:pPr>
              <w:spacing w:after="0"/>
              <w:rPr>
                <w:sz w:val="11"/>
                <w:szCs w:val="11"/>
                <w:color w:val="auto"/>
              </w:rPr>
            </w:pPr>
          </w:p>
        </w:tc>
        <w:tc>
          <w:tcPr>
            <w:tcW w:w="1020" w:type="dxa"/>
            <w:vAlign w:val="bottom"/>
            <w:tcBorders>
              <w:bottom w:val="single" w:sz="8" w:color="939598"/>
            </w:tcBorders>
          </w:tcPr>
          <w:p>
            <w:pPr>
              <w:spacing w:after="0"/>
              <w:rPr>
                <w:sz w:val="11"/>
                <w:szCs w:val="11"/>
                <w:color w:val="auto"/>
              </w:rPr>
            </w:pPr>
          </w:p>
        </w:tc>
        <w:tc>
          <w:tcPr>
            <w:tcW w:w="360" w:type="dxa"/>
            <w:vAlign w:val="bottom"/>
            <w:tcBorders>
              <w:bottom w:val="single" w:sz="8" w:color="939598"/>
            </w:tcBorders>
          </w:tcPr>
          <w:p>
            <w:pPr>
              <w:spacing w:after="0"/>
              <w:rPr>
                <w:sz w:val="11"/>
                <w:szCs w:val="11"/>
                <w:color w:val="auto"/>
              </w:rPr>
            </w:pPr>
          </w:p>
        </w:tc>
        <w:tc>
          <w:tcPr>
            <w:tcW w:w="720" w:type="dxa"/>
            <w:vAlign w:val="bottom"/>
            <w:tcBorders>
              <w:bottom w:val="single" w:sz="8" w:color="939598"/>
            </w:tcBorders>
          </w:tcPr>
          <w:p>
            <w:pPr>
              <w:spacing w:after="0"/>
              <w:rPr>
                <w:sz w:val="11"/>
                <w:szCs w:val="11"/>
                <w:color w:val="auto"/>
              </w:rPr>
            </w:pPr>
          </w:p>
        </w:tc>
        <w:tc>
          <w:tcPr>
            <w:tcW w:w="300" w:type="dxa"/>
            <w:vAlign w:val="bottom"/>
            <w:tcBorders>
              <w:bottom w:val="single" w:sz="8" w:color="939598"/>
            </w:tcBorders>
          </w:tcPr>
          <w:p>
            <w:pPr>
              <w:spacing w:after="0"/>
              <w:rPr>
                <w:sz w:val="11"/>
                <w:szCs w:val="11"/>
                <w:color w:val="auto"/>
              </w:rPr>
            </w:pPr>
          </w:p>
        </w:tc>
        <w:tc>
          <w:tcPr>
            <w:tcW w:w="760" w:type="dxa"/>
            <w:vAlign w:val="bottom"/>
            <w:tcBorders>
              <w:bottom w:val="single" w:sz="8" w:color="939598"/>
            </w:tcBorders>
          </w:tcPr>
          <w:p>
            <w:pPr>
              <w:spacing w:after="0"/>
              <w:rPr>
                <w:sz w:val="11"/>
                <w:szCs w:val="11"/>
                <w:color w:val="auto"/>
              </w:rPr>
            </w:pPr>
          </w:p>
        </w:tc>
        <w:tc>
          <w:tcPr>
            <w:tcW w:w="1060" w:type="dxa"/>
            <w:vAlign w:val="bottom"/>
            <w:tcBorders>
              <w:bottom w:val="single" w:sz="8" w:color="939598"/>
            </w:tcBorders>
          </w:tcPr>
          <w:p>
            <w:pPr>
              <w:spacing w:after="0"/>
              <w:rPr>
                <w:sz w:val="11"/>
                <w:szCs w:val="11"/>
                <w:color w:val="auto"/>
              </w:rPr>
            </w:pPr>
          </w:p>
        </w:tc>
        <w:tc>
          <w:tcPr>
            <w:tcW w:w="920" w:type="dxa"/>
            <w:vAlign w:val="bottom"/>
            <w:tcBorders>
              <w:bottom w:val="single" w:sz="8" w:color="939598"/>
            </w:tcBorders>
          </w:tcPr>
          <w:p>
            <w:pPr>
              <w:spacing w:after="0"/>
              <w:rPr>
                <w:sz w:val="11"/>
                <w:szCs w:val="11"/>
                <w:color w:val="auto"/>
              </w:rPr>
            </w:pPr>
          </w:p>
        </w:tc>
        <w:tc>
          <w:tcPr>
            <w:tcW w:w="220" w:type="dxa"/>
            <w:vAlign w:val="bottom"/>
            <w:tcBorders>
              <w:bottom w:val="single" w:sz="8" w:color="939598"/>
            </w:tcBorders>
          </w:tcPr>
          <w:p>
            <w:pPr>
              <w:spacing w:after="0"/>
              <w:rPr>
                <w:sz w:val="11"/>
                <w:szCs w:val="11"/>
                <w:color w:val="auto"/>
              </w:rPr>
            </w:pPr>
          </w:p>
        </w:tc>
        <w:tc>
          <w:tcPr>
            <w:tcW w:w="920" w:type="dxa"/>
            <w:vAlign w:val="bottom"/>
            <w:tcBorders>
              <w:bottom w:val="single" w:sz="8" w:color="939598"/>
            </w:tcBorders>
          </w:tcPr>
          <w:p>
            <w:pPr>
              <w:spacing w:after="0"/>
              <w:rPr>
                <w:sz w:val="11"/>
                <w:szCs w:val="11"/>
                <w:color w:val="auto"/>
              </w:rPr>
            </w:pPr>
          </w:p>
        </w:tc>
        <w:tc>
          <w:tcPr>
            <w:tcW w:w="380" w:type="dxa"/>
            <w:vAlign w:val="bottom"/>
            <w:tcBorders>
              <w:bottom w:val="single" w:sz="8" w:color="939598"/>
            </w:tcBorders>
          </w:tcPr>
          <w:p>
            <w:pPr>
              <w:spacing w:after="0"/>
              <w:rPr>
                <w:sz w:val="11"/>
                <w:szCs w:val="11"/>
                <w:color w:val="auto"/>
              </w:rPr>
            </w:pPr>
          </w:p>
        </w:tc>
        <w:tc>
          <w:tcPr>
            <w:tcW w:w="74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283"/>
        </w:trPr>
        <w:tc>
          <w:tcPr>
            <w:tcW w:w="1160" w:type="dxa"/>
            <w:vAlign w:val="bottom"/>
          </w:tcPr>
          <w:p>
            <w:pPr>
              <w:ind w:left="20"/>
              <w:spacing w:after="0"/>
              <w:rPr>
                <w:sz w:val="20"/>
                <w:szCs w:val="20"/>
                <w:color w:val="auto"/>
              </w:rPr>
            </w:pPr>
            <w:r>
              <w:rPr>
                <w:rFonts w:ascii="Arial" w:cs="Arial" w:eastAsia="Arial" w:hAnsi="Arial"/>
                <w:sz w:val="13"/>
                <w:szCs w:val="13"/>
                <w:b w:val="1"/>
                <w:bCs w:val="1"/>
                <w:color w:val="auto"/>
              </w:rPr>
              <w:t>Mr. Currier</w:t>
            </w:r>
          </w:p>
        </w:tc>
        <w:tc>
          <w:tcPr>
            <w:tcW w:w="1400" w:type="dxa"/>
            <w:vAlign w:val="bottom"/>
          </w:tcPr>
          <w:p>
            <w:pPr>
              <w:jc w:val="right"/>
              <w:ind w:right="137"/>
              <w:spacing w:after="0"/>
              <w:rPr>
                <w:sz w:val="20"/>
                <w:szCs w:val="20"/>
                <w:color w:val="auto"/>
              </w:rPr>
            </w:pPr>
            <w:r>
              <w:rPr>
                <w:rFonts w:ascii="Arial" w:cs="Arial" w:eastAsia="Arial" w:hAnsi="Arial"/>
                <w:sz w:val="13"/>
                <w:szCs w:val="13"/>
                <w:color w:val="auto"/>
              </w:rPr>
              <w:t>57,839</w:t>
            </w:r>
          </w:p>
        </w:tc>
        <w:tc>
          <w:tcPr>
            <w:tcW w:w="102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24"/>
                <w:szCs w:val="24"/>
                <w:color w:val="auto"/>
              </w:rPr>
            </w:pP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4"/>
                <w:szCs w:val="24"/>
                <w:color w:val="auto"/>
              </w:rPr>
            </w:pPr>
          </w:p>
        </w:tc>
        <w:tc>
          <w:tcPr>
            <w:tcW w:w="760" w:type="dxa"/>
            <w:vAlign w:val="bottom"/>
          </w:tcPr>
          <w:p>
            <w:pPr>
              <w:jc w:val="right"/>
              <w:ind w:right="18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77"/>
              <w:spacing w:after="0"/>
              <w:rPr>
                <w:sz w:val="20"/>
                <w:szCs w:val="20"/>
                <w:color w:val="auto"/>
              </w:rPr>
            </w:pPr>
            <w:r>
              <w:rPr>
                <w:rFonts w:ascii="Arial" w:cs="Arial" w:eastAsia="Arial" w:hAnsi="Arial"/>
                <w:sz w:val="13"/>
                <w:szCs w:val="13"/>
                <w:color w:val="auto"/>
              </w:rPr>
              <w:t>5,200</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16,073</w:t>
            </w:r>
          </w:p>
        </w:tc>
        <w:tc>
          <w:tcPr>
            <w:tcW w:w="220" w:type="dxa"/>
            <w:vAlign w:val="bottom"/>
          </w:tcPr>
          <w:p>
            <w:pPr>
              <w:spacing w:after="0"/>
              <w:rPr>
                <w:sz w:val="24"/>
                <w:szCs w:val="24"/>
                <w:color w:val="auto"/>
              </w:rPr>
            </w:pPr>
          </w:p>
        </w:tc>
        <w:tc>
          <w:tcPr>
            <w:tcW w:w="920" w:type="dxa"/>
            <w:vAlign w:val="bottom"/>
          </w:tcPr>
          <w:p>
            <w:pPr>
              <w:jc w:val="right"/>
              <w:ind w:right="179"/>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79,112</w:t>
            </w:r>
          </w:p>
        </w:tc>
        <w:tc>
          <w:tcPr>
            <w:tcW w:w="0" w:type="dxa"/>
            <w:vAlign w:val="bottom"/>
          </w:tcPr>
          <w:p>
            <w:pPr>
              <w:spacing w:after="0"/>
              <w:rPr>
                <w:sz w:val="1"/>
                <w:szCs w:val="1"/>
                <w:color w:val="auto"/>
              </w:rPr>
            </w:pPr>
          </w:p>
        </w:tc>
      </w:tr>
      <w:tr>
        <w:trPr>
          <w:trHeight w:val="129"/>
        </w:trPr>
        <w:tc>
          <w:tcPr>
            <w:tcW w:w="1160" w:type="dxa"/>
            <w:vAlign w:val="bottom"/>
            <w:tcBorders>
              <w:bottom w:val="single" w:sz="8" w:color="939598"/>
            </w:tcBorders>
          </w:tcPr>
          <w:p>
            <w:pPr>
              <w:spacing w:after="0"/>
              <w:rPr>
                <w:sz w:val="11"/>
                <w:szCs w:val="11"/>
                <w:color w:val="auto"/>
              </w:rPr>
            </w:pPr>
          </w:p>
        </w:tc>
        <w:tc>
          <w:tcPr>
            <w:tcW w:w="1400" w:type="dxa"/>
            <w:vAlign w:val="bottom"/>
            <w:tcBorders>
              <w:bottom w:val="single" w:sz="8" w:color="939598"/>
            </w:tcBorders>
          </w:tcPr>
          <w:p>
            <w:pPr>
              <w:spacing w:after="0"/>
              <w:rPr>
                <w:sz w:val="11"/>
                <w:szCs w:val="11"/>
                <w:color w:val="auto"/>
              </w:rPr>
            </w:pPr>
          </w:p>
        </w:tc>
        <w:tc>
          <w:tcPr>
            <w:tcW w:w="1020" w:type="dxa"/>
            <w:vAlign w:val="bottom"/>
            <w:tcBorders>
              <w:bottom w:val="single" w:sz="8" w:color="939598"/>
            </w:tcBorders>
          </w:tcPr>
          <w:p>
            <w:pPr>
              <w:spacing w:after="0"/>
              <w:rPr>
                <w:sz w:val="11"/>
                <w:szCs w:val="11"/>
                <w:color w:val="auto"/>
              </w:rPr>
            </w:pPr>
          </w:p>
        </w:tc>
        <w:tc>
          <w:tcPr>
            <w:tcW w:w="1020" w:type="dxa"/>
            <w:vAlign w:val="bottom"/>
            <w:tcBorders>
              <w:bottom w:val="single" w:sz="8" w:color="939598"/>
            </w:tcBorders>
          </w:tcPr>
          <w:p>
            <w:pPr>
              <w:spacing w:after="0"/>
              <w:rPr>
                <w:sz w:val="11"/>
                <w:szCs w:val="11"/>
                <w:color w:val="auto"/>
              </w:rPr>
            </w:pPr>
          </w:p>
        </w:tc>
        <w:tc>
          <w:tcPr>
            <w:tcW w:w="360" w:type="dxa"/>
            <w:vAlign w:val="bottom"/>
            <w:tcBorders>
              <w:bottom w:val="single" w:sz="8" w:color="939598"/>
            </w:tcBorders>
          </w:tcPr>
          <w:p>
            <w:pPr>
              <w:spacing w:after="0"/>
              <w:rPr>
                <w:sz w:val="11"/>
                <w:szCs w:val="11"/>
                <w:color w:val="auto"/>
              </w:rPr>
            </w:pPr>
          </w:p>
        </w:tc>
        <w:tc>
          <w:tcPr>
            <w:tcW w:w="720" w:type="dxa"/>
            <w:vAlign w:val="bottom"/>
            <w:tcBorders>
              <w:bottom w:val="single" w:sz="8" w:color="939598"/>
            </w:tcBorders>
          </w:tcPr>
          <w:p>
            <w:pPr>
              <w:spacing w:after="0"/>
              <w:rPr>
                <w:sz w:val="11"/>
                <w:szCs w:val="11"/>
                <w:color w:val="auto"/>
              </w:rPr>
            </w:pPr>
          </w:p>
        </w:tc>
        <w:tc>
          <w:tcPr>
            <w:tcW w:w="300" w:type="dxa"/>
            <w:vAlign w:val="bottom"/>
            <w:tcBorders>
              <w:bottom w:val="single" w:sz="8" w:color="939598"/>
            </w:tcBorders>
          </w:tcPr>
          <w:p>
            <w:pPr>
              <w:spacing w:after="0"/>
              <w:rPr>
                <w:sz w:val="11"/>
                <w:szCs w:val="11"/>
                <w:color w:val="auto"/>
              </w:rPr>
            </w:pPr>
          </w:p>
        </w:tc>
        <w:tc>
          <w:tcPr>
            <w:tcW w:w="760" w:type="dxa"/>
            <w:vAlign w:val="bottom"/>
            <w:tcBorders>
              <w:bottom w:val="single" w:sz="8" w:color="939598"/>
            </w:tcBorders>
          </w:tcPr>
          <w:p>
            <w:pPr>
              <w:spacing w:after="0"/>
              <w:rPr>
                <w:sz w:val="11"/>
                <w:szCs w:val="11"/>
                <w:color w:val="auto"/>
              </w:rPr>
            </w:pPr>
          </w:p>
        </w:tc>
        <w:tc>
          <w:tcPr>
            <w:tcW w:w="1060" w:type="dxa"/>
            <w:vAlign w:val="bottom"/>
            <w:tcBorders>
              <w:bottom w:val="single" w:sz="8" w:color="939598"/>
            </w:tcBorders>
          </w:tcPr>
          <w:p>
            <w:pPr>
              <w:spacing w:after="0"/>
              <w:rPr>
                <w:sz w:val="11"/>
                <w:szCs w:val="11"/>
                <w:color w:val="auto"/>
              </w:rPr>
            </w:pPr>
          </w:p>
        </w:tc>
        <w:tc>
          <w:tcPr>
            <w:tcW w:w="920" w:type="dxa"/>
            <w:vAlign w:val="bottom"/>
            <w:tcBorders>
              <w:bottom w:val="single" w:sz="8" w:color="939598"/>
            </w:tcBorders>
          </w:tcPr>
          <w:p>
            <w:pPr>
              <w:spacing w:after="0"/>
              <w:rPr>
                <w:sz w:val="11"/>
                <w:szCs w:val="11"/>
                <w:color w:val="auto"/>
              </w:rPr>
            </w:pPr>
          </w:p>
        </w:tc>
        <w:tc>
          <w:tcPr>
            <w:tcW w:w="220" w:type="dxa"/>
            <w:vAlign w:val="bottom"/>
            <w:tcBorders>
              <w:bottom w:val="single" w:sz="8" w:color="939598"/>
            </w:tcBorders>
          </w:tcPr>
          <w:p>
            <w:pPr>
              <w:spacing w:after="0"/>
              <w:rPr>
                <w:sz w:val="11"/>
                <w:szCs w:val="11"/>
                <w:color w:val="auto"/>
              </w:rPr>
            </w:pPr>
          </w:p>
        </w:tc>
        <w:tc>
          <w:tcPr>
            <w:tcW w:w="920" w:type="dxa"/>
            <w:vAlign w:val="bottom"/>
            <w:tcBorders>
              <w:bottom w:val="single" w:sz="8" w:color="939598"/>
            </w:tcBorders>
          </w:tcPr>
          <w:p>
            <w:pPr>
              <w:spacing w:after="0"/>
              <w:rPr>
                <w:sz w:val="11"/>
                <w:szCs w:val="11"/>
                <w:color w:val="auto"/>
              </w:rPr>
            </w:pPr>
          </w:p>
        </w:tc>
        <w:tc>
          <w:tcPr>
            <w:tcW w:w="380" w:type="dxa"/>
            <w:vAlign w:val="bottom"/>
            <w:tcBorders>
              <w:bottom w:val="single" w:sz="8" w:color="939598"/>
            </w:tcBorders>
          </w:tcPr>
          <w:p>
            <w:pPr>
              <w:spacing w:after="0"/>
              <w:rPr>
                <w:sz w:val="11"/>
                <w:szCs w:val="11"/>
                <w:color w:val="auto"/>
              </w:rPr>
            </w:pPr>
          </w:p>
        </w:tc>
        <w:tc>
          <w:tcPr>
            <w:tcW w:w="74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283"/>
        </w:trPr>
        <w:tc>
          <w:tcPr>
            <w:tcW w:w="1160" w:type="dxa"/>
            <w:vAlign w:val="bottom"/>
          </w:tcPr>
          <w:p>
            <w:pPr>
              <w:ind w:left="20"/>
              <w:spacing w:after="0"/>
              <w:rPr>
                <w:sz w:val="20"/>
                <w:szCs w:val="20"/>
                <w:color w:val="auto"/>
              </w:rPr>
            </w:pPr>
            <w:r>
              <w:rPr>
                <w:rFonts w:ascii="Arial" w:cs="Arial" w:eastAsia="Arial" w:hAnsi="Arial"/>
                <w:sz w:val="13"/>
                <w:szCs w:val="13"/>
                <w:b w:val="1"/>
                <w:bCs w:val="1"/>
                <w:color w:val="auto"/>
              </w:rPr>
              <w:t>Mr. Masso</w:t>
            </w:r>
          </w:p>
        </w:tc>
        <w:tc>
          <w:tcPr>
            <w:tcW w:w="14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24"/>
                <w:szCs w:val="24"/>
                <w:color w:val="auto"/>
              </w:rPr>
            </w:pP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4"/>
                <w:szCs w:val="24"/>
                <w:color w:val="auto"/>
              </w:rPr>
            </w:pPr>
          </w:p>
        </w:tc>
        <w:tc>
          <w:tcPr>
            <w:tcW w:w="760" w:type="dxa"/>
            <w:vAlign w:val="bottom"/>
          </w:tcPr>
          <w:p>
            <w:pPr>
              <w:jc w:val="right"/>
              <w:ind w:right="18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77"/>
              <w:spacing w:after="0"/>
              <w:rPr>
                <w:sz w:val="20"/>
                <w:szCs w:val="20"/>
                <w:color w:val="auto"/>
              </w:rPr>
            </w:pPr>
            <w:r>
              <w:rPr>
                <w:rFonts w:ascii="Arial" w:cs="Arial" w:eastAsia="Arial" w:hAnsi="Arial"/>
                <w:sz w:val="13"/>
                <w:szCs w:val="13"/>
                <w:color w:val="auto"/>
              </w:rPr>
              <w:t>5,200</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920" w:type="dxa"/>
            <w:vAlign w:val="bottom"/>
          </w:tcPr>
          <w:p>
            <w:pPr>
              <w:jc w:val="right"/>
              <w:ind w:right="179"/>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5,200</w:t>
            </w:r>
          </w:p>
        </w:tc>
        <w:tc>
          <w:tcPr>
            <w:tcW w:w="0" w:type="dxa"/>
            <w:vAlign w:val="bottom"/>
          </w:tcPr>
          <w:p>
            <w:pPr>
              <w:spacing w:after="0"/>
              <w:rPr>
                <w:sz w:val="1"/>
                <w:szCs w:val="1"/>
                <w:color w:val="auto"/>
              </w:rPr>
            </w:pPr>
          </w:p>
        </w:tc>
      </w:tr>
      <w:tr>
        <w:trPr>
          <w:trHeight w:val="130"/>
        </w:trPr>
        <w:tc>
          <w:tcPr>
            <w:tcW w:w="1160" w:type="dxa"/>
            <w:vAlign w:val="bottom"/>
            <w:tcBorders>
              <w:bottom w:val="single" w:sz="8" w:color="939598"/>
            </w:tcBorders>
          </w:tcPr>
          <w:p>
            <w:pPr>
              <w:spacing w:after="0"/>
              <w:rPr>
                <w:sz w:val="11"/>
                <w:szCs w:val="11"/>
                <w:color w:val="auto"/>
              </w:rPr>
            </w:pPr>
          </w:p>
        </w:tc>
        <w:tc>
          <w:tcPr>
            <w:tcW w:w="1400" w:type="dxa"/>
            <w:vAlign w:val="bottom"/>
            <w:tcBorders>
              <w:bottom w:val="single" w:sz="8" w:color="939598"/>
            </w:tcBorders>
          </w:tcPr>
          <w:p>
            <w:pPr>
              <w:spacing w:after="0"/>
              <w:rPr>
                <w:sz w:val="11"/>
                <w:szCs w:val="11"/>
                <w:color w:val="auto"/>
              </w:rPr>
            </w:pPr>
          </w:p>
        </w:tc>
        <w:tc>
          <w:tcPr>
            <w:tcW w:w="1020" w:type="dxa"/>
            <w:vAlign w:val="bottom"/>
            <w:tcBorders>
              <w:bottom w:val="single" w:sz="8" w:color="939598"/>
            </w:tcBorders>
          </w:tcPr>
          <w:p>
            <w:pPr>
              <w:spacing w:after="0"/>
              <w:rPr>
                <w:sz w:val="11"/>
                <w:szCs w:val="11"/>
                <w:color w:val="auto"/>
              </w:rPr>
            </w:pPr>
          </w:p>
        </w:tc>
        <w:tc>
          <w:tcPr>
            <w:tcW w:w="1020" w:type="dxa"/>
            <w:vAlign w:val="bottom"/>
            <w:tcBorders>
              <w:bottom w:val="single" w:sz="8" w:color="939598"/>
            </w:tcBorders>
          </w:tcPr>
          <w:p>
            <w:pPr>
              <w:spacing w:after="0"/>
              <w:rPr>
                <w:sz w:val="11"/>
                <w:szCs w:val="11"/>
                <w:color w:val="auto"/>
              </w:rPr>
            </w:pPr>
          </w:p>
        </w:tc>
        <w:tc>
          <w:tcPr>
            <w:tcW w:w="360" w:type="dxa"/>
            <w:vAlign w:val="bottom"/>
            <w:tcBorders>
              <w:bottom w:val="single" w:sz="8" w:color="939598"/>
            </w:tcBorders>
          </w:tcPr>
          <w:p>
            <w:pPr>
              <w:spacing w:after="0"/>
              <w:rPr>
                <w:sz w:val="11"/>
                <w:szCs w:val="11"/>
                <w:color w:val="auto"/>
              </w:rPr>
            </w:pPr>
          </w:p>
        </w:tc>
        <w:tc>
          <w:tcPr>
            <w:tcW w:w="720" w:type="dxa"/>
            <w:vAlign w:val="bottom"/>
            <w:tcBorders>
              <w:bottom w:val="single" w:sz="8" w:color="939598"/>
            </w:tcBorders>
          </w:tcPr>
          <w:p>
            <w:pPr>
              <w:spacing w:after="0"/>
              <w:rPr>
                <w:sz w:val="11"/>
                <w:szCs w:val="11"/>
                <w:color w:val="auto"/>
              </w:rPr>
            </w:pPr>
          </w:p>
        </w:tc>
        <w:tc>
          <w:tcPr>
            <w:tcW w:w="300" w:type="dxa"/>
            <w:vAlign w:val="bottom"/>
            <w:tcBorders>
              <w:bottom w:val="single" w:sz="8" w:color="939598"/>
            </w:tcBorders>
          </w:tcPr>
          <w:p>
            <w:pPr>
              <w:spacing w:after="0"/>
              <w:rPr>
                <w:sz w:val="11"/>
                <w:szCs w:val="11"/>
                <w:color w:val="auto"/>
              </w:rPr>
            </w:pPr>
          </w:p>
        </w:tc>
        <w:tc>
          <w:tcPr>
            <w:tcW w:w="760" w:type="dxa"/>
            <w:vAlign w:val="bottom"/>
            <w:tcBorders>
              <w:bottom w:val="single" w:sz="8" w:color="939598"/>
            </w:tcBorders>
          </w:tcPr>
          <w:p>
            <w:pPr>
              <w:spacing w:after="0"/>
              <w:rPr>
                <w:sz w:val="11"/>
                <w:szCs w:val="11"/>
                <w:color w:val="auto"/>
              </w:rPr>
            </w:pPr>
          </w:p>
        </w:tc>
        <w:tc>
          <w:tcPr>
            <w:tcW w:w="1060" w:type="dxa"/>
            <w:vAlign w:val="bottom"/>
            <w:tcBorders>
              <w:bottom w:val="single" w:sz="8" w:color="939598"/>
            </w:tcBorders>
          </w:tcPr>
          <w:p>
            <w:pPr>
              <w:spacing w:after="0"/>
              <w:rPr>
                <w:sz w:val="11"/>
                <w:szCs w:val="11"/>
                <w:color w:val="auto"/>
              </w:rPr>
            </w:pPr>
          </w:p>
        </w:tc>
        <w:tc>
          <w:tcPr>
            <w:tcW w:w="920" w:type="dxa"/>
            <w:vAlign w:val="bottom"/>
            <w:tcBorders>
              <w:bottom w:val="single" w:sz="8" w:color="939598"/>
            </w:tcBorders>
          </w:tcPr>
          <w:p>
            <w:pPr>
              <w:spacing w:after="0"/>
              <w:rPr>
                <w:sz w:val="11"/>
                <w:szCs w:val="11"/>
                <w:color w:val="auto"/>
              </w:rPr>
            </w:pPr>
          </w:p>
        </w:tc>
        <w:tc>
          <w:tcPr>
            <w:tcW w:w="220" w:type="dxa"/>
            <w:vAlign w:val="bottom"/>
            <w:tcBorders>
              <w:bottom w:val="single" w:sz="8" w:color="939598"/>
            </w:tcBorders>
          </w:tcPr>
          <w:p>
            <w:pPr>
              <w:spacing w:after="0"/>
              <w:rPr>
                <w:sz w:val="11"/>
                <w:szCs w:val="11"/>
                <w:color w:val="auto"/>
              </w:rPr>
            </w:pPr>
          </w:p>
        </w:tc>
        <w:tc>
          <w:tcPr>
            <w:tcW w:w="920" w:type="dxa"/>
            <w:vAlign w:val="bottom"/>
            <w:tcBorders>
              <w:bottom w:val="single" w:sz="8" w:color="939598"/>
            </w:tcBorders>
          </w:tcPr>
          <w:p>
            <w:pPr>
              <w:spacing w:after="0"/>
              <w:rPr>
                <w:sz w:val="11"/>
                <w:szCs w:val="11"/>
                <w:color w:val="auto"/>
              </w:rPr>
            </w:pPr>
          </w:p>
        </w:tc>
        <w:tc>
          <w:tcPr>
            <w:tcW w:w="380" w:type="dxa"/>
            <w:vAlign w:val="bottom"/>
            <w:tcBorders>
              <w:bottom w:val="single" w:sz="8" w:color="939598"/>
            </w:tcBorders>
          </w:tcPr>
          <w:p>
            <w:pPr>
              <w:spacing w:after="0"/>
              <w:rPr>
                <w:sz w:val="11"/>
                <w:szCs w:val="11"/>
                <w:color w:val="auto"/>
              </w:rPr>
            </w:pPr>
          </w:p>
        </w:tc>
        <w:tc>
          <w:tcPr>
            <w:tcW w:w="74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282"/>
        </w:trPr>
        <w:tc>
          <w:tcPr>
            <w:tcW w:w="1160" w:type="dxa"/>
            <w:vAlign w:val="bottom"/>
          </w:tcPr>
          <w:p>
            <w:pPr>
              <w:ind w:left="20"/>
              <w:spacing w:after="0"/>
              <w:rPr>
                <w:sz w:val="20"/>
                <w:szCs w:val="20"/>
                <w:color w:val="auto"/>
              </w:rPr>
            </w:pPr>
            <w:r>
              <w:rPr>
                <w:rFonts w:ascii="Arial" w:cs="Arial" w:eastAsia="Arial" w:hAnsi="Arial"/>
                <w:sz w:val="13"/>
                <w:szCs w:val="13"/>
                <w:b w:val="1"/>
                <w:bCs w:val="1"/>
                <w:color w:val="auto"/>
              </w:rPr>
              <w:t>Mr. Hammoud</w:t>
            </w:r>
          </w:p>
        </w:tc>
        <w:tc>
          <w:tcPr>
            <w:tcW w:w="1400" w:type="dxa"/>
            <w:vAlign w:val="bottom"/>
          </w:tcPr>
          <w:p>
            <w:pPr>
              <w:jc w:val="right"/>
              <w:ind w:right="137"/>
              <w:spacing w:after="0"/>
              <w:rPr>
                <w:sz w:val="20"/>
                <w:szCs w:val="20"/>
                <w:color w:val="auto"/>
              </w:rPr>
            </w:pPr>
            <w:r>
              <w:rPr>
                <w:rFonts w:ascii="Arial" w:cs="Arial" w:eastAsia="Arial" w:hAnsi="Arial"/>
                <w:sz w:val="13"/>
                <w:szCs w:val="13"/>
                <w:color w:val="auto"/>
              </w:rPr>
              <w:t>48,548</w:t>
            </w:r>
          </w:p>
        </w:tc>
        <w:tc>
          <w:tcPr>
            <w:tcW w:w="102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24"/>
                <w:szCs w:val="24"/>
                <w:color w:val="auto"/>
              </w:rPr>
            </w:pP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4"/>
                <w:szCs w:val="24"/>
                <w:color w:val="auto"/>
              </w:rPr>
            </w:pPr>
          </w:p>
        </w:tc>
        <w:tc>
          <w:tcPr>
            <w:tcW w:w="760" w:type="dxa"/>
            <w:vAlign w:val="bottom"/>
          </w:tcPr>
          <w:p>
            <w:pPr>
              <w:jc w:val="right"/>
              <w:ind w:right="18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77"/>
              <w:spacing w:after="0"/>
              <w:rPr>
                <w:sz w:val="20"/>
                <w:szCs w:val="20"/>
                <w:color w:val="auto"/>
              </w:rPr>
            </w:pPr>
            <w:r>
              <w:rPr>
                <w:rFonts w:ascii="Arial" w:cs="Arial" w:eastAsia="Arial" w:hAnsi="Arial"/>
                <w:sz w:val="13"/>
                <w:szCs w:val="13"/>
                <w:color w:val="auto"/>
              </w:rPr>
              <w:t>5,200</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4,579</w:t>
            </w:r>
          </w:p>
        </w:tc>
        <w:tc>
          <w:tcPr>
            <w:tcW w:w="220" w:type="dxa"/>
            <w:vAlign w:val="bottom"/>
          </w:tcPr>
          <w:p>
            <w:pPr>
              <w:spacing w:after="0"/>
              <w:rPr>
                <w:sz w:val="24"/>
                <w:szCs w:val="24"/>
                <w:color w:val="auto"/>
              </w:rPr>
            </w:pPr>
          </w:p>
        </w:tc>
        <w:tc>
          <w:tcPr>
            <w:tcW w:w="920" w:type="dxa"/>
            <w:vAlign w:val="bottom"/>
          </w:tcPr>
          <w:p>
            <w:pPr>
              <w:jc w:val="right"/>
              <w:ind w:right="179"/>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58,327</w:t>
            </w:r>
          </w:p>
        </w:tc>
        <w:tc>
          <w:tcPr>
            <w:tcW w:w="0" w:type="dxa"/>
            <w:vAlign w:val="bottom"/>
          </w:tcPr>
          <w:p>
            <w:pPr>
              <w:spacing w:after="0"/>
              <w:rPr>
                <w:sz w:val="1"/>
                <w:szCs w:val="1"/>
                <w:color w:val="auto"/>
              </w:rPr>
            </w:pPr>
          </w:p>
        </w:tc>
      </w:tr>
      <w:tr>
        <w:trPr>
          <w:trHeight w:val="130"/>
        </w:trPr>
        <w:tc>
          <w:tcPr>
            <w:tcW w:w="1160" w:type="dxa"/>
            <w:vAlign w:val="bottom"/>
            <w:tcBorders>
              <w:bottom w:val="single" w:sz="8" w:color="939598"/>
            </w:tcBorders>
          </w:tcPr>
          <w:p>
            <w:pPr>
              <w:spacing w:after="0"/>
              <w:rPr>
                <w:sz w:val="11"/>
                <w:szCs w:val="11"/>
                <w:color w:val="auto"/>
              </w:rPr>
            </w:pPr>
          </w:p>
        </w:tc>
        <w:tc>
          <w:tcPr>
            <w:tcW w:w="1400" w:type="dxa"/>
            <w:vAlign w:val="bottom"/>
            <w:tcBorders>
              <w:bottom w:val="single" w:sz="8" w:color="939598"/>
            </w:tcBorders>
          </w:tcPr>
          <w:p>
            <w:pPr>
              <w:spacing w:after="0"/>
              <w:rPr>
                <w:sz w:val="11"/>
                <w:szCs w:val="11"/>
                <w:color w:val="auto"/>
              </w:rPr>
            </w:pPr>
          </w:p>
        </w:tc>
        <w:tc>
          <w:tcPr>
            <w:tcW w:w="1020" w:type="dxa"/>
            <w:vAlign w:val="bottom"/>
            <w:tcBorders>
              <w:bottom w:val="single" w:sz="8" w:color="939598"/>
            </w:tcBorders>
          </w:tcPr>
          <w:p>
            <w:pPr>
              <w:spacing w:after="0"/>
              <w:rPr>
                <w:sz w:val="11"/>
                <w:szCs w:val="11"/>
                <w:color w:val="auto"/>
              </w:rPr>
            </w:pPr>
          </w:p>
        </w:tc>
        <w:tc>
          <w:tcPr>
            <w:tcW w:w="1020" w:type="dxa"/>
            <w:vAlign w:val="bottom"/>
            <w:tcBorders>
              <w:bottom w:val="single" w:sz="8" w:color="939598"/>
            </w:tcBorders>
          </w:tcPr>
          <w:p>
            <w:pPr>
              <w:spacing w:after="0"/>
              <w:rPr>
                <w:sz w:val="11"/>
                <w:szCs w:val="11"/>
                <w:color w:val="auto"/>
              </w:rPr>
            </w:pPr>
          </w:p>
        </w:tc>
        <w:tc>
          <w:tcPr>
            <w:tcW w:w="360" w:type="dxa"/>
            <w:vAlign w:val="bottom"/>
            <w:tcBorders>
              <w:bottom w:val="single" w:sz="8" w:color="939598"/>
            </w:tcBorders>
          </w:tcPr>
          <w:p>
            <w:pPr>
              <w:spacing w:after="0"/>
              <w:rPr>
                <w:sz w:val="11"/>
                <w:szCs w:val="11"/>
                <w:color w:val="auto"/>
              </w:rPr>
            </w:pPr>
          </w:p>
        </w:tc>
        <w:tc>
          <w:tcPr>
            <w:tcW w:w="720" w:type="dxa"/>
            <w:vAlign w:val="bottom"/>
            <w:tcBorders>
              <w:bottom w:val="single" w:sz="8" w:color="939598"/>
            </w:tcBorders>
          </w:tcPr>
          <w:p>
            <w:pPr>
              <w:spacing w:after="0"/>
              <w:rPr>
                <w:sz w:val="11"/>
                <w:szCs w:val="11"/>
                <w:color w:val="auto"/>
              </w:rPr>
            </w:pPr>
          </w:p>
        </w:tc>
        <w:tc>
          <w:tcPr>
            <w:tcW w:w="300" w:type="dxa"/>
            <w:vAlign w:val="bottom"/>
            <w:tcBorders>
              <w:bottom w:val="single" w:sz="8" w:color="939598"/>
            </w:tcBorders>
          </w:tcPr>
          <w:p>
            <w:pPr>
              <w:spacing w:after="0"/>
              <w:rPr>
                <w:sz w:val="11"/>
                <w:szCs w:val="11"/>
                <w:color w:val="auto"/>
              </w:rPr>
            </w:pPr>
          </w:p>
        </w:tc>
        <w:tc>
          <w:tcPr>
            <w:tcW w:w="760" w:type="dxa"/>
            <w:vAlign w:val="bottom"/>
            <w:tcBorders>
              <w:bottom w:val="single" w:sz="8" w:color="939598"/>
            </w:tcBorders>
          </w:tcPr>
          <w:p>
            <w:pPr>
              <w:spacing w:after="0"/>
              <w:rPr>
                <w:sz w:val="11"/>
                <w:szCs w:val="11"/>
                <w:color w:val="auto"/>
              </w:rPr>
            </w:pPr>
          </w:p>
        </w:tc>
        <w:tc>
          <w:tcPr>
            <w:tcW w:w="1060" w:type="dxa"/>
            <w:vAlign w:val="bottom"/>
            <w:tcBorders>
              <w:bottom w:val="single" w:sz="8" w:color="939598"/>
            </w:tcBorders>
          </w:tcPr>
          <w:p>
            <w:pPr>
              <w:spacing w:after="0"/>
              <w:rPr>
                <w:sz w:val="11"/>
                <w:szCs w:val="11"/>
                <w:color w:val="auto"/>
              </w:rPr>
            </w:pPr>
          </w:p>
        </w:tc>
        <w:tc>
          <w:tcPr>
            <w:tcW w:w="920" w:type="dxa"/>
            <w:vAlign w:val="bottom"/>
            <w:tcBorders>
              <w:bottom w:val="single" w:sz="8" w:color="939598"/>
            </w:tcBorders>
          </w:tcPr>
          <w:p>
            <w:pPr>
              <w:spacing w:after="0"/>
              <w:rPr>
                <w:sz w:val="11"/>
                <w:szCs w:val="11"/>
                <w:color w:val="auto"/>
              </w:rPr>
            </w:pPr>
          </w:p>
        </w:tc>
        <w:tc>
          <w:tcPr>
            <w:tcW w:w="220" w:type="dxa"/>
            <w:vAlign w:val="bottom"/>
            <w:tcBorders>
              <w:bottom w:val="single" w:sz="8" w:color="939598"/>
            </w:tcBorders>
          </w:tcPr>
          <w:p>
            <w:pPr>
              <w:spacing w:after="0"/>
              <w:rPr>
                <w:sz w:val="11"/>
                <w:szCs w:val="11"/>
                <w:color w:val="auto"/>
              </w:rPr>
            </w:pPr>
          </w:p>
        </w:tc>
        <w:tc>
          <w:tcPr>
            <w:tcW w:w="920" w:type="dxa"/>
            <w:vAlign w:val="bottom"/>
            <w:tcBorders>
              <w:bottom w:val="single" w:sz="8" w:color="939598"/>
            </w:tcBorders>
          </w:tcPr>
          <w:p>
            <w:pPr>
              <w:spacing w:after="0"/>
              <w:rPr>
                <w:sz w:val="11"/>
                <w:szCs w:val="11"/>
                <w:color w:val="auto"/>
              </w:rPr>
            </w:pPr>
          </w:p>
        </w:tc>
        <w:tc>
          <w:tcPr>
            <w:tcW w:w="380" w:type="dxa"/>
            <w:vAlign w:val="bottom"/>
            <w:tcBorders>
              <w:bottom w:val="single" w:sz="8" w:color="939598"/>
            </w:tcBorders>
          </w:tcPr>
          <w:p>
            <w:pPr>
              <w:spacing w:after="0"/>
              <w:rPr>
                <w:sz w:val="11"/>
                <w:szCs w:val="11"/>
                <w:color w:val="auto"/>
              </w:rPr>
            </w:pPr>
          </w:p>
        </w:tc>
        <w:tc>
          <w:tcPr>
            <w:tcW w:w="74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283"/>
        </w:trPr>
        <w:tc>
          <w:tcPr>
            <w:tcW w:w="1160" w:type="dxa"/>
            <w:vAlign w:val="bottom"/>
          </w:tcPr>
          <w:p>
            <w:pPr>
              <w:ind w:left="20"/>
              <w:spacing w:after="0"/>
              <w:rPr>
                <w:sz w:val="20"/>
                <w:szCs w:val="20"/>
                <w:color w:val="auto"/>
              </w:rPr>
            </w:pPr>
            <w:r>
              <w:rPr>
                <w:rFonts w:ascii="Arial" w:cs="Arial" w:eastAsia="Arial" w:hAnsi="Arial"/>
                <w:sz w:val="13"/>
                <w:szCs w:val="13"/>
                <w:b w:val="1"/>
                <w:bCs w:val="1"/>
                <w:color w:val="auto"/>
              </w:rPr>
              <w:t>Mr. Lewis</w:t>
            </w:r>
          </w:p>
        </w:tc>
        <w:tc>
          <w:tcPr>
            <w:tcW w:w="1400" w:type="dxa"/>
            <w:vAlign w:val="bottom"/>
          </w:tcPr>
          <w:p>
            <w:pPr>
              <w:jc w:val="right"/>
              <w:ind w:right="137"/>
              <w:spacing w:after="0"/>
              <w:rPr>
                <w:sz w:val="20"/>
                <w:szCs w:val="20"/>
                <w:color w:val="auto"/>
              </w:rPr>
            </w:pPr>
            <w:r>
              <w:rPr>
                <w:rFonts w:ascii="Arial" w:cs="Arial" w:eastAsia="Arial" w:hAnsi="Arial"/>
                <w:sz w:val="13"/>
                <w:szCs w:val="13"/>
                <w:color w:val="auto"/>
              </w:rPr>
              <w:t>29,990</w:t>
            </w:r>
          </w:p>
        </w:tc>
        <w:tc>
          <w:tcPr>
            <w:tcW w:w="102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24"/>
                <w:szCs w:val="24"/>
                <w:color w:val="auto"/>
              </w:rPr>
            </w:pP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4"/>
                <w:szCs w:val="24"/>
                <w:color w:val="auto"/>
              </w:rPr>
            </w:pPr>
          </w:p>
        </w:tc>
        <w:tc>
          <w:tcPr>
            <w:tcW w:w="760" w:type="dxa"/>
            <w:vAlign w:val="bottom"/>
          </w:tcPr>
          <w:p>
            <w:pPr>
              <w:jc w:val="right"/>
              <w:ind w:right="18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77"/>
              <w:spacing w:after="0"/>
              <w:rPr>
                <w:sz w:val="20"/>
                <w:szCs w:val="20"/>
                <w:color w:val="auto"/>
              </w:rPr>
            </w:pPr>
            <w:r>
              <w:rPr>
                <w:rFonts w:ascii="Arial" w:cs="Arial" w:eastAsia="Arial" w:hAnsi="Arial"/>
                <w:sz w:val="13"/>
                <w:szCs w:val="13"/>
                <w:color w:val="auto"/>
              </w:rPr>
              <w:t>5,200</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3,000</w:t>
            </w:r>
          </w:p>
        </w:tc>
        <w:tc>
          <w:tcPr>
            <w:tcW w:w="220" w:type="dxa"/>
            <w:vAlign w:val="bottom"/>
          </w:tcPr>
          <w:p>
            <w:pPr>
              <w:spacing w:after="0"/>
              <w:rPr>
                <w:sz w:val="24"/>
                <w:szCs w:val="24"/>
                <w:color w:val="auto"/>
              </w:rPr>
            </w:pPr>
          </w:p>
        </w:tc>
        <w:tc>
          <w:tcPr>
            <w:tcW w:w="920" w:type="dxa"/>
            <w:vAlign w:val="bottom"/>
          </w:tcPr>
          <w:p>
            <w:pPr>
              <w:jc w:val="right"/>
              <w:ind w:right="179"/>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38,190</w:t>
            </w:r>
          </w:p>
        </w:tc>
        <w:tc>
          <w:tcPr>
            <w:tcW w:w="0" w:type="dxa"/>
            <w:vAlign w:val="bottom"/>
          </w:tcPr>
          <w:p>
            <w:pPr>
              <w:spacing w:after="0"/>
              <w:rPr>
                <w:sz w:val="1"/>
                <w:szCs w:val="1"/>
                <w:color w:val="auto"/>
              </w:rPr>
            </w:pPr>
          </w:p>
        </w:tc>
      </w:tr>
      <w:tr>
        <w:trPr>
          <w:trHeight w:val="129"/>
        </w:trPr>
        <w:tc>
          <w:tcPr>
            <w:tcW w:w="1160" w:type="dxa"/>
            <w:vAlign w:val="bottom"/>
            <w:tcBorders>
              <w:bottom w:val="single" w:sz="8" w:color="939598"/>
            </w:tcBorders>
          </w:tcPr>
          <w:p>
            <w:pPr>
              <w:spacing w:after="0"/>
              <w:rPr>
                <w:sz w:val="11"/>
                <w:szCs w:val="11"/>
                <w:color w:val="auto"/>
              </w:rPr>
            </w:pPr>
          </w:p>
        </w:tc>
        <w:tc>
          <w:tcPr>
            <w:tcW w:w="1400" w:type="dxa"/>
            <w:vAlign w:val="bottom"/>
            <w:tcBorders>
              <w:bottom w:val="single" w:sz="8" w:color="939598"/>
            </w:tcBorders>
          </w:tcPr>
          <w:p>
            <w:pPr>
              <w:spacing w:after="0"/>
              <w:rPr>
                <w:sz w:val="11"/>
                <w:szCs w:val="11"/>
                <w:color w:val="auto"/>
              </w:rPr>
            </w:pPr>
          </w:p>
        </w:tc>
        <w:tc>
          <w:tcPr>
            <w:tcW w:w="1020" w:type="dxa"/>
            <w:vAlign w:val="bottom"/>
            <w:tcBorders>
              <w:bottom w:val="single" w:sz="8" w:color="939598"/>
            </w:tcBorders>
          </w:tcPr>
          <w:p>
            <w:pPr>
              <w:spacing w:after="0"/>
              <w:rPr>
                <w:sz w:val="11"/>
                <w:szCs w:val="11"/>
                <w:color w:val="auto"/>
              </w:rPr>
            </w:pPr>
          </w:p>
        </w:tc>
        <w:tc>
          <w:tcPr>
            <w:tcW w:w="1020" w:type="dxa"/>
            <w:vAlign w:val="bottom"/>
            <w:tcBorders>
              <w:bottom w:val="single" w:sz="8" w:color="939598"/>
            </w:tcBorders>
          </w:tcPr>
          <w:p>
            <w:pPr>
              <w:spacing w:after="0"/>
              <w:rPr>
                <w:sz w:val="11"/>
                <w:szCs w:val="11"/>
                <w:color w:val="auto"/>
              </w:rPr>
            </w:pPr>
          </w:p>
        </w:tc>
        <w:tc>
          <w:tcPr>
            <w:tcW w:w="360" w:type="dxa"/>
            <w:vAlign w:val="bottom"/>
            <w:tcBorders>
              <w:bottom w:val="single" w:sz="8" w:color="939598"/>
            </w:tcBorders>
          </w:tcPr>
          <w:p>
            <w:pPr>
              <w:spacing w:after="0"/>
              <w:rPr>
                <w:sz w:val="11"/>
                <w:szCs w:val="11"/>
                <w:color w:val="auto"/>
              </w:rPr>
            </w:pPr>
          </w:p>
        </w:tc>
        <w:tc>
          <w:tcPr>
            <w:tcW w:w="720" w:type="dxa"/>
            <w:vAlign w:val="bottom"/>
            <w:tcBorders>
              <w:bottom w:val="single" w:sz="8" w:color="939598"/>
            </w:tcBorders>
          </w:tcPr>
          <w:p>
            <w:pPr>
              <w:spacing w:after="0"/>
              <w:rPr>
                <w:sz w:val="11"/>
                <w:szCs w:val="11"/>
                <w:color w:val="auto"/>
              </w:rPr>
            </w:pPr>
          </w:p>
        </w:tc>
        <w:tc>
          <w:tcPr>
            <w:tcW w:w="300" w:type="dxa"/>
            <w:vAlign w:val="bottom"/>
            <w:tcBorders>
              <w:bottom w:val="single" w:sz="8" w:color="939598"/>
            </w:tcBorders>
          </w:tcPr>
          <w:p>
            <w:pPr>
              <w:spacing w:after="0"/>
              <w:rPr>
                <w:sz w:val="11"/>
                <w:szCs w:val="11"/>
                <w:color w:val="auto"/>
              </w:rPr>
            </w:pPr>
          </w:p>
        </w:tc>
        <w:tc>
          <w:tcPr>
            <w:tcW w:w="760" w:type="dxa"/>
            <w:vAlign w:val="bottom"/>
            <w:tcBorders>
              <w:bottom w:val="single" w:sz="8" w:color="939598"/>
            </w:tcBorders>
          </w:tcPr>
          <w:p>
            <w:pPr>
              <w:spacing w:after="0"/>
              <w:rPr>
                <w:sz w:val="11"/>
                <w:szCs w:val="11"/>
                <w:color w:val="auto"/>
              </w:rPr>
            </w:pPr>
          </w:p>
        </w:tc>
        <w:tc>
          <w:tcPr>
            <w:tcW w:w="1060" w:type="dxa"/>
            <w:vAlign w:val="bottom"/>
            <w:tcBorders>
              <w:bottom w:val="single" w:sz="8" w:color="939598"/>
            </w:tcBorders>
          </w:tcPr>
          <w:p>
            <w:pPr>
              <w:spacing w:after="0"/>
              <w:rPr>
                <w:sz w:val="11"/>
                <w:szCs w:val="11"/>
                <w:color w:val="auto"/>
              </w:rPr>
            </w:pPr>
          </w:p>
        </w:tc>
        <w:tc>
          <w:tcPr>
            <w:tcW w:w="920" w:type="dxa"/>
            <w:vAlign w:val="bottom"/>
            <w:tcBorders>
              <w:bottom w:val="single" w:sz="8" w:color="939598"/>
            </w:tcBorders>
          </w:tcPr>
          <w:p>
            <w:pPr>
              <w:spacing w:after="0"/>
              <w:rPr>
                <w:sz w:val="11"/>
                <w:szCs w:val="11"/>
                <w:color w:val="auto"/>
              </w:rPr>
            </w:pPr>
          </w:p>
        </w:tc>
        <w:tc>
          <w:tcPr>
            <w:tcW w:w="220" w:type="dxa"/>
            <w:vAlign w:val="bottom"/>
            <w:tcBorders>
              <w:bottom w:val="single" w:sz="8" w:color="939598"/>
            </w:tcBorders>
          </w:tcPr>
          <w:p>
            <w:pPr>
              <w:spacing w:after="0"/>
              <w:rPr>
                <w:sz w:val="11"/>
                <w:szCs w:val="11"/>
                <w:color w:val="auto"/>
              </w:rPr>
            </w:pPr>
          </w:p>
        </w:tc>
        <w:tc>
          <w:tcPr>
            <w:tcW w:w="920" w:type="dxa"/>
            <w:vAlign w:val="bottom"/>
            <w:tcBorders>
              <w:bottom w:val="single" w:sz="8" w:color="939598"/>
            </w:tcBorders>
          </w:tcPr>
          <w:p>
            <w:pPr>
              <w:spacing w:after="0"/>
              <w:rPr>
                <w:sz w:val="11"/>
                <w:szCs w:val="11"/>
                <w:color w:val="auto"/>
              </w:rPr>
            </w:pPr>
          </w:p>
        </w:tc>
        <w:tc>
          <w:tcPr>
            <w:tcW w:w="380" w:type="dxa"/>
            <w:vAlign w:val="bottom"/>
            <w:tcBorders>
              <w:bottom w:val="single" w:sz="8" w:color="939598"/>
            </w:tcBorders>
          </w:tcPr>
          <w:p>
            <w:pPr>
              <w:spacing w:after="0"/>
              <w:rPr>
                <w:sz w:val="11"/>
                <w:szCs w:val="11"/>
                <w:color w:val="auto"/>
              </w:rPr>
            </w:pPr>
          </w:p>
        </w:tc>
        <w:tc>
          <w:tcPr>
            <w:tcW w:w="74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283"/>
        </w:trPr>
        <w:tc>
          <w:tcPr>
            <w:tcW w:w="1160" w:type="dxa"/>
            <w:vAlign w:val="bottom"/>
          </w:tcPr>
          <w:p>
            <w:pPr>
              <w:ind w:left="20"/>
              <w:spacing w:after="0"/>
              <w:rPr>
                <w:sz w:val="20"/>
                <w:szCs w:val="20"/>
                <w:color w:val="auto"/>
              </w:rPr>
            </w:pPr>
            <w:r>
              <w:rPr>
                <w:rFonts w:ascii="Arial" w:cs="Arial" w:eastAsia="Arial" w:hAnsi="Arial"/>
                <w:sz w:val="13"/>
                <w:szCs w:val="13"/>
                <w:b w:val="1"/>
                <w:bCs w:val="1"/>
                <w:color w:val="auto"/>
              </w:rPr>
              <w:t>Mr. Boldea</w:t>
            </w:r>
          </w:p>
        </w:tc>
        <w:tc>
          <w:tcPr>
            <w:tcW w:w="14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24"/>
                <w:szCs w:val="24"/>
                <w:color w:val="auto"/>
              </w:rPr>
            </w:pP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4"/>
                <w:szCs w:val="24"/>
                <w:color w:val="auto"/>
              </w:rPr>
            </w:pPr>
          </w:p>
        </w:tc>
        <w:tc>
          <w:tcPr>
            <w:tcW w:w="760" w:type="dxa"/>
            <w:vAlign w:val="bottom"/>
          </w:tcPr>
          <w:p>
            <w:pPr>
              <w:jc w:val="right"/>
              <w:ind w:right="18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77"/>
              <w:spacing w:after="0"/>
              <w:rPr>
                <w:sz w:val="20"/>
                <w:szCs w:val="20"/>
                <w:color w:val="auto"/>
              </w:rPr>
            </w:pPr>
            <w:r>
              <w:rPr>
                <w:rFonts w:ascii="Arial" w:cs="Arial" w:eastAsia="Arial" w:hAnsi="Arial"/>
                <w:sz w:val="13"/>
                <w:szCs w:val="13"/>
                <w:color w:val="auto"/>
              </w:rPr>
              <w:t>5,200</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920" w:type="dxa"/>
            <w:vAlign w:val="bottom"/>
          </w:tcPr>
          <w:p>
            <w:pPr>
              <w:jc w:val="right"/>
              <w:ind w:right="179"/>
              <w:spacing w:after="0"/>
              <w:rPr>
                <w:sz w:val="20"/>
                <w:szCs w:val="20"/>
                <w:color w:val="auto"/>
              </w:rPr>
            </w:pPr>
            <w:r>
              <w:rPr>
                <w:rFonts w:ascii="Arial" w:cs="Arial" w:eastAsia="Arial" w:hAnsi="Arial"/>
                <w:sz w:val="13"/>
                <w:szCs w:val="13"/>
                <w:color w:val="auto"/>
              </w:rPr>
              <w:t>2,546,199</w:t>
            </w: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2,551,399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82550</wp:posOffset>
            </wp:positionV>
            <wp:extent cx="6969125"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6969125" cy="8255"/>
                    </a:xfrm>
                    <a:prstGeom prst="rect">
                      <a:avLst/>
                    </a:prstGeom>
                    <a:noFill/>
                  </pic:spPr>
                </pic:pic>
              </a:graphicData>
            </a:graphic>
          </wp:anchor>
        </w:drawing>
      </w:r>
    </w:p>
    <w:p>
      <w:pPr>
        <w:spacing w:after="0" w:line="267" w:lineRule="exact"/>
        <w:rPr>
          <w:sz w:val="20"/>
          <w:szCs w:val="20"/>
          <w:color w:val="auto"/>
        </w:rPr>
      </w:pPr>
    </w:p>
    <w:p>
      <w:pPr>
        <w:ind w:left="400" w:right="160" w:hanging="198"/>
        <w:spacing w:after="0" w:line="216" w:lineRule="auto"/>
        <w:tabs>
          <w:tab w:leader="none" w:pos="400" w:val="left"/>
        </w:tabs>
        <w:numPr>
          <w:ilvl w:val="0"/>
          <w:numId w:val="186"/>
        </w:numPr>
        <w:rPr>
          <w:rFonts w:ascii="Arial" w:cs="Arial" w:eastAsia="Arial" w:hAnsi="Arial"/>
          <w:sz w:val="16"/>
          <w:szCs w:val="16"/>
          <w:color w:val="auto"/>
          <w:vertAlign w:val="superscript"/>
        </w:rPr>
      </w:pPr>
      <w:r>
        <w:rPr>
          <w:rFonts w:ascii="Arial" w:cs="Arial" w:eastAsia="Arial" w:hAnsi="Arial"/>
          <w:sz w:val="13"/>
          <w:szCs w:val="13"/>
          <w:color w:val="auto"/>
        </w:rPr>
        <w:t>Represents total Company matching contributions to each Named Executive Officer’s accounts in the tax-qualified Honeywell 401(k) Plan and the non-tax-qualified Supplemental Savings Plan. The value of registrant contributions includes annual matching contributions that were credited to the Named Executive Officers in January 2026 for the 2025 year.</w:t>
      </w:r>
    </w:p>
    <w:p>
      <w:pPr>
        <w:spacing w:after="0" w:line="50" w:lineRule="exact"/>
        <w:rPr>
          <w:rFonts w:ascii="Arial" w:cs="Arial" w:eastAsia="Arial" w:hAnsi="Arial"/>
          <w:sz w:val="16"/>
          <w:szCs w:val="16"/>
          <w:color w:val="auto"/>
          <w:vertAlign w:val="superscript"/>
        </w:rPr>
      </w:pPr>
    </w:p>
    <w:p>
      <w:pPr>
        <w:ind w:left="400" w:right="120" w:hanging="198"/>
        <w:spacing w:after="0" w:line="216" w:lineRule="auto"/>
        <w:tabs>
          <w:tab w:leader="none" w:pos="400" w:val="left"/>
        </w:tabs>
        <w:numPr>
          <w:ilvl w:val="0"/>
          <w:numId w:val="186"/>
        </w:numPr>
        <w:rPr>
          <w:rFonts w:ascii="Arial" w:cs="Arial" w:eastAsia="Arial" w:hAnsi="Arial"/>
          <w:sz w:val="16"/>
          <w:szCs w:val="16"/>
          <w:color w:val="auto"/>
          <w:vertAlign w:val="superscript"/>
        </w:rPr>
      </w:pPr>
      <w:r>
        <w:rPr>
          <w:rFonts w:ascii="Arial" w:cs="Arial" w:eastAsia="Arial" w:hAnsi="Arial"/>
          <w:sz w:val="13"/>
          <w:szCs w:val="13"/>
          <w:color w:val="auto"/>
        </w:rPr>
        <w:t>For security reasons, Mr. Kapur is required by Company policy to use Company aircraft for all business and personal travel (requirement to use Company aircraft for specific personal travel may be waived at the discretion of Honeywell’s security personnel). Other NEOs may have access to available corporate aircraft for personal travel, from time to time, if approved by the CEO. The amount shown for each NEO represents the aggregate incremental</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2026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87</w:t>
            </w:r>
          </w:p>
        </w:tc>
      </w:tr>
      <w:tr>
        <w:trPr>
          <w:trHeight w:val="373"/>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6" w:name="page97"/>
    <w:bookmarkEnd w:id="96"/>
    <w:p>
      <w:pPr>
        <w:spacing w:after="0"/>
        <w:rPr>
          <w:sz w:val="20"/>
          <w:szCs w:val="20"/>
          <w:color w:val="auto"/>
        </w:rPr>
      </w:pPr>
      <w:r>
        <w:rPr>
          <w:rFonts w:ascii="Arial" w:cs="Arial" w:eastAsia="Arial" w:hAnsi="Arial"/>
          <w:sz w:val="13"/>
          <w:szCs w:val="13"/>
          <w:b w:val="1"/>
          <w:bCs w:val="1"/>
          <w:color w:val="6D6E71"/>
        </w:rPr>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00" w:right="80"/>
        <w:spacing w:after="0" w:line="256" w:lineRule="auto"/>
        <w:rPr>
          <w:sz w:val="20"/>
          <w:szCs w:val="20"/>
          <w:color w:val="auto"/>
        </w:rPr>
      </w:pPr>
      <w:r>
        <w:rPr>
          <w:rFonts w:ascii="Arial" w:cs="Arial" w:eastAsia="Arial" w:hAnsi="Arial"/>
          <w:sz w:val="12"/>
          <w:szCs w:val="12"/>
          <w:color w:val="auto"/>
        </w:rPr>
        <w:t>cost of personal travel. This amount is calculated by multiplying the total number of personal flight hours by the average direct variable operating costs (e.g., expenses for aviation employees, variable aircraft maintenance, telecommunications, transportation charges, including but not limited to hangar and landing fees, aviation fuel, and commissaries) per flight hour for Company</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aircraft.</w:t>
      </w:r>
    </w:p>
    <w:p>
      <w:pPr>
        <w:spacing w:after="0" w:line="23" w:lineRule="exact"/>
        <w:rPr>
          <w:sz w:val="20"/>
          <w:szCs w:val="20"/>
          <w:color w:val="auto"/>
        </w:rPr>
      </w:pPr>
    </w:p>
    <w:p>
      <w:pPr>
        <w:ind w:left="400" w:hanging="198"/>
        <w:spacing w:after="0"/>
        <w:tabs>
          <w:tab w:leader="none" w:pos="400" w:val="left"/>
        </w:tabs>
        <w:numPr>
          <w:ilvl w:val="1"/>
          <w:numId w:val="187"/>
        </w:numPr>
        <w:rPr>
          <w:rFonts w:ascii="Arial" w:cs="Arial" w:eastAsia="Arial" w:hAnsi="Arial"/>
          <w:sz w:val="16"/>
          <w:szCs w:val="16"/>
          <w:color w:val="auto"/>
          <w:vertAlign w:val="superscript"/>
        </w:rPr>
      </w:pPr>
      <w:r>
        <w:rPr>
          <w:rFonts w:ascii="Arial" w:cs="Arial" w:eastAsia="Arial" w:hAnsi="Arial"/>
          <w:sz w:val="13"/>
          <w:szCs w:val="13"/>
          <w:color w:val="auto"/>
        </w:rPr>
        <w:t>In accordance with the CEO security plan, represents the total paid by the Company in 2025 for expenses relating to personal residential security provided to protect Mr. Kapur.</w:t>
      </w:r>
    </w:p>
    <w:p>
      <w:pPr>
        <w:spacing w:after="0" w:line="56" w:lineRule="exact"/>
        <w:rPr>
          <w:rFonts w:ascii="Arial" w:cs="Arial" w:eastAsia="Arial" w:hAnsi="Arial"/>
          <w:sz w:val="16"/>
          <w:szCs w:val="16"/>
          <w:color w:val="auto"/>
          <w:vertAlign w:val="superscript"/>
        </w:rPr>
      </w:pPr>
    </w:p>
    <w:p>
      <w:pPr>
        <w:ind w:left="400" w:hanging="198"/>
        <w:spacing w:after="0" w:line="211" w:lineRule="auto"/>
        <w:tabs>
          <w:tab w:leader="none" w:pos="400" w:val="left"/>
        </w:tabs>
        <w:numPr>
          <w:ilvl w:val="1"/>
          <w:numId w:val="187"/>
        </w:numPr>
        <w:rPr>
          <w:rFonts w:ascii="Arial" w:cs="Arial" w:eastAsia="Arial" w:hAnsi="Arial"/>
          <w:sz w:val="16"/>
          <w:szCs w:val="16"/>
          <w:color w:val="auto"/>
          <w:vertAlign w:val="superscript"/>
        </w:rPr>
      </w:pPr>
      <w:r>
        <w:rPr>
          <w:rFonts w:ascii="Arial" w:cs="Arial" w:eastAsia="Arial" w:hAnsi="Arial"/>
          <w:sz w:val="13"/>
          <w:szCs w:val="13"/>
          <w:color w:val="auto"/>
        </w:rPr>
        <w:t>Represents expenses of relocation for Mr. Stepniak to Charlotte, NC, including travel, shipping household goods, temporary housing, and assistance with the sale of his home. Mr. Stepniak did not have a loss on sale" as a part of his relocation.</w:t>
      </w:r>
    </w:p>
    <w:p>
      <w:pPr>
        <w:spacing w:after="0" w:line="33" w:lineRule="exact"/>
        <w:rPr>
          <w:rFonts w:ascii="Arial" w:cs="Arial" w:eastAsia="Arial" w:hAnsi="Arial"/>
          <w:sz w:val="16"/>
          <w:szCs w:val="16"/>
          <w:color w:val="auto"/>
          <w:vertAlign w:val="superscript"/>
        </w:rPr>
      </w:pPr>
    </w:p>
    <w:p>
      <w:pPr>
        <w:ind w:left="400" w:hanging="198"/>
        <w:spacing w:after="0"/>
        <w:tabs>
          <w:tab w:leader="none" w:pos="400" w:val="left"/>
        </w:tabs>
        <w:numPr>
          <w:ilvl w:val="1"/>
          <w:numId w:val="187"/>
        </w:numPr>
        <w:rPr>
          <w:rFonts w:ascii="Arial" w:cs="Arial" w:eastAsia="Arial" w:hAnsi="Arial"/>
          <w:sz w:val="16"/>
          <w:szCs w:val="16"/>
          <w:color w:val="auto"/>
          <w:vertAlign w:val="superscript"/>
        </w:rPr>
      </w:pPr>
      <w:r>
        <w:rPr>
          <w:rFonts w:ascii="Arial" w:cs="Arial" w:eastAsia="Arial" w:hAnsi="Arial"/>
          <w:sz w:val="13"/>
          <w:szCs w:val="13"/>
          <w:color w:val="auto"/>
        </w:rPr>
        <w:t>Represents the tax gross up amount related to relocation for Mr. Stepniak to Charlotte, NC.</w:t>
      </w:r>
    </w:p>
    <w:p>
      <w:pPr>
        <w:spacing w:after="0" w:line="43" w:lineRule="exact"/>
        <w:rPr>
          <w:rFonts w:ascii="Arial" w:cs="Arial" w:eastAsia="Arial" w:hAnsi="Arial"/>
          <w:sz w:val="16"/>
          <w:szCs w:val="16"/>
          <w:color w:val="auto"/>
          <w:vertAlign w:val="superscript"/>
        </w:rPr>
      </w:pPr>
    </w:p>
    <w:p>
      <w:pPr>
        <w:ind w:left="380" w:hanging="178"/>
        <w:spacing w:after="0" w:line="207" w:lineRule="auto"/>
        <w:tabs>
          <w:tab w:leader="none" w:pos="380" w:val="left"/>
        </w:tabs>
        <w:numPr>
          <w:ilvl w:val="1"/>
          <w:numId w:val="187"/>
        </w:numPr>
        <w:rPr>
          <w:rFonts w:ascii="Arial" w:cs="Arial" w:eastAsia="Arial" w:hAnsi="Arial"/>
          <w:sz w:val="16"/>
          <w:szCs w:val="16"/>
          <w:color w:val="auto"/>
          <w:vertAlign w:val="superscript"/>
        </w:rPr>
      </w:pPr>
      <w:r>
        <w:rPr>
          <w:rFonts w:ascii="Arial" w:cs="Arial" w:eastAsia="Arial" w:hAnsi="Arial"/>
          <w:sz w:val="13"/>
          <w:szCs w:val="13"/>
          <w:color w:val="auto"/>
        </w:rPr>
        <w:t>Represents the annual premiums paid by the Company to purchase excess liability insurance coverage for each Named Executive Officer.</w:t>
      </w:r>
    </w:p>
    <w:p>
      <w:pPr>
        <w:spacing w:after="0" w:line="57" w:lineRule="exact"/>
        <w:rPr>
          <w:rFonts w:ascii="Arial" w:cs="Arial" w:eastAsia="Arial" w:hAnsi="Arial"/>
          <w:sz w:val="16"/>
          <w:szCs w:val="16"/>
          <w:color w:val="auto"/>
          <w:vertAlign w:val="superscript"/>
        </w:rPr>
      </w:pPr>
    </w:p>
    <w:p>
      <w:pPr>
        <w:ind w:left="400" w:hanging="198"/>
        <w:spacing w:after="0" w:line="207" w:lineRule="auto"/>
        <w:tabs>
          <w:tab w:leader="none" w:pos="400" w:val="left"/>
        </w:tabs>
        <w:numPr>
          <w:ilvl w:val="1"/>
          <w:numId w:val="187"/>
        </w:numPr>
        <w:rPr>
          <w:rFonts w:ascii="Arial" w:cs="Arial" w:eastAsia="Arial" w:hAnsi="Arial"/>
          <w:sz w:val="16"/>
          <w:szCs w:val="16"/>
          <w:color w:val="auto"/>
          <w:vertAlign w:val="superscript"/>
        </w:rPr>
      </w:pPr>
      <w:r>
        <w:rPr>
          <w:rFonts w:ascii="Arial" w:cs="Arial" w:eastAsia="Arial" w:hAnsi="Arial"/>
          <w:sz w:val="13"/>
          <w:szCs w:val="13"/>
          <w:color w:val="auto"/>
        </w:rPr>
        <w:t>Represents the cost of the annual executive physical covered by the Company (excess over insurance) and concierge medical services provided to Charlotte-based officers.</w:t>
      </w:r>
    </w:p>
    <w:p>
      <w:pPr>
        <w:spacing w:after="0" w:line="49" w:lineRule="exact"/>
        <w:rPr>
          <w:rFonts w:ascii="Arial" w:cs="Arial" w:eastAsia="Arial" w:hAnsi="Arial"/>
          <w:sz w:val="16"/>
          <w:szCs w:val="16"/>
          <w:color w:val="auto"/>
          <w:vertAlign w:val="superscript"/>
        </w:rPr>
      </w:pPr>
    </w:p>
    <w:p>
      <w:pPr>
        <w:ind w:left="400" w:right="20" w:hanging="198"/>
        <w:spacing w:after="0" w:line="217" w:lineRule="auto"/>
        <w:tabs>
          <w:tab w:leader="none" w:pos="400" w:val="left"/>
        </w:tabs>
        <w:numPr>
          <w:ilvl w:val="1"/>
          <w:numId w:val="187"/>
        </w:numPr>
        <w:rPr>
          <w:rFonts w:ascii="Arial" w:cs="Arial" w:eastAsia="Arial" w:hAnsi="Arial"/>
          <w:sz w:val="16"/>
          <w:szCs w:val="16"/>
          <w:color w:val="auto"/>
          <w:vertAlign w:val="superscript"/>
        </w:rPr>
      </w:pPr>
      <w:r>
        <w:rPr>
          <w:rFonts w:ascii="Arial" w:cs="Arial" w:eastAsia="Arial" w:hAnsi="Arial"/>
          <w:sz w:val="13"/>
          <w:szCs w:val="13"/>
          <w:color w:val="auto"/>
        </w:rPr>
        <w:t>Represents Mr. Boldea's full separation pay including amounts paid in 2025 and future year payments. Mr. Boldea's separation was deemed an involuntary termination by the Company without cause under the terms of the Senior Severance Plan.</w:t>
      </w:r>
    </w:p>
    <w:p>
      <w:pPr>
        <w:spacing w:after="0" w:line="19" w:lineRule="exact"/>
        <w:rPr>
          <w:rFonts w:ascii="Arial" w:cs="Arial" w:eastAsia="Arial" w:hAnsi="Arial"/>
          <w:sz w:val="16"/>
          <w:szCs w:val="16"/>
          <w:color w:val="auto"/>
          <w:vertAlign w:val="superscript"/>
        </w:rPr>
      </w:pPr>
    </w:p>
    <w:p>
      <w:pPr>
        <w:ind w:left="200" w:hanging="192"/>
        <w:spacing w:after="0"/>
        <w:tabs>
          <w:tab w:leader="none" w:pos="200" w:val="left"/>
        </w:tabs>
        <w:numPr>
          <w:ilvl w:val="0"/>
          <w:numId w:val="188"/>
        </w:numPr>
        <w:rPr>
          <w:rFonts w:ascii="Arial" w:cs="Arial" w:eastAsia="Arial" w:hAnsi="Arial"/>
          <w:sz w:val="16"/>
          <w:szCs w:val="16"/>
          <w:color w:val="auto"/>
          <w:vertAlign w:val="superscript"/>
        </w:rPr>
      </w:pPr>
      <w:r>
        <w:rPr>
          <w:rFonts w:ascii="Arial" w:cs="Arial" w:eastAsia="Arial" w:hAnsi="Arial"/>
          <w:sz w:val="13"/>
          <w:szCs w:val="13"/>
          <w:color w:val="auto"/>
        </w:rPr>
        <w:t>Represents total reportable compensation determined in accordance with SEC disclosure requirements.</w:t>
      </w:r>
    </w:p>
    <w:p>
      <w:pPr>
        <w:spacing w:after="0" w:line="204"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88</w:t>
      </w:r>
      <w:r>
        <w:rPr>
          <w:sz w:val="20"/>
          <w:szCs w:val="20"/>
          <w:color w:val="auto"/>
        </w:rPr>
        <w:tab/>
      </w:r>
      <w:r>
        <w:rPr>
          <w:sz w:val="1"/>
          <w:szCs w:val="1"/>
          <w:color w:val="auto"/>
        </w:rPr>
        <w:drawing>
          <wp:inline distT="0" distB="0" distL="0" distR="0">
            <wp:extent cx="548640" cy="102870"/>
            <wp:effectExtent l="0" t="0" r="0" b="0"/>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2026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230" w:right="519" w:bottom="1440" w:gutter="0" w:footer="0" w:header="0"/>
        </w:sectPr>
      </w:pPr>
    </w:p>
    <w:bookmarkStart w:id="97" w:name="page98"/>
    <w:bookmarkEnd w:id="97"/>
    <w:p>
      <w:pPr>
        <w:jc w:val="right"/>
        <w:spacing w:after="0"/>
        <w:rPr>
          <w:sz w:val="20"/>
          <w:szCs w:val="20"/>
          <w:color w:val="auto"/>
        </w:rPr>
      </w:pPr>
      <w:r>
        <w:rPr>
          <w:rFonts w:ascii="Arial" w:cs="Arial" w:eastAsia="Arial" w:hAnsi="Arial"/>
          <w:sz w:val="13"/>
          <w:szCs w:val="13"/>
          <w:b w:val="1"/>
          <w:bCs w:val="1"/>
          <w:color w:val="6D6E71"/>
        </w:rPr>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OTHER COMPENSATION TABLES</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GRANTS OF PLAN-BASED AWARDS — FISCAL YEAR 2025</w:t>
      </w:r>
    </w:p>
    <w:p>
      <w:pPr>
        <w:sectPr>
          <w:pgSz w:w="11900" w:h="16838" w:orient="portrait"/>
          <w:cols w:equalWidth="0" w:num="1">
            <w:col w:w="11240"/>
          </w:cols>
          <w:pgMar w:left="320" w:top="230"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122"/>
        </w:trPr>
        <w:tc>
          <w:tcPr>
            <w:tcW w:w="700" w:type="dxa"/>
            <w:vAlign w:val="bottom"/>
          </w:tcPr>
          <w:p>
            <w:pPr>
              <w:spacing w:after="0"/>
              <w:rPr>
                <w:sz w:val="20"/>
                <w:szCs w:val="20"/>
                <w:color w:val="auto"/>
              </w:rPr>
            </w:pPr>
            <w:r>
              <w:rPr>
                <w:rFonts w:ascii="Arial" w:cs="Arial" w:eastAsia="Arial" w:hAnsi="Arial"/>
                <w:sz w:val="10"/>
                <w:szCs w:val="10"/>
                <w:b w:val="1"/>
                <w:bCs w:val="1"/>
                <w:color w:val="auto"/>
              </w:rPr>
              <w:t>Named</w:t>
            </w:r>
          </w:p>
        </w:tc>
        <w:tc>
          <w:tcPr>
            <w:tcW w:w="56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Award</w:t>
            </w:r>
          </w:p>
        </w:tc>
        <w:tc>
          <w:tcPr>
            <w:tcW w:w="800" w:type="dxa"/>
            <w:vAlign w:val="bottom"/>
            <w:vMerge w:val="restart"/>
          </w:tcPr>
          <w:p>
            <w:pPr>
              <w:ind w:left="200"/>
              <w:spacing w:after="0"/>
              <w:rPr>
                <w:sz w:val="20"/>
                <w:szCs w:val="20"/>
                <w:color w:val="auto"/>
              </w:rPr>
            </w:pPr>
            <w:r>
              <w:rPr>
                <w:rFonts w:ascii="Arial" w:cs="Arial" w:eastAsia="Arial" w:hAnsi="Arial"/>
                <w:sz w:val="10"/>
                <w:szCs w:val="10"/>
                <w:b w:val="1"/>
                <w:bCs w:val="1"/>
                <w:color w:val="auto"/>
              </w:rPr>
              <w:t>Approval</w:t>
            </w:r>
          </w:p>
        </w:tc>
        <w:tc>
          <w:tcPr>
            <w:tcW w:w="460" w:type="dxa"/>
            <w:vAlign w:val="bottom"/>
            <w:vMerge w:val="restart"/>
          </w:tcPr>
          <w:p>
            <w:pPr>
              <w:ind w:left="180"/>
              <w:spacing w:after="0"/>
              <w:rPr>
                <w:sz w:val="20"/>
                <w:szCs w:val="20"/>
                <w:color w:val="auto"/>
              </w:rPr>
            </w:pPr>
            <w:r>
              <w:rPr>
                <w:rFonts w:ascii="Arial" w:cs="Arial" w:eastAsia="Arial" w:hAnsi="Arial"/>
                <w:sz w:val="10"/>
                <w:szCs w:val="10"/>
                <w:b w:val="1"/>
                <w:bCs w:val="1"/>
                <w:color w:val="auto"/>
                <w:w w:val="97"/>
              </w:rPr>
              <w:t>Grant</w:t>
            </w:r>
          </w:p>
        </w:tc>
        <w:tc>
          <w:tcPr>
            <w:tcW w:w="0" w:type="dxa"/>
            <w:vAlign w:val="bottom"/>
          </w:tcPr>
          <w:p>
            <w:pPr>
              <w:spacing w:after="0"/>
              <w:rPr>
                <w:sz w:val="1"/>
                <w:szCs w:val="1"/>
                <w:color w:val="auto"/>
              </w:rPr>
            </w:pPr>
          </w:p>
        </w:tc>
      </w:tr>
      <w:tr>
        <w:trPr>
          <w:trHeight w:val="103"/>
        </w:trPr>
        <w:tc>
          <w:tcPr>
            <w:tcW w:w="700" w:type="dxa"/>
            <w:vAlign w:val="bottom"/>
          </w:tcPr>
          <w:p>
            <w:pPr>
              <w:spacing w:after="0" w:line="103" w:lineRule="exact"/>
              <w:rPr>
                <w:sz w:val="20"/>
                <w:szCs w:val="20"/>
                <w:color w:val="auto"/>
              </w:rPr>
            </w:pPr>
            <w:r>
              <w:rPr>
                <w:rFonts w:ascii="Arial" w:cs="Arial" w:eastAsia="Arial" w:hAnsi="Arial"/>
                <w:sz w:val="10"/>
                <w:szCs w:val="10"/>
                <w:b w:val="1"/>
                <w:bCs w:val="1"/>
                <w:color w:val="auto"/>
              </w:rPr>
              <w:t>Executive</w:t>
            </w:r>
          </w:p>
        </w:tc>
        <w:tc>
          <w:tcPr>
            <w:tcW w:w="56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700" w:type="dxa"/>
            <w:vAlign w:val="bottom"/>
          </w:tcPr>
          <w:p>
            <w:pPr>
              <w:spacing w:after="0"/>
              <w:rPr>
                <w:sz w:val="20"/>
                <w:szCs w:val="20"/>
                <w:color w:val="auto"/>
              </w:rPr>
            </w:pPr>
            <w:r>
              <w:rPr>
                <w:rFonts w:ascii="Arial" w:cs="Arial" w:eastAsia="Arial" w:hAnsi="Arial"/>
                <w:sz w:val="10"/>
                <w:szCs w:val="10"/>
                <w:b w:val="1"/>
                <w:bCs w:val="1"/>
                <w:color w:val="auto"/>
              </w:rPr>
              <w:t>Officer (NEO)</w:t>
            </w:r>
          </w:p>
        </w:tc>
        <w:tc>
          <w:tcPr>
            <w:tcW w:w="560" w:type="dxa"/>
            <w:vAlign w:val="bottom"/>
          </w:tcPr>
          <w:p>
            <w:pPr>
              <w:ind w:left="40"/>
              <w:spacing w:after="0"/>
              <w:rPr>
                <w:sz w:val="20"/>
                <w:szCs w:val="20"/>
                <w:color w:val="auto"/>
              </w:rPr>
            </w:pPr>
            <w:r>
              <w:rPr>
                <w:rFonts w:ascii="Arial" w:cs="Arial" w:eastAsia="Arial" w:hAnsi="Arial"/>
                <w:sz w:val="10"/>
                <w:szCs w:val="10"/>
                <w:b w:val="1"/>
                <w:bCs w:val="1"/>
                <w:color w:val="auto"/>
              </w:rPr>
              <w:t>Type</w:t>
            </w:r>
            <w:r>
              <w:rPr>
                <w:rFonts w:ascii="Arial" w:cs="Arial" w:eastAsia="Arial" w:hAnsi="Arial"/>
                <w:sz w:val="12"/>
                <w:szCs w:val="12"/>
                <w:b w:val="1"/>
                <w:bCs w:val="1"/>
                <w:color w:val="auto"/>
                <w:vertAlign w:val="superscript"/>
              </w:rPr>
              <w:t>(1)</w:t>
            </w:r>
          </w:p>
        </w:tc>
        <w:tc>
          <w:tcPr>
            <w:tcW w:w="800" w:type="dxa"/>
            <w:vAlign w:val="bottom"/>
          </w:tcPr>
          <w:p>
            <w:pPr>
              <w:ind w:left="200"/>
              <w:spacing w:after="0"/>
              <w:rPr>
                <w:sz w:val="20"/>
                <w:szCs w:val="20"/>
                <w:color w:val="auto"/>
              </w:rPr>
            </w:pPr>
            <w:r>
              <w:rPr>
                <w:rFonts w:ascii="Arial" w:cs="Arial" w:eastAsia="Arial" w:hAnsi="Arial"/>
                <w:sz w:val="10"/>
                <w:szCs w:val="10"/>
                <w:b w:val="1"/>
                <w:bCs w:val="1"/>
                <w:color w:val="auto"/>
              </w:rPr>
              <w:t>Date</w:t>
            </w:r>
          </w:p>
        </w:tc>
        <w:tc>
          <w:tcPr>
            <w:tcW w:w="460" w:type="dxa"/>
            <w:vAlign w:val="bottom"/>
          </w:tcPr>
          <w:p>
            <w:pPr>
              <w:ind w:left="180"/>
              <w:spacing w:after="0"/>
              <w:rPr>
                <w:sz w:val="20"/>
                <w:szCs w:val="20"/>
                <w:color w:val="auto"/>
              </w:rPr>
            </w:pPr>
            <w:r>
              <w:rPr>
                <w:rFonts w:ascii="Arial" w:cs="Arial" w:eastAsia="Arial" w:hAnsi="Arial"/>
                <w:sz w:val="10"/>
                <w:szCs w:val="10"/>
                <w:b w:val="1"/>
                <w:bCs w:val="1"/>
                <w:color w:val="auto"/>
              </w:rPr>
              <w:t>Date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2"/>
        </w:trPr>
        <w:tc>
          <w:tcPr>
            <w:tcW w:w="8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jc w:val="right"/>
              <w:ind w:right="94"/>
              <w:spacing w:after="0"/>
              <w:rPr>
                <w:sz w:val="20"/>
                <w:szCs w:val="20"/>
                <w:color w:val="auto"/>
              </w:rPr>
            </w:pPr>
            <w:r>
              <w:rPr>
                <w:rFonts w:ascii="Arial" w:cs="Arial" w:eastAsia="Arial" w:hAnsi="Arial"/>
                <w:sz w:val="10"/>
                <w:szCs w:val="10"/>
                <w:b w:val="1"/>
                <w:bCs w:val="1"/>
                <w:color w:val="auto"/>
              </w:rPr>
              <w:t>All Other</w:t>
            </w:r>
          </w:p>
        </w:tc>
        <w:tc>
          <w:tcPr>
            <w:tcW w:w="800" w:type="dxa"/>
            <w:vAlign w:val="bottom"/>
          </w:tcPr>
          <w:p>
            <w:pPr>
              <w:jc w:val="right"/>
              <w:ind w:right="114"/>
              <w:spacing w:after="0"/>
              <w:rPr>
                <w:sz w:val="20"/>
                <w:szCs w:val="20"/>
                <w:color w:val="auto"/>
              </w:rPr>
            </w:pPr>
            <w:r>
              <w:rPr>
                <w:rFonts w:ascii="Arial" w:cs="Arial" w:eastAsia="Arial" w:hAnsi="Arial"/>
                <w:sz w:val="10"/>
                <w:szCs w:val="10"/>
                <w:b w:val="1"/>
                <w:bCs w:val="1"/>
                <w:color w:val="auto"/>
              </w:rPr>
              <w:t>All Other</w:t>
            </w:r>
          </w:p>
        </w:tc>
        <w:tc>
          <w:tcPr>
            <w:tcW w:w="70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b w:val="1"/>
                <w:bCs w:val="1"/>
                <w:color w:val="auto"/>
              </w:rPr>
              <w:t>Closing</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jc w:val="right"/>
              <w:ind w:right="94"/>
              <w:spacing w:after="0"/>
              <w:rPr>
                <w:sz w:val="20"/>
                <w:szCs w:val="20"/>
                <w:color w:val="auto"/>
              </w:rPr>
            </w:pPr>
            <w:r>
              <w:rPr>
                <w:rFonts w:ascii="Arial" w:cs="Arial" w:eastAsia="Arial" w:hAnsi="Arial"/>
                <w:sz w:val="10"/>
                <w:szCs w:val="10"/>
                <w:b w:val="1"/>
                <w:bCs w:val="1"/>
                <w:color w:val="auto"/>
              </w:rPr>
              <w:t>Stock</w:t>
            </w:r>
          </w:p>
        </w:tc>
        <w:tc>
          <w:tcPr>
            <w:tcW w:w="800" w:type="dxa"/>
            <w:vAlign w:val="bottom"/>
          </w:tcPr>
          <w:p>
            <w:pPr>
              <w:jc w:val="right"/>
              <w:ind w:right="114"/>
              <w:spacing w:after="0"/>
              <w:rPr>
                <w:sz w:val="20"/>
                <w:szCs w:val="20"/>
                <w:color w:val="auto"/>
              </w:rPr>
            </w:pPr>
            <w:r>
              <w:rPr>
                <w:rFonts w:ascii="Arial" w:cs="Arial" w:eastAsia="Arial" w:hAnsi="Arial"/>
                <w:sz w:val="10"/>
                <w:szCs w:val="10"/>
                <w:b w:val="1"/>
                <w:bCs w:val="1"/>
                <w:color w:val="auto"/>
              </w:rPr>
              <w:t>Option</w:t>
            </w:r>
          </w:p>
        </w:tc>
        <w:tc>
          <w:tcPr>
            <w:tcW w:w="700" w:type="dxa"/>
            <w:vAlign w:val="bottom"/>
          </w:tcPr>
          <w:p>
            <w:pPr>
              <w:jc w:val="right"/>
              <w:ind w:right="95"/>
              <w:spacing w:after="0"/>
              <w:rPr>
                <w:sz w:val="20"/>
                <w:szCs w:val="20"/>
                <w:color w:val="auto"/>
              </w:rPr>
            </w:pPr>
            <w:r>
              <w:rPr>
                <w:rFonts w:ascii="Arial" w:cs="Arial" w:eastAsia="Arial" w:hAnsi="Arial"/>
                <w:sz w:val="10"/>
                <w:szCs w:val="10"/>
                <w:b w:val="1"/>
                <w:bCs w:val="1"/>
                <w:color w:val="auto"/>
              </w:rPr>
              <w:t>Exercise</w:t>
            </w:r>
          </w:p>
        </w:tc>
        <w:tc>
          <w:tcPr>
            <w:tcW w:w="600" w:type="dxa"/>
            <w:vAlign w:val="bottom"/>
          </w:tcPr>
          <w:p>
            <w:pPr>
              <w:jc w:val="right"/>
              <w:spacing w:after="0"/>
              <w:rPr>
                <w:sz w:val="20"/>
                <w:szCs w:val="20"/>
                <w:color w:val="auto"/>
              </w:rPr>
            </w:pPr>
            <w:r>
              <w:rPr>
                <w:rFonts w:ascii="Arial" w:cs="Arial" w:eastAsia="Arial" w:hAnsi="Arial"/>
                <w:sz w:val="10"/>
                <w:szCs w:val="10"/>
                <w:b w:val="1"/>
                <w:bCs w:val="1"/>
                <w:color w:val="auto"/>
              </w:rPr>
              <w:t>Price on</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00" w:type="dxa"/>
            <w:vAlign w:val="bottom"/>
            <w:gridSpan w:val="2"/>
            <w:vMerge w:val="restart"/>
          </w:tcPr>
          <w:p>
            <w:pPr>
              <w:jc w:val="center"/>
              <w:ind w:left="431"/>
              <w:spacing w:after="0"/>
              <w:rPr>
                <w:sz w:val="20"/>
                <w:szCs w:val="20"/>
                <w:color w:val="auto"/>
              </w:rPr>
            </w:pPr>
            <w:r>
              <w:rPr>
                <w:rFonts w:ascii="Arial" w:cs="Arial" w:eastAsia="Arial" w:hAnsi="Arial"/>
                <w:sz w:val="10"/>
                <w:szCs w:val="10"/>
                <w:b w:val="1"/>
                <w:bCs w:val="1"/>
                <w:color w:val="auto"/>
                <w:w w:val="98"/>
              </w:rPr>
              <w:t>Estimated Future Payouts</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80" w:type="dxa"/>
            <w:vAlign w:val="bottom"/>
            <w:gridSpan w:val="3"/>
            <w:vMerge w:val="restart"/>
          </w:tcPr>
          <w:p>
            <w:pPr>
              <w:jc w:val="center"/>
              <w:spacing w:after="0"/>
              <w:rPr>
                <w:sz w:val="20"/>
                <w:szCs w:val="20"/>
                <w:color w:val="auto"/>
              </w:rPr>
            </w:pPr>
            <w:r>
              <w:rPr>
                <w:rFonts w:ascii="Arial" w:cs="Arial" w:eastAsia="Arial" w:hAnsi="Arial"/>
                <w:sz w:val="10"/>
                <w:szCs w:val="10"/>
                <w:b w:val="1"/>
                <w:bCs w:val="1"/>
                <w:color w:val="auto"/>
                <w:w w:val="98"/>
              </w:rPr>
              <w:t>Estimated Future Payouts</w:t>
            </w:r>
          </w:p>
        </w:tc>
        <w:tc>
          <w:tcPr>
            <w:tcW w:w="840" w:type="dxa"/>
            <w:vAlign w:val="bottom"/>
          </w:tcPr>
          <w:p>
            <w:pPr>
              <w:jc w:val="right"/>
              <w:ind w:right="94"/>
              <w:spacing w:after="0"/>
              <w:rPr>
                <w:sz w:val="20"/>
                <w:szCs w:val="20"/>
                <w:color w:val="auto"/>
              </w:rPr>
            </w:pPr>
            <w:r>
              <w:rPr>
                <w:rFonts w:ascii="Arial" w:cs="Arial" w:eastAsia="Arial" w:hAnsi="Arial"/>
                <w:sz w:val="10"/>
                <w:szCs w:val="10"/>
                <w:b w:val="1"/>
                <w:bCs w:val="1"/>
                <w:color w:val="auto"/>
              </w:rPr>
              <w:t>Awards:</w:t>
            </w:r>
          </w:p>
        </w:tc>
        <w:tc>
          <w:tcPr>
            <w:tcW w:w="800" w:type="dxa"/>
            <w:vAlign w:val="bottom"/>
          </w:tcPr>
          <w:p>
            <w:pPr>
              <w:jc w:val="right"/>
              <w:ind w:right="114"/>
              <w:spacing w:after="0"/>
              <w:rPr>
                <w:sz w:val="20"/>
                <w:szCs w:val="20"/>
                <w:color w:val="auto"/>
              </w:rPr>
            </w:pPr>
            <w:r>
              <w:rPr>
                <w:rFonts w:ascii="Arial" w:cs="Arial" w:eastAsia="Arial" w:hAnsi="Arial"/>
                <w:sz w:val="10"/>
                <w:szCs w:val="10"/>
                <w:b w:val="1"/>
                <w:bCs w:val="1"/>
                <w:color w:val="auto"/>
              </w:rPr>
              <w:t>Awards:</w:t>
            </w:r>
          </w:p>
        </w:tc>
        <w:tc>
          <w:tcPr>
            <w:tcW w:w="700" w:type="dxa"/>
            <w:vAlign w:val="bottom"/>
          </w:tcPr>
          <w:p>
            <w:pPr>
              <w:jc w:val="right"/>
              <w:ind w:right="95"/>
              <w:spacing w:after="0"/>
              <w:rPr>
                <w:sz w:val="20"/>
                <w:szCs w:val="20"/>
                <w:color w:val="auto"/>
              </w:rPr>
            </w:pPr>
            <w:r>
              <w:rPr>
                <w:rFonts w:ascii="Arial" w:cs="Arial" w:eastAsia="Arial" w:hAnsi="Arial"/>
                <w:sz w:val="10"/>
                <w:szCs w:val="10"/>
                <w:b w:val="1"/>
                <w:bCs w:val="1"/>
                <w:color w:val="auto"/>
              </w:rPr>
              <w:t>or Base</w:t>
            </w:r>
          </w:p>
        </w:tc>
        <w:tc>
          <w:tcPr>
            <w:tcW w:w="600" w:type="dxa"/>
            <w:vAlign w:val="bottom"/>
          </w:tcPr>
          <w:p>
            <w:pPr>
              <w:jc w:val="right"/>
              <w:spacing w:after="0"/>
              <w:rPr>
                <w:sz w:val="20"/>
                <w:szCs w:val="20"/>
                <w:color w:val="auto"/>
              </w:rPr>
            </w:pPr>
            <w:r>
              <w:rPr>
                <w:rFonts w:ascii="Arial" w:cs="Arial" w:eastAsia="Arial" w:hAnsi="Arial"/>
                <w:sz w:val="10"/>
                <w:szCs w:val="10"/>
                <w:b w:val="1"/>
                <w:bCs w:val="1"/>
                <w:color w:val="auto"/>
              </w:rPr>
              <w:t>Date of</w:t>
            </w:r>
          </w:p>
        </w:tc>
        <w:tc>
          <w:tcPr>
            <w:tcW w:w="740" w:type="dxa"/>
            <w:vAlign w:val="bottom"/>
          </w:tcPr>
          <w:p>
            <w:pPr>
              <w:jc w:val="right"/>
              <w:spacing w:after="0"/>
              <w:rPr>
                <w:sz w:val="20"/>
                <w:szCs w:val="20"/>
                <w:color w:val="auto"/>
              </w:rPr>
            </w:pPr>
            <w:r>
              <w:rPr>
                <w:rFonts w:ascii="Arial" w:cs="Arial" w:eastAsia="Arial" w:hAnsi="Arial"/>
                <w:sz w:val="10"/>
                <w:szCs w:val="10"/>
                <w:b w:val="1"/>
                <w:bCs w:val="1"/>
                <w:color w:val="auto"/>
                <w:w w:val="99"/>
              </w:rPr>
              <w:t>Grant Date Fair</w:t>
            </w:r>
          </w:p>
        </w:tc>
        <w:tc>
          <w:tcPr>
            <w:tcW w:w="0" w:type="dxa"/>
            <w:vAlign w:val="bottom"/>
          </w:tcPr>
          <w:p>
            <w:pPr>
              <w:spacing w:after="0"/>
              <w:rPr>
                <w:sz w:val="1"/>
                <w:szCs w:val="1"/>
                <w:color w:val="auto"/>
              </w:rPr>
            </w:pPr>
          </w:p>
        </w:tc>
      </w:tr>
      <w:tr>
        <w:trPr>
          <w:trHeight w:val="54"/>
        </w:trPr>
        <w:tc>
          <w:tcPr>
            <w:tcW w:w="190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80" w:type="dxa"/>
            <w:vAlign w:val="bottom"/>
            <w:gridSpan w:val="3"/>
            <w:vMerge w:val="continue"/>
          </w:tcPr>
          <w:p>
            <w:pPr>
              <w:spacing w:after="0"/>
              <w:rPr>
                <w:sz w:val="4"/>
                <w:szCs w:val="4"/>
                <w:color w:val="auto"/>
              </w:rPr>
            </w:pPr>
          </w:p>
        </w:tc>
        <w:tc>
          <w:tcPr>
            <w:tcW w:w="840" w:type="dxa"/>
            <w:vAlign w:val="bottom"/>
            <w:vMerge w:val="restart"/>
          </w:tcPr>
          <w:p>
            <w:pPr>
              <w:jc w:val="right"/>
              <w:ind w:right="94"/>
              <w:spacing w:after="0" w:line="108" w:lineRule="exact"/>
              <w:rPr>
                <w:sz w:val="20"/>
                <w:szCs w:val="20"/>
                <w:color w:val="auto"/>
              </w:rPr>
            </w:pPr>
            <w:r>
              <w:rPr>
                <w:rFonts w:ascii="Arial" w:cs="Arial" w:eastAsia="Arial" w:hAnsi="Arial"/>
                <w:sz w:val="10"/>
                <w:szCs w:val="10"/>
                <w:b w:val="1"/>
                <w:bCs w:val="1"/>
                <w:color w:val="auto"/>
              </w:rPr>
              <w:t>Number</w:t>
            </w:r>
          </w:p>
        </w:tc>
        <w:tc>
          <w:tcPr>
            <w:tcW w:w="800" w:type="dxa"/>
            <w:vAlign w:val="bottom"/>
            <w:vMerge w:val="restart"/>
          </w:tcPr>
          <w:p>
            <w:pPr>
              <w:jc w:val="right"/>
              <w:ind w:right="114"/>
              <w:spacing w:after="0" w:line="108" w:lineRule="exact"/>
              <w:rPr>
                <w:sz w:val="20"/>
                <w:szCs w:val="20"/>
                <w:color w:val="auto"/>
              </w:rPr>
            </w:pPr>
            <w:r>
              <w:rPr>
                <w:rFonts w:ascii="Arial" w:cs="Arial" w:eastAsia="Arial" w:hAnsi="Arial"/>
                <w:sz w:val="10"/>
                <w:szCs w:val="10"/>
                <w:b w:val="1"/>
                <w:bCs w:val="1"/>
                <w:color w:val="auto"/>
              </w:rPr>
              <w:t>Number of</w:t>
            </w:r>
          </w:p>
        </w:tc>
        <w:tc>
          <w:tcPr>
            <w:tcW w:w="700" w:type="dxa"/>
            <w:vAlign w:val="bottom"/>
            <w:vMerge w:val="restart"/>
          </w:tcPr>
          <w:p>
            <w:pPr>
              <w:jc w:val="right"/>
              <w:ind w:right="95"/>
              <w:spacing w:after="0" w:line="108" w:lineRule="exact"/>
              <w:rPr>
                <w:sz w:val="20"/>
                <w:szCs w:val="20"/>
                <w:color w:val="auto"/>
              </w:rPr>
            </w:pPr>
            <w:r>
              <w:rPr>
                <w:rFonts w:ascii="Arial" w:cs="Arial" w:eastAsia="Arial" w:hAnsi="Arial"/>
                <w:sz w:val="10"/>
                <w:szCs w:val="10"/>
                <w:b w:val="1"/>
                <w:bCs w:val="1"/>
                <w:color w:val="auto"/>
              </w:rPr>
              <w:t>Price of</w:t>
            </w:r>
          </w:p>
        </w:tc>
        <w:tc>
          <w:tcPr>
            <w:tcW w:w="600" w:type="dxa"/>
            <w:vAlign w:val="bottom"/>
            <w:vMerge w:val="restart"/>
          </w:tcPr>
          <w:p>
            <w:pPr>
              <w:jc w:val="right"/>
              <w:spacing w:after="0" w:line="108" w:lineRule="exact"/>
              <w:rPr>
                <w:sz w:val="20"/>
                <w:szCs w:val="20"/>
                <w:color w:val="auto"/>
              </w:rPr>
            </w:pPr>
            <w:r>
              <w:rPr>
                <w:rFonts w:ascii="Arial" w:cs="Arial" w:eastAsia="Arial" w:hAnsi="Arial"/>
                <w:sz w:val="10"/>
                <w:szCs w:val="10"/>
                <w:b w:val="1"/>
                <w:bCs w:val="1"/>
                <w:color w:val="auto"/>
              </w:rPr>
              <w:t>Grant of</w:t>
            </w:r>
          </w:p>
        </w:tc>
        <w:tc>
          <w:tcPr>
            <w:tcW w:w="740" w:type="dxa"/>
            <w:vAlign w:val="bottom"/>
            <w:vMerge w:val="restart"/>
          </w:tcPr>
          <w:p>
            <w:pPr>
              <w:jc w:val="right"/>
              <w:spacing w:after="0" w:line="108" w:lineRule="exact"/>
              <w:rPr>
                <w:sz w:val="20"/>
                <w:szCs w:val="20"/>
                <w:color w:val="auto"/>
              </w:rPr>
            </w:pPr>
            <w:r>
              <w:rPr>
                <w:rFonts w:ascii="Arial" w:cs="Arial" w:eastAsia="Arial" w:hAnsi="Arial"/>
                <w:sz w:val="10"/>
                <w:szCs w:val="10"/>
                <w:b w:val="1"/>
                <w:bCs w:val="1"/>
                <w:color w:val="auto"/>
              </w:rPr>
              <w:t>Value of</w:t>
            </w:r>
          </w:p>
        </w:tc>
        <w:tc>
          <w:tcPr>
            <w:tcW w:w="0" w:type="dxa"/>
            <w:vAlign w:val="bottom"/>
          </w:tcPr>
          <w:p>
            <w:pPr>
              <w:spacing w:after="0"/>
              <w:rPr>
                <w:sz w:val="1"/>
                <w:szCs w:val="1"/>
                <w:color w:val="auto"/>
              </w:rPr>
            </w:pPr>
          </w:p>
        </w:tc>
      </w:tr>
      <w:tr>
        <w:trPr>
          <w:trHeight w:val="54"/>
        </w:trPr>
        <w:tc>
          <w:tcPr>
            <w:tcW w:w="1900" w:type="dxa"/>
            <w:vAlign w:val="bottom"/>
            <w:gridSpan w:val="2"/>
            <w:vMerge w:val="restart"/>
          </w:tcPr>
          <w:p>
            <w:pPr>
              <w:jc w:val="center"/>
              <w:ind w:left="451"/>
              <w:spacing w:after="0"/>
              <w:rPr>
                <w:sz w:val="20"/>
                <w:szCs w:val="20"/>
                <w:color w:val="auto"/>
              </w:rPr>
            </w:pPr>
            <w:r>
              <w:rPr>
                <w:rFonts w:ascii="Arial" w:cs="Arial" w:eastAsia="Arial" w:hAnsi="Arial"/>
                <w:sz w:val="10"/>
                <w:szCs w:val="10"/>
                <w:b w:val="1"/>
                <w:bCs w:val="1"/>
                <w:color w:val="auto"/>
                <w:w w:val="97"/>
              </w:rPr>
              <w:t>Under Non-Equity Incentive</w:t>
            </w: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80" w:type="dxa"/>
            <w:vAlign w:val="bottom"/>
            <w:gridSpan w:val="3"/>
            <w:vMerge w:val="restart"/>
          </w:tcPr>
          <w:p>
            <w:pPr>
              <w:jc w:val="center"/>
              <w:spacing w:after="0"/>
              <w:rPr>
                <w:sz w:val="20"/>
                <w:szCs w:val="20"/>
                <w:color w:val="auto"/>
              </w:rPr>
            </w:pPr>
            <w:r>
              <w:rPr>
                <w:rFonts w:ascii="Arial" w:cs="Arial" w:eastAsia="Arial" w:hAnsi="Arial"/>
                <w:sz w:val="10"/>
                <w:szCs w:val="10"/>
                <w:b w:val="1"/>
                <w:bCs w:val="1"/>
                <w:color w:val="auto"/>
                <w:w w:val="99"/>
              </w:rPr>
              <w:t>Under Equity Incentive</w:t>
            </w:r>
          </w:p>
        </w:tc>
        <w:tc>
          <w:tcPr>
            <w:tcW w:w="84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190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80" w:type="dxa"/>
            <w:vAlign w:val="bottom"/>
            <w:gridSpan w:val="3"/>
            <w:vMerge w:val="continue"/>
          </w:tcPr>
          <w:p>
            <w:pPr>
              <w:spacing w:after="0"/>
              <w:rPr>
                <w:sz w:val="5"/>
                <w:szCs w:val="5"/>
                <w:color w:val="auto"/>
              </w:rPr>
            </w:pPr>
          </w:p>
        </w:tc>
        <w:tc>
          <w:tcPr>
            <w:tcW w:w="840" w:type="dxa"/>
            <w:vAlign w:val="bottom"/>
            <w:vMerge w:val="restart"/>
          </w:tcPr>
          <w:p>
            <w:pPr>
              <w:jc w:val="right"/>
              <w:ind w:right="94"/>
              <w:spacing w:after="0"/>
              <w:rPr>
                <w:sz w:val="20"/>
                <w:szCs w:val="20"/>
                <w:color w:val="auto"/>
              </w:rPr>
            </w:pPr>
            <w:r>
              <w:rPr>
                <w:rFonts w:ascii="Arial" w:cs="Arial" w:eastAsia="Arial" w:hAnsi="Arial"/>
                <w:sz w:val="10"/>
                <w:szCs w:val="10"/>
                <w:b w:val="1"/>
                <w:bCs w:val="1"/>
                <w:color w:val="auto"/>
              </w:rPr>
              <w:t>of Shares</w:t>
            </w:r>
          </w:p>
        </w:tc>
        <w:tc>
          <w:tcPr>
            <w:tcW w:w="800" w:type="dxa"/>
            <w:vAlign w:val="bottom"/>
            <w:vMerge w:val="restart"/>
          </w:tcPr>
          <w:p>
            <w:pPr>
              <w:jc w:val="right"/>
              <w:ind w:right="114"/>
              <w:spacing w:after="0"/>
              <w:rPr>
                <w:sz w:val="20"/>
                <w:szCs w:val="20"/>
                <w:color w:val="auto"/>
              </w:rPr>
            </w:pPr>
            <w:r>
              <w:rPr>
                <w:rFonts w:ascii="Arial" w:cs="Arial" w:eastAsia="Arial" w:hAnsi="Arial"/>
                <w:sz w:val="10"/>
                <w:szCs w:val="10"/>
                <w:b w:val="1"/>
                <w:bCs w:val="1"/>
                <w:color w:val="auto"/>
              </w:rPr>
              <w:t>Securities</w:t>
            </w:r>
          </w:p>
        </w:tc>
        <w:tc>
          <w:tcPr>
            <w:tcW w:w="700" w:type="dxa"/>
            <w:vAlign w:val="bottom"/>
            <w:vMerge w:val="restart"/>
          </w:tcPr>
          <w:p>
            <w:pPr>
              <w:jc w:val="right"/>
              <w:ind w:right="95"/>
              <w:spacing w:after="0"/>
              <w:rPr>
                <w:sz w:val="20"/>
                <w:szCs w:val="20"/>
                <w:color w:val="auto"/>
              </w:rPr>
            </w:pPr>
            <w:r>
              <w:rPr>
                <w:rFonts w:ascii="Arial" w:cs="Arial" w:eastAsia="Arial" w:hAnsi="Arial"/>
                <w:sz w:val="10"/>
                <w:szCs w:val="10"/>
                <w:b w:val="1"/>
                <w:bCs w:val="1"/>
                <w:color w:val="auto"/>
              </w:rPr>
              <w:t>Option</w:t>
            </w:r>
          </w:p>
        </w:tc>
        <w:tc>
          <w:tcPr>
            <w:tcW w:w="6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Option</w:t>
            </w:r>
          </w:p>
        </w:tc>
        <w:tc>
          <w:tcPr>
            <w:tcW w:w="7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Stock and</w:t>
            </w:r>
          </w:p>
        </w:tc>
        <w:tc>
          <w:tcPr>
            <w:tcW w:w="0" w:type="dxa"/>
            <w:vAlign w:val="bottom"/>
          </w:tcPr>
          <w:p>
            <w:pPr>
              <w:spacing w:after="0"/>
              <w:rPr>
                <w:sz w:val="1"/>
                <w:szCs w:val="1"/>
                <w:color w:val="auto"/>
              </w:rPr>
            </w:pPr>
          </w:p>
        </w:tc>
      </w:tr>
      <w:tr>
        <w:trPr>
          <w:trHeight w:val="105"/>
        </w:trPr>
        <w:tc>
          <w:tcPr>
            <w:tcW w:w="860" w:type="dxa"/>
            <w:vAlign w:val="bottom"/>
          </w:tcPr>
          <w:p>
            <w:pPr>
              <w:spacing w:after="0"/>
              <w:rPr>
                <w:sz w:val="9"/>
                <w:szCs w:val="9"/>
                <w:color w:val="auto"/>
              </w:rPr>
            </w:pPr>
          </w:p>
        </w:tc>
        <w:tc>
          <w:tcPr>
            <w:tcW w:w="1040" w:type="dxa"/>
            <w:vAlign w:val="bottom"/>
          </w:tcPr>
          <w:p>
            <w:pPr>
              <w:jc w:val="center"/>
              <w:ind w:right="311"/>
              <w:spacing w:after="0" w:line="105" w:lineRule="exact"/>
              <w:rPr>
                <w:sz w:val="20"/>
                <w:szCs w:val="20"/>
                <w:color w:val="auto"/>
              </w:rPr>
            </w:pPr>
            <w:r>
              <w:rPr>
                <w:rFonts w:ascii="Arial" w:cs="Arial" w:eastAsia="Arial" w:hAnsi="Arial"/>
                <w:sz w:val="10"/>
                <w:szCs w:val="10"/>
                <w:b w:val="1"/>
                <w:bCs w:val="1"/>
                <w:color w:val="auto"/>
                <w:w w:val="99"/>
              </w:rPr>
              <w:t>Plan Awards</w:t>
            </w: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2"/>
          </w:tcPr>
          <w:p>
            <w:pPr>
              <w:jc w:val="center"/>
              <w:ind w:left="531"/>
              <w:spacing w:after="0" w:line="105" w:lineRule="exact"/>
              <w:rPr>
                <w:sz w:val="20"/>
                <w:szCs w:val="20"/>
                <w:color w:val="auto"/>
              </w:rPr>
            </w:pPr>
            <w:r>
              <w:rPr>
                <w:rFonts w:ascii="Arial" w:cs="Arial" w:eastAsia="Arial" w:hAnsi="Arial"/>
                <w:sz w:val="10"/>
                <w:szCs w:val="10"/>
                <w:b w:val="1"/>
                <w:bCs w:val="1"/>
                <w:color w:val="auto"/>
                <w:w w:val="97"/>
              </w:rPr>
              <w:t>Plan Awards</w:t>
            </w:r>
            <w:r>
              <w:rPr>
                <w:rFonts w:ascii="Arial" w:cs="Arial" w:eastAsia="Arial" w:hAnsi="Arial"/>
                <w:sz w:val="12"/>
                <w:szCs w:val="12"/>
                <w:b w:val="1"/>
                <w:bCs w:val="1"/>
                <w:color w:val="auto"/>
                <w:w w:val="97"/>
                <w:vertAlign w:val="superscript"/>
              </w:rPr>
              <w:t>(3)</w:t>
            </w:r>
          </w:p>
        </w:tc>
        <w:tc>
          <w:tcPr>
            <w:tcW w:w="56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860" w:type="dxa"/>
            <w:vAlign w:val="bottom"/>
            <w:tcBorders>
              <w:bottom w:val="single" w:sz="8" w:color="D7282F"/>
            </w:tcBorders>
          </w:tcPr>
          <w:p>
            <w:pPr>
              <w:spacing w:after="0"/>
              <w:rPr>
                <w:sz w:val="4"/>
                <w:szCs w:val="4"/>
                <w:color w:val="auto"/>
              </w:rPr>
            </w:pPr>
          </w:p>
        </w:tc>
        <w:tc>
          <w:tcPr>
            <w:tcW w:w="1040" w:type="dxa"/>
            <w:vAlign w:val="bottom"/>
            <w:tcBorders>
              <w:bottom w:val="single" w:sz="8" w:color="D7282F"/>
            </w:tcBorders>
          </w:tcPr>
          <w:p>
            <w:pPr>
              <w:spacing w:after="0"/>
              <w:rPr>
                <w:sz w:val="4"/>
                <w:szCs w:val="4"/>
                <w:color w:val="auto"/>
              </w:rPr>
            </w:pPr>
          </w:p>
        </w:tc>
        <w:tc>
          <w:tcPr>
            <w:tcW w:w="500" w:type="dxa"/>
            <w:vAlign w:val="bottom"/>
            <w:tcBorders>
              <w:bottom w:val="single" w:sz="8" w:color="D7282F"/>
            </w:tcBorders>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Borders>
              <w:bottom w:val="single" w:sz="8" w:color="D7282F"/>
            </w:tcBorders>
          </w:tcPr>
          <w:p>
            <w:pPr>
              <w:spacing w:after="0"/>
              <w:rPr>
                <w:sz w:val="4"/>
                <w:szCs w:val="4"/>
                <w:color w:val="auto"/>
              </w:rPr>
            </w:pPr>
          </w:p>
        </w:tc>
        <w:tc>
          <w:tcPr>
            <w:tcW w:w="600" w:type="dxa"/>
            <w:vAlign w:val="bottom"/>
            <w:tcBorders>
              <w:bottom w:val="single" w:sz="8" w:color="D7282F"/>
            </w:tcBorders>
          </w:tcPr>
          <w:p>
            <w:pPr>
              <w:spacing w:after="0"/>
              <w:rPr>
                <w:sz w:val="4"/>
                <w:szCs w:val="4"/>
                <w:color w:val="auto"/>
              </w:rPr>
            </w:pPr>
          </w:p>
        </w:tc>
        <w:tc>
          <w:tcPr>
            <w:tcW w:w="560" w:type="dxa"/>
            <w:vAlign w:val="bottom"/>
            <w:tcBorders>
              <w:bottom w:val="single" w:sz="8" w:color="D7282F"/>
            </w:tcBorders>
          </w:tcPr>
          <w:p>
            <w:pPr>
              <w:spacing w:after="0"/>
              <w:rPr>
                <w:sz w:val="4"/>
                <w:szCs w:val="4"/>
                <w:color w:val="auto"/>
              </w:rPr>
            </w:pPr>
          </w:p>
        </w:tc>
        <w:tc>
          <w:tcPr>
            <w:tcW w:w="840" w:type="dxa"/>
            <w:vAlign w:val="bottom"/>
          </w:tcPr>
          <w:p>
            <w:pPr>
              <w:jc w:val="right"/>
              <w:ind w:right="94"/>
              <w:spacing w:after="0" w:line="48" w:lineRule="exact"/>
              <w:rPr>
                <w:sz w:val="20"/>
                <w:szCs w:val="20"/>
                <w:color w:val="auto"/>
              </w:rPr>
            </w:pPr>
            <w:r>
              <w:rPr>
                <w:rFonts w:ascii="Arial" w:cs="Arial" w:eastAsia="Arial" w:hAnsi="Arial"/>
                <w:sz w:val="5"/>
                <w:szCs w:val="5"/>
                <w:b w:val="1"/>
                <w:bCs w:val="1"/>
                <w:color w:val="auto"/>
              </w:rPr>
              <w:t>of Stock</w:t>
            </w:r>
          </w:p>
        </w:tc>
        <w:tc>
          <w:tcPr>
            <w:tcW w:w="800" w:type="dxa"/>
            <w:vAlign w:val="bottom"/>
          </w:tcPr>
          <w:p>
            <w:pPr>
              <w:jc w:val="right"/>
              <w:ind w:right="114"/>
              <w:spacing w:after="0" w:line="48" w:lineRule="exact"/>
              <w:rPr>
                <w:sz w:val="20"/>
                <w:szCs w:val="20"/>
                <w:color w:val="auto"/>
              </w:rPr>
            </w:pPr>
            <w:r>
              <w:rPr>
                <w:rFonts w:ascii="Arial" w:cs="Arial" w:eastAsia="Arial" w:hAnsi="Arial"/>
                <w:sz w:val="5"/>
                <w:szCs w:val="5"/>
                <w:b w:val="1"/>
                <w:bCs w:val="1"/>
                <w:color w:val="auto"/>
              </w:rPr>
              <w:t>Underlying</w:t>
            </w:r>
          </w:p>
        </w:tc>
        <w:tc>
          <w:tcPr>
            <w:tcW w:w="700" w:type="dxa"/>
            <w:vAlign w:val="bottom"/>
          </w:tcPr>
          <w:p>
            <w:pPr>
              <w:jc w:val="right"/>
              <w:ind w:right="95"/>
              <w:spacing w:after="0" w:line="48" w:lineRule="exact"/>
              <w:rPr>
                <w:sz w:val="20"/>
                <w:szCs w:val="20"/>
                <w:color w:val="auto"/>
              </w:rPr>
            </w:pPr>
            <w:r>
              <w:rPr>
                <w:rFonts w:ascii="Arial" w:cs="Arial" w:eastAsia="Arial" w:hAnsi="Arial"/>
                <w:sz w:val="5"/>
                <w:szCs w:val="5"/>
                <w:b w:val="1"/>
                <w:bCs w:val="1"/>
                <w:color w:val="auto"/>
              </w:rPr>
              <w:t>Awards</w:t>
            </w:r>
          </w:p>
        </w:tc>
        <w:tc>
          <w:tcPr>
            <w:tcW w:w="600" w:type="dxa"/>
            <w:vAlign w:val="bottom"/>
          </w:tcPr>
          <w:p>
            <w:pPr>
              <w:jc w:val="right"/>
              <w:spacing w:after="0" w:line="48" w:lineRule="exact"/>
              <w:rPr>
                <w:sz w:val="20"/>
                <w:szCs w:val="20"/>
                <w:color w:val="auto"/>
              </w:rPr>
            </w:pPr>
            <w:r>
              <w:rPr>
                <w:rFonts w:ascii="Arial" w:cs="Arial" w:eastAsia="Arial" w:hAnsi="Arial"/>
                <w:sz w:val="5"/>
                <w:szCs w:val="5"/>
                <w:b w:val="1"/>
                <w:bCs w:val="1"/>
                <w:color w:val="auto"/>
              </w:rPr>
              <w:t>Awards</w:t>
            </w:r>
          </w:p>
        </w:tc>
        <w:tc>
          <w:tcPr>
            <w:tcW w:w="740" w:type="dxa"/>
            <w:vAlign w:val="bottom"/>
          </w:tcPr>
          <w:p>
            <w:pPr>
              <w:jc w:val="right"/>
              <w:spacing w:after="0" w:line="48" w:lineRule="exact"/>
              <w:rPr>
                <w:sz w:val="20"/>
                <w:szCs w:val="20"/>
                <w:color w:val="auto"/>
              </w:rPr>
            </w:pPr>
            <w:r>
              <w:rPr>
                <w:rFonts w:ascii="Arial" w:cs="Arial" w:eastAsia="Arial" w:hAnsi="Arial"/>
                <w:sz w:val="5"/>
                <w:szCs w:val="5"/>
                <w:b w:val="1"/>
                <w:bCs w:val="1"/>
                <w:color w:val="auto"/>
              </w:rPr>
              <w:t>Option</w:t>
            </w:r>
          </w:p>
        </w:tc>
        <w:tc>
          <w:tcPr>
            <w:tcW w:w="0" w:type="dxa"/>
            <w:vAlign w:val="bottom"/>
          </w:tcPr>
          <w:p>
            <w:pPr>
              <w:spacing w:after="0"/>
              <w:rPr>
                <w:sz w:val="1"/>
                <w:szCs w:val="1"/>
                <w:color w:val="auto"/>
              </w:rPr>
            </w:pPr>
          </w:p>
        </w:tc>
      </w:tr>
      <w:tr>
        <w:trPr>
          <w:trHeight w:val="172"/>
        </w:trPr>
        <w:tc>
          <w:tcPr>
            <w:tcW w:w="860" w:type="dxa"/>
            <w:vAlign w:val="bottom"/>
          </w:tcPr>
          <w:p>
            <w:pPr>
              <w:ind w:left="260"/>
              <w:spacing w:after="0"/>
              <w:rPr>
                <w:sz w:val="20"/>
                <w:szCs w:val="20"/>
                <w:color w:val="auto"/>
              </w:rPr>
            </w:pPr>
            <w:r>
              <w:rPr>
                <w:rFonts w:ascii="Arial" w:cs="Arial" w:eastAsia="Arial" w:hAnsi="Arial"/>
                <w:sz w:val="10"/>
                <w:szCs w:val="10"/>
                <w:b w:val="1"/>
                <w:bCs w:val="1"/>
                <w:color w:val="auto"/>
              </w:rPr>
              <w:t>Threshold</w:t>
            </w:r>
            <w:r>
              <w:rPr>
                <w:rFonts w:ascii="Arial" w:cs="Arial" w:eastAsia="Arial" w:hAnsi="Arial"/>
                <w:sz w:val="6"/>
                <w:szCs w:val="6"/>
                <w:b w:val="1"/>
                <w:bCs w:val="1"/>
                <w:color w:val="auto"/>
              </w:rPr>
              <w:t>(2)</w:t>
            </w:r>
          </w:p>
        </w:tc>
        <w:tc>
          <w:tcPr>
            <w:tcW w:w="1040" w:type="dxa"/>
            <w:vAlign w:val="bottom"/>
          </w:tcPr>
          <w:p>
            <w:pPr>
              <w:ind w:left="460"/>
              <w:spacing w:after="0"/>
              <w:rPr>
                <w:sz w:val="20"/>
                <w:szCs w:val="20"/>
                <w:color w:val="auto"/>
              </w:rPr>
            </w:pPr>
            <w:r>
              <w:rPr>
                <w:rFonts w:ascii="Arial" w:cs="Arial" w:eastAsia="Arial" w:hAnsi="Arial"/>
                <w:sz w:val="10"/>
                <w:szCs w:val="10"/>
                <w:b w:val="1"/>
                <w:bCs w:val="1"/>
                <w:color w:val="auto"/>
              </w:rPr>
              <w:t>Target</w:t>
            </w:r>
          </w:p>
        </w:tc>
        <w:tc>
          <w:tcPr>
            <w:tcW w:w="600" w:type="dxa"/>
            <w:vAlign w:val="bottom"/>
            <w:gridSpan w:val="2"/>
          </w:tcPr>
          <w:p>
            <w:pPr>
              <w:ind w:left="40"/>
              <w:spacing w:after="0"/>
              <w:rPr>
                <w:sz w:val="20"/>
                <w:szCs w:val="20"/>
                <w:color w:val="auto"/>
              </w:rPr>
            </w:pPr>
            <w:r>
              <w:rPr>
                <w:rFonts w:ascii="Arial" w:cs="Arial" w:eastAsia="Arial" w:hAnsi="Arial"/>
                <w:sz w:val="10"/>
                <w:szCs w:val="10"/>
                <w:b w:val="1"/>
                <w:bCs w:val="1"/>
                <w:color w:val="auto"/>
              </w:rPr>
              <w:t>Maximum</w:t>
            </w:r>
          </w:p>
        </w:tc>
        <w:tc>
          <w:tcPr>
            <w:tcW w:w="820" w:type="dxa"/>
            <w:vAlign w:val="bottom"/>
          </w:tcPr>
          <w:p>
            <w:pPr>
              <w:ind w:left="220"/>
              <w:spacing w:after="0"/>
              <w:rPr>
                <w:sz w:val="20"/>
                <w:szCs w:val="20"/>
                <w:color w:val="auto"/>
              </w:rPr>
            </w:pPr>
            <w:r>
              <w:rPr>
                <w:rFonts w:ascii="Arial" w:cs="Arial" w:eastAsia="Arial" w:hAnsi="Arial"/>
                <w:sz w:val="10"/>
                <w:szCs w:val="10"/>
                <w:b w:val="1"/>
                <w:bCs w:val="1"/>
                <w:color w:val="auto"/>
              </w:rPr>
              <w:t>Threshold</w:t>
            </w:r>
          </w:p>
        </w:tc>
        <w:tc>
          <w:tcPr>
            <w:tcW w:w="600" w:type="dxa"/>
            <w:vAlign w:val="bottom"/>
          </w:tcPr>
          <w:p>
            <w:pPr>
              <w:ind w:left="120"/>
              <w:spacing w:after="0"/>
              <w:rPr>
                <w:sz w:val="20"/>
                <w:szCs w:val="20"/>
                <w:color w:val="auto"/>
              </w:rPr>
            </w:pPr>
            <w:r>
              <w:rPr>
                <w:rFonts w:ascii="Arial" w:cs="Arial" w:eastAsia="Arial" w:hAnsi="Arial"/>
                <w:sz w:val="10"/>
                <w:szCs w:val="10"/>
                <w:b w:val="1"/>
                <w:bCs w:val="1"/>
                <w:color w:val="auto"/>
              </w:rPr>
              <w:t>Target</w:t>
            </w:r>
          </w:p>
        </w:tc>
        <w:tc>
          <w:tcPr>
            <w:tcW w:w="560" w:type="dxa"/>
            <w:vAlign w:val="bottom"/>
          </w:tcPr>
          <w:p>
            <w:pPr>
              <w:ind w:left="100"/>
              <w:spacing w:after="0"/>
              <w:rPr>
                <w:sz w:val="20"/>
                <w:szCs w:val="20"/>
                <w:color w:val="auto"/>
              </w:rPr>
            </w:pPr>
            <w:r>
              <w:rPr>
                <w:rFonts w:ascii="Arial" w:cs="Arial" w:eastAsia="Arial" w:hAnsi="Arial"/>
                <w:sz w:val="10"/>
                <w:szCs w:val="10"/>
                <w:b w:val="1"/>
                <w:bCs w:val="1"/>
                <w:color w:val="auto"/>
                <w:w w:val="95"/>
              </w:rPr>
              <w:t>Maximum</w:t>
            </w:r>
          </w:p>
        </w:tc>
        <w:tc>
          <w:tcPr>
            <w:tcW w:w="840" w:type="dxa"/>
            <w:vAlign w:val="bottom"/>
          </w:tcPr>
          <w:p>
            <w:pPr>
              <w:jc w:val="right"/>
              <w:ind w:right="94"/>
              <w:spacing w:after="0"/>
              <w:rPr>
                <w:sz w:val="20"/>
                <w:szCs w:val="20"/>
                <w:color w:val="auto"/>
              </w:rPr>
            </w:pPr>
            <w:r>
              <w:rPr>
                <w:rFonts w:ascii="Arial" w:cs="Arial" w:eastAsia="Arial" w:hAnsi="Arial"/>
                <w:sz w:val="10"/>
                <w:szCs w:val="10"/>
                <w:b w:val="1"/>
                <w:bCs w:val="1"/>
                <w:color w:val="auto"/>
              </w:rPr>
              <w:t>or Units</w:t>
            </w:r>
            <w:r>
              <w:rPr>
                <w:rFonts w:ascii="Arial" w:cs="Arial" w:eastAsia="Arial" w:hAnsi="Arial"/>
                <w:sz w:val="12"/>
                <w:szCs w:val="12"/>
                <w:b w:val="1"/>
                <w:bCs w:val="1"/>
                <w:color w:val="auto"/>
                <w:vertAlign w:val="superscript"/>
              </w:rPr>
              <w:t>(4)</w:t>
            </w:r>
          </w:p>
        </w:tc>
        <w:tc>
          <w:tcPr>
            <w:tcW w:w="800" w:type="dxa"/>
            <w:vAlign w:val="bottom"/>
          </w:tcPr>
          <w:p>
            <w:pPr>
              <w:jc w:val="right"/>
              <w:ind w:right="114"/>
              <w:spacing w:after="0"/>
              <w:rPr>
                <w:sz w:val="20"/>
                <w:szCs w:val="20"/>
                <w:color w:val="auto"/>
              </w:rPr>
            </w:pPr>
            <w:r>
              <w:rPr>
                <w:rFonts w:ascii="Arial" w:cs="Arial" w:eastAsia="Arial" w:hAnsi="Arial"/>
                <w:sz w:val="10"/>
                <w:szCs w:val="10"/>
                <w:b w:val="1"/>
                <w:bCs w:val="1"/>
                <w:color w:val="auto"/>
              </w:rPr>
              <w:t>Options</w:t>
            </w:r>
            <w:r>
              <w:rPr>
                <w:rFonts w:ascii="Arial" w:cs="Arial" w:eastAsia="Arial" w:hAnsi="Arial"/>
                <w:sz w:val="12"/>
                <w:szCs w:val="12"/>
                <w:b w:val="1"/>
                <w:bCs w:val="1"/>
                <w:color w:val="auto"/>
                <w:vertAlign w:val="superscript"/>
              </w:rPr>
              <w:t>(5)</w:t>
            </w:r>
          </w:p>
        </w:tc>
        <w:tc>
          <w:tcPr>
            <w:tcW w:w="700" w:type="dxa"/>
            <w:vAlign w:val="bottom"/>
          </w:tcPr>
          <w:p>
            <w:pPr>
              <w:jc w:val="right"/>
              <w:ind w:right="95"/>
              <w:spacing w:after="0"/>
              <w:rPr>
                <w:sz w:val="20"/>
                <w:szCs w:val="20"/>
                <w:color w:val="auto"/>
              </w:rPr>
            </w:pPr>
            <w:r>
              <w:rPr>
                <w:rFonts w:ascii="Arial" w:cs="Arial" w:eastAsia="Arial" w:hAnsi="Arial"/>
                <w:sz w:val="10"/>
                <w:szCs w:val="10"/>
                <w:b w:val="1"/>
                <w:bCs w:val="1"/>
                <w:color w:val="auto"/>
              </w:rPr>
              <w:t>($/Sh)</w:t>
            </w:r>
          </w:p>
        </w:tc>
        <w:tc>
          <w:tcPr>
            <w:tcW w:w="600" w:type="dxa"/>
            <w:vAlign w:val="bottom"/>
          </w:tcPr>
          <w:p>
            <w:pPr>
              <w:jc w:val="right"/>
              <w:spacing w:after="0"/>
              <w:rPr>
                <w:sz w:val="20"/>
                <w:szCs w:val="20"/>
                <w:color w:val="auto"/>
              </w:rPr>
            </w:pPr>
            <w:r>
              <w:rPr>
                <w:rFonts w:ascii="Arial" w:cs="Arial" w:eastAsia="Arial" w:hAnsi="Arial"/>
                <w:sz w:val="10"/>
                <w:szCs w:val="10"/>
                <w:b w:val="1"/>
                <w:bCs w:val="1"/>
                <w:color w:val="auto"/>
              </w:rPr>
              <w:t>($/Sh)</w:t>
            </w:r>
          </w:p>
        </w:tc>
        <w:tc>
          <w:tcPr>
            <w:tcW w:w="740" w:type="dxa"/>
            <w:vAlign w:val="bottom"/>
          </w:tcPr>
          <w:p>
            <w:pPr>
              <w:jc w:val="right"/>
              <w:spacing w:after="0"/>
              <w:rPr>
                <w:sz w:val="20"/>
                <w:szCs w:val="20"/>
                <w:color w:val="auto"/>
              </w:rPr>
            </w:pPr>
            <w:r>
              <w:rPr>
                <w:rFonts w:ascii="Arial" w:cs="Arial" w:eastAsia="Arial" w:hAnsi="Arial"/>
                <w:sz w:val="10"/>
                <w:szCs w:val="10"/>
                <w:b w:val="1"/>
                <w:bCs w:val="1"/>
                <w:color w:val="auto"/>
              </w:rPr>
              <w:t>Awards</w:t>
            </w:r>
            <w:r>
              <w:rPr>
                <w:rFonts w:ascii="Arial" w:cs="Arial" w:eastAsia="Arial" w:hAnsi="Arial"/>
                <w:sz w:val="6"/>
                <w:szCs w:val="6"/>
                <w:b w:val="1"/>
                <w:bCs w:val="1"/>
                <w:color w:val="auto"/>
              </w:rPr>
              <w:t>(6)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-1453515</wp:posOffset>
            </wp:positionH>
            <wp:positionV relativeFrom="paragraph">
              <wp:posOffset>-1270</wp:posOffset>
            </wp:positionV>
            <wp:extent cx="665226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6652260" cy="8255"/>
                    </a:xfrm>
                    <a:prstGeom prst="rect">
                      <a:avLst/>
                    </a:prstGeom>
                    <a:noFill/>
                  </pic:spPr>
                </pic:pic>
              </a:graphicData>
            </a:graphic>
          </wp:anchor>
        </w:drawing>
      </w:r>
    </w:p>
    <w:p>
      <w:pPr>
        <w:spacing w:after="0" w:line="119" w:lineRule="exact"/>
        <w:rPr>
          <w:sz w:val="20"/>
          <w:szCs w:val="20"/>
          <w:color w:val="auto"/>
        </w:rPr>
      </w:pPr>
    </w:p>
    <w:p>
      <w:pPr>
        <w:sectPr>
          <w:pgSz w:w="11900" w:h="16838" w:orient="portrait"/>
          <w:cols w:equalWidth="0" w:num="2">
            <w:col w:w="2540" w:space="500"/>
            <w:col w:w="8200"/>
          </w:cols>
          <w:pgMar w:left="320" w:top="230" w:right="339" w:bottom="0" w:gutter="0" w:footer="0" w:header="0"/>
          <w:type w:val="continuous"/>
        </w:sectPr>
      </w:pPr>
    </w:p>
    <w:tbl>
      <w:tblPr>
        <w:tblLayout w:type="fixed"/>
        <w:tblInd w:w="0" w:type="dxa"/>
        <w:tblCellMar>
          <w:top w:w="0" w:type="dxa"/>
          <w:left w:w="0" w:type="dxa"/>
          <w:bottom w:w="0" w:type="dxa"/>
          <w:right w:w="0" w:type="dxa"/>
        </w:tblCellMar>
      </w:tblPr>
      <w:tr>
        <w:trPr>
          <w:trHeight w:val="155"/>
        </w:trPr>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Vimal Kapur</w:t>
            </w:r>
          </w:p>
        </w:tc>
        <w:tc>
          <w:tcPr>
            <w:tcW w:w="620" w:type="dxa"/>
            <w:vAlign w:val="bottom"/>
          </w:tcPr>
          <w:p>
            <w:pPr>
              <w:spacing w:after="0"/>
              <w:rPr>
                <w:sz w:val="20"/>
                <w:szCs w:val="20"/>
                <w:color w:val="auto"/>
              </w:rPr>
            </w:pPr>
            <w:r>
              <w:rPr>
                <w:rFonts w:ascii="Arial" w:cs="Arial" w:eastAsia="Arial" w:hAnsi="Arial"/>
                <w:sz w:val="11"/>
                <w:szCs w:val="11"/>
                <w:color w:val="auto"/>
              </w:rPr>
              <w:t>ICP</w:t>
            </w: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  28,000</w:t>
            </w:r>
          </w:p>
        </w:tc>
        <w:tc>
          <w:tcPr>
            <w:tcW w:w="1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2,800,000</w:t>
            </w:r>
          </w:p>
        </w:tc>
        <w:tc>
          <w:tcPr>
            <w:tcW w:w="1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460" w:type="dxa"/>
            <w:vAlign w:val="bottom"/>
          </w:tcPr>
          <w:p>
            <w:pPr>
              <w:jc w:val="right"/>
              <w:ind w:right="846"/>
              <w:spacing w:after="0"/>
              <w:rPr>
                <w:sz w:val="20"/>
                <w:szCs w:val="20"/>
                <w:color w:val="auto"/>
              </w:rPr>
            </w:pPr>
            <w:r>
              <w:rPr>
                <w:rFonts w:ascii="Arial" w:cs="Arial" w:eastAsia="Arial" w:hAnsi="Arial"/>
                <w:sz w:val="11"/>
                <w:szCs w:val="11"/>
                <w:color w:val="auto"/>
              </w:rPr>
              <w:t>5,600,000</w:t>
            </w:r>
          </w:p>
        </w:tc>
        <w:tc>
          <w:tcPr>
            <w:tcW w:w="6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41"/>
        </w:trPr>
        <w:tc>
          <w:tcPr>
            <w:tcW w:w="760" w:type="dxa"/>
            <w:vAlign w:val="bottom"/>
          </w:tcPr>
          <w:p>
            <w:pPr>
              <w:spacing w:after="0"/>
              <w:rPr>
                <w:sz w:val="12"/>
                <w:szCs w:val="12"/>
                <w:color w:val="auto"/>
              </w:rPr>
            </w:pPr>
          </w:p>
        </w:tc>
        <w:tc>
          <w:tcPr>
            <w:tcW w:w="620" w:type="dxa"/>
            <w:vAlign w:val="bottom"/>
            <w:tcBorders>
              <w:bottom w:val="single" w:sz="8" w:color="939598"/>
            </w:tcBorders>
          </w:tcPr>
          <w:p>
            <w:pPr>
              <w:spacing w:after="0"/>
              <w:rPr>
                <w:sz w:val="12"/>
                <w:szCs w:val="12"/>
                <w:color w:val="auto"/>
              </w:rPr>
            </w:pPr>
          </w:p>
        </w:tc>
        <w:tc>
          <w:tcPr>
            <w:tcW w:w="760" w:type="dxa"/>
            <w:vAlign w:val="bottom"/>
            <w:tcBorders>
              <w:bottom w:val="single" w:sz="8" w:color="939598"/>
            </w:tcBorders>
          </w:tcPr>
          <w:p>
            <w:pPr>
              <w:spacing w:after="0"/>
              <w:rPr>
                <w:sz w:val="12"/>
                <w:szCs w:val="12"/>
                <w:color w:val="auto"/>
              </w:rPr>
            </w:pPr>
          </w:p>
        </w:tc>
        <w:tc>
          <w:tcPr>
            <w:tcW w:w="920" w:type="dxa"/>
            <w:vAlign w:val="bottom"/>
            <w:tcBorders>
              <w:bottom w:val="single" w:sz="8" w:color="939598"/>
            </w:tcBorders>
          </w:tcPr>
          <w:p>
            <w:pPr>
              <w:spacing w:after="0"/>
              <w:rPr>
                <w:sz w:val="12"/>
                <w:szCs w:val="12"/>
                <w:color w:val="auto"/>
              </w:rPr>
            </w:pPr>
          </w:p>
        </w:tc>
        <w:tc>
          <w:tcPr>
            <w:tcW w:w="820" w:type="dxa"/>
            <w:vAlign w:val="bottom"/>
            <w:tcBorders>
              <w:bottom w:val="single" w:sz="8" w:color="939598"/>
            </w:tcBorders>
          </w:tcPr>
          <w:p>
            <w:pPr>
              <w:spacing w:after="0"/>
              <w:rPr>
                <w:sz w:val="12"/>
                <w:szCs w:val="12"/>
                <w:color w:val="auto"/>
              </w:rPr>
            </w:pPr>
          </w:p>
        </w:tc>
        <w:tc>
          <w:tcPr>
            <w:tcW w:w="180" w:type="dxa"/>
            <w:vAlign w:val="bottom"/>
            <w:tcBorders>
              <w:bottom w:val="single" w:sz="8" w:color="939598"/>
            </w:tcBorders>
          </w:tcPr>
          <w:p>
            <w:pPr>
              <w:spacing w:after="0"/>
              <w:rPr>
                <w:sz w:val="12"/>
                <w:szCs w:val="12"/>
                <w:color w:val="auto"/>
              </w:rPr>
            </w:pPr>
          </w:p>
        </w:tc>
        <w:tc>
          <w:tcPr>
            <w:tcW w:w="600" w:type="dxa"/>
            <w:vAlign w:val="bottom"/>
            <w:tcBorders>
              <w:bottom w:val="single" w:sz="8" w:color="939598"/>
            </w:tcBorders>
          </w:tcPr>
          <w:p>
            <w:pPr>
              <w:spacing w:after="0"/>
              <w:rPr>
                <w:sz w:val="12"/>
                <w:szCs w:val="12"/>
                <w:color w:val="auto"/>
              </w:rPr>
            </w:pPr>
          </w:p>
        </w:tc>
        <w:tc>
          <w:tcPr>
            <w:tcW w:w="180" w:type="dxa"/>
            <w:vAlign w:val="bottom"/>
            <w:tcBorders>
              <w:bottom w:val="single" w:sz="8" w:color="939598"/>
            </w:tcBorders>
          </w:tcPr>
          <w:p>
            <w:pPr>
              <w:spacing w:after="0"/>
              <w:rPr>
                <w:sz w:val="12"/>
                <w:szCs w:val="12"/>
                <w:color w:val="auto"/>
              </w:rPr>
            </w:pPr>
          </w:p>
        </w:tc>
        <w:tc>
          <w:tcPr>
            <w:tcW w:w="1460" w:type="dxa"/>
            <w:vAlign w:val="bottom"/>
            <w:tcBorders>
              <w:bottom w:val="single" w:sz="8" w:color="939598"/>
            </w:tcBorders>
          </w:tcPr>
          <w:p>
            <w:pPr>
              <w:spacing w:after="0"/>
              <w:rPr>
                <w:sz w:val="12"/>
                <w:szCs w:val="12"/>
                <w:color w:val="auto"/>
              </w:rPr>
            </w:pPr>
          </w:p>
        </w:tc>
        <w:tc>
          <w:tcPr>
            <w:tcW w:w="640" w:type="dxa"/>
            <w:vAlign w:val="bottom"/>
            <w:tcBorders>
              <w:bottom w:val="single" w:sz="8" w:color="939598"/>
            </w:tcBorders>
          </w:tcPr>
          <w:p>
            <w:pPr>
              <w:spacing w:after="0"/>
              <w:rPr>
                <w:sz w:val="12"/>
                <w:szCs w:val="12"/>
                <w:color w:val="auto"/>
              </w:rPr>
            </w:pPr>
          </w:p>
        </w:tc>
        <w:tc>
          <w:tcPr>
            <w:tcW w:w="2140" w:type="dxa"/>
            <w:vAlign w:val="bottom"/>
            <w:tcBorders>
              <w:bottom w:val="single" w:sz="8" w:color="939598"/>
            </w:tcBorders>
          </w:tcPr>
          <w:p>
            <w:pPr>
              <w:spacing w:after="0"/>
              <w:rPr>
                <w:sz w:val="12"/>
                <w:szCs w:val="12"/>
                <w:color w:val="auto"/>
              </w:rPr>
            </w:pPr>
          </w:p>
        </w:tc>
        <w:tc>
          <w:tcPr>
            <w:tcW w:w="720" w:type="dxa"/>
            <w:vAlign w:val="bottom"/>
            <w:tcBorders>
              <w:bottom w:val="single" w:sz="8" w:color="939598"/>
            </w:tcBorders>
          </w:tcPr>
          <w:p>
            <w:pPr>
              <w:spacing w:after="0"/>
              <w:rPr>
                <w:sz w:val="12"/>
                <w:szCs w:val="12"/>
                <w:color w:val="auto"/>
              </w:rPr>
            </w:pPr>
          </w:p>
        </w:tc>
        <w:tc>
          <w:tcPr>
            <w:tcW w:w="640" w:type="dxa"/>
            <w:vAlign w:val="bottom"/>
            <w:tcBorders>
              <w:bottom w:val="single" w:sz="8" w:color="939598"/>
            </w:tcBorders>
          </w:tcPr>
          <w:p>
            <w:pPr>
              <w:spacing w:after="0"/>
              <w:rPr>
                <w:sz w:val="12"/>
                <w:szCs w:val="12"/>
                <w:color w:val="auto"/>
              </w:rPr>
            </w:pPr>
          </w:p>
        </w:tc>
        <w:tc>
          <w:tcPr>
            <w:tcW w:w="180" w:type="dxa"/>
            <w:vAlign w:val="bottom"/>
            <w:tcBorders>
              <w:bottom w:val="single" w:sz="8" w:color="939598"/>
            </w:tcBorders>
          </w:tcPr>
          <w:p>
            <w:pPr>
              <w:spacing w:after="0"/>
              <w:rPr>
                <w:sz w:val="12"/>
                <w:szCs w:val="12"/>
                <w:color w:val="auto"/>
              </w:rPr>
            </w:pPr>
          </w:p>
        </w:tc>
        <w:tc>
          <w:tcPr>
            <w:tcW w:w="600" w:type="dxa"/>
            <w:vAlign w:val="bottom"/>
            <w:tcBorders>
              <w:bottom w:val="single" w:sz="8" w:color="939598"/>
            </w:tcBorders>
          </w:tcPr>
          <w:p>
            <w:pPr>
              <w:spacing w:after="0"/>
              <w:rPr>
                <w:sz w:val="12"/>
                <w:szCs w:val="12"/>
                <w:color w:val="auto"/>
              </w:rPr>
            </w:pPr>
          </w:p>
        </w:tc>
      </w:tr>
      <w:tr>
        <w:trPr>
          <w:trHeight w:val="257"/>
        </w:trPr>
        <w:tc>
          <w:tcPr>
            <w:tcW w:w="760" w:type="dxa"/>
            <w:vAlign w:val="bottom"/>
          </w:tcPr>
          <w:p>
            <w:pPr>
              <w:spacing w:after="0"/>
              <w:rPr>
                <w:sz w:val="22"/>
                <w:szCs w:val="22"/>
                <w:color w:val="auto"/>
              </w:rPr>
            </w:pPr>
          </w:p>
        </w:tc>
        <w:tc>
          <w:tcPr>
            <w:tcW w:w="620" w:type="dxa"/>
            <w:vAlign w:val="bottom"/>
          </w:tcPr>
          <w:p>
            <w:pPr>
              <w:spacing w:after="0"/>
              <w:rPr>
                <w:sz w:val="20"/>
                <w:szCs w:val="20"/>
                <w:color w:val="auto"/>
              </w:rPr>
            </w:pPr>
            <w:r>
              <w:rPr>
                <w:rFonts w:ascii="Arial" w:cs="Arial" w:eastAsia="Arial" w:hAnsi="Arial"/>
                <w:sz w:val="11"/>
                <w:szCs w:val="11"/>
                <w:color w:val="auto"/>
              </w:rPr>
              <w:t>NQSO</w:t>
            </w:r>
          </w:p>
        </w:tc>
        <w:tc>
          <w:tcPr>
            <w:tcW w:w="760" w:type="dxa"/>
            <w:vAlign w:val="bottom"/>
          </w:tcPr>
          <w:p>
            <w:pPr>
              <w:ind w:left="100"/>
              <w:spacing w:after="0"/>
              <w:rPr>
                <w:sz w:val="20"/>
                <w:szCs w:val="20"/>
                <w:color w:val="auto"/>
              </w:rPr>
            </w:pPr>
            <w:r>
              <w:rPr>
                <w:rFonts w:ascii="Arial" w:cs="Arial" w:eastAsia="Arial" w:hAnsi="Arial"/>
                <w:sz w:val="11"/>
                <w:szCs w:val="11"/>
                <w:color w:val="auto"/>
              </w:rPr>
              <w:t>2/14/2025</w:t>
            </w:r>
          </w:p>
        </w:tc>
        <w:tc>
          <w:tcPr>
            <w:tcW w:w="920" w:type="dxa"/>
            <w:vAlign w:val="bottom"/>
          </w:tcPr>
          <w:p>
            <w:pPr>
              <w:ind w:left="120"/>
              <w:spacing w:after="0"/>
              <w:rPr>
                <w:sz w:val="20"/>
                <w:szCs w:val="20"/>
                <w:color w:val="auto"/>
              </w:rPr>
            </w:pPr>
            <w:r>
              <w:rPr>
                <w:rFonts w:ascii="Arial" w:cs="Arial" w:eastAsia="Arial" w:hAnsi="Arial"/>
                <w:sz w:val="11"/>
                <w:szCs w:val="11"/>
                <w:color w:val="auto"/>
              </w:rPr>
              <w:t>2/19/2025</w:t>
            </w: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140" w:type="dxa"/>
            <w:vAlign w:val="bottom"/>
          </w:tcPr>
          <w:p>
            <w:pPr>
              <w:jc w:val="right"/>
              <w:ind w:right="66"/>
              <w:spacing w:after="0"/>
              <w:rPr>
                <w:sz w:val="20"/>
                <w:szCs w:val="20"/>
                <w:color w:val="auto"/>
              </w:rPr>
            </w:pPr>
            <w:r>
              <w:rPr>
                <w:rFonts w:ascii="Arial" w:cs="Arial" w:eastAsia="Arial" w:hAnsi="Arial"/>
                <w:sz w:val="11"/>
                <w:szCs w:val="11"/>
                <w:color w:val="auto"/>
              </w:rPr>
              <w:t>82,700</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  209.81</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  210.81</w:t>
            </w:r>
          </w:p>
        </w:tc>
        <w:tc>
          <w:tcPr>
            <w:tcW w:w="1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3,623,914</w:t>
            </w:r>
          </w:p>
        </w:tc>
      </w:tr>
      <w:tr>
        <w:trPr>
          <w:trHeight w:val="142"/>
        </w:trPr>
        <w:tc>
          <w:tcPr>
            <w:tcW w:w="760" w:type="dxa"/>
            <w:vAlign w:val="bottom"/>
          </w:tcPr>
          <w:p>
            <w:pPr>
              <w:spacing w:after="0"/>
              <w:rPr>
                <w:sz w:val="12"/>
                <w:szCs w:val="12"/>
                <w:color w:val="auto"/>
              </w:rPr>
            </w:pPr>
          </w:p>
        </w:tc>
        <w:tc>
          <w:tcPr>
            <w:tcW w:w="620" w:type="dxa"/>
            <w:vAlign w:val="bottom"/>
            <w:tcBorders>
              <w:bottom w:val="single" w:sz="8" w:color="939598"/>
            </w:tcBorders>
          </w:tcPr>
          <w:p>
            <w:pPr>
              <w:spacing w:after="0"/>
              <w:rPr>
                <w:sz w:val="12"/>
                <w:szCs w:val="12"/>
                <w:color w:val="auto"/>
              </w:rPr>
            </w:pPr>
          </w:p>
        </w:tc>
        <w:tc>
          <w:tcPr>
            <w:tcW w:w="760" w:type="dxa"/>
            <w:vAlign w:val="bottom"/>
            <w:tcBorders>
              <w:bottom w:val="single" w:sz="8" w:color="939598"/>
            </w:tcBorders>
          </w:tcPr>
          <w:p>
            <w:pPr>
              <w:spacing w:after="0"/>
              <w:rPr>
                <w:sz w:val="12"/>
                <w:szCs w:val="12"/>
                <w:color w:val="auto"/>
              </w:rPr>
            </w:pPr>
          </w:p>
        </w:tc>
        <w:tc>
          <w:tcPr>
            <w:tcW w:w="920" w:type="dxa"/>
            <w:vAlign w:val="bottom"/>
            <w:tcBorders>
              <w:bottom w:val="single" w:sz="8" w:color="939598"/>
            </w:tcBorders>
          </w:tcPr>
          <w:p>
            <w:pPr>
              <w:spacing w:after="0"/>
              <w:rPr>
                <w:sz w:val="12"/>
                <w:szCs w:val="12"/>
                <w:color w:val="auto"/>
              </w:rPr>
            </w:pPr>
          </w:p>
        </w:tc>
        <w:tc>
          <w:tcPr>
            <w:tcW w:w="820" w:type="dxa"/>
            <w:vAlign w:val="bottom"/>
            <w:tcBorders>
              <w:bottom w:val="single" w:sz="8" w:color="939598"/>
            </w:tcBorders>
          </w:tcPr>
          <w:p>
            <w:pPr>
              <w:spacing w:after="0"/>
              <w:rPr>
                <w:sz w:val="12"/>
                <w:szCs w:val="12"/>
                <w:color w:val="auto"/>
              </w:rPr>
            </w:pPr>
          </w:p>
        </w:tc>
        <w:tc>
          <w:tcPr>
            <w:tcW w:w="180" w:type="dxa"/>
            <w:vAlign w:val="bottom"/>
            <w:tcBorders>
              <w:bottom w:val="single" w:sz="8" w:color="939598"/>
            </w:tcBorders>
          </w:tcPr>
          <w:p>
            <w:pPr>
              <w:spacing w:after="0"/>
              <w:rPr>
                <w:sz w:val="12"/>
                <w:szCs w:val="12"/>
                <w:color w:val="auto"/>
              </w:rPr>
            </w:pPr>
          </w:p>
        </w:tc>
        <w:tc>
          <w:tcPr>
            <w:tcW w:w="600" w:type="dxa"/>
            <w:vAlign w:val="bottom"/>
            <w:tcBorders>
              <w:bottom w:val="single" w:sz="8" w:color="939598"/>
            </w:tcBorders>
          </w:tcPr>
          <w:p>
            <w:pPr>
              <w:spacing w:after="0"/>
              <w:rPr>
                <w:sz w:val="12"/>
                <w:szCs w:val="12"/>
                <w:color w:val="auto"/>
              </w:rPr>
            </w:pPr>
          </w:p>
        </w:tc>
        <w:tc>
          <w:tcPr>
            <w:tcW w:w="180" w:type="dxa"/>
            <w:vAlign w:val="bottom"/>
            <w:tcBorders>
              <w:bottom w:val="single" w:sz="8" w:color="939598"/>
            </w:tcBorders>
          </w:tcPr>
          <w:p>
            <w:pPr>
              <w:spacing w:after="0"/>
              <w:rPr>
                <w:sz w:val="12"/>
                <w:szCs w:val="12"/>
                <w:color w:val="auto"/>
              </w:rPr>
            </w:pPr>
          </w:p>
        </w:tc>
        <w:tc>
          <w:tcPr>
            <w:tcW w:w="1460" w:type="dxa"/>
            <w:vAlign w:val="bottom"/>
            <w:tcBorders>
              <w:bottom w:val="single" w:sz="8" w:color="939598"/>
            </w:tcBorders>
          </w:tcPr>
          <w:p>
            <w:pPr>
              <w:spacing w:after="0"/>
              <w:rPr>
                <w:sz w:val="12"/>
                <w:szCs w:val="12"/>
                <w:color w:val="auto"/>
              </w:rPr>
            </w:pPr>
          </w:p>
        </w:tc>
        <w:tc>
          <w:tcPr>
            <w:tcW w:w="640" w:type="dxa"/>
            <w:vAlign w:val="bottom"/>
            <w:tcBorders>
              <w:bottom w:val="single" w:sz="8" w:color="939598"/>
            </w:tcBorders>
          </w:tcPr>
          <w:p>
            <w:pPr>
              <w:spacing w:after="0"/>
              <w:rPr>
                <w:sz w:val="12"/>
                <w:szCs w:val="12"/>
                <w:color w:val="auto"/>
              </w:rPr>
            </w:pPr>
          </w:p>
        </w:tc>
        <w:tc>
          <w:tcPr>
            <w:tcW w:w="2140" w:type="dxa"/>
            <w:vAlign w:val="bottom"/>
            <w:tcBorders>
              <w:bottom w:val="single" w:sz="8" w:color="939598"/>
            </w:tcBorders>
          </w:tcPr>
          <w:p>
            <w:pPr>
              <w:spacing w:after="0"/>
              <w:rPr>
                <w:sz w:val="12"/>
                <w:szCs w:val="12"/>
                <w:color w:val="auto"/>
              </w:rPr>
            </w:pPr>
          </w:p>
        </w:tc>
        <w:tc>
          <w:tcPr>
            <w:tcW w:w="720" w:type="dxa"/>
            <w:vAlign w:val="bottom"/>
            <w:tcBorders>
              <w:bottom w:val="single" w:sz="8" w:color="939598"/>
            </w:tcBorders>
          </w:tcPr>
          <w:p>
            <w:pPr>
              <w:spacing w:after="0"/>
              <w:rPr>
                <w:sz w:val="12"/>
                <w:szCs w:val="12"/>
                <w:color w:val="auto"/>
              </w:rPr>
            </w:pPr>
          </w:p>
        </w:tc>
        <w:tc>
          <w:tcPr>
            <w:tcW w:w="640" w:type="dxa"/>
            <w:vAlign w:val="bottom"/>
            <w:tcBorders>
              <w:bottom w:val="single" w:sz="8" w:color="939598"/>
            </w:tcBorders>
          </w:tcPr>
          <w:p>
            <w:pPr>
              <w:spacing w:after="0"/>
              <w:rPr>
                <w:sz w:val="12"/>
                <w:szCs w:val="12"/>
                <w:color w:val="auto"/>
              </w:rPr>
            </w:pPr>
          </w:p>
        </w:tc>
        <w:tc>
          <w:tcPr>
            <w:tcW w:w="180" w:type="dxa"/>
            <w:vAlign w:val="bottom"/>
            <w:tcBorders>
              <w:bottom w:val="single" w:sz="8" w:color="939598"/>
            </w:tcBorders>
          </w:tcPr>
          <w:p>
            <w:pPr>
              <w:spacing w:after="0"/>
              <w:rPr>
                <w:sz w:val="12"/>
                <w:szCs w:val="12"/>
                <w:color w:val="auto"/>
              </w:rPr>
            </w:pPr>
          </w:p>
        </w:tc>
        <w:tc>
          <w:tcPr>
            <w:tcW w:w="600" w:type="dxa"/>
            <w:vAlign w:val="bottom"/>
            <w:tcBorders>
              <w:bottom w:val="single" w:sz="8" w:color="939598"/>
            </w:tcBorders>
          </w:tcPr>
          <w:p>
            <w:pPr>
              <w:spacing w:after="0"/>
              <w:rPr>
                <w:sz w:val="12"/>
                <w:szCs w:val="12"/>
                <w:color w:val="auto"/>
              </w:rPr>
            </w:pPr>
          </w:p>
        </w:tc>
      </w:tr>
      <w:tr>
        <w:trPr>
          <w:trHeight w:val="300"/>
        </w:trPr>
        <w:tc>
          <w:tcPr>
            <w:tcW w:w="76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1"/>
                <w:szCs w:val="11"/>
                <w:color w:val="auto"/>
              </w:rPr>
              <w:t>NQSO</w:t>
            </w:r>
            <w:r>
              <w:rPr>
                <w:rFonts w:ascii="Arial" w:cs="Arial" w:eastAsia="Arial" w:hAnsi="Arial"/>
                <w:sz w:val="14"/>
                <w:szCs w:val="14"/>
                <w:color w:val="auto"/>
                <w:vertAlign w:val="superscript"/>
              </w:rPr>
              <w:t>(7)</w:t>
            </w:r>
          </w:p>
        </w:tc>
        <w:tc>
          <w:tcPr>
            <w:tcW w:w="760" w:type="dxa"/>
            <w:vAlign w:val="bottom"/>
          </w:tcPr>
          <w:p>
            <w:pPr>
              <w:ind w:left="100"/>
              <w:spacing w:after="0"/>
              <w:rPr>
                <w:sz w:val="20"/>
                <w:szCs w:val="20"/>
                <w:color w:val="auto"/>
              </w:rPr>
            </w:pPr>
            <w:r>
              <w:rPr>
                <w:rFonts w:ascii="Arial" w:cs="Arial" w:eastAsia="Arial" w:hAnsi="Arial"/>
                <w:sz w:val="11"/>
                <w:szCs w:val="11"/>
                <w:color w:val="auto"/>
              </w:rPr>
              <w:t>2/14/2025</w:t>
            </w:r>
          </w:p>
        </w:tc>
        <w:tc>
          <w:tcPr>
            <w:tcW w:w="920" w:type="dxa"/>
            <w:vAlign w:val="bottom"/>
          </w:tcPr>
          <w:p>
            <w:pPr>
              <w:ind w:left="120"/>
              <w:spacing w:after="0"/>
              <w:rPr>
                <w:sz w:val="20"/>
                <w:szCs w:val="20"/>
                <w:color w:val="auto"/>
              </w:rPr>
            </w:pPr>
            <w:r>
              <w:rPr>
                <w:rFonts w:ascii="Arial" w:cs="Arial" w:eastAsia="Arial" w:hAnsi="Arial"/>
                <w:sz w:val="11"/>
                <w:szCs w:val="11"/>
                <w:color w:val="auto"/>
              </w:rPr>
              <w:t>2/19/2025</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40" w:type="dxa"/>
            <w:vAlign w:val="bottom"/>
          </w:tcPr>
          <w:p>
            <w:pPr>
              <w:jc w:val="right"/>
              <w:ind w:right="66"/>
              <w:spacing w:after="0"/>
              <w:rPr>
                <w:sz w:val="20"/>
                <w:szCs w:val="20"/>
                <w:color w:val="auto"/>
              </w:rPr>
            </w:pPr>
            <w:r>
              <w:rPr>
                <w:rFonts w:ascii="Arial" w:cs="Arial" w:eastAsia="Arial" w:hAnsi="Arial"/>
                <w:sz w:val="11"/>
                <w:szCs w:val="11"/>
                <w:color w:val="auto"/>
              </w:rPr>
              <w:t>41,078</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209.81</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210.81</w:t>
            </w:r>
          </w:p>
        </w:tc>
        <w:tc>
          <w:tcPr>
            <w:tcW w:w="180" w:type="dxa"/>
            <w:vAlign w:val="bottom"/>
          </w:tcPr>
          <w:p>
            <w:pPr>
              <w:spacing w:after="0"/>
              <w:rPr>
                <w:sz w:val="24"/>
                <w:szCs w:val="24"/>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99"/>
        </w:trPr>
        <w:tc>
          <w:tcPr>
            <w:tcW w:w="760" w:type="dxa"/>
            <w:vAlign w:val="bottom"/>
          </w:tcPr>
          <w:p>
            <w:pPr>
              <w:spacing w:after="0"/>
              <w:rPr>
                <w:sz w:val="8"/>
                <w:szCs w:val="8"/>
                <w:color w:val="auto"/>
              </w:rPr>
            </w:pPr>
          </w:p>
        </w:tc>
        <w:tc>
          <w:tcPr>
            <w:tcW w:w="620" w:type="dxa"/>
            <w:vAlign w:val="bottom"/>
            <w:tcBorders>
              <w:bottom w:val="single" w:sz="8" w:color="939598"/>
            </w:tcBorders>
          </w:tcPr>
          <w:p>
            <w:pPr>
              <w:spacing w:after="0"/>
              <w:rPr>
                <w:sz w:val="8"/>
                <w:szCs w:val="8"/>
                <w:color w:val="auto"/>
              </w:rPr>
            </w:pPr>
          </w:p>
        </w:tc>
        <w:tc>
          <w:tcPr>
            <w:tcW w:w="760" w:type="dxa"/>
            <w:vAlign w:val="bottom"/>
            <w:tcBorders>
              <w:bottom w:val="single" w:sz="8" w:color="939598"/>
            </w:tcBorders>
          </w:tcPr>
          <w:p>
            <w:pPr>
              <w:spacing w:after="0"/>
              <w:rPr>
                <w:sz w:val="8"/>
                <w:szCs w:val="8"/>
                <w:color w:val="auto"/>
              </w:rPr>
            </w:pPr>
          </w:p>
        </w:tc>
        <w:tc>
          <w:tcPr>
            <w:tcW w:w="920" w:type="dxa"/>
            <w:vAlign w:val="bottom"/>
            <w:tcBorders>
              <w:bottom w:val="single" w:sz="8" w:color="939598"/>
            </w:tcBorders>
          </w:tcPr>
          <w:p>
            <w:pPr>
              <w:spacing w:after="0"/>
              <w:rPr>
                <w:sz w:val="8"/>
                <w:szCs w:val="8"/>
                <w:color w:val="auto"/>
              </w:rPr>
            </w:pPr>
          </w:p>
        </w:tc>
        <w:tc>
          <w:tcPr>
            <w:tcW w:w="820" w:type="dxa"/>
            <w:vAlign w:val="bottom"/>
            <w:tcBorders>
              <w:bottom w:val="single" w:sz="8" w:color="939598"/>
            </w:tcBorders>
          </w:tcPr>
          <w:p>
            <w:pPr>
              <w:spacing w:after="0"/>
              <w:rPr>
                <w:sz w:val="8"/>
                <w:szCs w:val="8"/>
                <w:color w:val="auto"/>
              </w:rPr>
            </w:pPr>
          </w:p>
        </w:tc>
        <w:tc>
          <w:tcPr>
            <w:tcW w:w="180" w:type="dxa"/>
            <w:vAlign w:val="bottom"/>
            <w:tcBorders>
              <w:bottom w:val="single" w:sz="8" w:color="939598"/>
            </w:tcBorders>
          </w:tcPr>
          <w:p>
            <w:pPr>
              <w:spacing w:after="0"/>
              <w:rPr>
                <w:sz w:val="8"/>
                <w:szCs w:val="8"/>
                <w:color w:val="auto"/>
              </w:rPr>
            </w:pPr>
          </w:p>
        </w:tc>
        <w:tc>
          <w:tcPr>
            <w:tcW w:w="600" w:type="dxa"/>
            <w:vAlign w:val="bottom"/>
            <w:tcBorders>
              <w:bottom w:val="single" w:sz="8" w:color="939598"/>
            </w:tcBorders>
          </w:tcPr>
          <w:p>
            <w:pPr>
              <w:spacing w:after="0"/>
              <w:rPr>
                <w:sz w:val="8"/>
                <w:szCs w:val="8"/>
                <w:color w:val="auto"/>
              </w:rPr>
            </w:pPr>
          </w:p>
        </w:tc>
        <w:tc>
          <w:tcPr>
            <w:tcW w:w="180" w:type="dxa"/>
            <w:vAlign w:val="bottom"/>
            <w:tcBorders>
              <w:bottom w:val="single" w:sz="8" w:color="939598"/>
            </w:tcBorders>
          </w:tcPr>
          <w:p>
            <w:pPr>
              <w:spacing w:after="0"/>
              <w:rPr>
                <w:sz w:val="8"/>
                <w:szCs w:val="8"/>
                <w:color w:val="auto"/>
              </w:rPr>
            </w:pPr>
          </w:p>
        </w:tc>
        <w:tc>
          <w:tcPr>
            <w:tcW w:w="1460" w:type="dxa"/>
            <w:vAlign w:val="bottom"/>
            <w:tcBorders>
              <w:bottom w:val="single" w:sz="8" w:color="939598"/>
            </w:tcBorders>
          </w:tcPr>
          <w:p>
            <w:pPr>
              <w:spacing w:after="0"/>
              <w:rPr>
                <w:sz w:val="8"/>
                <w:szCs w:val="8"/>
                <w:color w:val="auto"/>
              </w:rPr>
            </w:pPr>
          </w:p>
        </w:tc>
        <w:tc>
          <w:tcPr>
            <w:tcW w:w="640" w:type="dxa"/>
            <w:vAlign w:val="bottom"/>
            <w:tcBorders>
              <w:bottom w:val="single" w:sz="8" w:color="939598"/>
            </w:tcBorders>
          </w:tcPr>
          <w:p>
            <w:pPr>
              <w:spacing w:after="0"/>
              <w:rPr>
                <w:sz w:val="8"/>
                <w:szCs w:val="8"/>
                <w:color w:val="auto"/>
              </w:rPr>
            </w:pPr>
          </w:p>
        </w:tc>
        <w:tc>
          <w:tcPr>
            <w:tcW w:w="2140" w:type="dxa"/>
            <w:vAlign w:val="bottom"/>
            <w:tcBorders>
              <w:bottom w:val="single" w:sz="8" w:color="939598"/>
            </w:tcBorders>
          </w:tcPr>
          <w:p>
            <w:pPr>
              <w:spacing w:after="0"/>
              <w:rPr>
                <w:sz w:val="8"/>
                <w:szCs w:val="8"/>
                <w:color w:val="auto"/>
              </w:rPr>
            </w:pPr>
          </w:p>
        </w:tc>
        <w:tc>
          <w:tcPr>
            <w:tcW w:w="720" w:type="dxa"/>
            <w:vAlign w:val="bottom"/>
            <w:tcBorders>
              <w:bottom w:val="single" w:sz="8" w:color="939598"/>
            </w:tcBorders>
          </w:tcPr>
          <w:p>
            <w:pPr>
              <w:spacing w:after="0"/>
              <w:rPr>
                <w:sz w:val="8"/>
                <w:szCs w:val="8"/>
                <w:color w:val="auto"/>
              </w:rPr>
            </w:pPr>
          </w:p>
        </w:tc>
        <w:tc>
          <w:tcPr>
            <w:tcW w:w="640" w:type="dxa"/>
            <w:vAlign w:val="bottom"/>
            <w:tcBorders>
              <w:bottom w:val="single" w:sz="8" w:color="939598"/>
            </w:tcBorders>
          </w:tcPr>
          <w:p>
            <w:pPr>
              <w:spacing w:after="0"/>
              <w:rPr>
                <w:sz w:val="8"/>
                <w:szCs w:val="8"/>
                <w:color w:val="auto"/>
              </w:rPr>
            </w:pPr>
          </w:p>
        </w:tc>
        <w:tc>
          <w:tcPr>
            <w:tcW w:w="180" w:type="dxa"/>
            <w:vAlign w:val="bottom"/>
            <w:tcBorders>
              <w:bottom w:val="single" w:sz="8" w:color="939598"/>
            </w:tcBorders>
          </w:tcPr>
          <w:p>
            <w:pPr>
              <w:spacing w:after="0"/>
              <w:rPr>
                <w:sz w:val="8"/>
                <w:szCs w:val="8"/>
                <w:color w:val="auto"/>
              </w:rPr>
            </w:pPr>
          </w:p>
        </w:tc>
        <w:tc>
          <w:tcPr>
            <w:tcW w:w="600" w:type="dxa"/>
            <w:vAlign w:val="bottom"/>
            <w:tcBorders>
              <w:bottom w:val="single" w:sz="8" w:color="939598"/>
            </w:tcBorders>
          </w:tcPr>
          <w:p>
            <w:pPr>
              <w:spacing w:after="0"/>
              <w:rPr>
                <w:sz w:val="8"/>
                <w:szCs w:val="8"/>
                <w:color w:val="auto"/>
              </w:rPr>
            </w:pPr>
          </w:p>
        </w:tc>
      </w:tr>
      <w:tr>
        <w:trPr>
          <w:trHeight w:val="257"/>
        </w:trPr>
        <w:tc>
          <w:tcPr>
            <w:tcW w:w="760" w:type="dxa"/>
            <w:vAlign w:val="bottom"/>
          </w:tcPr>
          <w:p>
            <w:pPr>
              <w:spacing w:after="0"/>
              <w:rPr>
                <w:sz w:val="22"/>
                <w:szCs w:val="22"/>
                <w:color w:val="auto"/>
              </w:rPr>
            </w:pPr>
          </w:p>
        </w:tc>
        <w:tc>
          <w:tcPr>
            <w:tcW w:w="620" w:type="dxa"/>
            <w:vAlign w:val="bottom"/>
          </w:tcPr>
          <w:p>
            <w:pPr>
              <w:spacing w:after="0"/>
              <w:rPr>
                <w:sz w:val="20"/>
                <w:szCs w:val="20"/>
                <w:color w:val="auto"/>
              </w:rPr>
            </w:pPr>
            <w:r>
              <w:rPr>
                <w:rFonts w:ascii="Arial" w:cs="Arial" w:eastAsia="Arial" w:hAnsi="Arial"/>
                <w:sz w:val="11"/>
                <w:szCs w:val="11"/>
                <w:color w:val="auto"/>
              </w:rPr>
              <w:t>PSU25-27</w:t>
            </w:r>
          </w:p>
        </w:tc>
        <w:tc>
          <w:tcPr>
            <w:tcW w:w="760" w:type="dxa"/>
            <w:vAlign w:val="bottom"/>
          </w:tcPr>
          <w:p>
            <w:pPr>
              <w:ind w:left="100"/>
              <w:spacing w:after="0"/>
              <w:rPr>
                <w:sz w:val="20"/>
                <w:szCs w:val="20"/>
                <w:color w:val="auto"/>
              </w:rPr>
            </w:pPr>
            <w:r>
              <w:rPr>
                <w:rFonts w:ascii="Arial" w:cs="Arial" w:eastAsia="Arial" w:hAnsi="Arial"/>
                <w:sz w:val="11"/>
                <w:szCs w:val="11"/>
                <w:color w:val="auto"/>
              </w:rPr>
              <w:t>2/14/2025</w:t>
            </w:r>
          </w:p>
        </w:tc>
        <w:tc>
          <w:tcPr>
            <w:tcW w:w="920" w:type="dxa"/>
            <w:vAlign w:val="bottom"/>
          </w:tcPr>
          <w:p>
            <w:pPr>
              <w:ind w:left="120"/>
              <w:spacing w:after="0"/>
              <w:rPr>
                <w:sz w:val="20"/>
                <w:szCs w:val="20"/>
                <w:color w:val="auto"/>
              </w:rPr>
            </w:pPr>
            <w:r>
              <w:rPr>
                <w:rFonts w:ascii="Arial" w:cs="Arial" w:eastAsia="Arial" w:hAnsi="Arial"/>
                <w:sz w:val="11"/>
                <w:szCs w:val="11"/>
                <w:color w:val="auto"/>
              </w:rPr>
              <w:t>2/19/2025</w:t>
            </w: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ind w:right="46"/>
              <w:spacing w:after="0"/>
              <w:rPr>
                <w:sz w:val="20"/>
                <w:szCs w:val="20"/>
                <w:color w:val="auto"/>
              </w:rPr>
            </w:pPr>
            <w:r>
              <w:rPr>
                <w:rFonts w:ascii="Arial" w:cs="Arial" w:eastAsia="Arial" w:hAnsi="Arial"/>
                <w:sz w:val="11"/>
                <w:szCs w:val="11"/>
                <w:color w:val="auto"/>
              </w:rPr>
              <w:t>2,262</w:t>
            </w:r>
          </w:p>
        </w:tc>
        <w:tc>
          <w:tcPr>
            <w:tcW w:w="640" w:type="dxa"/>
            <w:vAlign w:val="bottom"/>
          </w:tcPr>
          <w:p>
            <w:pPr>
              <w:jc w:val="right"/>
              <w:ind w:right="146"/>
              <w:spacing w:after="0"/>
              <w:rPr>
                <w:sz w:val="20"/>
                <w:szCs w:val="20"/>
                <w:color w:val="auto"/>
              </w:rPr>
            </w:pPr>
            <w:r>
              <w:rPr>
                <w:rFonts w:ascii="Arial" w:cs="Arial" w:eastAsia="Arial" w:hAnsi="Arial"/>
                <w:sz w:val="11"/>
                <w:szCs w:val="11"/>
                <w:color w:val="auto"/>
              </w:rPr>
              <w:t>36,185</w:t>
            </w:r>
          </w:p>
        </w:tc>
        <w:tc>
          <w:tcPr>
            <w:tcW w:w="2140" w:type="dxa"/>
            <w:vAlign w:val="bottom"/>
          </w:tcPr>
          <w:p>
            <w:pPr>
              <w:jc w:val="right"/>
              <w:ind w:right="1546"/>
              <w:spacing w:after="0"/>
              <w:rPr>
                <w:sz w:val="20"/>
                <w:szCs w:val="20"/>
                <w:color w:val="auto"/>
              </w:rPr>
            </w:pPr>
            <w:r>
              <w:rPr>
                <w:rFonts w:ascii="Arial" w:cs="Arial" w:eastAsia="Arial" w:hAnsi="Arial"/>
                <w:sz w:val="11"/>
                <w:szCs w:val="11"/>
                <w:color w:val="auto"/>
              </w:rPr>
              <w:t>72,370</w:t>
            </w: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7,257,537</w:t>
            </w:r>
          </w:p>
        </w:tc>
      </w:tr>
      <w:tr>
        <w:trPr>
          <w:trHeight w:val="142"/>
        </w:trPr>
        <w:tc>
          <w:tcPr>
            <w:tcW w:w="760" w:type="dxa"/>
            <w:vAlign w:val="bottom"/>
          </w:tcPr>
          <w:p>
            <w:pPr>
              <w:spacing w:after="0"/>
              <w:rPr>
                <w:sz w:val="12"/>
                <w:szCs w:val="12"/>
                <w:color w:val="auto"/>
              </w:rPr>
            </w:pPr>
          </w:p>
        </w:tc>
        <w:tc>
          <w:tcPr>
            <w:tcW w:w="620" w:type="dxa"/>
            <w:vAlign w:val="bottom"/>
            <w:tcBorders>
              <w:bottom w:val="single" w:sz="8" w:color="939598"/>
            </w:tcBorders>
          </w:tcPr>
          <w:p>
            <w:pPr>
              <w:spacing w:after="0"/>
              <w:rPr>
                <w:sz w:val="12"/>
                <w:szCs w:val="12"/>
                <w:color w:val="auto"/>
              </w:rPr>
            </w:pPr>
          </w:p>
        </w:tc>
        <w:tc>
          <w:tcPr>
            <w:tcW w:w="760" w:type="dxa"/>
            <w:vAlign w:val="bottom"/>
            <w:tcBorders>
              <w:bottom w:val="single" w:sz="8" w:color="939598"/>
            </w:tcBorders>
          </w:tcPr>
          <w:p>
            <w:pPr>
              <w:spacing w:after="0"/>
              <w:rPr>
                <w:sz w:val="12"/>
                <w:szCs w:val="12"/>
                <w:color w:val="auto"/>
              </w:rPr>
            </w:pPr>
          </w:p>
        </w:tc>
        <w:tc>
          <w:tcPr>
            <w:tcW w:w="920" w:type="dxa"/>
            <w:vAlign w:val="bottom"/>
            <w:tcBorders>
              <w:bottom w:val="single" w:sz="8" w:color="939598"/>
            </w:tcBorders>
          </w:tcPr>
          <w:p>
            <w:pPr>
              <w:spacing w:after="0"/>
              <w:rPr>
                <w:sz w:val="12"/>
                <w:szCs w:val="12"/>
                <w:color w:val="auto"/>
              </w:rPr>
            </w:pPr>
          </w:p>
        </w:tc>
        <w:tc>
          <w:tcPr>
            <w:tcW w:w="820" w:type="dxa"/>
            <w:vAlign w:val="bottom"/>
            <w:tcBorders>
              <w:bottom w:val="single" w:sz="8" w:color="939598"/>
            </w:tcBorders>
          </w:tcPr>
          <w:p>
            <w:pPr>
              <w:spacing w:after="0"/>
              <w:rPr>
                <w:sz w:val="12"/>
                <w:szCs w:val="12"/>
                <w:color w:val="auto"/>
              </w:rPr>
            </w:pPr>
          </w:p>
        </w:tc>
        <w:tc>
          <w:tcPr>
            <w:tcW w:w="180" w:type="dxa"/>
            <w:vAlign w:val="bottom"/>
            <w:tcBorders>
              <w:bottom w:val="single" w:sz="8" w:color="939598"/>
            </w:tcBorders>
          </w:tcPr>
          <w:p>
            <w:pPr>
              <w:spacing w:after="0"/>
              <w:rPr>
                <w:sz w:val="12"/>
                <w:szCs w:val="12"/>
                <w:color w:val="auto"/>
              </w:rPr>
            </w:pPr>
          </w:p>
        </w:tc>
        <w:tc>
          <w:tcPr>
            <w:tcW w:w="600" w:type="dxa"/>
            <w:vAlign w:val="bottom"/>
            <w:tcBorders>
              <w:bottom w:val="single" w:sz="8" w:color="939598"/>
            </w:tcBorders>
          </w:tcPr>
          <w:p>
            <w:pPr>
              <w:spacing w:after="0"/>
              <w:rPr>
                <w:sz w:val="12"/>
                <w:szCs w:val="12"/>
                <w:color w:val="auto"/>
              </w:rPr>
            </w:pPr>
          </w:p>
        </w:tc>
        <w:tc>
          <w:tcPr>
            <w:tcW w:w="180" w:type="dxa"/>
            <w:vAlign w:val="bottom"/>
            <w:tcBorders>
              <w:bottom w:val="single" w:sz="8" w:color="939598"/>
            </w:tcBorders>
          </w:tcPr>
          <w:p>
            <w:pPr>
              <w:spacing w:after="0"/>
              <w:rPr>
                <w:sz w:val="12"/>
                <w:szCs w:val="12"/>
                <w:color w:val="auto"/>
              </w:rPr>
            </w:pPr>
          </w:p>
        </w:tc>
        <w:tc>
          <w:tcPr>
            <w:tcW w:w="1460" w:type="dxa"/>
            <w:vAlign w:val="bottom"/>
            <w:tcBorders>
              <w:bottom w:val="single" w:sz="8" w:color="939598"/>
            </w:tcBorders>
          </w:tcPr>
          <w:p>
            <w:pPr>
              <w:spacing w:after="0"/>
              <w:rPr>
                <w:sz w:val="12"/>
                <w:szCs w:val="12"/>
                <w:color w:val="auto"/>
              </w:rPr>
            </w:pPr>
          </w:p>
        </w:tc>
        <w:tc>
          <w:tcPr>
            <w:tcW w:w="640" w:type="dxa"/>
            <w:vAlign w:val="bottom"/>
            <w:tcBorders>
              <w:bottom w:val="single" w:sz="8" w:color="939598"/>
            </w:tcBorders>
          </w:tcPr>
          <w:p>
            <w:pPr>
              <w:spacing w:after="0"/>
              <w:rPr>
                <w:sz w:val="12"/>
                <w:szCs w:val="12"/>
                <w:color w:val="auto"/>
              </w:rPr>
            </w:pPr>
          </w:p>
        </w:tc>
        <w:tc>
          <w:tcPr>
            <w:tcW w:w="2140" w:type="dxa"/>
            <w:vAlign w:val="bottom"/>
            <w:tcBorders>
              <w:bottom w:val="single" w:sz="8" w:color="939598"/>
            </w:tcBorders>
          </w:tcPr>
          <w:p>
            <w:pPr>
              <w:spacing w:after="0"/>
              <w:rPr>
                <w:sz w:val="12"/>
                <w:szCs w:val="12"/>
                <w:color w:val="auto"/>
              </w:rPr>
            </w:pPr>
          </w:p>
        </w:tc>
        <w:tc>
          <w:tcPr>
            <w:tcW w:w="720" w:type="dxa"/>
            <w:vAlign w:val="bottom"/>
            <w:tcBorders>
              <w:bottom w:val="single" w:sz="8" w:color="939598"/>
            </w:tcBorders>
          </w:tcPr>
          <w:p>
            <w:pPr>
              <w:spacing w:after="0"/>
              <w:rPr>
                <w:sz w:val="12"/>
                <w:szCs w:val="12"/>
                <w:color w:val="auto"/>
              </w:rPr>
            </w:pPr>
          </w:p>
        </w:tc>
        <w:tc>
          <w:tcPr>
            <w:tcW w:w="640" w:type="dxa"/>
            <w:vAlign w:val="bottom"/>
            <w:tcBorders>
              <w:bottom w:val="single" w:sz="8" w:color="939598"/>
            </w:tcBorders>
          </w:tcPr>
          <w:p>
            <w:pPr>
              <w:spacing w:after="0"/>
              <w:rPr>
                <w:sz w:val="12"/>
                <w:szCs w:val="12"/>
                <w:color w:val="auto"/>
              </w:rPr>
            </w:pPr>
          </w:p>
        </w:tc>
        <w:tc>
          <w:tcPr>
            <w:tcW w:w="180" w:type="dxa"/>
            <w:vAlign w:val="bottom"/>
            <w:tcBorders>
              <w:bottom w:val="single" w:sz="8" w:color="939598"/>
            </w:tcBorders>
          </w:tcPr>
          <w:p>
            <w:pPr>
              <w:spacing w:after="0"/>
              <w:rPr>
                <w:sz w:val="12"/>
                <w:szCs w:val="12"/>
                <w:color w:val="auto"/>
              </w:rPr>
            </w:pPr>
          </w:p>
        </w:tc>
        <w:tc>
          <w:tcPr>
            <w:tcW w:w="600" w:type="dxa"/>
            <w:vAlign w:val="bottom"/>
            <w:tcBorders>
              <w:bottom w:val="single" w:sz="8" w:color="939598"/>
            </w:tcBorders>
          </w:tcPr>
          <w:p>
            <w:pPr>
              <w:spacing w:after="0"/>
              <w:rPr>
                <w:sz w:val="12"/>
                <w:szCs w:val="12"/>
                <w:color w:val="auto"/>
              </w:rPr>
            </w:pPr>
          </w:p>
        </w:tc>
      </w:tr>
      <w:tr>
        <w:trPr>
          <w:trHeight w:val="257"/>
        </w:trPr>
        <w:tc>
          <w:tcPr>
            <w:tcW w:w="760" w:type="dxa"/>
            <w:vAlign w:val="bottom"/>
          </w:tcPr>
          <w:p>
            <w:pPr>
              <w:spacing w:after="0"/>
              <w:rPr>
                <w:sz w:val="22"/>
                <w:szCs w:val="22"/>
                <w:color w:val="auto"/>
              </w:rPr>
            </w:pPr>
          </w:p>
        </w:tc>
        <w:tc>
          <w:tcPr>
            <w:tcW w:w="620" w:type="dxa"/>
            <w:vAlign w:val="bottom"/>
          </w:tcPr>
          <w:p>
            <w:pPr>
              <w:spacing w:after="0"/>
              <w:rPr>
                <w:sz w:val="20"/>
                <w:szCs w:val="20"/>
                <w:color w:val="auto"/>
              </w:rPr>
            </w:pPr>
            <w:r>
              <w:rPr>
                <w:rFonts w:ascii="Arial" w:cs="Arial" w:eastAsia="Arial" w:hAnsi="Arial"/>
                <w:sz w:val="11"/>
                <w:szCs w:val="11"/>
                <w:color w:val="auto"/>
              </w:rPr>
              <w:t>RSU</w:t>
            </w:r>
          </w:p>
        </w:tc>
        <w:tc>
          <w:tcPr>
            <w:tcW w:w="760" w:type="dxa"/>
            <w:vAlign w:val="bottom"/>
          </w:tcPr>
          <w:p>
            <w:pPr>
              <w:ind w:left="100"/>
              <w:spacing w:after="0"/>
              <w:rPr>
                <w:sz w:val="20"/>
                <w:szCs w:val="20"/>
                <w:color w:val="auto"/>
              </w:rPr>
            </w:pPr>
            <w:r>
              <w:rPr>
                <w:rFonts w:ascii="Arial" w:cs="Arial" w:eastAsia="Arial" w:hAnsi="Arial"/>
                <w:sz w:val="11"/>
                <w:szCs w:val="11"/>
                <w:color w:val="auto"/>
              </w:rPr>
              <w:t>2/14/2025</w:t>
            </w:r>
          </w:p>
        </w:tc>
        <w:tc>
          <w:tcPr>
            <w:tcW w:w="920" w:type="dxa"/>
            <w:vAlign w:val="bottom"/>
          </w:tcPr>
          <w:p>
            <w:pPr>
              <w:ind w:left="120"/>
              <w:spacing w:after="0"/>
              <w:rPr>
                <w:sz w:val="20"/>
                <w:szCs w:val="20"/>
                <w:color w:val="auto"/>
              </w:rPr>
            </w:pPr>
            <w:r>
              <w:rPr>
                <w:rFonts w:ascii="Arial" w:cs="Arial" w:eastAsia="Arial" w:hAnsi="Arial"/>
                <w:sz w:val="11"/>
                <w:szCs w:val="11"/>
                <w:color w:val="auto"/>
              </w:rPr>
              <w:t>2/19/2025</w:t>
            </w: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140" w:type="dxa"/>
            <w:vAlign w:val="bottom"/>
          </w:tcPr>
          <w:p>
            <w:pPr>
              <w:jc w:val="right"/>
              <w:ind w:right="846"/>
              <w:spacing w:after="0"/>
              <w:rPr>
                <w:sz w:val="20"/>
                <w:szCs w:val="20"/>
                <w:color w:val="auto"/>
              </w:rPr>
            </w:pPr>
            <w:r>
              <w:rPr>
                <w:rFonts w:ascii="Arial" w:cs="Arial" w:eastAsia="Arial" w:hAnsi="Arial"/>
                <w:sz w:val="11"/>
                <w:szCs w:val="11"/>
                <w:color w:val="auto"/>
              </w:rPr>
              <w:t>17,200</w:t>
            </w: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3,608,732</w:t>
            </w:r>
          </w:p>
        </w:tc>
      </w:tr>
      <w:tr>
        <w:trPr>
          <w:trHeight w:val="142"/>
        </w:trPr>
        <w:tc>
          <w:tcPr>
            <w:tcW w:w="760" w:type="dxa"/>
            <w:vAlign w:val="bottom"/>
          </w:tcPr>
          <w:p>
            <w:pPr>
              <w:spacing w:after="0"/>
              <w:rPr>
                <w:sz w:val="12"/>
                <w:szCs w:val="12"/>
                <w:color w:val="auto"/>
              </w:rPr>
            </w:pPr>
          </w:p>
        </w:tc>
        <w:tc>
          <w:tcPr>
            <w:tcW w:w="620" w:type="dxa"/>
            <w:vAlign w:val="bottom"/>
            <w:tcBorders>
              <w:bottom w:val="single" w:sz="8" w:color="939598"/>
            </w:tcBorders>
          </w:tcPr>
          <w:p>
            <w:pPr>
              <w:spacing w:after="0"/>
              <w:rPr>
                <w:sz w:val="12"/>
                <w:szCs w:val="12"/>
                <w:color w:val="auto"/>
              </w:rPr>
            </w:pPr>
          </w:p>
        </w:tc>
        <w:tc>
          <w:tcPr>
            <w:tcW w:w="760" w:type="dxa"/>
            <w:vAlign w:val="bottom"/>
            <w:tcBorders>
              <w:bottom w:val="single" w:sz="8" w:color="939598"/>
            </w:tcBorders>
          </w:tcPr>
          <w:p>
            <w:pPr>
              <w:spacing w:after="0"/>
              <w:rPr>
                <w:sz w:val="12"/>
                <w:szCs w:val="12"/>
                <w:color w:val="auto"/>
              </w:rPr>
            </w:pPr>
          </w:p>
        </w:tc>
        <w:tc>
          <w:tcPr>
            <w:tcW w:w="920" w:type="dxa"/>
            <w:vAlign w:val="bottom"/>
            <w:tcBorders>
              <w:bottom w:val="single" w:sz="8" w:color="939598"/>
            </w:tcBorders>
          </w:tcPr>
          <w:p>
            <w:pPr>
              <w:spacing w:after="0"/>
              <w:rPr>
                <w:sz w:val="12"/>
                <w:szCs w:val="12"/>
                <w:color w:val="auto"/>
              </w:rPr>
            </w:pPr>
          </w:p>
        </w:tc>
        <w:tc>
          <w:tcPr>
            <w:tcW w:w="820" w:type="dxa"/>
            <w:vAlign w:val="bottom"/>
            <w:tcBorders>
              <w:bottom w:val="single" w:sz="8" w:color="939598"/>
            </w:tcBorders>
          </w:tcPr>
          <w:p>
            <w:pPr>
              <w:spacing w:after="0"/>
              <w:rPr>
                <w:sz w:val="12"/>
                <w:szCs w:val="12"/>
                <w:color w:val="auto"/>
              </w:rPr>
            </w:pPr>
          </w:p>
        </w:tc>
        <w:tc>
          <w:tcPr>
            <w:tcW w:w="180" w:type="dxa"/>
            <w:vAlign w:val="bottom"/>
            <w:tcBorders>
              <w:bottom w:val="single" w:sz="8" w:color="939598"/>
            </w:tcBorders>
          </w:tcPr>
          <w:p>
            <w:pPr>
              <w:spacing w:after="0"/>
              <w:rPr>
                <w:sz w:val="12"/>
                <w:szCs w:val="12"/>
                <w:color w:val="auto"/>
              </w:rPr>
            </w:pPr>
          </w:p>
        </w:tc>
        <w:tc>
          <w:tcPr>
            <w:tcW w:w="600" w:type="dxa"/>
            <w:vAlign w:val="bottom"/>
            <w:tcBorders>
              <w:bottom w:val="single" w:sz="8" w:color="939598"/>
            </w:tcBorders>
          </w:tcPr>
          <w:p>
            <w:pPr>
              <w:spacing w:after="0"/>
              <w:rPr>
                <w:sz w:val="12"/>
                <w:szCs w:val="12"/>
                <w:color w:val="auto"/>
              </w:rPr>
            </w:pPr>
          </w:p>
        </w:tc>
        <w:tc>
          <w:tcPr>
            <w:tcW w:w="180" w:type="dxa"/>
            <w:vAlign w:val="bottom"/>
            <w:tcBorders>
              <w:bottom w:val="single" w:sz="8" w:color="939598"/>
            </w:tcBorders>
          </w:tcPr>
          <w:p>
            <w:pPr>
              <w:spacing w:after="0"/>
              <w:rPr>
                <w:sz w:val="12"/>
                <w:szCs w:val="12"/>
                <w:color w:val="auto"/>
              </w:rPr>
            </w:pPr>
          </w:p>
        </w:tc>
        <w:tc>
          <w:tcPr>
            <w:tcW w:w="1460" w:type="dxa"/>
            <w:vAlign w:val="bottom"/>
            <w:tcBorders>
              <w:bottom w:val="single" w:sz="8" w:color="939598"/>
            </w:tcBorders>
          </w:tcPr>
          <w:p>
            <w:pPr>
              <w:spacing w:after="0"/>
              <w:rPr>
                <w:sz w:val="12"/>
                <w:szCs w:val="12"/>
                <w:color w:val="auto"/>
              </w:rPr>
            </w:pPr>
          </w:p>
        </w:tc>
        <w:tc>
          <w:tcPr>
            <w:tcW w:w="640" w:type="dxa"/>
            <w:vAlign w:val="bottom"/>
            <w:tcBorders>
              <w:bottom w:val="single" w:sz="8" w:color="939598"/>
            </w:tcBorders>
          </w:tcPr>
          <w:p>
            <w:pPr>
              <w:spacing w:after="0"/>
              <w:rPr>
                <w:sz w:val="12"/>
                <w:szCs w:val="12"/>
                <w:color w:val="auto"/>
              </w:rPr>
            </w:pPr>
          </w:p>
        </w:tc>
        <w:tc>
          <w:tcPr>
            <w:tcW w:w="2140" w:type="dxa"/>
            <w:vAlign w:val="bottom"/>
            <w:tcBorders>
              <w:bottom w:val="single" w:sz="8" w:color="939598"/>
            </w:tcBorders>
          </w:tcPr>
          <w:p>
            <w:pPr>
              <w:spacing w:after="0"/>
              <w:rPr>
                <w:sz w:val="12"/>
                <w:szCs w:val="12"/>
                <w:color w:val="auto"/>
              </w:rPr>
            </w:pPr>
          </w:p>
        </w:tc>
        <w:tc>
          <w:tcPr>
            <w:tcW w:w="720" w:type="dxa"/>
            <w:vAlign w:val="bottom"/>
            <w:tcBorders>
              <w:bottom w:val="single" w:sz="8" w:color="939598"/>
            </w:tcBorders>
          </w:tcPr>
          <w:p>
            <w:pPr>
              <w:spacing w:after="0"/>
              <w:rPr>
                <w:sz w:val="12"/>
                <w:szCs w:val="12"/>
                <w:color w:val="auto"/>
              </w:rPr>
            </w:pPr>
          </w:p>
        </w:tc>
        <w:tc>
          <w:tcPr>
            <w:tcW w:w="640" w:type="dxa"/>
            <w:vAlign w:val="bottom"/>
            <w:tcBorders>
              <w:bottom w:val="single" w:sz="8" w:color="939598"/>
            </w:tcBorders>
          </w:tcPr>
          <w:p>
            <w:pPr>
              <w:spacing w:after="0"/>
              <w:rPr>
                <w:sz w:val="12"/>
                <w:szCs w:val="12"/>
                <w:color w:val="auto"/>
              </w:rPr>
            </w:pPr>
          </w:p>
        </w:tc>
        <w:tc>
          <w:tcPr>
            <w:tcW w:w="180" w:type="dxa"/>
            <w:vAlign w:val="bottom"/>
            <w:tcBorders>
              <w:bottom w:val="single" w:sz="8" w:color="939598"/>
            </w:tcBorders>
          </w:tcPr>
          <w:p>
            <w:pPr>
              <w:spacing w:after="0"/>
              <w:rPr>
                <w:sz w:val="12"/>
                <w:szCs w:val="12"/>
                <w:color w:val="auto"/>
              </w:rPr>
            </w:pPr>
          </w:p>
        </w:tc>
        <w:tc>
          <w:tcPr>
            <w:tcW w:w="600" w:type="dxa"/>
            <w:vAlign w:val="bottom"/>
            <w:tcBorders>
              <w:bottom w:val="single" w:sz="8" w:color="939598"/>
            </w:tcBorders>
          </w:tcPr>
          <w:p>
            <w:pPr>
              <w:spacing w:after="0"/>
              <w:rPr>
                <w:sz w:val="12"/>
                <w:szCs w:val="12"/>
                <w:color w:val="auto"/>
              </w:rPr>
            </w:pPr>
          </w:p>
        </w:tc>
      </w:tr>
      <w:tr>
        <w:trPr>
          <w:trHeight w:val="300"/>
        </w:trPr>
        <w:tc>
          <w:tcPr>
            <w:tcW w:w="76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1"/>
                <w:szCs w:val="11"/>
                <w:color w:val="auto"/>
              </w:rPr>
              <w:t>RSU</w:t>
            </w:r>
            <w:r>
              <w:rPr>
                <w:rFonts w:ascii="Arial" w:cs="Arial" w:eastAsia="Arial" w:hAnsi="Arial"/>
                <w:sz w:val="14"/>
                <w:szCs w:val="14"/>
                <w:color w:val="auto"/>
                <w:vertAlign w:val="superscript"/>
              </w:rPr>
              <w:t>(7)</w:t>
            </w:r>
          </w:p>
        </w:tc>
        <w:tc>
          <w:tcPr>
            <w:tcW w:w="760" w:type="dxa"/>
            <w:vAlign w:val="bottom"/>
          </w:tcPr>
          <w:p>
            <w:pPr>
              <w:ind w:left="100"/>
              <w:spacing w:after="0"/>
              <w:rPr>
                <w:sz w:val="20"/>
                <w:szCs w:val="20"/>
                <w:color w:val="auto"/>
              </w:rPr>
            </w:pPr>
            <w:r>
              <w:rPr>
                <w:rFonts w:ascii="Arial" w:cs="Arial" w:eastAsia="Arial" w:hAnsi="Arial"/>
                <w:sz w:val="11"/>
                <w:szCs w:val="11"/>
                <w:color w:val="auto"/>
              </w:rPr>
              <w:t>2/14/2025</w:t>
            </w:r>
          </w:p>
        </w:tc>
        <w:tc>
          <w:tcPr>
            <w:tcW w:w="920" w:type="dxa"/>
            <w:vAlign w:val="bottom"/>
          </w:tcPr>
          <w:p>
            <w:pPr>
              <w:ind w:left="120"/>
              <w:spacing w:after="0"/>
              <w:rPr>
                <w:sz w:val="20"/>
                <w:szCs w:val="20"/>
                <w:color w:val="auto"/>
              </w:rPr>
            </w:pPr>
            <w:r>
              <w:rPr>
                <w:rFonts w:ascii="Arial" w:cs="Arial" w:eastAsia="Arial" w:hAnsi="Arial"/>
                <w:sz w:val="11"/>
                <w:szCs w:val="11"/>
                <w:color w:val="auto"/>
              </w:rPr>
              <w:t>2/19/2025</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40" w:type="dxa"/>
            <w:vAlign w:val="bottom"/>
          </w:tcPr>
          <w:p>
            <w:pPr>
              <w:jc w:val="right"/>
              <w:ind w:right="806"/>
              <w:spacing w:after="0"/>
              <w:rPr>
                <w:sz w:val="20"/>
                <w:szCs w:val="20"/>
                <w:color w:val="auto"/>
              </w:rPr>
            </w:pPr>
            <w:r>
              <w:rPr>
                <w:rFonts w:ascii="Arial" w:cs="Arial" w:eastAsia="Arial" w:hAnsi="Arial"/>
                <w:sz w:val="11"/>
                <w:szCs w:val="11"/>
                <w:color w:val="auto"/>
              </w:rPr>
              <w:t>5,720</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99"/>
        </w:trPr>
        <w:tc>
          <w:tcPr>
            <w:tcW w:w="760" w:type="dxa"/>
            <w:vAlign w:val="bottom"/>
            <w:tcBorders>
              <w:bottom w:val="single" w:sz="8" w:color="939598"/>
            </w:tcBorders>
          </w:tcPr>
          <w:p>
            <w:pPr>
              <w:spacing w:after="0"/>
              <w:rPr>
                <w:sz w:val="8"/>
                <w:szCs w:val="8"/>
                <w:color w:val="auto"/>
              </w:rPr>
            </w:pPr>
          </w:p>
        </w:tc>
        <w:tc>
          <w:tcPr>
            <w:tcW w:w="620" w:type="dxa"/>
            <w:vAlign w:val="bottom"/>
            <w:tcBorders>
              <w:bottom w:val="single" w:sz="8" w:color="939598"/>
            </w:tcBorders>
          </w:tcPr>
          <w:p>
            <w:pPr>
              <w:spacing w:after="0"/>
              <w:rPr>
                <w:sz w:val="8"/>
                <w:szCs w:val="8"/>
                <w:color w:val="auto"/>
              </w:rPr>
            </w:pPr>
          </w:p>
        </w:tc>
        <w:tc>
          <w:tcPr>
            <w:tcW w:w="760" w:type="dxa"/>
            <w:vAlign w:val="bottom"/>
            <w:tcBorders>
              <w:bottom w:val="single" w:sz="8" w:color="939598"/>
            </w:tcBorders>
          </w:tcPr>
          <w:p>
            <w:pPr>
              <w:spacing w:after="0"/>
              <w:rPr>
                <w:sz w:val="8"/>
                <w:szCs w:val="8"/>
                <w:color w:val="auto"/>
              </w:rPr>
            </w:pPr>
          </w:p>
        </w:tc>
        <w:tc>
          <w:tcPr>
            <w:tcW w:w="920" w:type="dxa"/>
            <w:vAlign w:val="bottom"/>
            <w:tcBorders>
              <w:bottom w:val="single" w:sz="8" w:color="939598"/>
            </w:tcBorders>
          </w:tcPr>
          <w:p>
            <w:pPr>
              <w:spacing w:after="0"/>
              <w:rPr>
                <w:sz w:val="8"/>
                <w:szCs w:val="8"/>
                <w:color w:val="auto"/>
              </w:rPr>
            </w:pPr>
          </w:p>
        </w:tc>
        <w:tc>
          <w:tcPr>
            <w:tcW w:w="820" w:type="dxa"/>
            <w:vAlign w:val="bottom"/>
            <w:tcBorders>
              <w:bottom w:val="single" w:sz="8" w:color="939598"/>
            </w:tcBorders>
          </w:tcPr>
          <w:p>
            <w:pPr>
              <w:spacing w:after="0"/>
              <w:rPr>
                <w:sz w:val="8"/>
                <w:szCs w:val="8"/>
                <w:color w:val="auto"/>
              </w:rPr>
            </w:pPr>
          </w:p>
        </w:tc>
        <w:tc>
          <w:tcPr>
            <w:tcW w:w="180" w:type="dxa"/>
            <w:vAlign w:val="bottom"/>
            <w:tcBorders>
              <w:bottom w:val="single" w:sz="8" w:color="939598"/>
            </w:tcBorders>
          </w:tcPr>
          <w:p>
            <w:pPr>
              <w:spacing w:after="0"/>
              <w:rPr>
                <w:sz w:val="8"/>
                <w:szCs w:val="8"/>
                <w:color w:val="auto"/>
              </w:rPr>
            </w:pPr>
          </w:p>
        </w:tc>
        <w:tc>
          <w:tcPr>
            <w:tcW w:w="600" w:type="dxa"/>
            <w:vAlign w:val="bottom"/>
            <w:tcBorders>
              <w:bottom w:val="single" w:sz="8" w:color="939598"/>
            </w:tcBorders>
          </w:tcPr>
          <w:p>
            <w:pPr>
              <w:spacing w:after="0"/>
              <w:rPr>
                <w:sz w:val="8"/>
                <w:szCs w:val="8"/>
                <w:color w:val="auto"/>
              </w:rPr>
            </w:pPr>
          </w:p>
        </w:tc>
        <w:tc>
          <w:tcPr>
            <w:tcW w:w="180" w:type="dxa"/>
            <w:vAlign w:val="bottom"/>
            <w:tcBorders>
              <w:bottom w:val="single" w:sz="8" w:color="939598"/>
            </w:tcBorders>
          </w:tcPr>
          <w:p>
            <w:pPr>
              <w:spacing w:after="0"/>
              <w:rPr>
                <w:sz w:val="8"/>
                <w:szCs w:val="8"/>
                <w:color w:val="auto"/>
              </w:rPr>
            </w:pPr>
          </w:p>
        </w:tc>
        <w:tc>
          <w:tcPr>
            <w:tcW w:w="1460" w:type="dxa"/>
            <w:vAlign w:val="bottom"/>
            <w:tcBorders>
              <w:bottom w:val="single" w:sz="8" w:color="939598"/>
            </w:tcBorders>
          </w:tcPr>
          <w:p>
            <w:pPr>
              <w:spacing w:after="0"/>
              <w:rPr>
                <w:sz w:val="8"/>
                <w:szCs w:val="8"/>
                <w:color w:val="auto"/>
              </w:rPr>
            </w:pPr>
          </w:p>
        </w:tc>
        <w:tc>
          <w:tcPr>
            <w:tcW w:w="640" w:type="dxa"/>
            <w:vAlign w:val="bottom"/>
            <w:tcBorders>
              <w:bottom w:val="single" w:sz="8" w:color="939598"/>
            </w:tcBorders>
          </w:tcPr>
          <w:p>
            <w:pPr>
              <w:spacing w:after="0"/>
              <w:rPr>
                <w:sz w:val="8"/>
                <w:szCs w:val="8"/>
                <w:color w:val="auto"/>
              </w:rPr>
            </w:pPr>
          </w:p>
        </w:tc>
        <w:tc>
          <w:tcPr>
            <w:tcW w:w="2140" w:type="dxa"/>
            <w:vAlign w:val="bottom"/>
            <w:tcBorders>
              <w:bottom w:val="single" w:sz="8" w:color="939598"/>
            </w:tcBorders>
          </w:tcPr>
          <w:p>
            <w:pPr>
              <w:spacing w:after="0"/>
              <w:rPr>
                <w:sz w:val="8"/>
                <w:szCs w:val="8"/>
                <w:color w:val="auto"/>
              </w:rPr>
            </w:pPr>
          </w:p>
        </w:tc>
        <w:tc>
          <w:tcPr>
            <w:tcW w:w="720" w:type="dxa"/>
            <w:vAlign w:val="bottom"/>
            <w:tcBorders>
              <w:bottom w:val="single" w:sz="8" w:color="939598"/>
            </w:tcBorders>
          </w:tcPr>
          <w:p>
            <w:pPr>
              <w:spacing w:after="0"/>
              <w:rPr>
                <w:sz w:val="8"/>
                <w:szCs w:val="8"/>
                <w:color w:val="auto"/>
              </w:rPr>
            </w:pPr>
          </w:p>
        </w:tc>
        <w:tc>
          <w:tcPr>
            <w:tcW w:w="640" w:type="dxa"/>
            <w:vAlign w:val="bottom"/>
            <w:tcBorders>
              <w:bottom w:val="single" w:sz="8" w:color="939598"/>
            </w:tcBorders>
          </w:tcPr>
          <w:p>
            <w:pPr>
              <w:spacing w:after="0"/>
              <w:rPr>
                <w:sz w:val="8"/>
                <w:szCs w:val="8"/>
                <w:color w:val="auto"/>
              </w:rPr>
            </w:pPr>
          </w:p>
        </w:tc>
        <w:tc>
          <w:tcPr>
            <w:tcW w:w="180" w:type="dxa"/>
            <w:vAlign w:val="bottom"/>
            <w:tcBorders>
              <w:bottom w:val="single" w:sz="8" w:color="939598"/>
            </w:tcBorders>
          </w:tcPr>
          <w:p>
            <w:pPr>
              <w:spacing w:after="0"/>
              <w:rPr>
                <w:sz w:val="8"/>
                <w:szCs w:val="8"/>
                <w:color w:val="auto"/>
              </w:rPr>
            </w:pPr>
          </w:p>
        </w:tc>
        <w:tc>
          <w:tcPr>
            <w:tcW w:w="600" w:type="dxa"/>
            <w:vAlign w:val="bottom"/>
            <w:tcBorders>
              <w:bottom w:val="single" w:sz="8" w:color="939598"/>
            </w:tcBorders>
          </w:tcPr>
          <w:p>
            <w:pPr>
              <w:spacing w:after="0"/>
              <w:rPr>
                <w:sz w:val="8"/>
                <w:szCs w:val="8"/>
                <w:color w:val="auto"/>
              </w:rPr>
            </w:pPr>
          </w:p>
        </w:tc>
      </w:tr>
      <w:tr>
        <w:trPr>
          <w:trHeight w:val="250"/>
        </w:trPr>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Michal</w:t>
            </w:r>
          </w:p>
        </w:tc>
        <w:tc>
          <w:tcPr>
            <w:tcW w:w="620" w:type="dxa"/>
            <w:vAlign w:val="bottom"/>
          </w:tcPr>
          <w:p>
            <w:pPr>
              <w:spacing w:after="0"/>
              <w:rPr>
                <w:sz w:val="20"/>
                <w:szCs w:val="20"/>
                <w:color w:val="auto"/>
              </w:rPr>
            </w:pPr>
            <w:r>
              <w:rPr>
                <w:rFonts w:ascii="Arial" w:cs="Arial" w:eastAsia="Arial" w:hAnsi="Arial"/>
                <w:sz w:val="11"/>
                <w:szCs w:val="11"/>
                <w:color w:val="auto"/>
              </w:rPr>
              <w:t>ICP</w:t>
            </w: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8,549</w:t>
            </w:r>
          </w:p>
        </w:tc>
        <w:tc>
          <w:tcPr>
            <w:tcW w:w="180" w:type="dxa"/>
            <w:vAlign w:val="bottom"/>
          </w:tcPr>
          <w:p>
            <w:pPr>
              <w:spacing w:after="0"/>
              <w:rPr>
                <w:sz w:val="21"/>
                <w:szCs w:val="21"/>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854,890</w:t>
            </w:r>
          </w:p>
        </w:tc>
        <w:tc>
          <w:tcPr>
            <w:tcW w:w="180" w:type="dxa"/>
            <w:vAlign w:val="bottom"/>
          </w:tcPr>
          <w:p>
            <w:pPr>
              <w:spacing w:after="0"/>
              <w:rPr>
                <w:sz w:val="21"/>
                <w:szCs w:val="21"/>
                <w:color w:val="auto"/>
              </w:rPr>
            </w:pPr>
          </w:p>
        </w:tc>
        <w:tc>
          <w:tcPr>
            <w:tcW w:w="1460" w:type="dxa"/>
            <w:vAlign w:val="bottom"/>
          </w:tcPr>
          <w:p>
            <w:pPr>
              <w:jc w:val="right"/>
              <w:ind w:right="846"/>
              <w:spacing w:after="0"/>
              <w:rPr>
                <w:sz w:val="20"/>
                <w:szCs w:val="20"/>
                <w:color w:val="auto"/>
              </w:rPr>
            </w:pPr>
            <w:r>
              <w:rPr>
                <w:rFonts w:ascii="Arial" w:cs="Arial" w:eastAsia="Arial" w:hAnsi="Arial"/>
                <w:sz w:val="11"/>
                <w:szCs w:val="11"/>
                <w:color w:val="auto"/>
              </w:rPr>
              <w:t>1,709,780</w:t>
            </w:r>
          </w:p>
        </w:tc>
        <w:tc>
          <w:tcPr>
            <w:tcW w:w="6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148"/>
        </w:trPr>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Stepniak</w:t>
            </w:r>
          </w:p>
        </w:tc>
        <w:tc>
          <w:tcPr>
            <w:tcW w:w="620" w:type="dxa"/>
            <w:vAlign w:val="bottom"/>
            <w:tcBorders>
              <w:bottom w:val="single" w:sz="8" w:color="939598"/>
            </w:tcBorders>
          </w:tcPr>
          <w:p>
            <w:pPr>
              <w:spacing w:after="0"/>
              <w:rPr>
                <w:sz w:val="12"/>
                <w:szCs w:val="12"/>
                <w:color w:val="auto"/>
              </w:rPr>
            </w:pPr>
          </w:p>
        </w:tc>
        <w:tc>
          <w:tcPr>
            <w:tcW w:w="760" w:type="dxa"/>
            <w:vAlign w:val="bottom"/>
            <w:tcBorders>
              <w:bottom w:val="single" w:sz="8" w:color="939598"/>
            </w:tcBorders>
          </w:tcPr>
          <w:p>
            <w:pPr>
              <w:spacing w:after="0"/>
              <w:rPr>
                <w:sz w:val="12"/>
                <w:szCs w:val="12"/>
                <w:color w:val="auto"/>
              </w:rPr>
            </w:pPr>
          </w:p>
        </w:tc>
        <w:tc>
          <w:tcPr>
            <w:tcW w:w="920" w:type="dxa"/>
            <w:vAlign w:val="bottom"/>
            <w:tcBorders>
              <w:bottom w:val="single" w:sz="8" w:color="939598"/>
            </w:tcBorders>
          </w:tcPr>
          <w:p>
            <w:pPr>
              <w:spacing w:after="0"/>
              <w:rPr>
                <w:sz w:val="12"/>
                <w:szCs w:val="12"/>
                <w:color w:val="auto"/>
              </w:rPr>
            </w:pPr>
          </w:p>
        </w:tc>
        <w:tc>
          <w:tcPr>
            <w:tcW w:w="820" w:type="dxa"/>
            <w:vAlign w:val="bottom"/>
            <w:tcBorders>
              <w:bottom w:val="single" w:sz="8" w:color="939598"/>
            </w:tcBorders>
          </w:tcPr>
          <w:p>
            <w:pPr>
              <w:spacing w:after="0"/>
              <w:rPr>
                <w:sz w:val="12"/>
                <w:szCs w:val="12"/>
                <w:color w:val="auto"/>
              </w:rPr>
            </w:pPr>
          </w:p>
        </w:tc>
        <w:tc>
          <w:tcPr>
            <w:tcW w:w="180" w:type="dxa"/>
            <w:vAlign w:val="bottom"/>
            <w:tcBorders>
              <w:bottom w:val="single" w:sz="8" w:color="939598"/>
            </w:tcBorders>
          </w:tcPr>
          <w:p>
            <w:pPr>
              <w:spacing w:after="0"/>
              <w:rPr>
                <w:sz w:val="12"/>
                <w:szCs w:val="12"/>
                <w:color w:val="auto"/>
              </w:rPr>
            </w:pPr>
          </w:p>
        </w:tc>
        <w:tc>
          <w:tcPr>
            <w:tcW w:w="600" w:type="dxa"/>
            <w:vAlign w:val="bottom"/>
            <w:tcBorders>
              <w:bottom w:val="single" w:sz="8" w:color="939598"/>
            </w:tcBorders>
          </w:tcPr>
          <w:p>
            <w:pPr>
              <w:spacing w:after="0"/>
              <w:rPr>
                <w:sz w:val="12"/>
                <w:szCs w:val="12"/>
                <w:color w:val="auto"/>
              </w:rPr>
            </w:pPr>
          </w:p>
        </w:tc>
        <w:tc>
          <w:tcPr>
            <w:tcW w:w="180" w:type="dxa"/>
            <w:vAlign w:val="bottom"/>
            <w:tcBorders>
              <w:bottom w:val="single" w:sz="8" w:color="939598"/>
            </w:tcBorders>
          </w:tcPr>
          <w:p>
            <w:pPr>
              <w:spacing w:after="0"/>
              <w:rPr>
                <w:sz w:val="12"/>
                <w:szCs w:val="12"/>
                <w:color w:val="auto"/>
              </w:rPr>
            </w:pPr>
          </w:p>
        </w:tc>
        <w:tc>
          <w:tcPr>
            <w:tcW w:w="1460" w:type="dxa"/>
            <w:vAlign w:val="bottom"/>
            <w:tcBorders>
              <w:bottom w:val="single" w:sz="8" w:color="939598"/>
            </w:tcBorders>
          </w:tcPr>
          <w:p>
            <w:pPr>
              <w:spacing w:after="0"/>
              <w:rPr>
                <w:sz w:val="12"/>
                <w:szCs w:val="12"/>
                <w:color w:val="auto"/>
              </w:rPr>
            </w:pPr>
          </w:p>
        </w:tc>
        <w:tc>
          <w:tcPr>
            <w:tcW w:w="640" w:type="dxa"/>
            <w:vAlign w:val="bottom"/>
            <w:tcBorders>
              <w:bottom w:val="single" w:sz="8" w:color="939598"/>
            </w:tcBorders>
          </w:tcPr>
          <w:p>
            <w:pPr>
              <w:spacing w:after="0"/>
              <w:rPr>
                <w:sz w:val="12"/>
                <w:szCs w:val="12"/>
                <w:color w:val="auto"/>
              </w:rPr>
            </w:pPr>
          </w:p>
        </w:tc>
        <w:tc>
          <w:tcPr>
            <w:tcW w:w="2140" w:type="dxa"/>
            <w:vAlign w:val="bottom"/>
            <w:tcBorders>
              <w:bottom w:val="single" w:sz="8" w:color="939598"/>
            </w:tcBorders>
          </w:tcPr>
          <w:p>
            <w:pPr>
              <w:spacing w:after="0"/>
              <w:rPr>
                <w:sz w:val="12"/>
                <w:szCs w:val="12"/>
                <w:color w:val="auto"/>
              </w:rPr>
            </w:pPr>
          </w:p>
        </w:tc>
        <w:tc>
          <w:tcPr>
            <w:tcW w:w="720" w:type="dxa"/>
            <w:vAlign w:val="bottom"/>
            <w:tcBorders>
              <w:bottom w:val="single" w:sz="8" w:color="939598"/>
            </w:tcBorders>
          </w:tcPr>
          <w:p>
            <w:pPr>
              <w:spacing w:after="0"/>
              <w:rPr>
                <w:sz w:val="12"/>
                <w:szCs w:val="12"/>
                <w:color w:val="auto"/>
              </w:rPr>
            </w:pPr>
          </w:p>
        </w:tc>
        <w:tc>
          <w:tcPr>
            <w:tcW w:w="640" w:type="dxa"/>
            <w:vAlign w:val="bottom"/>
            <w:tcBorders>
              <w:bottom w:val="single" w:sz="8" w:color="939598"/>
            </w:tcBorders>
          </w:tcPr>
          <w:p>
            <w:pPr>
              <w:spacing w:after="0"/>
              <w:rPr>
                <w:sz w:val="12"/>
                <w:szCs w:val="12"/>
                <w:color w:val="auto"/>
              </w:rPr>
            </w:pPr>
          </w:p>
        </w:tc>
        <w:tc>
          <w:tcPr>
            <w:tcW w:w="180" w:type="dxa"/>
            <w:vAlign w:val="bottom"/>
            <w:tcBorders>
              <w:bottom w:val="single" w:sz="8" w:color="939598"/>
            </w:tcBorders>
          </w:tcPr>
          <w:p>
            <w:pPr>
              <w:spacing w:after="0"/>
              <w:rPr>
                <w:sz w:val="12"/>
                <w:szCs w:val="12"/>
                <w:color w:val="auto"/>
              </w:rPr>
            </w:pPr>
          </w:p>
        </w:tc>
        <w:tc>
          <w:tcPr>
            <w:tcW w:w="600" w:type="dxa"/>
            <w:vAlign w:val="bottom"/>
            <w:tcBorders>
              <w:bottom w:val="single" w:sz="8" w:color="939598"/>
            </w:tcBorders>
          </w:tcPr>
          <w:p>
            <w:pPr>
              <w:spacing w:after="0"/>
              <w:rPr>
                <w:sz w:val="12"/>
                <w:szCs w:val="12"/>
                <w:color w:val="auto"/>
              </w:rPr>
            </w:pPr>
          </w:p>
        </w:tc>
      </w:tr>
      <w:tr>
        <w:trPr>
          <w:trHeight w:val="257"/>
        </w:trPr>
        <w:tc>
          <w:tcPr>
            <w:tcW w:w="760" w:type="dxa"/>
            <w:vAlign w:val="bottom"/>
          </w:tcPr>
          <w:p>
            <w:pPr>
              <w:spacing w:after="0"/>
              <w:rPr>
                <w:sz w:val="22"/>
                <w:szCs w:val="22"/>
                <w:color w:val="auto"/>
              </w:rPr>
            </w:pPr>
          </w:p>
        </w:tc>
        <w:tc>
          <w:tcPr>
            <w:tcW w:w="620" w:type="dxa"/>
            <w:vAlign w:val="bottom"/>
          </w:tcPr>
          <w:p>
            <w:pPr>
              <w:spacing w:after="0"/>
              <w:rPr>
                <w:sz w:val="20"/>
                <w:szCs w:val="20"/>
                <w:color w:val="auto"/>
              </w:rPr>
            </w:pPr>
            <w:r>
              <w:rPr>
                <w:rFonts w:ascii="Arial" w:cs="Arial" w:eastAsia="Arial" w:hAnsi="Arial"/>
                <w:sz w:val="11"/>
                <w:szCs w:val="11"/>
                <w:color w:val="auto"/>
              </w:rPr>
              <w:t>NQSO</w:t>
            </w:r>
          </w:p>
        </w:tc>
        <w:tc>
          <w:tcPr>
            <w:tcW w:w="760" w:type="dxa"/>
            <w:vAlign w:val="bottom"/>
          </w:tcPr>
          <w:p>
            <w:pPr>
              <w:ind w:left="100"/>
              <w:spacing w:after="0"/>
              <w:rPr>
                <w:sz w:val="20"/>
                <w:szCs w:val="20"/>
                <w:color w:val="auto"/>
              </w:rPr>
            </w:pPr>
            <w:r>
              <w:rPr>
                <w:rFonts w:ascii="Arial" w:cs="Arial" w:eastAsia="Arial" w:hAnsi="Arial"/>
                <w:sz w:val="11"/>
                <w:szCs w:val="11"/>
                <w:color w:val="auto"/>
              </w:rPr>
              <w:t>2/13/2025</w:t>
            </w:r>
          </w:p>
        </w:tc>
        <w:tc>
          <w:tcPr>
            <w:tcW w:w="920" w:type="dxa"/>
            <w:vAlign w:val="bottom"/>
          </w:tcPr>
          <w:p>
            <w:pPr>
              <w:ind w:left="120"/>
              <w:spacing w:after="0"/>
              <w:rPr>
                <w:sz w:val="20"/>
                <w:szCs w:val="20"/>
                <w:color w:val="auto"/>
              </w:rPr>
            </w:pPr>
            <w:r>
              <w:rPr>
                <w:rFonts w:ascii="Arial" w:cs="Arial" w:eastAsia="Arial" w:hAnsi="Arial"/>
                <w:sz w:val="11"/>
                <w:szCs w:val="11"/>
                <w:color w:val="auto"/>
              </w:rPr>
              <w:t>2/19/2025</w:t>
            </w: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140" w:type="dxa"/>
            <w:vAlign w:val="bottom"/>
          </w:tcPr>
          <w:p>
            <w:pPr>
              <w:jc w:val="right"/>
              <w:ind w:right="66"/>
              <w:spacing w:after="0"/>
              <w:rPr>
                <w:sz w:val="20"/>
                <w:szCs w:val="20"/>
                <w:color w:val="auto"/>
              </w:rPr>
            </w:pPr>
            <w:r>
              <w:rPr>
                <w:rFonts w:ascii="Arial" w:cs="Arial" w:eastAsia="Arial" w:hAnsi="Arial"/>
                <w:sz w:val="11"/>
                <w:szCs w:val="11"/>
                <w:color w:val="auto"/>
              </w:rPr>
              <w:t>21,600</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209.81</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210.81</w:t>
            </w:r>
          </w:p>
        </w:tc>
        <w:tc>
          <w:tcPr>
            <w:tcW w:w="180" w:type="dxa"/>
            <w:vAlign w:val="bottom"/>
          </w:tcPr>
          <w:p>
            <w:pPr>
              <w:spacing w:after="0"/>
              <w:rPr>
                <w:sz w:val="22"/>
                <w:szCs w:val="2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946,512</w:t>
            </w:r>
          </w:p>
        </w:tc>
      </w:tr>
      <w:tr>
        <w:trPr>
          <w:trHeight w:val="141"/>
        </w:trPr>
        <w:tc>
          <w:tcPr>
            <w:tcW w:w="760" w:type="dxa"/>
            <w:vAlign w:val="bottom"/>
          </w:tcPr>
          <w:p>
            <w:pPr>
              <w:spacing w:after="0"/>
              <w:rPr>
                <w:sz w:val="12"/>
                <w:szCs w:val="12"/>
                <w:color w:val="auto"/>
              </w:rPr>
            </w:pPr>
          </w:p>
        </w:tc>
        <w:tc>
          <w:tcPr>
            <w:tcW w:w="620" w:type="dxa"/>
            <w:vAlign w:val="bottom"/>
            <w:tcBorders>
              <w:bottom w:val="single" w:sz="8" w:color="939598"/>
            </w:tcBorders>
          </w:tcPr>
          <w:p>
            <w:pPr>
              <w:spacing w:after="0"/>
              <w:rPr>
                <w:sz w:val="12"/>
                <w:szCs w:val="12"/>
                <w:color w:val="auto"/>
              </w:rPr>
            </w:pPr>
          </w:p>
        </w:tc>
        <w:tc>
          <w:tcPr>
            <w:tcW w:w="760" w:type="dxa"/>
            <w:vAlign w:val="bottom"/>
            <w:tcBorders>
              <w:bottom w:val="single" w:sz="8" w:color="939598"/>
            </w:tcBorders>
          </w:tcPr>
          <w:p>
            <w:pPr>
              <w:spacing w:after="0"/>
              <w:rPr>
                <w:sz w:val="12"/>
                <w:szCs w:val="12"/>
                <w:color w:val="auto"/>
              </w:rPr>
            </w:pPr>
          </w:p>
        </w:tc>
        <w:tc>
          <w:tcPr>
            <w:tcW w:w="920" w:type="dxa"/>
            <w:vAlign w:val="bottom"/>
            <w:tcBorders>
              <w:bottom w:val="single" w:sz="8" w:color="939598"/>
            </w:tcBorders>
          </w:tcPr>
          <w:p>
            <w:pPr>
              <w:spacing w:after="0"/>
              <w:rPr>
                <w:sz w:val="12"/>
                <w:szCs w:val="12"/>
                <w:color w:val="auto"/>
              </w:rPr>
            </w:pPr>
          </w:p>
        </w:tc>
        <w:tc>
          <w:tcPr>
            <w:tcW w:w="820" w:type="dxa"/>
            <w:vAlign w:val="bottom"/>
            <w:tcBorders>
              <w:bottom w:val="single" w:sz="8" w:color="939598"/>
            </w:tcBorders>
          </w:tcPr>
          <w:p>
            <w:pPr>
              <w:spacing w:after="0"/>
              <w:rPr>
                <w:sz w:val="12"/>
                <w:szCs w:val="12"/>
                <w:color w:val="auto"/>
              </w:rPr>
            </w:pPr>
          </w:p>
        </w:tc>
        <w:tc>
          <w:tcPr>
            <w:tcW w:w="180" w:type="dxa"/>
            <w:vAlign w:val="bottom"/>
            <w:tcBorders>
              <w:bottom w:val="single" w:sz="8" w:color="939598"/>
            </w:tcBorders>
          </w:tcPr>
          <w:p>
            <w:pPr>
              <w:spacing w:after="0"/>
              <w:rPr>
                <w:sz w:val="12"/>
                <w:szCs w:val="12"/>
                <w:color w:val="auto"/>
              </w:rPr>
            </w:pPr>
          </w:p>
        </w:tc>
        <w:tc>
          <w:tcPr>
            <w:tcW w:w="600" w:type="dxa"/>
            <w:vAlign w:val="bottom"/>
            <w:tcBorders>
              <w:bottom w:val="single" w:sz="8" w:color="939598"/>
            </w:tcBorders>
          </w:tcPr>
          <w:p>
            <w:pPr>
              <w:spacing w:after="0"/>
              <w:rPr>
                <w:sz w:val="12"/>
                <w:szCs w:val="12"/>
                <w:color w:val="auto"/>
              </w:rPr>
            </w:pPr>
          </w:p>
        </w:tc>
        <w:tc>
          <w:tcPr>
            <w:tcW w:w="180" w:type="dxa"/>
            <w:vAlign w:val="bottom"/>
            <w:tcBorders>
              <w:bottom w:val="single" w:sz="8" w:color="939598"/>
            </w:tcBorders>
          </w:tcPr>
          <w:p>
            <w:pPr>
              <w:spacing w:after="0"/>
              <w:rPr>
                <w:sz w:val="12"/>
                <w:szCs w:val="12"/>
                <w:color w:val="auto"/>
              </w:rPr>
            </w:pPr>
          </w:p>
        </w:tc>
        <w:tc>
          <w:tcPr>
            <w:tcW w:w="1460" w:type="dxa"/>
            <w:vAlign w:val="bottom"/>
            <w:tcBorders>
              <w:bottom w:val="single" w:sz="8" w:color="939598"/>
            </w:tcBorders>
          </w:tcPr>
          <w:p>
            <w:pPr>
              <w:spacing w:after="0"/>
              <w:rPr>
                <w:sz w:val="12"/>
                <w:szCs w:val="12"/>
                <w:color w:val="auto"/>
              </w:rPr>
            </w:pPr>
          </w:p>
        </w:tc>
        <w:tc>
          <w:tcPr>
            <w:tcW w:w="640" w:type="dxa"/>
            <w:vAlign w:val="bottom"/>
            <w:tcBorders>
              <w:bottom w:val="single" w:sz="8" w:color="939598"/>
            </w:tcBorders>
          </w:tcPr>
          <w:p>
            <w:pPr>
              <w:spacing w:after="0"/>
              <w:rPr>
                <w:sz w:val="12"/>
                <w:szCs w:val="12"/>
                <w:color w:val="auto"/>
              </w:rPr>
            </w:pPr>
          </w:p>
        </w:tc>
        <w:tc>
          <w:tcPr>
            <w:tcW w:w="2140" w:type="dxa"/>
            <w:vAlign w:val="bottom"/>
            <w:tcBorders>
              <w:bottom w:val="single" w:sz="8" w:color="939598"/>
            </w:tcBorders>
          </w:tcPr>
          <w:p>
            <w:pPr>
              <w:spacing w:after="0"/>
              <w:rPr>
                <w:sz w:val="12"/>
                <w:szCs w:val="12"/>
                <w:color w:val="auto"/>
              </w:rPr>
            </w:pPr>
          </w:p>
        </w:tc>
        <w:tc>
          <w:tcPr>
            <w:tcW w:w="720" w:type="dxa"/>
            <w:vAlign w:val="bottom"/>
            <w:tcBorders>
              <w:bottom w:val="single" w:sz="8" w:color="939598"/>
            </w:tcBorders>
          </w:tcPr>
          <w:p>
            <w:pPr>
              <w:spacing w:after="0"/>
              <w:rPr>
                <w:sz w:val="12"/>
                <w:szCs w:val="12"/>
                <w:color w:val="auto"/>
              </w:rPr>
            </w:pPr>
          </w:p>
        </w:tc>
        <w:tc>
          <w:tcPr>
            <w:tcW w:w="640" w:type="dxa"/>
            <w:vAlign w:val="bottom"/>
            <w:tcBorders>
              <w:bottom w:val="single" w:sz="8" w:color="939598"/>
            </w:tcBorders>
          </w:tcPr>
          <w:p>
            <w:pPr>
              <w:spacing w:after="0"/>
              <w:rPr>
                <w:sz w:val="12"/>
                <w:szCs w:val="12"/>
                <w:color w:val="auto"/>
              </w:rPr>
            </w:pPr>
          </w:p>
        </w:tc>
        <w:tc>
          <w:tcPr>
            <w:tcW w:w="180" w:type="dxa"/>
            <w:vAlign w:val="bottom"/>
            <w:tcBorders>
              <w:bottom w:val="single" w:sz="8" w:color="939598"/>
            </w:tcBorders>
          </w:tcPr>
          <w:p>
            <w:pPr>
              <w:spacing w:after="0"/>
              <w:rPr>
                <w:sz w:val="12"/>
                <w:szCs w:val="12"/>
                <w:color w:val="auto"/>
              </w:rPr>
            </w:pPr>
          </w:p>
        </w:tc>
        <w:tc>
          <w:tcPr>
            <w:tcW w:w="600" w:type="dxa"/>
            <w:vAlign w:val="bottom"/>
            <w:tcBorders>
              <w:bottom w:val="single" w:sz="8" w:color="939598"/>
            </w:tcBorders>
          </w:tcPr>
          <w:p>
            <w:pPr>
              <w:spacing w:after="0"/>
              <w:rPr>
                <w:sz w:val="12"/>
                <w:szCs w:val="12"/>
                <w:color w:val="auto"/>
              </w:rPr>
            </w:pPr>
          </w:p>
        </w:tc>
      </w:tr>
      <w:tr>
        <w:trPr>
          <w:trHeight w:val="300"/>
        </w:trPr>
        <w:tc>
          <w:tcPr>
            <w:tcW w:w="76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1"/>
                <w:szCs w:val="11"/>
                <w:color w:val="auto"/>
              </w:rPr>
              <w:t>NQSO</w:t>
            </w:r>
            <w:r>
              <w:rPr>
                <w:rFonts w:ascii="Arial" w:cs="Arial" w:eastAsia="Arial" w:hAnsi="Arial"/>
                <w:sz w:val="14"/>
                <w:szCs w:val="14"/>
                <w:color w:val="auto"/>
                <w:vertAlign w:val="superscript"/>
              </w:rPr>
              <w:t>(7)</w:t>
            </w:r>
          </w:p>
        </w:tc>
        <w:tc>
          <w:tcPr>
            <w:tcW w:w="760" w:type="dxa"/>
            <w:vAlign w:val="bottom"/>
          </w:tcPr>
          <w:p>
            <w:pPr>
              <w:ind w:left="100"/>
              <w:spacing w:after="0"/>
              <w:rPr>
                <w:sz w:val="20"/>
                <w:szCs w:val="20"/>
                <w:color w:val="auto"/>
              </w:rPr>
            </w:pPr>
            <w:r>
              <w:rPr>
                <w:rFonts w:ascii="Arial" w:cs="Arial" w:eastAsia="Arial" w:hAnsi="Arial"/>
                <w:sz w:val="11"/>
                <w:szCs w:val="11"/>
                <w:color w:val="auto"/>
              </w:rPr>
              <w:t>2/13/2025</w:t>
            </w:r>
          </w:p>
        </w:tc>
        <w:tc>
          <w:tcPr>
            <w:tcW w:w="920" w:type="dxa"/>
            <w:vAlign w:val="bottom"/>
          </w:tcPr>
          <w:p>
            <w:pPr>
              <w:ind w:left="120"/>
              <w:spacing w:after="0"/>
              <w:rPr>
                <w:sz w:val="20"/>
                <w:szCs w:val="20"/>
                <w:color w:val="auto"/>
              </w:rPr>
            </w:pPr>
            <w:r>
              <w:rPr>
                <w:rFonts w:ascii="Arial" w:cs="Arial" w:eastAsia="Arial" w:hAnsi="Arial"/>
                <w:sz w:val="11"/>
                <w:szCs w:val="11"/>
                <w:color w:val="auto"/>
              </w:rPr>
              <w:t>2/19/2025</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40" w:type="dxa"/>
            <w:vAlign w:val="bottom"/>
          </w:tcPr>
          <w:p>
            <w:pPr>
              <w:jc w:val="right"/>
              <w:ind w:right="66"/>
              <w:spacing w:after="0"/>
              <w:rPr>
                <w:sz w:val="20"/>
                <w:szCs w:val="20"/>
                <w:color w:val="auto"/>
              </w:rPr>
            </w:pPr>
            <w:r>
              <w:rPr>
                <w:rFonts w:ascii="Arial" w:cs="Arial" w:eastAsia="Arial" w:hAnsi="Arial"/>
                <w:sz w:val="11"/>
                <w:szCs w:val="11"/>
                <w:color w:val="auto"/>
              </w:rPr>
              <w:t>34,231</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209.81</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210.81</w:t>
            </w:r>
          </w:p>
        </w:tc>
        <w:tc>
          <w:tcPr>
            <w:tcW w:w="180" w:type="dxa"/>
            <w:vAlign w:val="bottom"/>
          </w:tcPr>
          <w:p>
            <w:pPr>
              <w:spacing w:after="0"/>
              <w:rPr>
                <w:sz w:val="24"/>
                <w:szCs w:val="24"/>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99"/>
        </w:trPr>
        <w:tc>
          <w:tcPr>
            <w:tcW w:w="760" w:type="dxa"/>
            <w:vAlign w:val="bottom"/>
          </w:tcPr>
          <w:p>
            <w:pPr>
              <w:spacing w:after="0"/>
              <w:rPr>
                <w:sz w:val="8"/>
                <w:szCs w:val="8"/>
                <w:color w:val="auto"/>
              </w:rPr>
            </w:pPr>
          </w:p>
        </w:tc>
        <w:tc>
          <w:tcPr>
            <w:tcW w:w="620" w:type="dxa"/>
            <w:vAlign w:val="bottom"/>
            <w:tcBorders>
              <w:bottom w:val="single" w:sz="8" w:color="939598"/>
            </w:tcBorders>
          </w:tcPr>
          <w:p>
            <w:pPr>
              <w:spacing w:after="0"/>
              <w:rPr>
                <w:sz w:val="8"/>
                <w:szCs w:val="8"/>
                <w:color w:val="auto"/>
              </w:rPr>
            </w:pPr>
          </w:p>
        </w:tc>
        <w:tc>
          <w:tcPr>
            <w:tcW w:w="760" w:type="dxa"/>
            <w:vAlign w:val="bottom"/>
            <w:tcBorders>
              <w:bottom w:val="single" w:sz="8" w:color="939598"/>
            </w:tcBorders>
          </w:tcPr>
          <w:p>
            <w:pPr>
              <w:spacing w:after="0"/>
              <w:rPr>
                <w:sz w:val="8"/>
                <w:szCs w:val="8"/>
                <w:color w:val="auto"/>
              </w:rPr>
            </w:pPr>
          </w:p>
        </w:tc>
        <w:tc>
          <w:tcPr>
            <w:tcW w:w="920" w:type="dxa"/>
            <w:vAlign w:val="bottom"/>
            <w:tcBorders>
              <w:bottom w:val="single" w:sz="8" w:color="939598"/>
            </w:tcBorders>
          </w:tcPr>
          <w:p>
            <w:pPr>
              <w:spacing w:after="0"/>
              <w:rPr>
                <w:sz w:val="8"/>
                <w:szCs w:val="8"/>
                <w:color w:val="auto"/>
              </w:rPr>
            </w:pPr>
          </w:p>
        </w:tc>
        <w:tc>
          <w:tcPr>
            <w:tcW w:w="820" w:type="dxa"/>
            <w:vAlign w:val="bottom"/>
            <w:tcBorders>
              <w:bottom w:val="single" w:sz="8" w:color="939598"/>
            </w:tcBorders>
          </w:tcPr>
          <w:p>
            <w:pPr>
              <w:spacing w:after="0"/>
              <w:rPr>
                <w:sz w:val="8"/>
                <w:szCs w:val="8"/>
                <w:color w:val="auto"/>
              </w:rPr>
            </w:pPr>
          </w:p>
        </w:tc>
        <w:tc>
          <w:tcPr>
            <w:tcW w:w="180" w:type="dxa"/>
            <w:vAlign w:val="bottom"/>
            <w:tcBorders>
              <w:bottom w:val="single" w:sz="8" w:color="939598"/>
            </w:tcBorders>
          </w:tcPr>
          <w:p>
            <w:pPr>
              <w:spacing w:after="0"/>
              <w:rPr>
                <w:sz w:val="8"/>
                <w:szCs w:val="8"/>
                <w:color w:val="auto"/>
              </w:rPr>
            </w:pPr>
          </w:p>
        </w:tc>
        <w:tc>
          <w:tcPr>
            <w:tcW w:w="600" w:type="dxa"/>
            <w:vAlign w:val="bottom"/>
            <w:tcBorders>
              <w:bottom w:val="single" w:sz="8" w:color="939598"/>
            </w:tcBorders>
          </w:tcPr>
          <w:p>
            <w:pPr>
              <w:spacing w:after="0"/>
              <w:rPr>
                <w:sz w:val="8"/>
                <w:szCs w:val="8"/>
                <w:color w:val="auto"/>
              </w:rPr>
            </w:pPr>
          </w:p>
        </w:tc>
        <w:tc>
          <w:tcPr>
            <w:tcW w:w="180" w:type="dxa"/>
            <w:vAlign w:val="bottom"/>
            <w:tcBorders>
              <w:bottom w:val="single" w:sz="8" w:color="939598"/>
            </w:tcBorders>
          </w:tcPr>
          <w:p>
            <w:pPr>
              <w:spacing w:after="0"/>
              <w:rPr>
                <w:sz w:val="8"/>
                <w:szCs w:val="8"/>
                <w:color w:val="auto"/>
              </w:rPr>
            </w:pPr>
          </w:p>
        </w:tc>
        <w:tc>
          <w:tcPr>
            <w:tcW w:w="1460" w:type="dxa"/>
            <w:vAlign w:val="bottom"/>
            <w:tcBorders>
              <w:bottom w:val="single" w:sz="8" w:color="939598"/>
            </w:tcBorders>
          </w:tcPr>
          <w:p>
            <w:pPr>
              <w:spacing w:after="0"/>
              <w:rPr>
                <w:sz w:val="8"/>
                <w:szCs w:val="8"/>
                <w:color w:val="auto"/>
              </w:rPr>
            </w:pPr>
          </w:p>
        </w:tc>
        <w:tc>
          <w:tcPr>
            <w:tcW w:w="640" w:type="dxa"/>
            <w:vAlign w:val="bottom"/>
            <w:tcBorders>
              <w:bottom w:val="single" w:sz="8" w:color="939598"/>
            </w:tcBorders>
          </w:tcPr>
          <w:p>
            <w:pPr>
              <w:spacing w:after="0"/>
              <w:rPr>
                <w:sz w:val="8"/>
                <w:szCs w:val="8"/>
                <w:color w:val="auto"/>
              </w:rPr>
            </w:pPr>
          </w:p>
        </w:tc>
        <w:tc>
          <w:tcPr>
            <w:tcW w:w="2140" w:type="dxa"/>
            <w:vAlign w:val="bottom"/>
            <w:tcBorders>
              <w:bottom w:val="single" w:sz="8" w:color="939598"/>
            </w:tcBorders>
          </w:tcPr>
          <w:p>
            <w:pPr>
              <w:spacing w:after="0"/>
              <w:rPr>
                <w:sz w:val="8"/>
                <w:szCs w:val="8"/>
                <w:color w:val="auto"/>
              </w:rPr>
            </w:pPr>
          </w:p>
        </w:tc>
        <w:tc>
          <w:tcPr>
            <w:tcW w:w="720" w:type="dxa"/>
            <w:vAlign w:val="bottom"/>
            <w:tcBorders>
              <w:bottom w:val="single" w:sz="8" w:color="939598"/>
            </w:tcBorders>
          </w:tcPr>
          <w:p>
            <w:pPr>
              <w:spacing w:after="0"/>
              <w:rPr>
                <w:sz w:val="8"/>
                <w:szCs w:val="8"/>
                <w:color w:val="auto"/>
              </w:rPr>
            </w:pPr>
          </w:p>
        </w:tc>
        <w:tc>
          <w:tcPr>
            <w:tcW w:w="640" w:type="dxa"/>
            <w:vAlign w:val="bottom"/>
            <w:tcBorders>
              <w:bottom w:val="single" w:sz="8" w:color="939598"/>
            </w:tcBorders>
          </w:tcPr>
          <w:p>
            <w:pPr>
              <w:spacing w:after="0"/>
              <w:rPr>
                <w:sz w:val="8"/>
                <w:szCs w:val="8"/>
                <w:color w:val="auto"/>
              </w:rPr>
            </w:pPr>
          </w:p>
        </w:tc>
        <w:tc>
          <w:tcPr>
            <w:tcW w:w="180" w:type="dxa"/>
            <w:vAlign w:val="bottom"/>
            <w:tcBorders>
              <w:bottom w:val="single" w:sz="8" w:color="939598"/>
            </w:tcBorders>
          </w:tcPr>
          <w:p>
            <w:pPr>
              <w:spacing w:after="0"/>
              <w:rPr>
                <w:sz w:val="8"/>
                <w:szCs w:val="8"/>
                <w:color w:val="auto"/>
              </w:rPr>
            </w:pPr>
          </w:p>
        </w:tc>
        <w:tc>
          <w:tcPr>
            <w:tcW w:w="600" w:type="dxa"/>
            <w:vAlign w:val="bottom"/>
            <w:tcBorders>
              <w:bottom w:val="single" w:sz="8" w:color="939598"/>
            </w:tcBorders>
          </w:tcPr>
          <w:p>
            <w:pPr>
              <w:spacing w:after="0"/>
              <w:rPr>
                <w:sz w:val="8"/>
                <w:szCs w:val="8"/>
                <w:color w:val="auto"/>
              </w:rPr>
            </w:pPr>
          </w:p>
        </w:tc>
      </w:tr>
      <w:tr>
        <w:trPr>
          <w:trHeight w:val="257"/>
        </w:trPr>
        <w:tc>
          <w:tcPr>
            <w:tcW w:w="760" w:type="dxa"/>
            <w:vAlign w:val="bottom"/>
          </w:tcPr>
          <w:p>
            <w:pPr>
              <w:spacing w:after="0"/>
              <w:rPr>
                <w:sz w:val="22"/>
                <w:szCs w:val="22"/>
                <w:color w:val="auto"/>
              </w:rPr>
            </w:pPr>
          </w:p>
        </w:tc>
        <w:tc>
          <w:tcPr>
            <w:tcW w:w="620" w:type="dxa"/>
            <w:vAlign w:val="bottom"/>
          </w:tcPr>
          <w:p>
            <w:pPr>
              <w:spacing w:after="0"/>
              <w:rPr>
                <w:sz w:val="20"/>
                <w:szCs w:val="20"/>
                <w:color w:val="auto"/>
              </w:rPr>
            </w:pPr>
            <w:r>
              <w:rPr>
                <w:rFonts w:ascii="Arial" w:cs="Arial" w:eastAsia="Arial" w:hAnsi="Arial"/>
                <w:sz w:val="11"/>
                <w:szCs w:val="11"/>
                <w:color w:val="auto"/>
              </w:rPr>
              <w:t>PSU25-27</w:t>
            </w:r>
          </w:p>
        </w:tc>
        <w:tc>
          <w:tcPr>
            <w:tcW w:w="760" w:type="dxa"/>
            <w:vAlign w:val="bottom"/>
          </w:tcPr>
          <w:p>
            <w:pPr>
              <w:ind w:left="100"/>
              <w:spacing w:after="0"/>
              <w:rPr>
                <w:sz w:val="20"/>
                <w:szCs w:val="20"/>
                <w:color w:val="auto"/>
              </w:rPr>
            </w:pPr>
            <w:r>
              <w:rPr>
                <w:rFonts w:ascii="Arial" w:cs="Arial" w:eastAsia="Arial" w:hAnsi="Arial"/>
                <w:sz w:val="11"/>
                <w:szCs w:val="11"/>
                <w:color w:val="auto"/>
              </w:rPr>
              <w:t>2/13/2025</w:t>
            </w:r>
          </w:p>
        </w:tc>
        <w:tc>
          <w:tcPr>
            <w:tcW w:w="920" w:type="dxa"/>
            <w:vAlign w:val="bottom"/>
          </w:tcPr>
          <w:p>
            <w:pPr>
              <w:ind w:left="120"/>
              <w:spacing w:after="0"/>
              <w:rPr>
                <w:sz w:val="20"/>
                <w:szCs w:val="20"/>
                <w:color w:val="auto"/>
              </w:rPr>
            </w:pPr>
            <w:r>
              <w:rPr>
                <w:rFonts w:ascii="Arial" w:cs="Arial" w:eastAsia="Arial" w:hAnsi="Arial"/>
                <w:sz w:val="11"/>
                <w:szCs w:val="11"/>
                <w:color w:val="auto"/>
              </w:rPr>
              <w:t>2/19/2025</w:t>
            </w: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ind w:right="46"/>
              <w:spacing w:after="0"/>
              <w:rPr>
                <w:sz w:val="20"/>
                <w:szCs w:val="20"/>
                <w:color w:val="auto"/>
              </w:rPr>
            </w:pPr>
            <w:r>
              <w:rPr>
                <w:rFonts w:ascii="Arial" w:cs="Arial" w:eastAsia="Arial" w:hAnsi="Arial"/>
                <w:sz w:val="11"/>
                <w:szCs w:val="11"/>
                <w:color w:val="auto"/>
              </w:rPr>
              <w:t>593</w:t>
            </w:r>
          </w:p>
        </w:tc>
        <w:tc>
          <w:tcPr>
            <w:tcW w:w="640" w:type="dxa"/>
            <w:vAlign w:val="bottom"/>
          </w:tcPr>
          <w:p>
            <w:pPr>
              <w:jc w:val="right"/>
              <w:ind w:right="146"/>
              <w:spacing w:after="0"/>
              <w:rPr>
                <w:sz w:val="20"/>
                <w:szCs w:val="20"/>
                <w:color w:val="auto"/>
              </w:rPr>
            </w:pPr>
            <w:r>
              <w:rPr>
                <w:rFonts w:ascii="Arial" w:cs="Arial" w:eastAsia="Arial" w:hAnsi="Arial"/>
                <w:sz w:val="11"/>
                <w:szCs w:val="11"/>
                <w:color w:val="auto"/>
              </w:rPr>
              <w:t>9,495</w:t>
            </w:r>
          </w:p>
        </w:tc>
        <w:tc>
          <w:tcPr>
            <w:tcW w:w="2140" w:type="dxa"/>
            <w:vAlign w:val="bottom"/>
          </w:tcPr>
          <w:p>
            <w:pPr>
              <w:jc w:val="right"/>
              <w:ind w:right="1546"/>
              <w:spacing w:after="0"/>
              <w:rPr>
                <w:sz w:val="20"/>
                <w:szCs w:val="20"/>
                <w:color w:val="auto"/>
              </w:rPr>
            </w:pPr>
            <w:r>
              <w:rPr>
                <w:rFonts w:ascii="Arial" w:cs="Arial" w:eastAsia="Arial" w:hAnsi="Arial"/>
                <w:sz w:val="11"/>
                <w:szCs w:val="11"/>
                <w:color w:val="auto"/>
              </w:rPr>
              <w:t>18,990</w:t>
            </w: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1,904,310</w:t>
            </w:r>
          </w:p>
        </w:tc>
      </w:tr>
      <w:tr>
        <w:trPr>
          <w:trHeight w:val="141"/>
        </w:trPr>
        <w:tc>
          <w:tcPr>
            <w:tcW w:w="760" w:type="dxa"/>
            <w:vAlign w:val="bottom"/>
          </w:tcPr>
          <w:p>
            <w:pPr>
              <w:spacing w:after="0"/>
              <w:rPr>
                <w:sz w:val="12"/>
                <w:szCs w:val="12"/>
                <w:color w:val="auto"/>
              </w:rPr>
            </w:pPr>
          </w:p>
        </w:tc>
        <w:tc>
          <w:tcPr>
            <w:tcW w:w="620" w:type="dxa"/>
            <w:vAlign w:val="bottom"/>
            <w:tcBorders>
              <w:bottom w:val="single" w:sz="8" w:color="939598"/>
            </w:tcBorders>
          </w:tcPr>
          <w:p>
            <w:pPr>
              <w:spacing w:after="0"/>
              <w:rPr>
                <w:sz w:val="12"/>
                <w:szCs w:val="12"/>
                <w:color w:val="auto"/>
              </w:rPr>
            </w:pPr>
          </w:p>
        </w:tc>
        <w:tc>
          <w:tcPr>
            <w:tcW w:w="760" w:type="dxa"/>
            <w:vAlign w:val="bottom"/>
            <w:tcBorders>
              <w:bottom w:val="single" w:sz="8" w:color="939598"/>
            </w:tcBorders>
          </w:tcPr>
          <w:p>
            <w:pPr>
              <w:spacing w:after="0"/>
              <w:rPr>
                <w:sz w:val="12"/>
                <w:szCs w:val="12"/>
                <w:color w:val="auto"/>
              </w:rPr>
            </w:pPr>
          </w:p>
        </w:tc>
        <w:tc>
          <w:tcPr>
            <w:tcW w:w="920" w:type="dxa"/>
            <w:vAlign w:val="bottom"/>
            <w:tcBorders>
              <w:bottom w:val="single" w:sz="8" w:color="939598"/>
            </w:tcBorders>
          </w:tcPr>
          <w:p>
            <w:pPr>
              <w:spacing w:after="0"/>
              <w:rPr>
                <w:sz w:val="12"/>
                <w:szCs w:val="12"/>
                <w:color w:val="auto"/>
              </w:rPr>
            </w:pPr>
          </w:p>
        </w:tc>
        <w:tc>
          <w:tcPr>
            <w:tcW w:w="820" w:type="dxa"/>
            <w:vAlign w:val="bottom"/>
            <w:tcBorders>
              <w:bottom w:val="single" w:sz="8" w:color="939598"/>
            </w:tcBorders>
          </w:tcPr>
          <w:p>
            <w:pPr>
              <w:spacing w:after="0"/>
              <w:rPr>
                <w:sz w:val="12"/>
                <w:szCs w:val="12"/>
                <w:color w:val="auto"/>
              </w:rPr>
            </w:pPr>
          </w:p>
        </w:tc>
        <w:tc>
          <w:tcPr>
            <w:tcW w:w="180" w:type="dxa"/>
            <w:vAlign w:val="bottom"/>
            <w:tcBorders>
              <w:bottom w:val="single" w:sz="8" w:color="939598"/>
            </w:tcBorders>
          </w:tcPr>
          <w:p>
            <w:pPr>
              <w:spacing w:after="0"/>
              <w:rPr>
                <w:sz w:val="12"/>
                <w:szCs w:val="12"/>
                <w:color w:val="auto"/>
              </w:rPr>
            </w:pPr>
          </w:p>
        </w:tc>
        <w:tc>
          <w:tcPr>
            <w:tcW w:w="600" w:type="dxa"/>
            <w:vAlign w:val="bottom"/>
            <w:tcBorders>
              <w:bottom w:val="single" w:sz="8" w:color="939598"/>
            </w:tcBorders>
          </w:tcPr>
          <w:p>
            <w:pPr>
              <w:spacing w:after="0"/>
              <w:rPr>
                <w:sz w:val="12"/>
                <w:szCs w:val="12"/>
                <w:color w:val="auto"/>
              </w:rPr>
            </w:pPr>
          </w:p>
        </w:tc>
        <w:tc>
          <w:tcPr>
            <w:tcW w:w="180" w:type="dxa"/>
            <w:vAlign w:val="bottom"/>
            <w:tcBorders>
              <w:bottom w:val="single" w:sz="8" w:color="939598"/>
            </w:tcBorders>
          </w:tcPr>
          <w:p>
            <w:pPr>
              <w:spacing w:after="0"/>
              <w:rPr>
                <w:sz w:val="12"/>
                <w:szCs w:val="12"/>
                <w:color w:val="auto"/>
              </w:rPr>
            </w:pPr>
          </w:p>
        </w:tc>
        <w:tc>
          <w:tcPr>
            <w:tcW w:w="1460" w:type="dxa"/>
            <w:vAlign w:val="bottom"/>
            <w:tcBorders>
              <w:bottom w:val="single" w:sz="8" w:color="939598"/>
            </w:tcBorders>
          </w:tcPr>
          <w:p>
            <w:pPr>
              <w:spacing w:after="0"/>
              <w:rPr>
                <w:sz w:val="12"/>
                <w:szCs w:val="12"/>
                <w:color w:val="auto"/>
              </w:rPr>
            </w:pPr>
          </w:p>
        </w:tc>
        <w:tc>
          <w:tcPr>
            <w:tcW w:w="640" w:type="dxa"/>
            <w:vAlign w:val="bottom"/>
            <w:tcBorders>
              <w:bottom w:val="single" w:sz="8" w:color="939598"/>
            </w:tcBorders>
          </w:tcPr>
          <w:p>
            <w:pPr>
              <w:spacing w:after="0"/>
              <w:rPr>
                <w:sz w:val="12"/>
                <w:szCs w:val="12"/>
                <w:color w:val="auto"/>
              </w:rPr>
            </w:pPr>
          </w:p>
        </w:tc>
        <w:tc>
          <w:tcPr>
            <w:tcW w:w="2140" w:type="dxa"/>
            <w:vAlign w:val="bottom"/>
            <w:tcBorders>
              <w:bottom w:val="single" w:sz="8" w:color="939598"/>
            </w:tcBorders>
          </w:tcPr>
          <w:p>
            <w:pPr>
              <w:spacing w:after="0"/>
              <w:rPr>
                <w:sz w:val="12"/>
                <w:szCs w:val="12"/>
                <w:color w:val="auto"/>
              </w:rPr>
            </w:pPr>
          </w:p>
        </w:tc>
        <w:tc>
          <w:tcPr>
            <w:tcW w:w="720" w:type="dxa"/>
            <w:vAlign w:val="bottom"/>
            <w:tcBorders>
              <w:bottom w:val="single" w:sz="8" w:color="939598"/>
            </w:tcBorders>
          </w:tcPr>
          <w:p>
            <w:pPr>
              <w:spacing w:after="0"/>
              <w:rPr>
                <w:sz w:val="12"/>
                <w:szCs w:val="12"/>
                <w:color w:val="auto"/>
              </w:rPr>
            </w:pPr>
          </w:p>
        </w:tc>
        <w:tc>
          <w:tcPr>
            <w:tcW w:w="640" w:type="dxa"/>
            <w:vAlign w:val="bottom"/>
            <w:tcBorders>
              <w:bottom w:val="single" w:sz="8" w:color="939598"/>
            </w:tcBorders>
          </w:tcPr>
          <w:p>
            <w:pPr>
              <w:spacing w:after="0"/>
              <w:rPr>
                <w:sz w:val="12"/>
                <w:szCs w:val="12"/>
                <w:color w:val="auto"/>
              </w:rPr>
            </w:pPr>
          </w:p>
        </w:tc>
        <w:tc>
          <w:tcPr>
            <w:tcW w:w="180" w:type="dxa"/>
            <w:vAlign w:val="bottom"/>
            <w:tcBorders>
              <w:bottom w:val="single" w:sz="8" w:color="939598"/>
            </w:tcBorders>
          </w:tcPr>
          <w:p>
            <w:pPr>
              <w:spacing w:after="0"/>
              <w:rPr>
                <w:sz w:val="12"/>
                <w:szCs w:val="12"/>
                <w:color w:val="auto"/>
              </w:rPr>
            </w:pPr>
          </w:p>
        </w:tc>
        <w:tc>
          <w:tcPr>
            <w:tcW w:w="600" w:type="dxa"/>
            <w:vAlign w:val="bottom"/>
            <w:tcBorders>
              <w:bottom w:val="single" w:sz="8" w:color="939598"/>
            </w:tcBorders>
          </w:tcPr>
          <w:p>
            <w:pPr>
              <w:spacing w:after="0"/>
              <w:rPr>
                <w:sz w:val="12"/>
                <w:szCs w:val="12"/>
                <w:color w:val="auto"/>
              </w:rPr>
            </w:pPr>
          </w:p>
        </w:tc>
      </w:tr>
      <w:tr>
        <w:trPr>
          <w:trHeight w:val="257"/>
        </w:trPr>
        <w:tc>
          <w:tcPr>
            <w:tcW w:w="760" w:type="dxa"/>
            <w:vAlign w:val="bottom"/>
          </w:tcPr>
          <w:p>
            <w:pPr>
              <w:spacing w:after="0"/>
              <w:rPr>
                <w:sz w:val="22"/>
                <w:szCs w:val="22"/>
                <w:color w:val="auto"/>
              </w:rPr>
            </w:pPr>
          </w:p>
        </w:tc>
        <w:tc>
          <w:tcPr>
            <w:tcW w:w="620" w:type="dxa"/>
            <w:vAlign w:val="bottom"/>
          </w:tcPr>
          <w:p>
            <w:pPr>
              <w:spacing w:after="0"/>
              <w:rPr>
                <w:sz w:val="20"/>
                <w:szCs w:val="20"/>
                <w:color w:val="auto"/>
              </w:rPr>
            </w:pPr>
            <w:r>
              <w:rPr>
                <w:rFonts w:ascii="Arial" w:cs="Arial" w:eastAsia="Arial" w:hAnsi="Arial"/>
                <w:sz w:val="11"/>
                <w:szCs w:val="11"/>
                <w:color w:val="auto"/>
              </w:rPr>
              <w:t>RSU</w:t>
            </w:r>
          </w:p>
        </w:tc>
        <w:tc>
          <w:tcPr>
            <w:tcW w:w="760" w:type="dxa"/>
            <w:vAlign w:val="bottom"/>
          </w:tcPr>
          <w:p>
            <w:pPr>
              <w:ind w:left="100"/>
              <w:spacing w:after="0"/>
              <w:rPr>
                <w:sz w:val="20"/>
                <w:szCs w:val="20"/>
                <w:color w:val="auto"/>
              </w:rPr>
            </w:pPr>
            <w:r>
              <w:rPr>
                <w:rFonts w:ascii="Arial" w:cs="Arial" w:eastAsia="Arial" w:hAnsi="Arial"/>
                <w:sz w:val="11"/>
                <w:szCs w:val="11"/>
                <w:color w:val="auto"/>
              </w:rPr>
              <w:t>2/13/2025</w:t>
            </w:r>
          </w:p>
        </w:tc>
        <w:tc>
          <w:tcPr>
            <w:tcW w:w="920" w:type="dxa"/>
            <w:vAlign w:val="bottom"/>
          </w:tcPr>
          <w:p>
            <w:pPr>
              <w:ind w:left="120"/>
              <w:spacing w:after="0"/>
              <w:rPr>
                <w:sz w:val="20"/>
                <w:szCs w:val="20"/>
                <w:color w:val="auto"/>
              </w:rPr>
            </w:pPr>
            <w:r>
              <w:rPr>
                <w:rFonts w:ascii="Arial" w:cs="Arial" w:eastAsia="Arial" w:hAnsi="Arial"/>
                <w:sz w:val="11"/>
                <w:szCs w:val="11"/>
                <w:color w:val="auto"/>
              </w:rPr>
              <w:t>2/19/2025</w:t>
            </w: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140" w:type="dxa"/>
            <w:vAlign w:val="bottom"/>
          </w:tcPr>
          <w:p>
            <w:pPr>
              <w:jc w:val="right"/>
              <w:ind w:right="846"/>
              <w:spacing w:after="0"/>
              <w:rPr>
                <w:sz w:val="20"/>
                <w:szCs w:val="20"/>
                <w:color w:val="auto"/>
              </w:rPr>
            </w:pPr>
            <w:r>
              <w:rPr>
                <w:rFonts w:ascii="Arial" w:cs="Arial" w:eastAsia="Arial" w:hAnsi="Arial"/>
                <w:sz w:val="11"/>
                <w:szCs w:val="11"/>
                <w:color w:val="auto"/>
              </w:rPr>
              <w:t>4,500</w:t>
            </w: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944,145</w:t>
            </w:r>
          </w:p>
        </w:tc>
      </w:tr>
      <w:tr>
        <w:trPr>
          <w:trHeight w:val="141"/>
        </w:trPr>
        <w:tc>
          <w:tcPr>
            <w:tcW w:w="760" w:type="dxa"/>
            <w:vAlign w:val="bottom"/>
          </w:tcPr>
          <w:p>
            <w:pPr>
              <w:spacing w:after="0"/>
              <w:rPr>
                <w:sz w:val="12"/>
                <w:szCs w:val="12"/>
                <w:color w:val="auto"/>
              </w:rPr>
            </w:pPr>
          </w:p>
        </w:tc>
        <w:tc>
          <w:tcPr>
            <w:tcW w:w="620" w:type="dxa"/>
            <w:vAlign w:val="bottom"/>
            <w:tcBorders>
              <w:bottom w:val="single" w:sz="8" w:color="939598"/>
            </w:tcBorders>
          </w:tcPr>
          <w:p>
            <w:pPr>
              <w:spacing w:after="0"/>
              <w:rPr>
                <w:sz w:val="12"/>
                <w:szCs w:val="12"/>
                <w:color w:val="auto"/>
              </w:rPr>
            </w:pPr>
          </w:p>
        </w:tc>
        <w:tc>
          <w:tcPr>
            <w:tcW w:w="760" w:type="dxa"/>
            <w:vAlign w:val="bottom"/>
            <w:tcBorders>
              <w:bottom w:val="single" w:sz="8" w:color="939598"/>
            </w:tcBorders>
          </w:tcPr>
          <w:p>
            <w:pPr>
              <w:spacing w:after="0"/>
              <w:rPr>
                <w:sz w:val="12"/>
                <w:szCs w:val="12"/>
                <w:color w:val="auto"/>
              </w:rPr>
            </w:pPr>
          </w:p>
        </w:tc>
        <w:tc>
          <w:tcPr>
            <w:tcW w:w="920" w:type="dxa"/>
            <w:vAlign w:val="bottom"/>
            <w:tcBorders>
              <w:bottom w:val="single" w:sz="8" w:color="939598"/>
            </w:tcBorders>
          </w:tcPr>
          <w:p>
            <w:pPr>
              <w:spacing w:after="0"/>
              <w:rPr>
                <w:sz w:val="12"/>
                <w:szCs w:val="12"/>
                <w:color w:val="auto"/>
              </w:rPr>
            </w:pPr>
          </w:p>
        </w:tc>
        <w:tc>
          <w:tcPr>
            <w:tcW w:w="820" w:type="dxa"/>
            <w:vAlign w:val="bottom"/>
            <w:tcBorders>
              <w:bottom w:val="single" w:sz="8" w:color="939598"/>
            </w:tcBorders>
          </w:tcPr>
          <w:p>
            <w:pPr>
              <w:spacing w:after="0"/>
              <w:rPr>
                <w:sz w:val="12"/>
                <w:szCs w:val="12"/>
                <w:color w:val="auto"/>
              </w:rPr>
            </w:pPr>
          </w:p>
        </w:tc>
        <w:tc>
          <w:tcPr>
            <w:tcW w:w="180" w:type="dxa"/>
            <w:vAlign w:val="bottom"/>
            <w:tcBorders>
              <w:bottom w:val="single" w:sz="8" w:color="939598"/>
            </w:tcBorders>
          </w:tcPr>
          <w:p>
            <w:pPr>
              <w:spacing w:after="0"/>
              <w:rPr>
                <w:sz w:val="12"/>
                <w:szCs w:val="12"/>
                <w:color w:val="auto"/>
              </w:rPr>
            </w:pPr>
          </w:p>
        </w:tc>
        <w:tc>
          <w:tcPr>
            <w:tcW w:w="600" w:type="dxa"/>
            <w:vAlign w:val="bottom"/>
            <w:tcBorders>
              <w:bottom w:val="single" w:sz="8" w:color="939598"/>
            </w:tcBorders>
          </w:tcPr>
          <w:p>
            <w:pPr>
              <w:spacing w:after="0"/>
              <w:rPr>
                <w:sz w:val="12"/>
                <w:szCs w:val="12"/>
                <w:color w:val="auto"/>
              </w:rPr>
            </w:pPr>
          </w:p>
        </w:tc>
        <w:tc>
          <w:tcPr>
            <w:tcW w:w="180" w:type="dxa"/>
            <w:vAlign w:val="bottom"/>
            <w:tcBorders>
              <w:bottom w:val="single" w:sz="8" w:color="939598"/>
            </w:tcBorders>
          </w:tcPr>
          <w:p>
            <w:pPr>
              <w:spacing w:after="0"/>
              <w:rPr>
                <w:sz w:val="12"/>
                <w:szCs w:val="12"/>
                <w:color w:val="auto"/>
              </w:rPr>
            </w:pPr>
          </w:p>
        </w:tc>
        <w:tc>
          <w:tcPr>
            <w:tcW w:w="1460" w:type="dxa"/>
            <w:vAlign w:val="bottom"/>
            <w:tcBorders>
              <w:bottom w:val="single" w:sz="8" w:color="939598"/>
            </w:tcBorders>
          </w:tcPr>
          <w:p>
            <w:pPr>
              <w:spacing w:after="0"/>
              <w:rPr>
                <w:sz w:val="12"/>
                <w:szCs w:val="12"/>
                <w:color w:val="auto"/>
              </w:rPr>
            </w:pPr>
          </w:p>
        </w:tc>
        <w:tc>
          <w:tcPr>
            <w:tcW w:w="640" w:type="dxa"/>
            <w:vAlign w:val="bottom"/>
            <w:tcBorders>
              <w:bottom w:val="single" w:sz="8" w:color="939598"/>
            </w:tcBorders>
          </w:tcPr>
          <w:p>
            <w:pPr>
              <w:spacing w:after="0"/>
              <w:rPr>
                <w:sz w:val="12"/>
                <w:szCs w:val="12"/>
                <w:color w:val="auto"/>
              </w:rPr>
            </w:pPr>
          </w:p>
        </w:tc>
        <w:tc>
          <w:tcPr>
            <w:tcW w:w="2140" w:type="dxa"/>
            <w:vAlign w:val="bottom"/>
            <w:tcBorders>
              <w:bottom w:val="single" w:sz="8" w:color="939598"/>
            </w:tcBorders>
          </w:tcPr>
          <w:p>
            <w:pPr>
              <w:spacing w:after="0"/>
              <w:rPr>
                <w:sz w:val="12"/>
                <w:szCs w:val="12"/>
                <w:color w:val="auto"/>
              </w:rPr>
            </w:pPr>
          </w:p>
        </w:tc>
        <w:tc>
          <w:tcPr>
            <w:tcW w:w="720" w:type="dxa"/>
            <w:vAlign w:val="bottom"/>
            <w:tcBorders>
              <w:bottom w:val="single" w:sz="8" w:color="939598"/>
            </w:tcBorders>
          </w:tcPr>
          <w:p>
            <w:pPr>
              <w:spacing w:after="0"/>
              <w:rPr>
                <w:sz w:val="12"/>
                <w:szCs w:val="12"/>
                <w:color w:val="auto"/>
              </w:rPr>
            </w:pPr>
          </w:p>
        </w:tc>
        <w:tc>
          <w:tcPr>
            <w:tcW w:w="640" w:type="dxa"/>
            <w:vAlign w:val="bottom"/>
            <w:tcBorders>
              <w:bottom w:val="single" w:sz="8" w:color="939598"/>
            </w:tcBorders>
          </w:tcPr>
          <w:p>
            <w:pPr>
              <w:spacing w:after="0"/>
              <w:rPr>
                <w:sz w:val="12"/>
                <w:szCs w:val="12"/>
                <w:color w:val="auto"/>
              </w:rPr>
            </w:pPr>
          </w:p>
        </w:tc>
        <w:tc>
          <w:tcPr>
            <w:tcW w:w="180" w:type="dxa"/>
            <w:vAlign w:val="bottom"/>
            <w:tcBorders>
              <w:bottom w:val="single" w:sz="8" w:color="939598"/>
            </w:tcBorders>
          </w:tcPr>
          <w:p>
            <w:pPr>
              <w:spacing w:after="0"/>
              <w:rPr>
                <w:sz w:val="12"/>
                <w:szCs w:val="12"/>
                <w:color w:val="auto"/>
              </w:rPr>
            </w:pPr>
          </w:p>
        </w:tc>
        <w:tc>
          <w:tcPr>
            <w:tcW w:w="600" w:type="dxa"/>
            <w:vAlign w:val="bottom"/>
            <w:tcBorders>
              <w:bottom w:val="single" w:sz="8" w:color="939598"/>
            </w:tcBorders>
          </w:tcPr>
          <w:p>
            <w:pPr>
              <w:spacing w:after="0"/>
              <w:rPr>
                <w:sz w:val="12"/>
                <w:szCs w:val="12"/>
                <w:color w:val="auto"/>
              </w:rPr>
            </w:pPr>
          </w:p>
        </w:tc>
      </w:tr>
      <w:tr>
        <w:trPr>
          <w:trHeight w:val="282"/>
        </w:trPr>
        <w:tc>
          <w:tcPr>
            <w:tcW w:w="76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21"/>
                <w:szCs w:val="21"/>
                <w:color w:val="auto"/>
                <w:vertAlign w:val="subscript"/>
              </w:rPr>
              <w:t>RSU</w:t>
            </w:r>
            <w:r>
              <w:rPr>
                <w:rFonts w:ascii="Arial" w:cs="Arial" w:eastAsia="Arial" w:hAnsi="Arial"/>
                <w:sz w:val="7"/>
                <w:szCs w:val="7"/>
                <w:color w:val="auto"/>
              </w:rPr>
              <w:t>(7)</w:t>
            </w:r>
          </w:p>
        </w:tc>
        <w:tc>
          <w:tcPr>
            <w:tcW w:w="760" w:type="dxa"/>
            <w:vAlign w:val="bottom"/>
          </w:tcPr>
          <w:p>
            <w:pPr>
              <w:ind w:left="100"/>
              <w:spacing w:after="0"/>
              <w:rPr>
                <w:sz w:val="20"/>
                <w:szCs w:val="20"/>
                <w:color w:val="auto"/>
              </w:rPr>
            </w:pPr>
            <w:r>
              <w:rPr>
                <w:rFonts w:ascii="Arial" w:cs="Arial" w:eastAsia="Arial" w:hAnsi="Arial"/>
                <w:sz w:val="11"/>
                <w:szCs w:val="11"/>
                <w:color w:val="auto"/>
              </w:rPr>
              <w:t>2/13/2025</w:t>
            </w:r>
          </w:p>
        </w:tc>
        <w:tc>
          <w:tcPr>
            <w:tcW w:w="920" w:type="dxa"/>
            <w:vAlign w:val="bottom"/>
          </w:tcPr>
          <w:p>
            <w:pPr>
              <w:ind w:left="120"/>
              <w:spacing w:after="0"/>
              <w:rPr>
                <w:sz w:val="20"/>
                <w:szCs w:val="20"/>
                <w:color w:val="auto"/>
              </w:rPr>
            </w:pPr>
            <w:r>
              <w:rPr>
                <w:rFonts w:ascii="Arial" w:cs="Arial" w:eastAsia="Arial" w:hAnsi="Arial"/>
                <w:sz w:val="11"/>
                <w:szCs w:val="11"/>
                <w:color w:val="auto"/>
              </w:rPr>
              <w:t>2/19/2025</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40" w:type="dxa"/>
            <w:vAlign w:val="bottom"/>
          </w:tcPr>
          <w:p>
            <w:pPr>
              <w:jc w:val="right"/>
              <w:ind w:right="846"/>
              <w:spacing w:after="0"/>
              <w:rPr>
                <w:sz w:val="20"/>
                <w:szCs w:val="20"/>
                <w:color w:val="auto"/>
              </w:rPr>
            </w:pPr>
            <w:r>
              <w:rPr>
                <w:rFonts w:ascii="Arial" w:cs="Arial" w:eastAsia="Arial" w:hAnsi="Arial"/>
                <w:sz w:val="11"/>
                <w:szCs w:val="11"/>
                <w:color w:val="auto"/>
              </w:rPr>
              <w:t>4,767</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117"/>
        </w:trPr>
        <w:tc>
          <w:tcPr>
            <w:tcW w:w="760" w:type="dxa"/>
            <w:vAlign w:val="bottom"/>
            <w:tcBorders>
              <w:bottom w:val="single" w:sz="8" w:color="939598"/>
            </w:tcBorders>
          </w:tcPr>
          <w:p>
            <w:pPr>
              <w:spacing w:after="0"/>
              <w:rPr>
                <w:sz w:val="10"/>
                <w:szCs w:val="10"/>
                <w:color w:val="auto"/>
              </w:rPr>
            </w:pPr>
          </w:p>
        </w:tc>
        <w:tc>
          <w:tcPr>
            <w:tcW w:w="620" w:type="dxa"/>
            <w:vAlign w:val="bottom"/>
            <w:tcBorders>
              <w:bottom w:val="single" w:sz="8" w:color="939598"/>
            </w:tcBorders>
          </w:tcPr>
          <w:p>
            <w:pPr>
              <w:spacing w:after="0"/>
              <w:rPr>
                <w:sz w:val="10"/>
                <w:szCs w:val="10"/>
                <w:color w:val="auto"/>
              </w:rPr>
            </w:pPr>
          </w:p>
        </w:tc>
        <w:tc>
          <w:tcPr>
            <w:tcW w:w="760" w:type="dxa"/>
            <w:vAlign w:val="bottom"/>
            <w:tcBorders>
              <w:bottom w:val="single" w:sz="8" w:color="939598"/>
            </w:tcBorders>
          </w:tcPr>
          <w:p>
            <w:pPr>
              <w:spacing w:after="0"/>
              <w:rPr>
                <w:sz w:val="10"/>
                <w:szCs w:val="10"/>
                <w:color w:val="auto"/>
              </w:rPr>
            </w:pPr>
          </w:p>
        </w:tc>
        <w:tc>
          <w:tcPr>
            <w:tcW w:w="92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spacing w:after="0"/>
              <w:rPr>
                <w:sz w:val="10"/>
                <w:szCs w:val="10"/>
                <w:color w:val="auto"/>
              </w:rPr>
            </w:pPr>
          </w:p>
        </w:tc>
        <w:tc>
          <w:tcPr>
            <w:tcW w:w="18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spacing w:after="0"/>
              <w:rPr>
                <w:sz w:val="10"/>
                <w:szCs w:val="10"/>
                <w:color w:val="auto"/>
              </w:rPr>
            </w:pPr>
          </w:p>
        </w:tc>
        <w:tc>
          <w:tcPr>
            <w:tcW w:w="180" w:type="dxa"/>
            <w:vAlign w:val="bottom"/>
            <w:tcBorders>
              <w:bottom w:val="single" w:sz="8" w:color="939598"/>
            </w:tcBorders>
          </w:tcPr>
          <w:p>
            <w:pPr>
              <w:spacing w:after="0"/>
              <w:rPr>
                <w:sz w:val="10"/>
                <w:szCs w:val="10"/>
                <w:color w:val="auto"/>
              </w:rPr>
            </w:pPr>
          </w:p>
        </w:tc>
        <w:tc>
          <w:tcPr>
            <w:tcW w:w="146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spacing w:after="0"/>
              <w:rPr>
                <w:sz w:val="10"/>
                <w:szCs w:val="10"/>
                <w:color w:val="auto"/>
              </w:rPr>
            </w:pPr>
          </w:p>
        </w:tc>
        <w:tc>
          <w:tcPr>
            <w:tcW w:w="2140" w:type="dxa"/>
            <w:vAlign w:val="bottom"/>
            <w:tcBorders>
              <w:bottom w:val="single" w:sz="8" w:color="939598"/>
            </w:tcBorders>
          </w:tcPr>
          <w:p>
            <w:pPr>
              <w:spacing w:after="0"/>
              <w:rPr>
                <w:sz w:val="10"/>
                <w:szCs w:val="10"/>
                <w:color w:val="auto"/>
              </w:rPr>
            </w:pPr>
          </w:p>
        </w:tc>
        <w:tc>
          <w:tcPr>
            <w:tcW w:w="72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spacing w:after="0"/>
              <w:rPr>
                <w:sz w:val="10"/>
                <w:szCs w:val="10"/>
                <w:color w:val="auto"/>
              </w:rPr>
            </w:pPr>
          </w:p>
        </w:tc>
        <w:tc>
          <w:tcPr>
            <w:tcW w:w="18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spacing w:after="0"/>
              <w:rPr>
                <w:sz w:val="10"/>
                <w:szCs w:val="10"/>
                <w:color w:val="auto"/>
              </w:rPr>
            </w:pPr>
          </w:p>
        </w:tc>
      </w:tr>
      <w:tr>
        <w:trPr>
          <w:trHeight w:val="250"/>
        </w:trPr>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James</w:t>
            </w:r>
          </w:p>
        </w:tc>
        <w:tc>
          <w:tcPr>
            <w:tcW w:w="620" w:type="dxa"/>
            <w:vAlign w:val="bottom"/>
          </w:tcPr>
          <w:p>
            <w:pPr>
              <w:spacing w:after="0"/>
              <w:rPr>
                <w:sz w:val="20"/>
                <w:szCs w:val="20"/>
                <w:color w:val="auto"/>
              </w:rPr>
            </w:pPr>
            <w:r>
              <w:rPr>
                <w:rFonts w:ascii="Arial" w:cs="Arial" w:eastAsia="Arial" w:hAnsi="Arial"/>
                <w:sz w:val="11"/>
                <w:szCs w:val="11"/>
                <w:color w:val="auto"/>
              </w:rPr>
              <w:t>ICP</w:t>
            </w: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8,282</w:t>
            </w:r>
          </w:p>
        </w:tc>
        <w:tc>
          <w:tcPr>
            <w:tcW w:w="180" w:type="dxa"/>
            <w:vAlign w:val="bottom"/>
          </w:tcPr>
          <w:p>
            <w:pPr>
              <w:spacing w:after="0"/>
              <w:rPr>
                <w:sz w:val="21"/>
                <w:szCs w:val="21"/>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828,225</w:t>
            </w:r>
          </w:p>
        </w:tc>
        <w:tc>
          <w:tcPr>
            <w:tcW w:w="180" w:type="dxa"/>
            <w:vAlign w:val="bottom"/>
          </w:tcPr>
          <w:p>
            <w:pPr>
              <w:spacing w:after="0"/>
              <w:rPr>
                <w:sz w:val="21"/>
                <w:szCs w:val="21"/>
                <w:color w:val="auto"/>
              </w:rPr>
            </w:pPr>
          </w:p>
        </w:tc>
        <w:tc>
          <w:tcPr>
            <w:tcW w:w="1460" w:type="dxa"/>
            <w:vAlign w:val="bottom"/>
          </w:tcPr>
          <w:p>
            <w:pPr>
              <w:jc w:val="right"/>
              <w:ind w:right="846"/>
              <w:spacing w:after="0"/>
              <w:rPr>
                <w:sz w:val="20"/>
                <w:szCs w:val="20"/>
                <w:color w:val="auto"/>
              </w:rPr>
            </w:pPr>
            <w:r>
              <w:rPr>
                <w:rFonts w:ascii="Arial" w:cs="Arial" w:eastAsia="Arial" w:hAnsi="Arial"/>
                <w:sz w:val="11"/>
                <w:szCs w:val="11"/>
                <w:color w:val="auto"/>
              </w:rPr>
              <w:t>1,656,449</w:t>
            </w:r>
          </w:p>
        </w:tc>
        <w:tc>
          <w:tcPr>
            <w:tcW w:w="6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148"/>
        </w:trPr>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Currier</w:t>
            </w:r>
          </w:p>
        </w:tc>
        <w:tc>
          <w:tcPr>
            <w:tcW w:w="620" w:type="dxa"/>
            <w:vAlign w:val="bottom"/>
            <w:tcBorders>
              <w:bottom w:val="single" w:sz="8" w:color="939598"/>
            </w:tcBorders>
          </w:tcPr>
          <w:p>
            <w:pPr>
              <w:spacing w:after="0"/>
              <w:rPr>
                <w:sz w:val="12"/>
                <w:szCs w:val="12"/>
                <w:color w:val="auto"/>
              </w:rPr>
            </w:pPr>
          </w:p>
        </w:tc>
        <w:tc>
          <w:tcPr>
            <w:tcW w:w="760" w:type="dxa"/>
            <w:vAlign w:val="bottom"/>
            <w:tcBorders>
              <w:bottom w:val="single" w:sz="8" w:color="939598"/>
            </w:tcBorders>
          </w:tcPr>
          <w:p>
            <w:pPr>
              <w:spacing w:after="0"/>
              <w:rPr>
                <w:sz w:val="12"/>
                <w:szCs w:val="12"/>
                <w:color w:val="auto"/>
              </w:rPr>
            </w:pPr>
          </w:p>
        </w:tc>
        <w:tc>
          <w:tcPr>
            <w:tcW w:w="920" w:type="dxa"/>
            <w:vAlign w:val="bottom"/>
            <w:tcBorders>
              <w:bottom w:val="single" w:sz="8" w:color="939598"/>
            </w:tcBorders>
          </w:tcPr>
          <w:p>
            <w:pPr>
              <w:spacing w:after="0"/>
              <w:rPr>
                <w:sz w:val="12"/>
                <w:szCs w:val="12"/>
                <w:color w:val="auto"/>
              </w:rPr>
            </w:pPr>
          </w:p>
        </w:tc>
        <w:tc>
          <w:tcPr>
            <w:tcW w:w="820" w:type="dxa"/>
            <w:vAlign w:val="bottom"/>
            <w:tcBorders>
              <w:bottom w:val="single" w:sz="8" w:color="939598"/>
            </w:tcBorders>
          </w:tcPr>
          <w:p>
            <w:pPr>
              <w:spacing w:after="0"/>
              <w:rPr>
                <w:sz w:val="12"/>
                <w:szCs w:val="12"/>
                <w:color w:val="auto"/>
              </w:rPr>
            </w:pPr>
          </w:p>
        </w:tc>
        <w:tc>
          <w:tcPr>
            <w:tcW w:w="180" w:type="dxa"/>
            <w:vAlign w:val="bottom"/>
            <w:tcBorders>
              <w:bottom w:val="single" w:sz="8" w:color="939598"/>
            </w:tcBorders>
          </w:tcPr>
          <w:p>
            <w:pPr>
              <w:spacing w:after="0"/>
              <w:rPr>
                <w:sz w:val="12"/>
                <w:szCs w:val="12"/>
                <w:color w:val="auto"/>
              </w:rPr>
            </w:pPr>
          </w:p>
        </w:tc>
        <w:tc>
          <w:tcPr>
            <w:tcW w:w="600" w:type="dxa"/>
            <w:vAlign w:val="bottom"/>
            <w:tcBorders>
              <w:bottom w:val="single" w:sz="8" w:color="939598"/>
            </w:tcBorders>
          </w:tcPr>
          <w:p>
            <w:pPr>
              <w:spacing w:after="0"/>
              <w:rPr>
                <w:sz w:val="12"/>
                <w:szCs w:val="12"/>
                <w:color w:val="auto"/>
              </w:rPr>
            </w:pPr>
          </w:p>
        </w:tc>
        <w:tc>
          <w:tcPr>
            <w:tcW w:w="180" w:type="dxa"/>
            <w:vAlign w:val="bottom"/>
            <w:tcBorders>
              <w:bottom w:val="single" w:sz="8" w:color="939598"/>
            </w:tcBorders>
          </w:tcPr>
          <w:p>
            <w:pPr>
              <w:spacing w:after="0"/>
              <w:rPr>
                <w:sz w:val="12"/>
                <w:szCs w:val="12"/>
                <w:color w:val="auto"/>
              </w:rPr>
            </w:pPr>
          </w:p>
        </w:tc>
        <w:tc>
          <w:tcPr>
            <w:tcW w:w="1460" w:type="dxa"/>
            <w:vAlign w:val="bottom"/>
            <w:tcBorders>
              <w:bottom w:val="single" w:sz="8" w:color="939598"/>
            </w:tcBorders>
          </w:tcPr>
          <w:p>
            <w:pPr>
              <w:spacing w:after="0"/>
              <w:rPr>
                <w:sz w:val="12"/>
                <w:szCs w:val="12"/>
                <w:color w:val="auto"/>
              </w:rPr>
            </w:pPr>
          </w:p>
        </w:tc>
        <w:tc>
          <w:tcPr>
            <w:tcW w:w="640" w:type="dxa"/>
            <w:vAlign w:val="bottom"/>
            <w:tcBorders>
              <w:bottom w:val="single" w:sz="8" w:color="939598"/>
            </w:tcBorders>
          </w:tcPr>
          <w:p>
            <w:pPr>
              <w:spacing w:after="0"/>
              <w:rPr>
                <w:sz w:val="12"/>
                <w:szCs w:val="12"/>
                <w:color w:val="auto"/>
              </w:rPr>
            </w:pPr>
          </w:p>
        </w:tc>
        <w:tc>
          <w:tcPr>
            <w:tcW w:w="2140" w:type="dxa"/>
            <w:vAlign w:val="bottom"/>
            <w:tcBorders>
              <w:bottom w:val="single" w:sz="8" w:color="939598"/>
            </w:tcBorders>
          </w:tcPr>
          <w:p>
            <w:pPr>
              <w:spacing w:after="0"/>
              <w:rPr>
                <w:sz w:val="12"/>
                <w:szCs w:val="12"/>
                <w:color w:val="auto"/>
              </w:rPr>
            </w:pPr>
          </w:p>
        </w:tc>
        <w:tc>
          <w:tcPr>
            <w:tcW w:w="720" w:type="dxa"/>
            <w:vAlign w:val="bottom"/>
            <w:tcBorders>
              <w:bottom w:val="single" w:sz="8" w:color="939598"/>
            </w:tcBorders>
          </w:tcPr>
          <w:p>
            <w:pPr>
              <w:spacing w:after="0"/>
              <w:rPr>
                <w:sz w:val="12"/>
                <w:szCs w:val="12"/>
                <w:color w:val="auto"/>
              </w:rPr>
            </w:pPr>
          </w:p>
        </w:tc>
        <w:tc>
          <w:tcPr>
            <w:tcW w:w="640" w:type="dxa"/>
            <w:vAlign w:val="bottom"/>
            <w:tcBorders>
              <w:bottom w:val="single" w:sz="8" w:color="939598"/>
            </w:tcBorders>
          </w:tcPr>
          <w:p>
            <w:pPr>
              <w:spacing w:after="0"/>
              <w:rPr>
                <w:sz w:val="12"/>
                <w:szCs w:val="12"/>
                <w:color w:val="auto"/>
              </w:rPr>
            </w:pPr>
          </w:p>
        </w:tc>
        <w:tc>
          <w:tcPr>
            <w:tcW w:w="180" w:type="dxa"/>
            <w:vAlign w:val="bottom"/>
            <w:tcBorders>
              <w:bottom w:val="single" w:sz="8" w:color="939598"/>
            </w:tcBorders>
          </w:tcPr>
          <w:p>
            <w:pPr>
              <w:spacing w:after="0"/>
              <w:rPr>
                <w:sz w:val="12"/>
                <w:szCs w:val="12"/>
                <w:color w:val="auto"/>
              </w:rPr>
            </w:pPr>
          </w:p>
        </w:tc>
        <w:tc>
          <w:tcPr>
            <w:tcW w:w="600" w:type="dxa"/>
            <w:vAlign w:val="bottom"/>
            <w:tcBorders>
              <w:bottom w:val="single" w:sz="8" w:color="939598"/>
            </w:tcBorders>
          </w:tcPr>
          <w:p>
            <w:pPr>
              <w:spacing w:after="0"/>
              <w:rPr>
                <w:sz w:val="12"/>
                <w:szCs w:val="12"/>
                <w:color w:val="auto"/>
              </w:rPr>
            </w:pPr>
          </w:p>
        </w:tc>
      </w:tr>
      <w:tr>
        <w:trPr>
          <w:trHeight w:val="257"/>
        </w:trPr>
        <w:tc>
          <w:tcPr>
            <w:tcW w:w="760" w:type="dxa"/>
            <w:vAlign w:val="bottom"/>
          </w:tcPr>
          <w:p>
            <w:pPr>
              <w:spacing w:after="0"/>
              <w:rPr>
                <w:sz w:val="22"/>
                <w:szCs w:val="22"/>
                <w:color w:val="auto"/>
              </w:rPr>
            </w:pPr>
          </w:p>
        </w:tc>
        <w:tc>
          <w:tcPr>
            <w:tcW w:w="620" w:type="dxa"/>
            <w:vAlign w:val="bottom"/>
          </w:tcPr>
          <w:p>
            <w:pPr>
              <w:spacing w:after="0"/>
              <w:rPr>
                <w:sz w:val="20"/>
                <w:szCs w:val="20"/>
                <w:color w:val="auto"/>
              </w:rPr>
            </w:pPr>
            <w:r>
              <w:rPr>
                <w:rFonts w:ascii="Arial" w:cs="Arial" w:eastAsia="Arial" w:hAnsi="Arial"/>
                <w:sz w:val="11"/>
                <w:szCs w:val="11"/>
                <w:color w:val="auto"/>
              </w:rPr>
              <w:t>NQSO</w:t>
            </w:r>
          </w:p>
        </w:tc>
        <w:tc>
          <w:tcPr>
            <w:tcW w:w="760" w:type="dxa"/>
            <w:vAlign w:val="bottom"/>
          </w:tcPr>
          <w:p>
            <w:pPr>
              <w:ind w:left="100"/>
              <w:spacing w:after="0"/>
              <w:rPr>
                <w:sz w:val="20"/>
                <w:szCs w:val="20"/>
                <w:color w:val="auto"/>
              </w:rPr>
            </w:pPr>
            <w:r>
              <w:rPr>
                <w:rFonts w:ascii="Arial" w:cs="Arial" w:eastAsia="Arial" w:hAnsi="Arial"/>
                <w:sz w:val="11"/>
                <w:szCs w:val="11"/>
                <w:color w:val="auto"/>
              </w:rPr>
              <w:t>2/13/2025</w:t>
            </w:r>
          </w:p>
        </w:tc>
        <w:tc>
          <w:tcPr>
            <w:tcW w:w="920" w:type="dxa"/>
            <w:vAlign w:val="bottom"/>
          </w:tcPr>
          <w:p>
            <w:pPr>
              <w:ind w:left="120"/>
              <w:spacing w:after="0"/>
              <w:rPr>
                <w:sz w:val="20"/>
                <w:szCs w:val="20"/>
                <w:color w:val="auto"/>
              </w:rPr>
            </w:pPr>
            <w:r>
              <w:rPr>
                <w:rFonts w:ascii="Arial" w:cs="Arial" w:eastAsia="Arial" w:hAnsi="Arial"/>
                <w:sz w:val="11"/>
                <w:szCs w:val="11"/>
                <w:color w:val="auto"/>
              </w:rPr>
              <w:t>2/19/2025</w:t>
            </w: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140" w:type="dxa"/>
            <w:vAlign w:val="bottom"/>
          </w:tcPr>
          <w:p>
            <w:pPr>
              <w:jc w:val="right"/>
              <w:ind w:right="66"/>
              <w:spacing w:after="0"/>
              <w:rPr>
                <w:sz w:val="20"/>
                <w:szCs w:val="20"/>
                <w:color w:val="auto"/>
              </w:rPr>
            </w:pPr>
            <w:r>
              <w:rPr>
                <w:rFonts w:ascii="Arial" w:cs="Arial" w:eastAsia="Arial" w:hAnsi="Arial"/>
                <w:sz w:val="11"/>
                <w:szCs w:val="11"/>
                <w:color w:val="auto"/>
              </w:rPr>
              <w:t>22,800</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209.81</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210.81</w:t>
            </w:r>
          </w:p>
        </w:tc>
        <w:tc>
          <w:tcPr>
            <w:tcW w:w="180" w:type="dxa"/>
            <w:vAlign w:val="bottom"/>
          </w:tcPr>
          <w:p>
            <w:pPr>
              <w:spacing w:after="0"/>
              <w:rPr>
                <w:sz w:val="22"/>
                <w:szCs w:val="2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999,096</w:t>
            </w:r>
          </w:p>
        </w:tc>
      </w:tr>
      <w:tr>
        <w:trPr>
          <w:trHeight w:val="141"/>
        </w:trPr>
        <w:tc>
          <w:tcPr>
            <w:tcW w:w="760" w:type="dxa"/>
            <w:vAlign w:val="bottom"/>
          </w:tcPr>
          <w:p>
            <w:pPr>
              <w:spacing w:after="0"/>
              <w:rPr>
                <w:sz w:val="12"/>
                <w:szCs w:val="12"/>
                <w:color w:val="auto"/>
              </w:rPr>
            </w:pPr>
          </w:p>
        </w:tc>
        <w:tc>
          <w:tcPr>
            <w:tcW w:w="620" w:type="dxa"/>
            <w:vAlign w:val="bottom"/>
            <w:tcBorders>
              <w:bottom w:val="single" w:sz="8" w:color="939598"/>
            </w:tcBorders>
          </w:tcPr>
          <w:p>
            <w:pPr>
              <w:spacing w:after="0"/>
              <w:rPr>
                <w:sz w:val="12"/>
                <w:szCs w:val="12"/>
                <w:color w:val="auto"/>
              </w:rPr>
            </w:pPr>
          </w:p>
        </w:tc>
        <w:tc>
          <w:tcPr>
            <w:tcW w:w="760" w:type="dxa"/>
            <w:vAlign w:val="bottom"/>
            <w:tcBorders>
              <w:bottom w:val="single" w:sz="8" w:color="939598"/>
            </w:tcBorders>
          </w:tcPr>
          <w:p>
            <w:pPr>
              <w:spacing w:after="0"/>
              <w:rPr>
                <w:sz w:val="12"/>
                <w:szCs w:val="12"/>
                <w:color w:val="auto"/>
              </w:rPr>
            </w:pPr>
          </w:p>
        </w:tc>
        <w:tc>
          <w:tcPr>
            <w:tcW w:w="920" w:type="dxa"/>
            <w:vAlign w:val="bottom"/>
            <w:tcBorders>
              <w:bottom w:val="single" w:sz="8" w:color="939598"/>
            </w:tcBorders>
          </w:tcPr>
          <w:p>
            <w:pPr>
              <w:spacing w:after="0"/>
              <w:rPr>
                <w:sz w:val="12"/>
                <w:szCs w:val="12"/>
                <w:color w:val="auto"/>
              </w:rPr>
            </w:pPr>
          </w:p>
        </w:tc>
        <w:tc>
          <w:tcPr>
            <w:tcW w:w="820" w:type="dxa"/>
            <w:vAlign w:val="bottom"/>
            <w:tcBorders>
              <w:bottom w:val="single" w:sz="8" w:color="939598"/>
            </w:tcBorders>
          </w:tcPr>
          <w:p>
            <w:pPr>
              <w:spacing w:after="0"/>
              <w:rPr>
                <w:sz w:val="12"/>
                <w:szCs w:val="12"/>
                <w:color w:val="auto"/>
              </w:rPr>
            </w:pPr>
          </w:p>
        </w:tc>
        <w:tc>
          <w:tcPr>
            <w:tcW w:w="180" w:type="dxa"/>
            <w:vAlign w:val="bottom"/>
            <w:tcBorders>
              <w:bottom w:val="single" w:sz="8" w:color="939598"/>
            </w:tcBorders>
          </w:tcPr>
          <w:p>
            <w:pPr>
              <w:spacing w:after="0"/>
              <w:rPr>
                <w:sz w:val="12"/>
                <w:szCs w:val="12"/>
                <w:color w:val="auto"/>
              </w:rPr>
            </w:pPr>
          </w:p>
        </w:tc>
        <w:tc>
          <w:tcPr>
            <w:tcW w:w="600" w:type="dxa"/>
            <w:vAlign w:val="bottom"/>
            <w:tcBorders>
              <w:bottom w:val="single" w:sz="8" w:color="939598"/>
            </w:tcBorders>
          </w:tcPr>
          <w:p>
            <w:pPr>
              <w:spacing w:after="0"/>
              <w:rPr>
                <w:sz w:val="12"/>
                <w:szCs w:val="12"/>
                <w:color w:val="auto"/>
              </w:rPr>
            </w:pPr>
          </w:p>
        </w:tc>
        <w:tc>
          <w:tcPr>
            <w:tcW w:w="180" w:type="dxa"/>
            <w:vAlign w:val="bottom"/>
            <w:tcBorders>
              <w:bottom w:val="single" w:sz="8" w:color="939598"/>
            </w:tcBorders>
          </w:tcPr>
          <w:p>
            <w:pPr>
              <w:spacing w:after="0"/>
              <w:rPr>
                <w:sz w:val="12"/>
                <w:szCs w:val="12"/>
                <w:color w:val="auto"/>
              </w:rPr>
            </w:pPr>
          </w:p>
        </w:tc>
        <w:tc>
          <w:tcPr>
            <w:tcW w:w="1460" w:type="dxa"/>
            <w:vAlign w:val="bottom"/>
            <w:tcBorders>
              <w:bottom w:val="single" w:sz="8" w:color="939598"/>
            </w:tcBorders>
          </w:tcPr>
          <w:p>
            <w:pPr>
              <w:spacing w:after="0"/>
              <w:rPr>
                <w:sz w:val="12"/>
                <w:szCs w:val="12"/>
                <w:color w:val="auto"/>
              </w:rPr>
            </w:pPr>
          </w:p>
        </w:tc>
        <w:tc>
          <w:tcPr>
            <w:tcW w:w="640" w:type="dxa"/>
            <w:vAlign w:val="bottom"/>
            <w:tcBorders>
              <w:bottom w:val="single" w:sz="8" w:color="939598"/>
            </w:tcBorders>
          </w:tcPr>
          <w:p>
            <w:pPr>
              <w:spacing w:after="0"/>
              <w:rPr>
                <w:sz w:val="12"/>
                <w:szCs w:val="12"/>
                <w:color w:val="auto"/>
              </w:rPr>
            </w:pPr>
          </w:p>
        </w:tc>
        <w:tc>
          <w:tcPr>
            <w:tcW w:w="2140" w:type="dxa"/>
            <w:vAlign w:val="bottom"/>
            <w:tcBorders>
              <w:bottom w:val="single" w:sz="8" w:color="939598"/>
            </w:tcBorders>
          </w:tcPr>
          <w:p>
            <w:pPr>
              <w:spacing w:after="0"/>
              <w:rPr>
                <w:sz w:val="12"/>
                <w:szCs w:val="12"/>
                <w:color w:val="auto"/>
              </w:rPr>
            </w:pPr>
          </w:p>
        </w:tc>
        <w:tc>
          <w:tcPr>
            <w:tcW w:w="720" w:type="dxa"/>
            <w:vAlign w:val="bottom"/>
            <w:tcBorders>
              <w:bottom w:val="single" w:sz="8" w:color="939598"/>
            </w:tcBorders>
          </w:tcPr>
          <w:p>
            <w:pPr>
              <w:spacing w:after="0"/>
              <w:rPr>
                <w:sz w:val="12"/>
                <w:szCs w:val="12"/>
                <w:color w:val="auto"/>
              </w:rPr>
            </w:pPr>
          </w:p>
        </w:tc>
        <w:tc>
          <w:tcPr>
            <w:tcW w:w="640" w:type="dxa"/>
            <w:vAlign w:val="bottom"/>
            <w:tcBorders>
              <w:bottom w:val="single" w:sz="8" w:color="939598"/>
            </w:tcBorders>
          </w:tcPr>
          <w:p>
            <w:pPr>
              <w:spacing w:after="0"/>
              <w:rPr>
                <w:sz w:val="12"/>
                <w:szCs w:val="12"/>
                <w:color w:val="auto"/>
              </w:rPr>
            </w:pPr>
          </w:p>
        </w:tc>
        <w:tc>
          <w:tcPr>
            <w:tcW w:w="180" w:type="dxa"/>
            <w:vAlign w:val="bottom"/>
            <w:tcBorders>
              <w:bottom w:val="single" w:sz="8" w:color="939598"/>
            </w:tcBorders>
          </w:tcPr>
          <w:p>
            <w:pPr>
              <w:spacing w:after="0"/>
              <w:rPr>
                <w:sz w:val="12"/>
                <w:szCs w:val="12"/>
                <w:color w:val="auto"/>
              </w:rPr>
            </w:pPr>
          </w:p>
        </w:tc>
        <w:tc>
          <w:tcPr>
            <w:tcW w:w="600" w:type="dxa"/>
            <w:vAlign w:val="bottom"/>
            <w:tcBorders>
              <w:bottom w:val="single" w:sz="8" w:color="939598"/>
            </w:tcBorders>
          </w:tcPr>
          <w:p>
            <w:pPr>
              <w:spacing w:after="0"/>
              <w:rPr>
                <w:sz w:val="12"/>
                <w:szCs w:val="12"/>
                <w:color w:val="auto"/>
              </w:rPr>
            </w:pPr>
          </w:p>
        </w:tc>
      </w:tr>
      <w:tr>
        <w:trPr>
          <w:trHeight w:val="300"/>
        </w:trPr>
        <w:tc>
          <w:tcPr>
            <w:tcW w:w="76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1"/>
                <w:szCs w:val="11"/>
                <w:color w:val="auto"/>
              </w:rPr>
              <w:t>NQSO</w:t>
            </w:r>
            <w:r>
              <w:rPr>
                <w:rFonts w:ascii="Arial" w:cs="Arial" w:eastAsia="Arial" w:hAnsi="Arial"/>
                <w:sz w:val="14"/>
                <w:szCs w:val="14"/>
                <w:color w:val="auto"/>
                <w:vertAlign w:val="superscript"/>
              </w:rPr>
              <w:t>(7)</w:t>
            </w:r>
          </w:p>
        </w:tc>
        <w:tc>
          <w:tcPr>
            <w:tcW w:w="760" w:type="dxa"/>
            <w:vAlign w:val="bottom"/>
          </w:tcPr>
          <w:p>
            <w:pPr>
              <w:ind w:left="100"/>
              <w:spacing w:after="0"/>
              <w:rPr>
                <w:sz w:val="20"/>
                <w:szCs w:val="20"/>
                <w:color w:val="auto"/>
              </w:rPr>
            </w:pPr>
            <w:r>
              <w:rPr>
                <w:rFonts w:ascii="Arial" w:cs="Arial" w:eastAsia="Arial" w:hAnsi="Arial"/>
                <w:sz w:val="11"/>
                <w:szCs w:val="11"/>
                <w:color w:val="auto"/>
              </w:rPr>
              <w:t>2/13/2025</w:t>
            </w:r>
          </w:p>
        </w:tc>
        <w:tc>
          <w:tcPr>
            <w:tcW w:w="920" w:type="dxa"/>
            <w:vAlign w:val="bottom"/>
          </w:tcPr>
          <w:p>
            <w:pPr>
              <w:ind w:left="120"/>
              <w:spacing w:after="0"/>
              <w:rPr>
                <w:sz w:val="20"/>
                <w:szCs w:val="20"/>
                <w:color w:val="auto"/>
              </w:rPr>
            </w:pPr>
            <w:r>
              <w:rPr>
                <w:rFonts w:ascii="Arial" w:cs="Arial" w:eastAsia="Arial" w:hAnsi="Arial"/>
                <w:sz w:val="11"/>
                <w:szCs w:val="11"/>
                <w:color w:val="auto"/>
              </w:rPr>
              <w:t>2/19/2025</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40" w:type="dxa"/>
            <w:vAlign w:val="bottom"/>
          </w:tcPr>
          <w:p>
            <w:pPr>
              <w:jc w:val="right"/>
              <w:ind w:right="26"/>
              <w:spacing w:after="0"/>
              <w:rPr>
                <w:sz w:val="20"/>
                <w:szCs w:val="20"/>
                <w:color w:val="auto"/>
              </w:rPr>
            </w:pPr>
            <w:r>
              <w:rPr>
                <w:rFonts w:ascii="Arial" w:cs="Arial" w:eastAsia="Arial" w:hAnsi="Arial"/>
                <w:sz w:val="11"/>
                <w:szCs w:val="11"/>
                <w:color w:val="auto"/>
              </w:rPr>
              <w:t>41,078</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209.81</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210.81</w:t>
            </w:r>
          </w:p>
        </w:tc>
        <w:tc>
          <w:tcPr>
            <w:tcW w:w="180" w:type="dxa"/>
            <w:vAlign w:val="bottom"/>
          </w:tcPr>
          <w:p>
            <w:pPr>
              <w:spacing w:after="0"/>
              <w:rPr>
                <w:sz w:val="24"/>
                <w:szCs w:val="24"/>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99"/>
        </w:trPr>
        <w:tc>
          <w:tcPr>
            <w:tcW w:w="760" w:type="dxa"/>
            <w:vAlign w:val="bottom"/>
          </w:tcPr>
          <w:p>
            <w:pPr>
              <w:spacing w:after="0"/>
              <w:rPr>
                <w:sz w:val="8"/>
                <w:szCs w:val="8"/>
                <w:color w:val="auto"/>
              </w:rPr>
            </w:pPr>
          </w:p>
        </w:tc>
        <w:tc>
          <w:tcPr>
            <w:tcW w:w="620" w:type="dxa"/>
            <w:vAlign w:val="bottom"/>
            <w:tcBorders>
              <w:bottom w:val="single" w:sz="8" w:color="939598"/>
            </w:tcBorders>
          </w:tcPr>
          <w:p>
            <w:pPr>
              <w:spacing w:after="0"/>
              <w:rPr>
                <w:sz w:val="8"/>
                <w:szCs w:val="8"/>
                <w:color w:val="auto"/>
              </w:rPr>
            </w:pPr>
          </w:p>
        </w:tc>
        <w:tc>
          <w:tcPr>
            <w:tcW w:w="760" w:type="dxa"/>
            <w:vAlign w:val="bottom"/>
            <w:tcBorders>
              <w:bottom w:val="single" w:sz="8" w:color="939598"/>
            </w:tcBorders>
          </w:tcPr>
          <w:p>
            <w:pPr>
              <w:spacing w:after="0"/>
              <w:rPr>
                <w:sz w:val="8"/>
                <w:szCs w:val="8"/>
                <w:color w:val="auto"/>
              </w:rPr>
            </w:pPr>
          </w:p>
        </w:tc>
        <w:tc>
          <w:tcPr>
            <w:tcW w:w="920" w:type="dxa"/>
            <w:vAlign w:val="bottom"/>
            <w:tcBorders>
              <w:bottom w:val="single" w:sz="8" w:color="939598"/>
            </w:tcBorders>
          </w:tcPr>
          <w:p>
            <w:pPr>
              <w:spacing w:after="0"/>
              <w:rPr>
                <w:sz w:val="8"/>
                <w:szCs w:val="8"/>
                <w:color w:val="auto"/>
              </w:rPr>
            </w:pPr>
          </w:p>
        </w:tc>
        <w:tc>
          <w:tcPr>
            <w:tcW w:w="820" w:type="dxa"/>
            <w:vAlign w:val="bottom"/>
            <w:tcBorders>
              <w:bottom w:val="single" w:sz="8" w:color="939598"/>
            </w:tcBorders>
          </w:tcPr>
          <w:p>
            <w:pPr>
              <w:spacing w:after="0"/>
              <w:rPr>
                <w:sz w:val="8"/>
                <w:szCs w:val="8"/>
                <w:color w:val="auto"/>
              </w:rPr>
            </w:pPr>
          </w:p>
        </w:tc>
        <w:tc>
          <w:tcPr>
            <w:tcW w:w="180" w:type="dxa"/>
            <w:vAlign w:val="bottom"/>
            <w:tcBorders>
              <w:bottom w:val="single" w:sz="8" w:color="939598"/>
            </w:tcBorders>
          </w:tcPr>
          <w:p>
            <w:pPr>
              <w:spacing w:after="0"/>
              <w:rPr>
                <w:sz w:val="8"/>
                <w:szCs w:val="8"/>
                <w:color w:val="auto"/>
              </w:rPr>
            </w:pPr>
          </w:p>
        </w:tc>
        <w:tc>
          <w:tcPr>
            <w:tcW w:w="600" w:type="dxa"/>
            <w:vAlign w:val="bottom"/>
            <w:tcBorders>
              <w:bottom w:val="single" w:sz="8" w:color="939598"/>
            </w:tcBorders>
          </w:tcPr>
          <w:p>
            <w:pPr>
              <w:spacing w:after="0"/>
              <w:rPr>
                <w:sz w:val="8"/>
                <w:szCs w:val="8"/>
                <w:color w:val="auto"/>
              </w:rPr>
            </w:pPr>
          </w:p>
        </w:tc>
        <w:tc>
          <w:tcPr>
            <w:tcW w:w="180" w:type="dxa"/>
            <w:vAlign w:val="bottom"/>
            <w:tcBorders>
              <w:bottom w:val="single" w:sz="8" w:color="939598"/>
            </w:tcBorders>
          </w:tcPr>
          <w:p>
            <w:pPr>
              <w:spacing w:after="0"/>
              <w:rPr>
                <w:sz w:val="8"/>
                <w:szCs w:val="8"/>
                <w:color w:val="auto"/>
              </w:rPr>
            </w:pPr>
          </w:p>
        </w:tc>
        <w:tc>
          <w:tcPr>
            <w:tcW w:w="1460" w:type="dxa"/>
            <w:vAlign w:val="bottom"/>
            <w:tcBorders>
              <w:bottom w:val="single" w:sz="8" w:color="939598"/>
            </w:tcBorders>
          </w:tcPr>
          <w:p>
            <w:pPr>
              <w:spacing w:after="0"/>
              <w:rPr>
                <w:sz w:val="8"/>
                <w:szCs w:val="8"/>
                <w:color w:val="auto"/>
              </w:rPr>
            </w:pPr>
          </w:p>
        </w:tc>
        <w:tc>
          <w:tcPr>
            <w:tcW w:w="640" w:type="dxa"/>
            <w:vAlign w:val="bottom"/>
            <w:tcBorders>
              <w:bottom w:val="single" w:sz="8" w:color="939598"/>
            </w:tcBorders>
          </w:tcPr>
          <w:p>
            <w:pPr>
              <w:spacing w:after="0"/>
              <w:rPr>
                <w:sz w:val="8"/>
                <w:szCs w:val="8"/>
                <w:color w:val="auto"/>
              </w:rPr>
            </w:pPr>
          </w:p>
        </w:tc>
        <w:tc>
          <w:tcPr>
            <w:tcW w:w="2140" w:type="dxa"/>
            <w:vAlign w:val="bottom"/>
            <w:tcBorders>
              <w:bottom w:val="single" w:sz="8" w:color="939598"/>
            </w:tcBorders>
          </w:tcPr>
          <w:p>
            <w:pPr>
              <w:spacing w:after="0"/>
              <w:rPr>
                <w:sz w:val="8"/>
                <w:szCs w:val="8"/>
                <w:color w:val="auto"/>
              </w:rPr>
            </w:pPr>
          </w:p>
        </w:tc>
        <w:tc>
          <w:tcPr>
            <w:tcW w:w="720" w:type="dxa"/>
            <w:vAlign w:val="bottom"/>
            <w:tcBorders>
              <w:bottom w:val="single" w:sz="8" w:color="939598"/>
            </w:tcBorders>
          </w:tcPr>
          <w:p>
            <w:pPr>
              <w:spacing w:after="0"/>
              <w:rPr>
                <w:sz w:val="8"/>
                <w:szCs w:val="8"/>
                <w:color w:val="auto"/>
              </w:rPr>
            </w:pPr>
          </w:p>
        </w:tc>
        <w:tc>
          <w:tcPr>
            <w:tcW w:w="640" w:type="dxa"/>
            <w:vAlign w:val="bottom"/>
            <w:tcBorders>
              <w:bottom w:val="single" w:sz="8" w:color="939598"/>
            </w:tcBorders>
          </w:tcPr>
          <w:p>
            <w:pPr>
              <w:spacing w:after="0"/>
              <w:rPr>
                <w:sz w:val="8"/>
                <w:szCs w:val="8"/>
                <w:color w:val="auto"/>
              </w:rPr>
            </w:pPr>
          </w:p>
        </w:tc>
        <w:tc>
          <w:tcPr>
            <w:tcW w:w="180" w:type="dxa"/>
            <w:vAlign w:val="bottom"/>
            <w:tcBorders>
              <w:bottom w:val="single" w:sz="8" w:color="939598"/>
            </w:tcBorders>
          </w:tcPr>
          <w:p>
            <w:pPr>
              <w:spacing w:after="0"/>
              <w:rPr>
                <w:sz w:val="8"/>
                <w:szCs w:val="8"/>
                <w:color w:val="auto"/>
              </w:rPr>
            </w:pPr>
          </w:p>
        </w:tc>
        <w:tc>
          <w:tcPr>
            <w:tcW w:w="600" w:type="dxa"/>
            <w:vAlign w:val="bottom"/>
            <w:tcBorders>
              <w:bottom w:val="single" w:sz="8" w:color="939598"/>
            </w:tcBorders>
          </w:tcPr>
          <w:p>
            <w:pPr>
              <w:spacing w:after="0"/>
              <w:rPr>
                <w:sz w:val="8"/>
                <w:szCs w:val="8"/>
                <w:color w:val="auto"/>
              </w:rPr>
            </w:pPr>
          </w:p>
        </w:tc>
      </w:tr>
      <w:tr>
        <w:trPr>
          <w:trHeight w:val="257"/>
        </w:trPr>
        <w:tc>
          <w:tcPr>
            <w:tcW w:w="760" w:type="dxa"/>
            <w:vAlign w:val="bottom"/>
          </w:tcPr>
          <w:p>
            <w:pPr>
              <w:spacing w:after="0"/>
              <w:rPr>
                <w:sz w:val="22"/>
                <w:szCs w:val="22"/>
                <w:color w:val="auto"/>
              </w:rPr>
            </w:pPr>
          </w:p>
        </w:tc>
        <w:tc>
          <w:tcPr>
            <w:tcW w:w="620" w:type="dxa"/>
            <w:vAlign w:val="bottom"/>
          </w:tcPr>
          <w:p>
            <w:pPr>
              <w:spacing w:after="0"/>
              <w:rPr>
                <w:sz w:val="20"/>
                <w:szCs w:val="20"/>
                <w:color w:val="auto"/>
              </w:rPr>
            </w:pPr>
            <w:r>
              <w:rPr>
                <w:rFonts w:ascii="Arial" w:cs="Arial" w:eastAsia="Arial" w:hAnsi="Arial"/>
                <w:sz w:val="11"/>
                <w:szCs w:val="11"/>
                <w:color w:val="auto"/>
              </w:rPr>
              <w:t>PSU25-27</w:t>
            </w:r>
          </w:p>
        </w:tc>
        <w:tc>
          <w:tcPr>
            <w:tcW w:w="760" w:type="dxa"/>
            <w:vAlign w:val="bottom"/>
          </w:tcPr>
          <w:p>
            <w:pPr>
              <w:ind w:left="100"/>
              <w:spacing w:after="0"/>
              <w:rPr>
                <w:sz w:val="20"/>
                <w:szCs w:val="20"/>
                <w:color w:val="auto"/>
              </w:rPr>
            </w:pPr>
            <w:r>
              <w:rPr>
                <w:rFonts w:ascii="Arial" w:cs="Arial" w:eastAsia="Arial" w:hAnsi="Arial"/>
                <w:sz w:val="11"/>
                <w:szCs w:val="11"/>
                <w:color w:val="auto"/>
              </w:rPr>
              <w:t>2/13/2025</w:t>
            </w:r>
          </w:p>
        </w:tc>
        <w:tc>
          <w:tcPr>
            <w:tcW w:w="920" w:type="dxa"/>
            <w:vAlign w:val="bottom"/>
          </w:tcPr>
          <w:p>
            <w:pPr>
              <w:ind w:left="120"/>
              <w:spacing w:after="0"/>
              <w:rPr>
                <w:sz w:val="20"/>
                <w:szCs w:val="20"/>
                <w:color w:val="auto"/>
              </w:rPr>
            </w:pPr>
            <w:r>
              <w:rPr>
                <w:rFonts w:ascii="Arial" w:cs="Arial" w:eastAsia="Arial" w:hAnsi="Arial"/>
                <w:sz w:val="11"/>
                <w:szCs w:val="11"/>
                <w:color w:val="auto"/>
              </w:rPr>
              <w:t>2/19/2025</w:t>
            </w: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ind w:right="46"/>
              <w:spacing w:after="0"/>
              <w:rPr>
                <w:sz w:val="20"/>
                <w:szCs w:val="20"/>
                <w:color w:val="auto"/>
              </w:rPr>
            </w:pPr>
            <w:r>
              <w:rPr>
                <w:rFonts w:ascii="Arial" w:cs="Arial" w:eastAsia="Arial" w:hAnsi="Arial"/>
                <w:sz w:val="11"/>
                <w:szCs w:val="11"/>
                <w:color w:val="auto"/>
              </w:rPr>
              <w:t>626</w:t>
            </w:r>
          </w:p>
        </w:tc>
        <w:tc>
          <w:tcPr>
            <w:tcW w:w="640" w:type="dxa"/>
            <w:vAlign w:val="bottom"/>
          </w:tcPr>
          <w:p>
            <w:pPr>
              <w:jc w:val="right"/>
              <w:ind w:right="146"/>
              <w:spacing w:after="0"/>
              <w:rPr>
                <w:sz w:val="20"/>
                <w:szCs w:val="20"/>
                <w:color w:val="auto"/>
              </w:rPr>
            </w:pPr>
            <w:r>
              <w:rPr>
                <w:rFonts w:ascii="Arial" w:cs="Arial" w:eastAsia="Arial" w:hAnsi="Arial"/>
                <w:sz w:val="11"/>
                <w:szCs w:val="11"/>
                <w:color w:val="auto"/>
              </w:rPr>
              <w:t>10,023</w:t>
            </w:r>
          </w:p>
        </w:tc>
        <w:tc>
          <w:tcPr>
            <w:tcW w:w="2140" w:type="dxa"/>
            <w:vAlign w:val="bottom"/>
          </w:tcPr>
          <w:p>
            <w:pPr>
              <w:jc w:val="right"/>
              <w:ind w:right="1546"/>
              <w:spacing w:after="0"/>
              <w:rPr>
                <w:sz w:val="20"/>
                <w:szCs w:val="20"/>
                <w:color w:val="auto"/>
              </w:rPr>
            </w:pPr>
            <w:r>
              <w:rPr>
                <w:rFonts w:ascii="Arial" w:cs="Arial" w:eastAsia="Arial" w:hAnsi="Arial"/>
                <w:sz w:val="11"/>
                <w:szCs w:val="11"/>
                <w:color w:val="auto"/>
              </w:rPr>
              <w:t>20,046</w:t>
            </w: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2,010,105</w:t>
            </w:r>
          </w:p>
        </w:tc>
      </w:tr>
      <w:tr>
        <w:trPr>
          <w:trHeight w:val="142"/>
        </w:trPr>
        <w:tc>
          <w:tcPr>
            <w:tcW w:w="760" w:type="dxa"/>
            <w:vAlign w:val="bottom"/>
          </w:tcPr>
          <w:p>
            <w:pPr>
              <w:spacing w:after="0"/>
              <w:rPr>
                <w:sz w:val="12"/>
                <w:szCs w:val="12"/>
                <w:color w:val="auto"/>
              </w:rPr>
            </w:pPr>
          </w:p>
        </w:tc>
        <w:tc>
          <w:tcPr>
            <w:tcW w:w="620" w:type="dxa"/>
            <w:vAlign w:val="bottom"/>
            <w:tcBorders>
              <w:bottom w:val="single" w:sz="8" w:color="939598"/>
            </w:tcBorders>
          </w:tcPr>
          <w:p>
            <w:pPr>
              <w:spacing w:after="0"/>
              <w:rPr>
                <w:sz w:val="12"/>
                <w:szCs w:val="12"/>
                <w:color w:val="auto"/>
              </w:rPr>
            </w:pPr>
          </w:p>
        </w:tc>
        <w:tc>
          <w:tcPr>
            <w:tcW w:w="760" w:type="dxa"/>
            <w:vAlign w:val="bottom"/>
            <w:tcBorders>
              <w:bottom w:val="single" w:sz="8" w:color="939598"/>
            </w:tcBorders>
          </w:tcPr>
          <w:p>
            <w:pPr>
              <w:spacing w:after="0"/>
              <w:rPr>
                <w:sz w:val="12"/>
                <w:szCs w:val="12"/>
                <w:color w:val="auto"/>
              </w:rPr>
            </w:pPr>
          </w:p>
        </w:tc>
        <w:tc>
          <w:tcPr>
            <w:tcW w:w="920" w:type="dxa"/>
            <w:vAlign w:val="bottom"/>
            <w:tcBorders>
              <w:bottom w:val="single" w:sz="8" w:color="939598"/>
            </w:tcBorders>
          </w:tcPr>
          <w:p>
            <w:pPr>
              <w:spacing w:after="0"/>
              <w:rPr>
                <w:sz w:val="12"/>
                <w:szCs w:val="12"/>
                <w:color w:val="auto"/>
              </w:rPr>
            </w:pPr>
          </w:p>
        </w:tc>
        <w:tc>
          <w:tcPr>
            <w:tcW w:w="820" w:type="dxa"/>
            <w:vAlign w:val="bottom"/>
            <w:tcBorders>
              <w:bottom w:val="single" w:sz="8" w:color="939598"/>
            </w:tcBorders>
          </w:tcPr>
          <w:p>
            <w:pPr>
              <w:spacing w:after="0"/>
              <w:rPr>
                <w:sz w:val="12"/>
                <w:szCs w:val="12"/>
                <w:color w:val="auto"/>
              </w:rPr>
            </w:pPr>
          </w:p>
        </w:tc>
        <w:tc>
          <w:tcPr>
            <w:tcW w:w="180" w:type="dxa"/>
            <w:vAlign w:val="bottom"/>
            <w:tcBorders>
              <w:bottom w:val="single" w:sz="8" w:color="939598"/>
            </w:tcBorders>
          </w:tcPr>
          <w:p>
            <w:pPr>
              <w:spacing w:after="0"/>
              <w:rPr>
                <w:sz w:val="12"/>
                <w:szCs w:val="12"/>
                <w:color w:val="auto"/>
              </w:rPr>
            </w:pPr>
          </w:p>
        </w:tc>
        <w:tc>
          <w:tcPr>
            <w:tcW w:w="600" w:type="dxa"/>
            <w:vAlign w:val="bottom"/>
            <w:tcBorders>
              <w:bottom w:val="single" w:sz="8" w:color="939598"/>
            </w:tcBorders>
          </w:tcPr>
          <w:p>
            <w:pPr>
              <w:spacing w:after="0"/>
              <w:rPr>
                <w:sz w:val="12"/>
                <w:szCs w:val="12"/>
                <w:color w:val="auto"/>
              </w:rPr>
            </w:pPr>
          </w:p>
        </w:tc>
        <w:tc>
          <w:tcPr>
            <w:tcW w:w="180" w:type="dxa"/>
            <w:vAlign w:val="bottom"/>
            <w:tcBorders>
              <w:bottom w:val="single" w:sz="8" w:color="939598"/>
            </w:tcBorders>
          </w:tcPr>
          <w:p>
            <w:pPr>
              <w:spacing w:after="0"/>
              <w:rPr>
                <w:sz w:val="12"/>
                <w:szCs w:val="12"/>
                <w:color w:val="auto"/>
              </w:rPr>
            </w:pPr>
          </w:p>
        </w:tc>
        <w:tc>
          <w:tcPr>
            <w:tcW w:w="1460" w:type="dxa"/>
            <w:vAlign w:val="bottom"/>
            <w:tcBorders>
              <w:bottom w:val="single" w:sz="8" w:color="939598"/>
            </w:tcBorders>
          </w:tcPr>
          <w:p>
            <w:pPr>
              <w:spacing w:after="0"/>
              <w:rPr>
                <w:sz w:val="12"/>
                <w:szCs w:val="12"/>
                <w:color w:val="auto"/>
              </w:rPr>
            </w:pPr>
          </w:p>
        </w:tc>
        <w:tc>
          <w:tcPr>
            <w:tcW w:w="640" w:type="dxa"/>
            <w:vAlign w:val="bottom"/>
            <w:tcBorders>
              <w:bottom w:val="single" w:sz="8" w:color="939598"/>
            </w:tcBorders>
          </w:tcPr>
          <w:p>
            <w:pPr>
              <w:spacing w:after="0"/>
              <w:rPr>
                <w:sz w:val="12"/>
                <w:szCs w:val="12"/>
                <w:color w:val="auto"/>
              </w:rPr>
            </w:pPr>
          </w:p>
        </w:tc>
        <w:tc>
          <w:tcPr>
            <w:tcW w:w="2140" w:type="dxa"/>
            <w:vAlign w:val="bottom"/>
            <w:tcBorders>
              <w:bottom w:val="single" w:sz="8" w:color="939598"/>
            </w:tcBorders>
          </w:tcPr>
          <w:p>
            <w:pPr>
              <w:spacing w:after="0"/>
              <w:rPr>
                <w:sz w:val="12"/>
                <w:szCs w:val="12"/>
                <w:color w:val="auto"/>
              </w:rPr>
            </w:pPr>
          </w:p>
        </w:tc>
        <w:tc>
          <w:tcPr>
            <w:tcW w:w="720" w:type="dxa"/>
            <w:vAlign w:val="bottom"/>
            <w:tcBorders>
              <w:bottom w:val="single" w:sz="8" w:color="939598"/>
            </w:tcBorders>
          </w:tcPr>
          <w:p>
            <w:pPr>
              <w:spacing w:after="0"/>
              <w:rPr>
                <w:sz w:val="12"/>
                <w:szCs w:val="12"/>
                <w:color w:val="auto"/>
              </w:rPr>
            </w:pPr>
          </w:p>
        </w:tc>
        <w:tc>
          <w:tcPr>
            <w:tcW w:w="640" w:type="dxa"/>
            <w:vAlign w:val="bottom"/>
            <w:tcBorders>
              <w:bottom w:val="single" w:sz="8" w:color="939598"/>
            </w:tcBorders>
          </w:tcPr>
          <w:p>
            <w:pPr>
              <w:spacing w:after="0"/>
              <w:rPr>
                <w:sz w:val="12"/>
                <w:szCs w:val="12"/>
                <w:color w:val="auto"/>
              </w:rPr>
            </w:pPr>
          </w:p>
        </w:tc>
        <w:tc>
          <w:tcPr>
            <w:tcW w:w="180" w:type="dxa"/>
            <w:vAlign w:val="bottom"/>
            <w:tcBorders>
              <w:bottom w:val="single" w:sz="8" w:color="939598"/>
            </w:tcBorders>
          </w:tcPr>
          <w:p>
            <w:pPr>
              <w:spacing w:after="0"/>
              <w:rPr>
                <w:sz w:val="12"/>
                <w:szCs w:val="12"/>
                <w:color w:val="auto"/>
              </w:rPr>
            </w:pPr>
          </w:p>
        </w:tc>
        <w:tc>
          <w:tcPr>
            <w:tcW w:w="600" w:type="dxa"/>
            <w:vAlign w:val="bottom"/>
            <w:tcBorders>
              <w:bottom w:val="single" w:sz="8" w:color="939598"/>
            </w:tcBorders>
          </w:tcPr>
          <w:p>
            <w:pPr>
              <w:spacing w:after="0"/>
              <w:rPr>
                <w:sz w:val="12"/>
                <w:szCs w:val="12"/>
                <w:color w:val="auto"/>
              </w:rPr>
            </w:pPr>
          </w:p>
        </w:tc>
      </w:tr>
      <w:tr>
        <w:trPr>
          <w:trHeight w:val="257"/>
        </w:trPr>
        <w:tc>
          <w:tcPr>
            <w:tcW w:w="760" w:type="dxa"/>
            <w:vAlign w:val="bottom"/>
          </w:tcPr>
          <w:p>
            <w:pPr>
              <w:spacing w:after="0"/>
              <w:rPr>
                <w:sz w:val="22"/>
                <w:szCs w:val="22"/>
                <w:color w:val="auto"/>
              </w:rPr>
            </w:pPr>
          </w:p>
        </w:tc>
        <w:tc>
          <w:tcPr>
            <w:tcW w:w="620" w:type="dxa"/>
            <w:vAlign w:val="bottom"/>
          </w:tcPr>
          <w:p>
            <w:pPr>
              <w:spacing w:after="0"/>
              <w:rPr>
                <w:sz w:val="20"/>
                <w:szCs w:val="20"/>
                <w:color w:val="auto"/>
              </w:rPr>
            </w:pPr>
            <w:r>
              <w:rPr>
                <w:rFonts w:ascii="Arial" w:cs="Arial" w:eastAsia="Arial" w:hAnsi="Arial"/>
                <w:sz w:val="11"/>
                <w:szCs w:val="11"/>
                <w:color w:val="auto"/>
              </w:rPr>
              <w:t>RSU</w:t>
            </w:r>
          </w:p>
        </w:tc>
        <w:tc>
          <w:tcPr>
            <w:tcW w:w="760" w:type="dxa"/>
            <w:vAlign w:val="bottom"/>
          </w:tcPr>
          <w:p>
            <w:pPr>
              <w:ind w:left="100"/>
              <w:spacing w:after="0"/>
              <w:rPr>
                <w:sz w:val="20"/>
                <w:szCs w:val="20"/>
                <w:color w:val="auto"/>
              </w:rPr>
            </w:pPr>
            <w:r>
              <w:rPr>
                <w:rFonts w:ascii="Arial" w:cs="Arial" w:eastAsia="Arial" w:hAnsi="Arial"/>
                <w:sz w:val="11"/>
                <w:szCs w:val="11"/>
                <w:color w:val="auto"/>
              </w:rPr>
              <w:t>2/13/2025</w:t>
            </w:r>
          </w:p>
        </w:tc>
        <w:tc>
          <w:tcPr>
            <w:tcW w:w="920" w:type="dxa"/>
            <w:vAlign w:val="bottom"/>
          </w:tcPr>
          <w:p>
            <w:pPr>
              <w:ind w:left="120"/>
              <w:spacing w:after="0"/>
              <w:rPr>
                <w:sz w:val="20"/>
                <w:szCs w:val="20"/>
                <w:color w:val="auto"/>
              </w:rPr>
            </w:pPr>
            <w:r>
              <w:rPr>
                <w:rFonts w:ascii="Arial" w:cs="Arial" w:eastAsia="Arial" w:hAnsi="Arial"/>
                <w:sz w:val="11"/>
                <w:szCs w:val="11"/>
                <w:color w:val="auto"/>
              </w:rPr>
              <w:t>2/19/2025</w:t>
            </w: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140" w:type="dxa"/>
            <w:vAlign w:val="bottom"/>
          </w:tcPr>
          <w:p>
            <w:pPr>
              <w:jc w:val="right"/>
              <w:ind w:right="846"/>
              <w:spacing w:after="0"/>
              <w:rPr>
                <w:sz w:val="20"/>
                <w:szCs w:val="20"/>
                <w:color w:val="auto"/>
              </w:rPr>
            </w:pPr>
            <w:r>
              <w:rPr>
                <w:rFonts w:ascii="Arial" w:cs="Arial" w:eastAsia="Arial" w:hAnsi="Arial"/>
                <w:sz w:val="11"/>
                <w:szCs w:val="11"/>
                <w:color w:val="auto"/>
              </w:rPr>
              <w:t>4,700</w:t>
            </w: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986,107</w:t>
            </w:r>
          </w:p>
        </w:tc>
      </w:tr>
      <w:tr>
        <w:trPr>
          <w:trHeight w:val="141"/>
        </w:trPr>
        <w:tc>
          <w:tcPr>
            <w:tcW w:w="760" w:type="dxa"/>
            <w:vAlign w:val="bottom"/>
          </w:tcPr>
          <w:p>
            <w:pPr>
              <w:spacing w:after="0"/>
              <w:rPr>
                <w:sz w:val="12"/>
                <w:szCs w:val="12"/>
                <w:color w:val="auto"/>
              </w:rPr>
            </w:pPr>
          </w:p>
        </w:tc>
        <w:tc>
          <w:tcPr>
            <w:tcW w:w="620" w:type="dxa"/>
            <w:vAlign w:val="bottom"/>
            <w:tcBorders>
              <w:bottom w:val="single" w:sz="8" w:color="939598"/>
            </w:tcBorders>
          </w:tcPr>
          <w:p>
            <w:pPr>
              <w:spacing w:after="0"/>
              <w:rPr>
                <w:sz w:val="12"/>
                <w:szCs w:val="12"/>
                <w:color w:val="auto"/>
              </w:rPr>
            </w:pPr>
          </w:p>
        </w:tc>
        <w:tc>
          <w:tcPr>
            <w:tcW w:w="760" w:type="dxa"/>
            <w:vAlign w:val="bottom"/>
            <w:tcBorders>
              <w:bottom w:val="single" w:sz="8" w:color="939598"/>
            </w:tcBorders>
          </w:tcPr>
          <w:p>
            <w:pPr>
              <w:spacing w:after="0"/>
              <w:rPr>
                <w:sz w:val="12"/>
                <w:szCs w:val="12"/>
                <w:color w:val="auto"/>
              </w:rPr>
            </w:pPr>
          </w:p>
        </w:tc>
        <w:tc>
          <w:tcPr>
            <w:tcW w:w="920" w:type="dxa"/>
            <w:vAlign w:val="bottom"/>
            <w:tcBorders>
              <w:bottom w:val="single" w:sz="8" w:color="939598"/>
            </w:tcBorders>
          </w:tcPr>
          <w:p>
            <w:pPr>
              <w:spacing w:after="0"/>
              <w:rPr>
                <w:sz w:val="12"/>
                <w:szCs w:val="12"/>
                <w:color w:val="auto"/>
              </w:rPr>
            </w:pPr>
          </w:p>
        </w:tc>
        <w:tc>
          <w:tcPr>
            <w:tcW w:w="820" w:type="dxa"/>
            <w:vAlign w:val="bottom"/>
            <w:tcBorders>
              <w:bottom w:val="single" w:sz="8" w:color="939598"/>
            </w:tcBorders>
          </w:tcPr>
          <w:p>
            <w:pPr>
              <w:spacing w:after="0"/>
              <w:rPr>
                <w:sz w:val="12"/>
                <w:szCs w:val="12"/>
                <w:color w:val="auto"/>
              </w:rPr>
            </w:pPr>
          </w:p>
        </w:tc>
        <w:tc>
          <w:tcPr>
            <w:tcW w:w="180" w:type="dxa"/>
            <w:vAlign w:val="bottom"/>
            <w:tcBorders>
              <w:bottom w:val="single" w:sz="8" w:color="939598"/>
            </w:tcBorders>
          </w:tcPr>
          <w:p>
            <w:pPr>
              <w:spacing w:after="0"/>
              <w:rPr>
                <w:sz w:val="12"/>
                <w:szCs w:val="12"/>
                <w:color w:val="auto"/>
              </w:rPr>
            </w:pPr>
          </w:p>
        </w:tc>
        <w:tc>
          <w:tcPr>
            <w:tcW w:w="600" w:type="dxa"/>
            <w:vAlign w:val="bottom"/>
            <w:tcBorders>
              <w:bottom w:val="single" w:sz="8" w:color="939598"/>
            </w:tcBorders>
          </w:tcPr>
          <w:p>
            <w:pPr>
              <w:spacing w:after="0"/>
              <w:rPr>
                <w:sz w:val="12"/>
                <w:szCs w:val="12"/>
                <w:color w:val="auto"/>
              </w:rPr>
            </w:pPr>
          </w:p>
        </w:tc>
        <w:tc>
          <w:tcPr>
            <w:tcW w:w="180" w:type="dxa"/>
            <w:vAlign w:val="bottom"/>
            <w:tcBorders>
              <w:bottom w:val="single" w:sz="8" w:color="939598"/>
            </w:tcBorders>
          </w:tcPr>
          <w:p>
            <w:pPr>
              <w:spacing w:after="0"/>
              <w:rPr>
                <w:sz w:val="12"/>
                <w:szCs w:val="12"/>
                <w:color w:val="auto"/>
              </w:rPr>
            </w:pPr>
          </w:p>
        </w:tc>
        <w:tc>
          <w:tcPr>
            <w:tcW w:w="1460" w:type="dxa"/>
            <w:vAlign w:val="bottom"/>
            <w:tcBorders>
              <w:bottom w:val="single" w:sz="8" w:color="939598"/>
            </w:tcBorders>
          </w:tcPr>
          <w:p>
            <w:pPr>
              <w:spacing w:after="0"/>
              <w:rPr>
                <w:sz w:val="12"/>
                <w:szCs w:val="12"/>
                <w:color w:val="auto"/>
              </w:rPr>
            </w:pPr>
          </w:p>
        </w:tc>
        <w:tc>
          <w:tcPr>
            <w:tcW w:w="640" w:type="dxa"/>
            <w:vAlign w:val="bottom"/>
            <w:tcBorders>
              <w:bottom w:val="single" w:sz="8" w:color="939598"/>
            </w:tcBorders>
          </w:tcPr>
          <w:p>
            <w:pPr>
              <w:spacing w:after="0"/>
              <w:rPr>
                <w:sz w:val="12"/>
                <w:szCs w:val="12"/>
                <w:color w:val="auto"/>
              </w:rPr>
            </w:pPr>
          </w:p>
        </w:tc>
        <w:tc>
          <w:tcPr>
            <w:tcW w:w="2140" w:type="dxa"/>
            <w:vAlign w:val="bottom"/>
            <w:tcBorders>
              <w:bottom w:val="single" w:sz="8" w:color="939598"/>
            </w:tcBorders>
          </w:tcPr>
          <w:p>
            <w:pPr>
              <w:spacing w:after="0"/>
              <w:rPr>
                <w:sz w:val="12"/>
                <w:szCs w:val="12"/>
                <w:color w:val="auto"/>
              </w:rPr>
            </w:pPr>
          </w:p>
        </w:tc>
        <w:tc>
          <w:tcPr>
            <w:tcW w:w="720" w:type="dxa"/>
            <w:vAlign w:val="bottom"/>
            <w:tcBorders>
              <w:bottom w:val="single" w:sz="8" w:color="939598"/>
            </w:tcBorders>
          </w:tcPr>
          <w:p>
            <w:pPr>
              <w:spacing w:after="0"/>
              <w:rPr>
                <w:sz w:val="12"/>
                <w:szCs w:val="12"/>
                <w:color w:val="auto"/>
              </w:rPr>
            </w:pPr>
          </w:p>
        </w:tc>
        <w:tc>
          <w:tcPr>
            <w:tcW w:w="640" w:type="dxa"/>
            <w:vAlign w:val="bottom"/>
            <w:tcBorders>
              <w:bottom w:val="single" w:sz="8" w:color="939598"/>
            </w:tcBorders>
          </w:tcPr>
          <w:p>
            <w:pPr>
              <w:spacing w:after="0"/>
              <w:rPr>
                <w:sz w:val="12"/>
                <w:szCs w:val="12"/>
                <w:color w:val="auto"/>
              </w:rPr>
            </w:pPr>
          </w:p>
        </w:tc>
        <w:tc>
          <w:tcPr>
            <w:tcW w:w="180" w:type="dxa"/>
            <w:vAlign w:val="bottom"/>
            <w:tcBorders>
              <w:bottom w:val="single" w:sz="8" w:color="939598"/>
            </w:tcBorders>
          </w:tcPr>
          <w:p>
            <w:pPr>
              <w:spacing w:after="0"/>
              <w:rPr>
                <w:sz w:val="12"/>
                <w:szCs w:val="12"/>
                <w:color w:val="auto"/>
              </w:rPr>
            </w:pPr>
          </w:p>
        </w:tc>
        <w:tc>
          <w:tcPr>
            <w:tcW w:w="600" w:type="dxa"/>
            <w:vAlign w:val="bottom"/>
            <w:tcBorders>
              <w:bottom w:val="single" w:sz="8" w:color="939598"/>
            </w:tcBorders>
          </w:tcPr>
          <w:p>
            <w:pPr>
              <w:spacing w:after="0"/>
              <w:rPr>
                <w:sz w:val="12"/>
                <w:szCs w:val="12"/>
                <w:color w:val="auto"/>
              </w:rPr>
            </w:pPr>
          </w:p>
        </w:tc>
      </w:tr>
      <w:tr>
        <w:trPr>
          <w:trHeight w:val="300"/>
        </w:trPr>
        <w:tc>
          <w:tcPr>
            <w:tcW w:w="76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1"/>
                <w:szCs w:val="11"/>
                <w:color w:val="auto"/>
              </w:rPr>
              <w:t>RSU</w:t>
            </w:r>
            <w:r>
              <w:rPr>
                <w:rFonts w:ascii="Arial" w:cs="Arial" w:eastAsia="Arial" w:hAnsi="Arial"/>
                <w:sz w:val="14"/>
                <w:szCs w:val="14"/>
                <w:color w:val="auto"/>
                <w:vertAlign w:val="superscript"/>
              </w:rPr>
              <w:t>(7)</w:t>
            </w:r>
          </w:p>
        </w:tc>
        <w:tc>
          <w:tcPr>
            <w:tcW w:w="760" w:type="dxa"/>
            <w:vAlign w:val="bottom"/>
          </w:tcPr>
          <w:p>
            <w:pPr>
              <w:ind w:left="100"/>
              <w:spacing w:after="0"/>
              <w:rPr>
                <w:sz w:val="20"/>
                <w:szCs w:val="20"/>
                <w:color w:val="auto"/>
              </w:rPr>
            </w:pPr>
            <w:r>
              <w:rPr>
                <w:rFonts w:ascii="Arial" w:cs="Arial" w:eastAsia="Arial" w:hAnsi="Arial"/>
                <w:sz w:val="11"/>
                <w:szCs w:val="11"/>
                <w:color w:val="auto"/>
              </w:rPr>
              <w:t>2/13/2025</w:t>
            </w:r>
          </w:p>
        </w:tc>
        <w:tc>
          <w:tcPr>
            <w:tcW w:w="920" w:type="dxa"/>
            <w:vAlign w:val="bottom"/>
          </w:tcPr>
          <w:p>
            <w:pPr>
              <w:ind w:left="120"/>
              <w:spacing w:after="0"/>
              <w:rPr>
                <w:sz w:val="20"/>
                <w:szCs w:val="20"/>
                <w:color w:val="auto"/>
              </w:rPr>
            </w:pPr>
            <w:r>
              <w:rPr>
                <w:rFonts w:ascii="Arial" w:cs="Arial" w:eastAsia="Arial" w:hAnsi="Arial"/>
                <w:sz w:val="11"/>
                <w:szCs w:val="11"/>
                <w:color w:val="auto"/>
              </w:rPr>
              <w:t>2/19/2025</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40" w:type="dxa"/>
            <w:vAlign w:val="bottom"/>
          </w:tcPr>
          <w:p>
            <w:pPr>
              <w:jc w:val="right"/>
              <w:ind w:right="846"/>
              <w:spacing w:after="0"/>
              <w:rPr>
                <w:sz w:val="20"/>
                <w:szCs w:val="20"/>
                <w:color w:val="auto"/>
              </w:rPr>
            </w:pPr>
            <w:r>
              <w:rPr>
                <w:rFonts w:ascii="Arial" w:cs="Arial" w:eastAsia="Arial" w:hAnsi="Arial"/>
                <w:sz w:val="11"/>
                <w:szCs w:val="11"/>
                <w:color w:val="auto"/>
              </w:rPr>
              <w:t>5,720</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99"/>
        </w:trPr>
        <w:tc>
          <w:tcPr>
            <w:tcW w:w="1380" w:type="dxa"/>
            <w:vAlign w:val="bottom"/>
            <w:tcBorders>
              <w:bottom w:val="single" w:sz="8" w:color="939598"/>
            </w:tcBorders>
            <w:gridSpan w:val="2"/>
          </w:tcPr>
          <w:p>
            <w:pPr>
              <w:spacing w:after="0"/>
              <w:rPr>
                <w:sz w:val="8"/>
                <w:szCs w:val="8"/>
                <w:color w:val="auto"/>
              </w:rPr>
            </w:pPr>
          </w:p>
        </w:tc>
        <w:tc>
          <w:tcPr>
            <w:tcW w:w="760" w:type="dxa"/>
            <w:vAlign w:val="bottom"/>
            <w:tcBorders>
              <w:bottom w:val="single" w:sz="8" w:color="939598"/>
            </w:tcBorders>
          </w:tcPr>
          <w:p>
            <w:pPr>
              <w:spacing w:after="0"/>
              <w:rPr>
                <w:sz w:val="8"/>
                <w:szCs w:val="8"/>
                <w:color w:val="auto"/>
              </w:rPr>
            </w:pPr>
          </w:p>
        </w:tc>
        <w:tc>
          <w:tcPr>
            <w:tcW w:w="920" w:type="dxa"/>
            <w:vAlign w:val="bottom"/>
            <w:tcBorders>
              <w:bottom w:val="single" w:sz="8" w:color="939598"/>
            </w:tcBorders>
          </w:tcPr>
          <w:p>
            <w:pPr>
              <w:spacing w:after="0"/>
              <w:rPr>
                <w:sz w:val="8"/>
                <w:szCs w:val="8"/>
                <w:color w:val="auto"/>
              </w:rPr>
            </w:pPr>
          </w:p>
        </w:tc>
        <w:tc>
          <w:tcPr>
            <w:tcW w:w="820" w:type="dxa"/>
            <w:vAlign w:val="bottom"/>
            <w:tcBorders>
              <w:bottom w:val="single" w:sz="8" w:color="939598"/>
            </w:tcBorders>
          </w:tcPr>
          <w:p>
            <w:pPr>
              <w:spacing w:after="0"/>
              <w:rPr>
                <w:sz w:val="8"/>
                <w:szCs w:val="8"/>
                <w:color w:val="auto"/>
              </w:rPr>
            </w:pPr>
          </w:p>
        </w:tc>
        <w:tc>
          <w:tcPr>
            <w:tcW w:w="180" w:type="dxa"/>
            <w:vAlign w:val="bottom"/>
            <w:tcBorders>
              <w:bottom w:val="single" w:sz="8" w:color="939598"/>
            </w:tcBorders>
          </w:tcPr>
          <w:p>
            <w:pPr>
              <w:spacing w:after="0"/>
              <w:rPr>
                <w:sz w:val="8"/>
                <w:szCs w:val="8"/>
                <w:color w:val="auto"/>
              </w:rPr>
            </w:pPr>
          </w:p>
        </w:tc>
        <w:tc>
          <w:tcPr>
            <w:tcW w:w="600" w:type="dxa"/>
            <w:vAlign w:val="bottom"/>
            <w:tcBorders>
              <w:bottom w:val="single" w:sz="8" w:color="939598"/>
            </w:tcBorders>
          </w:tcPr>
          <w:p>
            <w:pPr>
              <w:spacing w:after="0"/>
              <w:rPr>
                <w:sz w:val="8"/>
                <w:szCs w:val="8"/>
                <w:color w:val="auto"/>
              </w:rPr>
            </w:pPr>
          </w:p>
        </w:tc>
        <w:tc>
          <w:tcPr>
            <w:tcW w:w="180" w:type="dxa"/>
            <w:vAlign w:val="bottom"/>
            <w:tcBorders>
              <w:bottom w:val="single" w:sz="8" w:color="939598"/>
            </w:tcBorders>
          </w:tcPr>
          <w:p>
            <w:pPr>
              <w:spacing w:after="0"/>
              <w:rPr>
                <w:sz w:val="8"/>
                <w:szCs w:val="8"/>
                <w:color w:val="auto"/>
              </w:rPr>
            </w:pPr>
          </w:p>
        </w:tc>
        <w:tc>
          <w:tcPr>
            <w:tcW w:w="1460" w:type="dxa"/>
            <w:vAlign w:val="bottom"/>
            <w:tcBorders>
              <w:bottom w:val="single" w:sz="8" w:color="939598"/>
            </w:tcBorders>
          </w:tcPr>
          <w:p>
            <w:pPr>
              <w:spacing w:after="0"/>
              <w:rPr>
                <w:sz w:val="8"/>
                <w:szCs w:val="8"/>
                <w:color w:val="auto"/>
              </w:rPr>
            </w:pPr>
          </w:p>
        </w:tc>
        <w:tc>
          <w:tcPr>
            <w:tcW w:w="640" w:type="dxa"/>
            <w:vAlign w:val="bottom"/>
            <w:tcBorders>
              <w:bottom w:val="single" w:sz="8" w:color="939598"/>
            </w:tcBorders>
          </w:tcPr>
          <w:p>
            <w:pPr>
              <w:spacing w:after="0"/>
              <w:rPr>
                <w:sz w:val="8"/>
                <w:szCs w:val="8"/>
                <w:color w:val="auto"/>
              </w:rPr>
            </w:pPr>
          </w:p>
        </w:tc>
        <w:tc>
          <w:tcPr>
            <w:tcW w:w="2140" w:type="dxa"/>
            <w:vAlign w:val="bottom"/>
            <w:tcBorders>
              <w:bottom w:val="single" w:sz="8" w:color="939598"/>
            </w:tcBorders>
          </w:tcPr>
          <w:p>
            <w:pPr>
              <w:spacing w:after="0"/>
              <w:rPr>
                <w:sz w:val="8"/>
                <w:szCs w:val="8"/>
                <w:color w:val="auto"/>
              </w:rPr>
            </w:pPr>
          </w:p>
        </w:tc>
        <w:tc>
          <w:tcPr>
            <w:tcW w:w="720" w:type="dxa"/>
            <w:vAlign w:val="bottom"/>
            <w:tcBorders>
              <w:bottom w:val="single" w:sz="8" w:color="939598"/>
            </w:tcBorders>
          </w:tcPr>
          <w:p>
            <w:pPr>
              <w:spacing w:after="0"/>
              <w:rPr>
                <w:sz w:val="8"/>
                <w:szCs w:val="8"/>
                <w:color w:val="auto"/>
              </w:rPr>
            </w:pPr>
          </w:p>
        </w:tc>
        <w:tc>
          <w:tcPr>
            <w:tcW w:w="640" w:type="dxa"/>
            <w:vAlign w:val="bottom"/>
            <w:tcBorders>
              <w:bottom w:val="single" w:sz="8" w:color="939598"/>
            </w:tcBorders>
          </w:tcPr>
          <w:p>
            <w:pPr>
              <w:spacing w:after="0"/>
              <w:rPr>
                <w:sz w:val="8"/>
                <w:szCs w:val="8"/>
                <w:color w:val="auto"/>
              </w:rPr>
            </w:pPr>
          </w:p>
        </w:tc>
        <w:tc>
          <w:tcPr>
            <w:tcW w:w="180" w:type="dxa"/>
            <w:vAlign w:val="bottom"/>
            <w:tcBorders>
              <w:bottom w:val="single" w:sz="8" w:color="939598"/>
            </w:tcBorders>
          </w:tcPr>
          <w:p>
            <w:pPr>
              <w:spacing w:after="0"/>
              <w:rPr>
                <w:sz w:val="8"/>
                <w:szCs w:val="8"/>
                <w:color w:val="auto"/>
              </w:rPr>
            </w:pPr>
          </w:p>
        </w:tc>
        <w:tc>
          <w:tcPr>
            <w:tcW w:w="600" w:type="dxa"/>
            <w:vAlign w:val="bottom"/>
            <w:tcBorders>
              <w:bottom w:val="single" w:sz="8" w:color="939598"/>
            </w:tcBorders>
          </w:tcPr>
          <w:p>
            <w:pPr>
              <w:spacing w:after="0"/>
              <w:rPr>
                <w:sz w:val="8"/>
                <w:szCs w:val="8"/>
                <w:color w:val="auto"/>
              </w:rPr>
            </w:pPr>
          </w:p>
        </w:tc>
      </w:tr>
      <w:tr>
        <w:trPr>
          <w:trHeight w:val="263"/>
        </w:trPr>
        <w:tc>
          <w:tcPr>
            <w:tcW w:w="1380" w:type="dxa"/>
            <w:vAlign w:val="bottom"/>
            <w:gridSpan w:val="2"/>
          </w:tcPr>
          <w:p>
            <w:pPr>
              <w:ind w:left="20"/>
              <w:spacing w:after="0"/>
              <w:rPr>
                <w:sz w:val="20"/>
                <w:szCs w:val="20"/>
                <w:color w:val="auto"/>
              </w:rPr>
            </w:pPr>
            <w:r>
              <w:rPr>
                <w:rFonts w:ascii="Arial" w:cs="Arial" w:eastAsia="Arial" w:hAnsi="Arial"/>
                <w:sz w:val="11"/>
                <w:szCs w:val="11"/>
                <w:b w:val="1"/>
                <w:bCs w:val="1"/>
                <w:color w:val="auto"/>
              </w:rPr>
              <w:t xml:space="preserve">James Masso </w:t>
            </w:r>
            <w:r>
              <w:rPr>
                <w:rFonts w:ascii="Arial" w:cs="Arial" w:eastAsia="Arial" w:hAnsi="Arial"/>
                <w:sz w:val="11"/>
                <w:szCs w:val="11"/>
                <w:color w:val="auto"/>
              </w:rPr>
              <w:t>ICP</w:t>
            </w: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3,162</w:t>
            </w:r>
          </w:p>
        </w:tc>
        <w:tc>
          <w:tcPr>
            <w:tcW w:w="180" w:type="dxa"/>
            <w:vAlign w:val="bottom"/>
          </w:tcPr>
          <w:p>
            <w:pPr>
              <w:spacing w:after="0"/>
              <w:rPr>
                <w:sz w:val="22"/>
                <w:szCs w:val="2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316,233</w:t>
            </w:r>
          </w:p>
        </w:tc>
        <w:tc>
          <w:tcPr>
            <w:tcW w:w="180" w:type="dxa"/>
            <w:vAlign w:val="bottom"/>
          </w:tcPr>
          <w:p>
            <w:pPr>
              <w:spacing w:after="0"/>
              <w:rPr>
                <w:sz w:val="22"/>
                <w:szCs w:val="22"/>
                <w:color w:val="auto"/>
              </w:rPr>
            </w:pPr>
          </w:p>
        </w:tc>
        <w:tc>
          <w:tcPr>
            <w:tcW w:w="1460" w:type="dxa"/>
            <w:vAlign w:val="bottom"/>
          </w:tcPr>
          <w:p>
            <w:pPr>
              <w:jc w:val="right"/>
              <w:ind w:right="846"/>
              <w:spacing w:after="0"/>
              <w:rPr>
                <w:sz w:val="20"/>
                <w:szCs w:val="20"/>
                <w:color w:val="auto"/>
              </w:rPr>
            </w:pPr>
            <w:r>
              <w:rPr>
                <w:rFonts w:ascii="Arial" w:cs="Arial" w:eastAsia="Arial" w:hAnsi="Arial"/>
                <w:sz w:val="11"/>
                <w:szCs w:val="11"/>
                <w:color w:val="auto"/>
              </w:rPr>
              <w:t>632,466</w:t>
            </w:r>
          </w:p>
        </w:tc>
        <w:tc>
          <w:tcPr>
            <w:tcW w:w="64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136"/>
        </w:trPr>
        <w:tc>
          <w:tcPr>
            <w:tcW w:w="760" w:type="dxa"/>
            <w:vAlign w:val="bottom"/>
          </w:tcPr>
          <w:p>
            <w:pPr>
              <w:spacing w:after="0"/>
              <w:rPr>
                <w:sz w:val="11"/>
                <w:szCs w:val="11"/>
                <w:color w:val="auto"/>
              </w:rPr>
            </w:pPr>
          </w:p>
        </w:tc>
        <w:tc>
          <w:tcPr>
            <w:tcW w:w="620" w:type="dxa"/>
            <w:vAlign w:val="bottom"/>
            <w:tcBorders>
              <w:bottom w:val="single" w:sz="8" w:color="939598"/>
            </w:tcBorders>
          </w:tcPr>
          <w:p>
            <w:pPr>
              <w:spacing w:after="0"/>
              <w:rPr>
                <w:sz w:val="11"/>
                <w:szCs w:val="11"/>
                <w:color w:val="auto"/>
              </w:rPr>
            </w:pPr>
          </w:p>
        </w:tc>
        <w:tc>
          <w:tcPr>
            <w:tcW w:w="760" w:type="dxa"/>
            <w:vAlign w:val="bottom"/>
            <w:tcBorders>
              <w:bottom w:val="single" w:sz="8" w:color="939598"/>
            </w:tcBorders>
          </w:tcPr>
          <w:p>
            <w:pPr>
              <w:spacing w:after="0"/>
              <w:rPr>
                <w:sz w:val="11"/>
                <w:szCs w:val="11"/>
                <w:color w:val="auto"/>
              </w:rPr>
            </w:pPr>
          </w:p>
        </w:tc>
        <w:tc>
          <w:tcPr>
            <w:tcW w:w="920" w:type="dxa"/>
            <w:vAlign w:val="bottom"/>
            <w:tcBorders>
              <w:bottom w:val="single" w:sz="8" w:color="939598"/>
            </w:tcBorders>
          </w:tcPr>
          <w:p>
            <w:pPr>
              <w:spacing w:after="0"/>
              <w:rPr>
                <w:sz w:val="11"/>
                <w:szCs w:val="11"/>
                <w:color w:val="auto"/>
              </w:rPr>
            </w:pPr>
          </w:p>
        </w:tc>
        <w:tc>
          <w:tcPr>
            <w:tcW w:w="820" w:type="dxa"/>
            <w:vAlign w:val="bottom"/>
            <w:tcBorders>
              <w:bottom w:val="single" w:sz="8" w:color="939598"/>
            </w:tcBorders>
          </w:tcPr>
          <w:p>
            <w:pPr>
              <w:spacing w:after="0"/>
              <w:rPr>
                <w:sz w:val="11"/>
                <w:szCs w:val="11"/>
                <w:color w:val="auto"/>
              </w:rPr>
            </w:pPr>
          </w:p>
        </w:tc>
        <w:tc>
          <w:tcPr>
            <w:tcW w:w="180" w:type="dxa"/>
            <w:vAlign w:val="bottom"/>
            <w:tcBorders>
              <w:bottom w:val="single" w:sz="8" w:color="939598"/>
            </w:tcBorders>
          </w:tcPr>
          <w:p>
            <w:pPr>
              <w:spacing w:after="0"/>
              <w:rPr>
                <w:sz w:val="11"/>
                <w:szCs w:val="11"/>
                <w:color w:val="auto"/>
              </w:rPr>
            </w:pPr>
          </w:p>
        </w:tc>
        <w:tc>
          <w:tcPr>
            <w:tcW w:w="600" w:type="dxa"/>
            <w:vAlign w:val="bottom"/>
            <w:tcBorders>
              <w:bottom w:val="single" w:sz="8" w:color="939598"/>
            </w:tcBorders>
          </w:tcPr>
          <w:p>
            <w:pPr>
              <w:spacing w:after="0"/>
              <w:rPr>
                <w:sz w:val="11"/>
                <w:szCs w:val="11"/>
                <w:color w:val="auto"/>
              </w:rPr>
            </w:pPr>
          </w:p>
        </w:tc>
        <w:tc>
          <w:tcPr>
            <w:tcW w:w="180" w:type="dxa"/>
            <w:vAlign w:val="bottom"/>
            <w:tcBorders>
              <w:bottom w:val="single" w:sz="8" w:color="939598"/>
            </w:tcBorders>
          </w:tcPr>
          <w:p>
            <w:pPr>
              <w:spacing w:after="0"/>
              <w:rPr>
                <w:sz w:val="11"/>
                <w:szCs w:val="11"/>
                <w:color w:val="auto"/>
              </w:rPr>
            </w:pPr>
          </w:p>
        </w:tc>
        <w:tc>
          <w:tcPr>
            <w:tcW w:w="1460" w:type="dxa"/>
            <w:vAlign w:val="bottom"/>
            <w:tcBorders>
              <w:bottom w:val="single" w:sz="8" w:color="939598"/>
            </w:tcBorders>
          </w:tcPr>
          <w:p>
            <w:pPr>
              <w:spacing w:after="0"/>
              <w:rPr>
                <w:sz w:val="11"/>
                <w:szCs w:val="11"/>
                <w:color w:val="auto"/>
              </w:rPr>
            </w:pPr>
          </w:p>
        </w:tc>
        <w:tc>
          <w:tcPr>
            <w:tcW w:w="640" w:type="dxa"/>
            <w:vAlign w:val="bottom"/>
            <w:tcBorders>
              <w:bottom w:val="single" w:sz="8" w:color="939598"/>
            </w:tcBorders>
          </w:tcPr>
          <w:p>
            <w:pPr>
              <w:spacing w:after="0"/>
              <w:rPr>
                <w:sz w:val="11"/>
                <w:szCs w:val="11"/>
                <w:color w:val="auto"/>
              </w:rPr>
            </w:pPr>
          </w:p>
        </w:tc>
        <w:tc>
          <w:tcPr>
            <w:tcW w:w="2140" w:type="dxa"/>
            <w:vAlign w:val="bottom"/>
            <w:tcBorders>
              <w:bottom w:val="single" w:sz="8" w:color="939598"/>
            </w:tcBorders>
          </w:tcPr>
          <w:p>
            <w:pPr>
              <w:spacing w:after="0"/>
              <w:rPr>
                <w:sz w:val="11"/>
                <w:szCs w:val="11"/>
                <w:color w:val="auto"/>
              </w:rPr>
            </w:pPr>
          </w:p>
        </w:tc>
        <w:tc>
          <w:tcPr>
            <w:tcW w:w="720" w:type="dxa"/>
            <w:vAlign w:val="bottom"/>
            <w:tcBorders>
              <w:bottom w:val="single" w:sz="8" w:color="939598"/>
            </w:tcBorders>
          </w:tcPr>
          <w:p>
            <w:pPr>
              <w:spacing w:after="0"/>
              <w:rPr>
                <w:sz w:val="11"/>
                <w:szCs w:val="11"/>
                <w:color w:val="auto"/>
              </w:rPr>
            </w:pPr>
          </w:p>
        </w:tc>
        <w:tc>
          <w:tcPr>
            <w:tcW w:w="640" w:type="dxa"/>
            <w:vAlign w:val="bottom"/>
            <w:tcBorders>
              <w:bottom w:val="single" w:sz="8" w:color="939598"/>
            </w:tcBorders>
          </w:tcPr>
          <w:p>
            <w:pPr>
              <w:spacing w:after="0"/>
              <w:rPr>
                <w:sz w:val="11"/>
                <w:szCs w:val="11"/>
                <w:color w:val="auto"/>
              </w:rPr>
            </w:pPr>
          </w:p>
        </w:tc>
        <w:tc>
          <w:tcPr>
            <w:tcW w:w="180" w:type="dxa"/>
            <w:vAlign w:val="bottom"/>
            <w:tcBorders>
              <w:bottom w:val="single" w:sz="8" w:color="939598"/>
            </w:tcBorders>
          </w:tcPr>
          <w:p>
            <w:pPr>
              <w:spacing w:after="0"/>
              <w:rPr>
                <w:sz w:val="11"/>
                <w:szCs w:val="11"/>
                <w:color w:val="auto"/>
              </w:rPr>
            </w:pPr>
          </w:p>
        </w:tc>
        <w:tc>
          <w:tcPr>
            <w:tcW w:w="600" w:type="dxa"/>
            <w:vAlign w:val="bottom"/>
            <w:tcBorders>
              <w:bottom w:val="single" w:sz="8" w:color="939598"/>
            </w:tcBorders>
          </w:tcPr>
          <w:p>
            <w:pPr>
              <w:spacing w:after="0"/>
              <w:rPr>
                <w:sz w:val="11"/>
                <w:szCs w:val="11"/>
                <w:color w:val="auto"/>
              </w:rPr>
            </w:pPr>
          </w:p>
        </w:tc>
      </w:tr>
      <w:tr>
        <w:trPr>
          <w:trHeight w:val="257"/>
        </w:trPr>
        <w:tc>
          <w:tcPr>
            <w:tcW w:w="760" w:type="dxa"/>
            <w:vAlign w:val="bottom"/>
          </w:tcPr>
          <w:p>
            <w:pPr>
              <w:spacing w:after="0"/>
              <w:rPr>
                <w:sz w:val="22"/>
                <w:szCs w:val="22"/>
                <w:color w:val="auto"/>
              </w:rPr>
            </w:pPr>
          </w:p>
        </w:tc>
        <w:tc>
          <w:tcPr>
            <w:tcW w:w="620" w:type="dxa"/>
            <w:vAlign w:val="bottom"/>
          </w:tcPr>
          <w:p>
            <w:pPr>
              <w:spacing w:after="0"/>
              <w:rPr>
                <w:sz w:val="20"/>
                <w:szCs w:val="20"/>
                <w:color w:val="auto"/>
              </w:rPr>
            </w:pPr>
            <w:r>
              <w:rPr>
                <w:rFonts w:ascii="Arial" w:cs="Arial" w:eastAsia="Arial" w:hAnsi="Arial"/>
                <w:sz w:val="11"/>
                <w:szCs w:val="11"/>
                <w:color w:val="auto"/>
              </w:rPr>
              <w:t>NQSO</w:t>
            </w:r>
          </w:p>
        </w:tc>
        <w:tc>
          <w:tcPr>
            <w:tcW w:w="760" w:type="dxa"/>
            <w:vAlign w:val="bottom"/>
          </w:tcPr>
          <w:p>
            <w:pPr>
              <w:ind w:left="100"/>
              <w:spacing w:after="0"/>
              <w:rPr>
                <w:sz w:val="20"/>
                <w:szCs w:val="20"/>
                <w:color w:val="auto"/>
              </w:rPr>
            </w:pPr>
            <w:r>
              <w:rPr>
                <w:rFonts w:ascii="Arial" w:cs="Arial" w:eastAsia="Arial" w:hAnsi="Arial"/>
                <w:sz w:val="11"/>
                <w:szCs w:val="11"/>
                <w:color w:val="auto"/>
              </w:rPr>
              <w:t>6/5/2025</w:t>
            </w:r>
          </w:p>
        </w:tc>
        <w:tc>
          <w:tcPr>
            <w:tcW w:w="920" w:type="dxa"/>
            <w:vAlign w:val="bottom"/>
          </w:tcPr>
          <w:p>
            <w:pPr>
              <w:ind w:left="120"/>
              <w:spacing w:after="0"/>
              <w:rPr>
                <w:sz w:val="20"/>
                <w:szCs w:val="20"/>
                <w:color w:val="auto"/>
              </w:rPr>
            </w:pPr>
            <w:r>
              <w:rPr>
                <w:rFonts w:ascii="Arial" w:cs="Arial" w:eastAsia="Arial" w:hAnsi="Arial"/>
                <w:sz w:val="11"/>
                <w:szCs w:val="11"/>
                <w:color w:val="auto"/>
              </w:rPr>
              <w:t>7/14/2025</w:t>
            </w: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140" w:type="dxa"/>
            <w:vAlign w:val="bottom"/>
          </w:tcPr>
          <w:p>
            <w:pPr>
              <w:jc w:val="right"/>
              <w:ind w:right="66"/>
              <w:spacing w:after="0"/>
              <w:rPr>
                <w:sz w:val="20"/>
                <w:szCs w:val="20"/>
                <w:color w:val="auto"/>
              </w:rPr>
            </w:pPr>
            <w:r>
              <w:rPr>
                <w:rFonts w:ascii="Arial" w:cs="Arial" w:eastAsia="Arial" w:hAnsi="Arial"/>
                <w:sz w:val="11"/>
                <w:szCs w:val="11"/>
                <w:color w:val="auto"/>
              </w:rPr>
              <w:t>9,206</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236.71</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238.06</w:t>
            </w:r>
          </w:p>
        </w:tc>
        <w:tc>
          <w:tcPr>
            <w:tcW w:w="180" w:type="dxa"/>
            <w:vAlign w:val="bottom"/>
          </w:tcPr>
          <w:p>
            <w:pPr>
              <w:spacing w:after="0"/>
              <w:rPr>
                <w:sz w:val="22"/>
                <w:szCs w:val="2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413,165</w:t>
            </w:r>
          </w:p>
        </w:tc>
      </w:tr>
      <w:tr>
        <w:trPr>
          <w:trHeight w:val="141"/>
        </w:trPr>
        <w:tc>
          <w:tcPr>
            <w:tcW w:w="760" w:type="dxa"/>
            <w:vAlign w:val="bottom"/>
          </w:tcPr>
          <w:p>
            <w:pPr>
              <w:spacing w:after="0"/>
              <w:rPr>
                <w:sz w:val="12"/>
                <w:szCs w:val="12"/>
                <w:color w:val="auto"/>
              </w:rPr>
            </w:pPr>
          </w:p>
        </w:tc>
        <w:tc>
          <w:tcPr>
            <w:tcW w:w="620" w:type="dxa"/>
            <w:vAlign w:val="bottom"/>
            <w:tcBorders>
              <w:bottom w:val="single" w:sz="8" w:color="939598"/>
            </w:tcBorders>
          </w:tcPr>
          <w:p>
            <w:pPr>
              <w:spacing w:after="0"/>
              <w:rPr>
                <w:sz w:val="12"/>
                <w:szCs w:val="12"/>
                <w:color w:val="auto"/>
              </w:rPr>
            </w:pPr>
          </w:p>
        </w:tc>
        <w:tc>
          <w:tcPr>
            <w:tcW w:w="760" w:type="dxa"/>
            <w:vAlign w:val="bottom"/>
            <w:tcBorders>
              <w:bottom w:val="single" w:sz="8" w:color="939598"/>
            </w:tcBorders>
          </w:tcPr>
          <w:p>
            <w:pPr>
              <w:spacing w:after="0"/>
              <w:rPr>
                <w:sz w:val="12"/>
                <w:szCs w:val="12"/>
                <w:color w:val="auto"/>
              </w:rPr>
            </w:pPr>
          </w:p>
        </w:tc>
        <w:tc>
          <w:tcPr>
            <w:tcW w:w="920" w:type="dxa"/>
            <w:vAlign w:val="bottom"/>
            <w:tcBorders>
              <w:bottom w:val="single" w:sz="8" w:color="939598"/>
            </w:tcBorders>
          </w:tcPr>
          <w:p>
            <w:pPr>
              <w:spacing w:after="0"/>
              <w:rPr>
                <w:sz w:val="12"/>
                <w:szCs w:val="12"/>
                <w:color w:val="auto"/>
              </w:rPr>
            </w:pPr>
          </w:p>
        </w:tc>
        <w:tc>
          <w:tcPr>
            <w:tcW w:w="820" w:type="dxa"/>
            <w:vAlign w:val="bottom"/>
            <w:tcBorders>
              <w:bottom w:val="single" w:sz="8" w:color="939598"/>
            </w:tcBorders>
          </w:tcPr>
          <w:p>
            <w:pPr>
              <w:spacing w:after="0"/>
              <w:rPr>
                <w:sz w:val="12"/>
                <w:szCs w:val="12"/>
                <w:color w:val="auto"/>
              </w:rPr>
            </w:pPr>
          </w:p>
        </w:tc>
        <w:tc>
          <w:tcPr>
            <w:tcW w:w="180" w:type="dxa"/>
            <w:vAlign w:val="bottom"/>
            <w:tcBorders>
              <w:bottom w:val="single" w:sz="8" w:color="939598"/>
            </w:tcBorders>
          </w:tcPr>
          <w:p>
            <w:pPr>
              <w:spacing w:after="0"/>
              <w:rPr>
                <w:sz w:val="12"/>
                <w:szCs w:val="12"/>
                <w:color w:val="auto"/>
              </w:rPr>
            </w:pPr>
          </w:p>
        </w:tc>
        <w:tc>
          <w:tcPr>
            <w:tcW w:w="600" w:type="dxa"/>
            <w:vAlign w:val="bottom"/>
            <w:tcBorders>
              <w:bottom w:val="single" w:sz="8" w:color="939598"/>
            </w:tcBorders>
          </w:tcPr>
          <w:p>
            <w:pPr>
              <w:spacing w:after="0"/>
              <w:rPr>
                <w:sz w:val="12"/>
                <w:szCs w:val="12"/>
                <w:color w:val="auto"/>
              </w:rPr>
            </w:pPr>
          </w:p>
        </w:tc>
        <w:tc>
          <w:tcPr>
            <w:tcW w:w="180" w:type="dxa"/>
            <w:vAlign w:val="bottom"/>
            <w:tcBorders>
              <w:bottom w:val="single" w:sz="8" w:color="939598"/>
            </w:tcBorders>
          </w:tcPr>
          <w:p>
            <w:pPr>
              <w:spacing w:after="0"/>
              <w:rPr>
                <w:sz w:val="12"/>
                <w:szCs w:val="12"/>
                <w:color w:val="auto"/>
              </w:rPr>
            </w:pPr>
          </w:p>
        </w:tc>
        <w:tc>
          <w:tcPr>
            <w:tcW w:w="1460" w:type="dxa"/>
            <w:vAlign w:val="bottom"/>
            <w:tcBorders>
              <w:bottom w:val="single" w:sz="8" w:color="939598"/>
            </w:tcBorders>
          </w:tcPr>
          <w:p>
            <w:pPr>
              <w:spacing w:after="0"/>
              <w:rPr>
                <w:sz w:val="12"/>
                <w:szCs w:val="12"/>
                <w:color w:val="auto"/>
              </w:rPr>
            </w:pPr>
          </w:p>
        </w:tc>
        <w:tc>
          <w:tcPr>
            <w:tcW w:w="640" w:type="dxa"/>
            <w:vAlign w:val="bottom"/>
            <w:tcBorders>
              <w:bottom w:val="single" w:sz="8" w:color="939598"/>
            </w:tcBorders>
          </w:tcPr>
          <w:p>
            <w:pPr>
              <w:spacing w:after="0"/>
              <w:rPr>
                <w:sz w:val="12"/>
                <w:szCs w:val="12"/>
                <w:color w:val="auto"/>
              </w:rPr>
            </w:pPr>
          </w:p>
        </w:tc>
        <w:tc>
          <w:tcPr>
            <w:tcW w:w="2140" w:type="dxa"/>
            <w:vAlign w:val="bottom"/>
            <w:tcBorders>
              <w:bottom w:val="single" w:sz="8" w:color="939598"/>
            </w:tcBorders>
          </w:tcPr>
          <w:p>
            <w:pPr>
              <w:spacing w:after="0"/>
              <w:rPr>
                <w:sz w:val="12"/>
                <w:szCs w:val="12"/>
                <w:color w:val="auto"/>
              </w:rPr>
            </w:pPr>
          </w:p>
        </w:tc>
        <w:tc>
          <w:tcPr>
            <w:tcW w:w="720" w:type="dxa"/>
            <w:vAlign w:val="bottom"/>
            <w:tcBorders>
              <w:bottom w:val="single" w:sz="8" w:color="939598"/>
            </w:tcBorders>
          </w:tcPr>
          <w:p>
            <w:pPr>
              <w:spacing w:after="0"/>
              <w:rPr>
                <w:sz w:val="12"/>
                <w:szCs w:val="12"/>
                <w:color w:val="auto"/>
              </w:rPr>
            </w:pPr>
          </w:p>
        </w:tc>
        <w:tc>
          <w:tcPr>
            <w:tcW w:w="640" w:type="dxa"/>
            <w:vAlign w:val="bottom"/>
            <w:tcBorders>
              <w:bottom w:val="single" w:sz="8" w:color="939598"/>
            </w:tcBorders>
          </w:tcPr>
          <w:p>
            <w:pPr>
              <w:spacing w:after="0"/>
              <w:rPr>
                <w:sz w:val="12"/>
                <w:szCs w:val="12"/>
                <w:color w:val="auto"/>
              </w:rPr>
            </w:pPr>
          </w:p>
        </w:tc>
        <w:tc>
          <w:tcPr>
            <w:tcW w:w="180" w:type="dxa"/>
            <w:vAlign w:val="bottom"/>
            <w:tcBorders>
              <w:bottom w:val="single" w:sz="8" w:color="939598"/>
            </w:tcBorders>
          </w:tcPr>
          <w:p>
            <w:pPr>
              <w:spacing w:after="0"/>
              <w:rPr>
                <w:sz w:val="12"/>
                <w:szCs w:val="12"/>
                <w:color w:val="auto"/>
              </w:rPr>
            </w:pPr>
          </w:p>
        </w:tc>
        <w:tc>
          <w:tcPr>
            <w:tcW w:w="600" w:type="dxa"/>
            <w:vAlign w:val="bottom"/>
            <w:tcBorders>
              <w:bottom w:val="single" w:sz="8" w:color="939598"/>
            </w:tcBorders>
          </w:tcPr>
          <w:p>
            <w:pPr>
              <w:spacing w:after="0"/>
              <w:rPr>
                <w:sz w:val="12"/>
                <w:szCs w:val="12"/>
                <w:color w:val="auto"/>
              </w:rPr>
            </w:pPr>
          </w:p>
        </w:tc>
      </w:tr>
      <w:tr>
        <w:trPr>
          <w:trHeight w:val="257"/>
        </w:trPr>
        <w:tc>
          <w:tcPr>
            <w:tcW w:w="760" w:type="dxa"/>
            <w:vAlign w:val="bottom"/>
          </w:tcPr>
          <w:p>
            <w:pPr>
              <w:spacing w:after="0"/>
              <w:rPr>
                <w:sz w:val="22"/>
                <w:szCs w:val="22"/>
                <w:color w:val="auto"/>
              </w:rPr>
            </w:pPr>
          </w:p>
        </w:tc>
        <w:tc>
          <w:tcPr>
            <w:tcW w:w="620" w:type="dxa"/>
            <w:vAlign w:val="bottom"/>
          </w:tcPr>
          <w:p>
            <w:pPr>
              <w:spacing w:after="0"/>
              <w:rPr>
                <w:sz w:val="20"/>
                <w:szCs w:val="20"/>
                <w:color w:val="auto"/>
              </w:rPr>
            </w:pPr>
            <w:r>
              <w:rPr>
                <w:rFonts w:ascii="Arial" w:cs="Arial" w:eastAsia="Arial" w:hAnsi="Arial"/>
                <w:sz w:val="11"/>
                <w:szCs w:val="11"/>
                <w:color w:val="auto"/>
              </w:rPr>
              <w:t>PSU25-27</w:t>
            </w:r>
          </w:p>
        </w:tc>
        <w:tc>
          <w:tcPr>
            <w:tcW w:w="760" w:type="dxa"/>
            <w:vAlign w:val="bottom"/>
          </w:tcPr>
          <w:p>
            <w:pPr>
              <w:ind w:left="100"/>
              <w:spacing w:after="0"/>
              <w:rPr>
                <w:sz w:val="20"/>
                <w:szCs w:val="20"/>
                <w:color w:val="auto"/>
              </w:rPr>
            </w:pPr>
            <w:r>
              <w:rPr>
                <w:rFonts w:ascii="Arial" w:cs="Arial" w:eastAsia="Arial" w:hAnsi="Arial"/>
                <w:sz w:val="11"/>
                <w:szCs w:val="11"/>
                <w:color w:val="auto"/>
              </w:rPr>
              <w:t>6/5/2025</w:t>
            </w:r>
          </w:p>
        </w:tc>
        <w:tc>
          <w:tcPr>
            <w:tcW w:w="920" w:type="dxa"/>
            <w:vAlign w:val="bottom"/>
          </w:tcPr>
          <w:p>
            <w:pPr>
              <w:ind w:left="120"/>
              <w:spacing w:after="0"/>
              <w:rPr>
                <w:sz w:val="20"/>
                <w:szCs w:val="20"/>
                <w:color w:val="auto"/>
              </w:rPr>
            </w:pPr>
            <w:r>
              <w:rPr>
                <w:rFonts w:ascii="Arial" w:cs="Arial" w:eastAsia="Arial" w:hAnsi="Arial"/>
                <w:sz w:val="11"/>
                <w:szCs w:val="11"/>
                <w:color w:val="auto"/>
              </w:rPr>
              <w:t>7/14/2025</w:t>
            </w: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ind w:right="46"/>
              <w:spacing w:after="0"/>
              <w:rPr>
                <w:sz w:val="20"/>
                <w:szCs w:val="20"/>
                <w:color w:val="auto"/>
              </w:rPr>
            </w:pPr>
            <w:r>
              <w:rPr>
                <w:rFonts w:ascii="Arial" w:cs="Arial" w:eastAsia="Arial" w:hAnsi="Arial"/>
                <w:sz w:val="11"/>
                <w:szCs w:val="11"/>
                <w:color w:val="auto"/>
              </w:rPr>
              <w:t>242</w:t>
            </w:r>
          </w:p>
        </w:tc>
        <w:tc>
          <w:tcPr>
            <w:tcW w:w="640" w:type="dxa"/>
            <w:vAlign w:val="bottom"/>
          </w:tcPr>
          <w:p>
            <w:pPr>
              <w:jc w:val="right"/>
              <w:ind w:right="146"/>
              <w:spacing w:after="0"/>
              <w:rPr>
                <w:sz w:val="20"/>
                <w:szCs w:val="20"/>
                <w:color w:val="auto"/>
              </w:rPr>
            </w:pPr>
            <w:r>
              <w:rPr>
                <w:rFonts w:ascii="Arial" w:cs="Arial" w:eastAsia="Arial" w:hAnsi="Arial"/>
                <w:sz w:val="11"/>
                <w:szCs w:val="11"/>
                <w:color w:val="auto"/>
              </w:rPr>
              <w:t>3,864</w:t>
            </w:r>
          </w:p>
        </w:tc>
        <w:tc>
          <w:tcPr>
            <w:tcW w:w="2140" w:type="dxa"/>
            <w:vAlign w:val="bottom"/>
          </w:tcPr>
          <w:p>
            <w:pPr>
              <w:jc w:val="right"/>
              <w:ind w:right="1546"/>
              <w:spacing w:after="0"/>
              <w:rPr>
                <w:sz w:val="20"/>
                <w:szCs w:val="20"/>
                <w:color w:val="auto"/>
              </w:rPr>
            </w:pPr>
            <w:r>
              <w:rPr>
                <w:rFonts w:ascii="Arial" w:cs="Arial" w:eastAsia="Arial" w:hAnsi="Arial"/>
                <w:sz w:val="11"/>
                <w:szCs w:val="11"/>
                <w:color w:val="auto"/>
              </w:rPr>
              <w:t>7,728</w:t>
            </w: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900,193</w:t>
            </w:r>
          </w:p>
        </w:tc>
      </w:tr>
      <w:tr>
        <w:trPr>
          <w:trHeight w:val="141"/>
        </w:trPr>
        <w:tc>
          <w:tcPr>
            <w:tcW w:w="760" w:type="dxa"/>
            <w:vAlign w:val="bottom"/>
          </w:tcPr>
          <w:p>
            <w:pPr>
              <w:spacing w:after="0"/>
              <w:rPr>
                <w:sz w:val="12"/>
                <w:szCs w:val="12"/>
                <w:color w:val="auto"/>
              </w:rPr>
            </w:pPr>
          </w:p>
        </w:tc>
        <w:tc>
          <w:tcPr>
            <w:tcW w:w="620" w:type="dxa"/>
            <w:vAlign w:val="bottom"/>
            <w:tcBorders>
              <w:bottom w:val="single" w:sz="8" w:color="939598"/>
            </w:tcBorders>
          </w:tcPr>
          <w:p>
            <w:pPr>
              <w:spacing w:after="0"/>
              <w:rPr>
                <w:sz w:val="12"/>
                <w:szCs w:val="12"/>
                <w:color w:val="auto"/>
              </w:rPr>
            </w:pPr>
          </w:p>
        </w:tc>
        <w:tc>
          <w:tcPr>
            <w:tcW w:w="760" w:type="dxa"/>
            <w:vAlign w:val="bottom"/>
            <w:tcBorders>
              <w:bottom w:val="single" w:sz="8" w:color="939598"/>
            </w:tcBorders>
          </w:tcPr>
          <w:p>
            <w:pPr>
              <w:spacing w:after="0"/>
              <w:rPr>
                <w:sz w:val="12"/>
                <w:szCs w:val="12"/>
                <w:color w:val="auto"/>
              </w:rPr>
            </w:pPr>
          </w:p>
        </w:tc>
        <w:tc>
          <w:tcPr>
            <w:tcW w:w="920" w:type="dxa"/>
            <w:vAlign w:val="bottom"/>
            <w:tcBorders>
              <w:bottom w:val="single" w:sz="8" w:color="939598"/>
            </w:tcBorders>
          </w:tcPr>
          <w:p>
            <w:pPr>
              <w:spacing w:after="0"/>
              <w:rPr>
                <w:sz w:val="12"/>
                <w:szCs w:val="12"/>
                <w:color w:val="auto"/>
              </w:rPr>
            </w:pPr>
          </w:p>
        </w:tc>
        <w:tc>
          <w:tcPr>
            <w:tcW w:w="820" w:type="dxa"/>
            <w:vAlign w:val="bottom"/>
            <w:tcBorders>
              <w:bottom w:val="single" w:sz="8" w:color="939598"/>
            </w:tcBorders>
          </w:tcPr>
          <w:p>
            <w:pPr>
              <w:spacing w:after="0"/>
              <w:rPr>
                <w:sz w:val="12"/>
                <w:szCs w:val="12"/>
                <w:color w:val="auto"/>
              </w:rPr>
            </w:pPr>
          </w:p>
        </w:tc>
        <w:tc>
          <w:tcPr>
            <w:tcW w:w="180" w:type="dxa"/>
            <w:vAlign w:val="bottom"/>
            <w:tcBorders>
              <w:bottom w:val="single" w:sz="8" w:color="939598"/>
            </w:tcBorders>
          </w:tcPr>
          <w:p>
            <w:pPr>
              <w:spacing w:after="0"/>
              <w:rPr>
                <w:sz w:val="12"/>
                <w:szCs w:val="12"/>
                <w:color w:val="auto"/>
              </w:rPr>
            </w:pPr>
          </w:p>
        </w:tc>
        <w:tc>
          <w:tcPr>
            <w:tcW w:w="600" w:type="dxa"/>
            <w:vAlign w:val="bottom"/>
            <w:tcBorders>
              <w:bottom w:val="single" w:sz="8" w:color="939598"/>
            </w:tcBorders>
          </w:tcPr>
          <w:p>
            <w:pPr>
              <w:spacing w:after="0"/>
              <w:rPr>
                <w:sz w:val="12"/>
                <w:szCs w:val="12"/>
                <w:color w:val="auto"/>
              </w:rPr>
            </w:pPr>
          </w:p>
        </w:tc>
        <w:tc>
          <w:tcPr>
            <w:tcW w:w="180" w:type="dxa"/>
            <w:vAlign w:val="bottom"/>
            <w:tcBorders>
              <w:bottom w:val="single" w:sz="8" w:color="939598"/>
            </w:tcBorders>
          </w:tcPr>
          <w:p>
            <w:pPr>
              <w:spacing w:after="0"/>
              <w:rPr>
                <w:sz w:val="12"/>
                <w:szCs w:val="12"/>
                <w:color w:val="auto"/>
              </w:rPr>
            </w:pPr>
          </w:p>
        </w:tc>
        <w:tc>
          <w:tcPr>
            <w:tcW w:w="1460" w:type="dxa"/>
            <w:vAlign w:val="bottom"/>
            <w:tcBorders>
              <w:bottom w:val="single" w:sz="8" w:color="939598"/>
            </w:tcBorders>
          </w:tcPr>
          <w:p>
            <w:pPr>
              <w:spacing w:after="0"/>
              <w:rPr>
                <w:sz w:val="12"/>
                <w:szCs w:val="12"/>
                <w:color w:val="auto"/>
              </w:rPr>
            </w:pPr>
          </w:p>
        </w:tc>
        <w:tc>
          <w:tcPr>
            <w:tcW w:w="640" w:type="dxa"/>
            <w:vAlign w:val="bottom"/>
            <w:tcBorders>
              <w:bottom w:val="single" w:sz="8" w:color="939598"/>
            </w:tcBorders>
          </w:tcPr>
          <w:p>
            <w:pPr>
              <w:spacing w:after="0"/>
              <w:rPr>
                <w:sz w:val="12"/>
                <w:szCs w:val="12"/>
                <w:color w:val="auto"/>
              </w:rPr>
            </w:pPr>
          </w:p>
        </w:tc>
        <w:tc>
          <w:tcPr>
            <w:tcW w:w="2140" w:type="dxa"/>
            <w:vAlign w:val="bottom"/>
            <w:tcBorders>
              <w:bottom w:val="single" w:sz="8" w:color="939598"/>
            </w:tcBorders>
          </w:tcPr>
          <w:p>
            <w:pPr>
              <w:spacing w:after="0"/>
              <w:rPr>
                <w:sz w:val="12"/>
                <w:szCs w:val="12"/>
                <w:color w:val="auto"/>
              </w:rPr>
            </w:pPr>
          </w:p>
        </w:tc>
        <w:tc>
          <w:tcPr>
            <w:tcW w:w="720" w:type="dxa"/>
            <w:vAlign w:val="bottom"/>
            <w:tcBorders>
              <w:bottom w:val="single" w:sz="8" w:color="939598"/>
            </w:tcBorders>
          </w:tcPr>
          <w:p>
            <w:pPr>
              <w:spacing w:after="0"/>
              <w:rPr>
                <w:sz w:val="12"/>
                <w:szCs w:val="12"/>
                <w:color w:val="auto"/>
              </w:rPr>
            </w:pPr>
          </w:p>
        </w:tc>
        <w:tc>
          <w:tcPr>
            <w:tcW w:w="640" w:type="dxa"/>
            <w:vAlign w:val="bottom"/>
            <w:tcBorders>
              <w:bottom w:val="single" w:sz="8" w:color="939598"/>
            </w:tcBorders>
          </w:tcPr>
          <w:p>
            <w:pPr>
              <w:spacing w:after="0"/>
              <w:rPr>
                <w:sz w:val="12"/>
                <w:szCs w:val="12"/>
                <w:color w:val="auto"/>
              </w:rPr>
            </w:pPr>
          </w:p>
        </w:tc>
        <w:tc>
          <w:tcPr>
            <w:tcW w:w="180" w:type="dxa"/>
            <w:vAlign w:val="bottom"/>
            <w:tcBorders>
              <w:bottom w:val="single" w:sz="8" w:color="939598"/>
            </w:tcBorders>
          </w:tcPr>
          <w:p>
            <w:pPr>
              <w:spacing w:after="0"/>
              <w:rPr>
                <w:sz w:val="12"/>
                <w:szCs w:val="12"/>
                <w:color w:val="auto"/>
              </w:rPr>
            </w:pPr>
          </w:p>
        </w:tc>
        <w:tc>
          <w:tcPr>
            <w:tcW w:w="600" w:type="dxa"/>
            <w:vAlign w:val="bottom"/>
            <w:tcBorders>
              <w:bottom w:val="single" w:sz="8" w:color="939598"/>
            </w:tcBorders>
          </w:tcPr>
          <w:p>
            <w:pPr>
              <w:spacing w:after="0"/>
              <w:rPr>
                <w:sz w:val="12"/>
                <w:szCs w:val="12"/>
                <w:color w:val="auto"/>
              </w:rPr>
            </w:pPr>
          </w:p>
        </w:tc>
      </w:tr>
      <w:tr>
        <w:trPr>
          <w:trHeight w:val="257"/>
        </w:trPr>
        <w:tc>
          <w:tcPr>
            <w:tcW w:w="760" w:type="dxa"/>
            <w:vAlign w:val="bottom"/>
          </w:tcPr>
          <w:p>
            <w:pPr>
              <w:spacing w:after="0"/>
              <w:rPr>
                <w:sz w:val="22"/>
                <w:szCs w:val="22"/>
                <w:color w:val="auto"/>
              </w:rPr>
            </w:pPr>
          </w:p>
        </w:tc>
        <w:tc>
          <w:tcPr>
            <w:tcW w:w="620" w:type="dxa"/>
            <w:vAlign w:val="bottom"/>
          </w:tcPr>
          <w:p>
            <w:pPr>
              <w:spacing w:after="0"/>
              <w:rPr>
                <w:sz w:val="20"/>
                <w:szCs w:val="20"/>
                <w:color w:val="auto"/>
              </w:rPr>
            </w:pPr>
            <w:r>
              <w:rPr>
                <w:rFonts w:ascii="Arial" w:cs="Arial" w:eastAsia="Arial" w:hAnsi="Arial"/>
                <w:sz w:val="11"/>
                <w:szCs w:val="11"/>
                <w:color w:val="auto"/>
              </w:rPr>
              <w:t>RSU</w:t>
            </w:r>
          </w:p>
        </w:tc>
        <w:tc>
          <w:tcPr>
            <w:tcW w:w="760" w:type="dxa"/>
            <w:vAlign w:val="bottom"/>
          </w:tcPr>
          <w:p>
            <w:pPr>
              <w:ind w:left="100"/>
              <w:spacing w:after="0"/>
              <w:rPr>
                <w:sz w:val="20"/>
                <w:szCs w:val="20"/>
                <w:color w:val="auto"/>
              </w:rPr>
            </w:pPr>
            <w:r>
              <w:rPr>
                <w:rFonts w:ascii="Arial" w:cs="Arial" w:eastAsia="Arial" w:hAnsi="Arial"/>
                <w:sz w:val="11"/>
                <w:szCs w:val="11"/>
                <w:color w:val="auto"/>
              </w:rPr>
              <w:t>6/5/2025</w:t>
            </w:r>
          </w:p>
        </w:tc>
        <w:tc>
          <w:tcPr>
            <w:tcW w:w="920" w:type="dxa"/>
            <w:vAlign w:val="bottom"/>
          </w:tcPr>
          <w:p>
            <w:pPr>
              <w:ind w:left="120"/>
              <w:spacing w:after="0"/>
              <w:rPr>
                <w:sz w:val="20"/>
                <w:szCs w:val="20"/>
                <w:color w:val="auto"/>
              </w:rPr>
            </w:pPr>
            <w:r>
              <w:rPr>
                <w:rFonts w:ascii="Arial" w:cs="Arial" w:eastAsia="Arial" w:hAnsi="Arial"/>
                <w:sz w:val="11"/>
                <w:szCs w:val="11"/>
                <w:color w:val="auto"/>
              </w:rPr>
              <w:t>7/14/2025</w:t>
            </w: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140" w:type="dxa"/>
            <w:vAlign w:val="bottom"/>
          </w:tcPr>
          <w:p>
            <w:pPr>
              <w:jc w:val="right"/>
              <w:ind w:right="806"/>
              <w:spacing w:after="0"/>
              <w:rPr>
                <w:sz w:val="20"/>
                <w:szCs w:val="20"/>
                <w:color w:val="auto"/>
              </w:rPr>
            </w:pPr>
            <w:r>
              <w:rPr>
                <w:rFonts w:ascii="Arial" w:cs="Arial" w:eastAsia="Arial" w:hAnsi="Arial"/>
                <w:sz w:val="11"/>
                <w:szCs w:val="11"/>
                <w:color w:val="auto"/>
              </w:rPr>
              <w:t>1,901</w:t>
            </w: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449,986</w:t>
            </w:r>
          </w:p>
        </w:tc>
      </w:tr>
      <w:tr>
        <w:trPr>
          <w:trHeight w:val="141"/>
        </w:trPr>
        <w:tc>
          <w:tcPr>
            <w:tcW w:w="760" w:type="dxa"/>
            <w:vAlign w:val="bottom"/>
          </w:tcPr>
          <w:p>
            <w:pPr>
              <w:spacing w:after="0"/>
              <w:rPr>
                <w:sz w:val="12"/>
                <w:szCs w:val="12"/>
                <w:color w:val="auto"/>
              </w:rPr>
            </w:pPr>
          </w:p>
        </w:tc>
        <w:tc>
          <w:tcPr>
            <w:tcW w:w="620" w:type="dxa"/>
            <w:vAlign w:val="bottom"/>
            <w:tcBorders>
              <w:bottom w:val="single" w:sz="8" w:color="939598"/>
            </w:tcBorders>
          </w:tcPr>
          <w:p>
            <w:pPr>
              <w:spacing w:after="0"/>
              <w:rPr>
                <w:sz w:val="12"/>
                <w:szCs w:val="12"/>
                <w:color w:val="auto"/>
              </w:rPr>
            </w:pPr>
          </w:p>
        </w:tc>
        <w:tc>
          <w:tcPr>
            <w:tcW w:w="760" w:type="dxa"/>
            <w:vAlign w:val="bottom"/>
            <w:tcBorders>
              <w:bottom w:val="single" w:sz="8" w:color="939598"/>
            </w:tcBorders>
          </w:tcPr>
          <w:p>
            <w:pPr>
              <w:spacing w:after="0"/>
              <w:rPr>
                <w:sz w:val="12"/>
                <w:szCs w:val="12"/>
                <w:color w:val="auto"/>
              </w:rPr>
            </w:pPr>
          </w:p>
        </w:tc>
        <w:tc>
          <w:tcPr>
            <w:tcW w:w="920" w:type="dxa"/>
            <w:vAlign w:val="bottom"/>
            <w:tcBorders>
              <w:bottom w:val="single" w:sz="8" w:color="939598"/>
            </w:tcBorders>
          </w:tcPr>
          <w:p>
            <w:pPr>
              <w:spacing w:after="0"/>
              <w:rPr>
                <w:sz w:val="12"/>
                <w:szCs w:val="12"/>
                <w:color w:val="auto"/>
              </w:rPr>
            </w:pPr>
          </w:p>
        </w:tc>
        <w:tc>
          <w:tcPr>
            <w:tcW w:w="820" w:type="dxa"/>
            <w:vAlign w:val="bottom"/>
            <w:tcBorders>
              <w:bottom w:val="single" w:sz="8" w:color="939598"/>
            </w:tcBorders>
          </w:tcPr>
          <w:p>
            <w:pPr>
              <w:spacing w:after="0"/>
              <w:rPr>
                <w:sz w:val="12"/>
                <w:szCs w:val="12"/>
                <w:color w:val="auto"/>
              </w:rPr>
            </w:pPr>
          </w:p>
        </w:tc>
        <w:tc>
          <w:tcPr>
            <w:tcW w:w="180" w:type="dxa"/>
            <w:vAlign w:val="bottom"/>
            <w:tcBorders>
              <w:bottom w:val="single" w:sz="8" w:color="939598"/>
            </w:tcBorders>
          </w:tcPr>
          <w:p>
            <w:pPr>
              <w:spacing w:after="0"/>
              <w:rPr>
                <w:sz w:val="12"/>
                <w:szCs w:val="12"/>
                <w:color w:val="auto"/>
              </w:rPr>
            </w:pPr>
          </w:p>
        </w:tc>
        <w:tc>
          <w:tcPr>
            <w:tcW w:w="600" w:type="dxa"/>
            <w:vAlign w:val="bottom"/>
            <w:tcBorders>
              <w:bottom w:val="single" w:sz="8" w:color="939598"/>
            </w:tcBorders>
          </w:tcPr>
          <w:p>
            <w:pPr>
              <w:spacing w:after="0"/>
              <w:rPr>
                <w:sz w:val="12"/>
                <w:szCs w:val="12"/>
                <w:color w:val="auto"/>
              </w:rPr>
            </w:pPr>
          </w:p>
        </w:tc>
        <w:tc>
          <w:tcPr>
            <w:tcW w:w="180" w:type="dxa"/>
            <w:vAlign w:val="bottom"/>
            <w:tcBorders>
              <w:bottom w:val="single" w:sz="8" w:color="939598"/>
            </w:tcBorders>
          </w:tcPr>
          <w:p>
            <w:pPr>
              <w:spacing w:after="0"/>
              <w:rPr>
                <w:sz w:val="12"/>
                <w:szCs w:val="12"/>
                <w:color w:val="auto"/>
              </w:rPr>
            </w:pPr>
          </w:p>
        </w:tc>
        <w:tc>
          <w:tcPr>
            <w:tcW w:w="1460" w:type="dxa"/>
            <w:vAlign w:val="bottom"/>
            <w:tcBorders>
              <w:bottom w:val="single" w:sz="8" w:color="939598"/>
            </w:tcBorders>
          </w:tcPr>
          <w:p>
            <w:pPr>
              <w:spacing w:after="0"/>
              <w:rPr>
                <w:sz w:val="12"/>
                <w:szCs w:val="12"/>
                <w:color w:val="auto"/>
              </w:rPr>
            </w:pPr>
          </w:p>
        </w:tc>
        <w:tc>
          <w:tcPr>
            <w:tcW w:w="640" w:type="dxa"/>
            <w:vAlign w:val="bottom"/>
            <w:tcBorders>
              <w:bottom w:val="single" w:sz="8" w:color="939598"/>
            </w:tcBorders>
          </w:tcPr>
          <w:p>
            <w:pPr>
              <w:spacing w:after="0"/>
              <w:rPr>
                <w:sz w:val="12"/>
                <w:szCs w:val="12"/>
                <w:color w:val="auto"/>
              </w:rPr>
            </w:pPr>
          </w:p>
        </w:tc>
        <w:tc>
          <w:tcPr>
            <w:tcW w:w="2140" w:type="dxa"/>
            <w:vAlign w:val="bottom"/>
            <w:tcBorders>
              <w:bottom w:val="single" w:sz="8" w:color="939598"/>
            </w:tcBorders>
          </w:tcPr>
          <w:p>
            <w:pPr>
              <w:spacing w:after="0"/>
              <w:rPr>
                <w:sz w:val="12"/>
                <w:szCs w:val="12"/>
                <w:color w:val="auto"/>
              </w:rPr>
            </w:pPr>
          </w:p>
        </w:tc>
        <w:tc>
          <w:tcPr>
            <w:tcW w:w="720" w:type="dxa"/>
            <w:vAlign w:val="bottom"/>
            <w:tcBorders>
              <w:bottom w:val="single" w:sz="8" w:color="939598"/>
            </w:tcBorders>
          </w:tcPr>
          <w:p>
            <w:pPr>
              <w:spacing w:after="0"/>
              <w:rPr>
                <w:sz w:val="12"/>
                <w:szCs w:val="12"/>
                <w:color w:val="auto"/>
              </w:rPr>
            </w:pPr>
          </w:p>
        </w:tc>
        <w:tc>
          <w:tcPr>
            <w:tcW w:w="640" w:type="dxa"/>
            <w:vAlign w:val="bottom"/>
            <w:tcBorders>
              <w:bottom w:val="single" w:sz="8" w:color="939598"/>
            </w:tcBorders>
          </w:tcPr>
          <w:p>
            <w:pPr>
              <w:spacing w:after="0"/>
              <w:rPr>
                <w:sz w:val="12"/>
                <w:szCs w:val="12"/>
                <w:color w:val="auto"/>
              </w:rPr>
            </w:pPr>
          </w:p>
        </w:tc>
        <w:tc>
          <w:tcPr>
            <w:tcW w:w="180" w:type="dxa"/>
            <w:vAlign w:val="bottom"/>
            <w:tcBorders>
              <w:bottom w:val="single" w:sz="8" w:color="939598"/>
            </w:tcBorders>
          </w:tcPr>
          <w:p>
            <w:pPr>
              <w:spacing w:after="0"/>
              <w:rPr>
                <w:sz w:val="12"/>
                <w:szCs w:val="12"/>
                <w:color w:val="auto"/>
              </w:rPr>
            </w:pPr>
          </w:p>
        </w:tc>
        <w:tc>
          <w:tcPr>
            <w:tcW w:w="600" w:type="dxa"/>
            <w:vAlign w:val="bottom"/>
            <w:tcBorders>
              <w:bottom w:val="single" w:sz="8" w:color="939598"/>
            </w:tcBorders>
          </w:tcPr>
          <w:p>
            <w:pPr>
              <w:spacing w:after="0"/>
              <w:rPr>
                <w:sz w:val="12"/>
                <w:szCs w:val="12"/>
                <w:color w:val="auto"/>
              </w:rPr>
            </w:pPr>
          </w:p>
        </w:tc>
      </w:tr>
      <w:tr>
        <w:trPr>
          <w:trHeight w:val="257"/>
        </w:trPr>
        <w:tc>
          <w:tcPr>
            <w:tcW w:w="760" w:type="dxa"/>
            <w:vAlign w:val="bottom"/>
          </w:tcPr>
          <w:p>
            <w:pPr>
              <w:spacing w:after="0"/>
              <w:rPr>
                <w:sz w:val="22"/>
                <w:szCs w:val="22"/>
                <w:color w:val="auto"/>
              </w:rPr>
            </w:pPr>
          </w:p>
        </w:tc>
        <w:tc>
          <w:tcPr>
            <w:tcW w:w="620" w:type="dxa"/>
            <w:vAlign w:val="bottom"/>
          </w:tcPr>
          <w:p>
            <w:pPr>
              <w:spacing w:after="0"/>
              <w:rPr>
                <w:sz w:val="20"/>
                <w:szCs w:val="20"/>
                <w:color w:val="auto"/>
              </w:rPr>
            </w:pPr>
            <w:r>
              <w:rPr>
                <w:rFonts w:ascii="Arial" w:cs="Arial" w:eastAsia="Arial" w:hAnsi="Arial"/>
                <w:sz w:val="11"/>
                <w:szCs w:val="11"/>
                <w:color w:val="auto"/>
              </w:rPr>
              <w:t>RSU</w:t>
            </w:r>
          </w:p>
        </w:tc>
        <w:tc>
          <w:tcPr>
            <w:tcW w:w="760" w:type="dxa"/>
            <w:vAlign w:val="bottom"/>
          </w:tcPr>
          <w:p>
            <w:pPr>
              <w:ind w:left="100"/>
              <w:spacing w:after="0"/>
              <w:rPr>
                <w:sz w:val="20"/>
                <w:szCs w:val="20"/>
                <w:color w:val="auto"/>
              </w:rPr>
            </w:pPr>
            <w:r>
              <w:rPr>
                <w:rFonts w:ascii="Arial" w:cs="Arial" w:eastAsia="Arial" w:hAnsi="Arial"/>
                <w:sz w:val="11"/>
                <w:szCs w:val="11"/>
                <w:color w:val="auto"/>
              </w:rPr>
              <w:t>6/5/2025</w:t>
            </w:r>
          </w:p>
        </w:tc>
        <w:tc>
          <w:tcPr>
            <w:tcW w:w="920" w:type="dxa"/>
            <w:vAlign w:val="bottom"/>
          </w:tcPr>
          <w:p>
            <w:pPr>
              <w:ind w:left="120"/>
              <w:spacing w:after="0"/>
              <w:rPr>
                <w:sz w:val="20"/>
                <w:szCs w:val="20"/>
                <w:color w:val="auto"/>
              </w:rPr>
            </w:pPr>
            <w:r>
              <w:rPr>
                <w:rFonts w:ascii="Arial" w:cs="Arial" w:eastAsia="Arial" w:hAnsi="Arial"/>
                <w:sz w:val="11"/>
                <w:szCs w:val="11"/>
                <w:color w:val="auto"/>
              </w:rPr>
              <w:t>7/14/2025</w:t>
            </w: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140" w:type="dxa"/>
            <w:vAlign w:val="bottom"/>
          </w:tcPr>
          <w:p>
            <w:pPr>
              <w:jc w:val="right"/>
              <w:ind w:right="846"/>
              <w:spacing w:after="0"/>
              <w:rPr>
                <w:sz w:val="20"/>
                <w:szCs w:val="20"/>
                <w:color w:val="auto"/>
              </w:rPr>
            </w:pPr>
            <w:r>
              <w:rPr>
                <w:rFonts w:ascii="Arial" w:cs="Arial" w:eastAsia="Arial" w:hAnsi="Arial"/>
                <w:sz w:val="11"/>
                <w:szCs w:val="11"/>
                <w:color w:val="auto"/>
              </w:rPr>
              <w:t>10,562</w:t>
            </w: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2,500,131</w:t>
            </w:r>
          </w:p>
        </w:tc>
      </w:tr>
      <w:tr>
        <w:trPr>
          <w:trHeight w:val="142"/>
        </w:trPr>
        <w:tc>
          <w:tcPr>
            <w:tcW w:w="760" w:type="dxa"/>
            <w:vAlign w:val="bottom"/>
            <w:tcBorders>
              <w:bottom w:val="single" w:sz="8" w:color="939598"/>
            </w:tcBorders>
          </w:tcPr>
          <w:p>
            <w:pPr>
              <w:spacing w:after="0"/>
              <w:rPr>
                <w:sz w:val="12"/>
                <w:szCs w:val="12"/>
                <w:color w:val="auto"/>
              </w:rPr>
            </w:pPr>
          </w:p>
        </w:tc>
        <w:tc>
          <w:tcPr>
            <w:tcW w:w="620" w:type="dxa"/>
            <w:vAlign w:val="bottom"/>
            <w:tcBorders>
              <w:bottom w:val="single" w:sz="8" w:color="939598"/>
            </w:tcBorders>
          </w:tcPr>
          <w:p>
            <w:pPr>
              <w:spacing w:after="0"/>
              <w:rPr>
                <w:sz w:val="12"/>
                <w:szCs w:val="12"/>
                <w:color w:val="auto"/>
              </w:rPr>
            </w:pPr>
          </w:p>
        </w:tc>
        <w:tc>
          <w:tcPr>
            <w:tcW w:w="760" w:type="dxa"/>
            <w:vAlign w:val="bottom"/>
            <w:tcBorders>
              <w:bottom w:val="single" w:sz="8" w:color="939598"/>
            </w:tcBorders>
          </w:tcPr>
          <w:p>
            <w:pPr>
              <w:spacing w:after="0"/>
              <w:rPr>
                <w:sz w:val="12"/>
                <w:szCs w:val="12"/>
                <w:color w:val="auto"/>
              </w:rPr>
            </w:pPr>
          </w:p>
        </w:tc>
        <w:tc>
          <w:tcPr>
            <w:tcW w:w="920" w:type="dxa"/>
            <w:vAlign w:val="bottom"/>
            <w:tcBorders>
              <w:bottom w:val="single" w:sz="8" w:color="939598"/>
            </w:tcBorders>
          </w:tcPr>
          <w:p>
            <w:pPr>
              <w:spacing w:after="0"/>
              <w:rPr>
                <w:sz w:val="12"/>
                <w:szCs w:val="12"/>
                <w:color w:val="auto"/>
              </w:rPr>
            </w:pPr>
          </w:p>
        </w:tc>
        <w:tc>
          <w:tcPr>
            <w:tcW w:w="820" w:type="dxa"/>
            <w:vAlign w:val="bottom"/>
            <w:tcBorders>
              <w:bottom w:val="single" w:sz="8" w:color="939598"/>
            </w:tcBorders>
          </w:tcPr>
          <w:p>
            <w:pPr>
              <w:spacing w:after="0"/>
              <w:rPr>
                <w:sz w:val="12"/>
                <w:szCs w:val="12"/>
                <w:color w:val="auto"/>
              </w:rPr>
            </w:pPr>
          </w:p>
        </w:tc>
        <w:tc>
          <w:tcPr>
            <w:tcW w:w="180" w:type="dxa"/>
            <w:vAlign w:val="bottom"/>
            <w:tcBorders>
              <w:bottom w:val="single" w:sz="8" w:color="939598"/>
            </w:tcBorders>
          </w:tcPr>
          <w:p>
            <w:pPr>
              <w:spacing w:after="0"/>
              <w:rPr>
                <w:sz w:val="12"/>
                <w:szCs w:val="12"/>
                <w:color w:val="auto"/>
              </w:rPr>
            </w:pPr>
          </w:p>
        </w:tc>
        <w:tc>
          <w:tcPr>
            <w:tcW w:w="600" w:type="dxa"/>
            <w:vAlign w:val="bottom"/>
            <w:tcBorders>
              <w:bottom w:val="single" w:sz="8" w:color="939598"/>
            </w:tcBorders>
          </w:tcPr>
          <w:p>
            <w:pPr>
              <w:spacing w:after="0"/>
              <w:rPr>
                <w:sz w:val="12"/>
                <w:szCs w:val="12"/>
                <w:color w:val="auto"/>
              </w:rPr>
            </w:pPr>
          </w:p>
        </w:tc>
        <w:tc>
          <w:tcPr>
            <w:tcW w:w="180" w:type="dxa"/>
            <w:vAlign w:val="bottom"/>
            <w:tcBorders>
              <w:bottom w:val="single" w:sz="8" w:color="939598"/>
            </w:tcBorders>
          </w:tcPr>
          <w:p>
            <w:pPr>
              <w:spacing w:after="0"/>
              <w:rPr>
                <w:sz w:val="12"/>
                <w:szCs w:val="12"/>
                <w:color w:val="auto"/>
              </w:rPr>
            </w:pPr>
          </w:p>
        </w:tc>
        <w:tc>
          <w:tcPr>
            <w:tcW w:w="1460" w:type="dxa"/>
            <w:vAlign w:val="bottom"/>
            <w:tcBorders>
              <w:bottom w:val="single" w:sz="8" w:color="939598"/>
            </w:tcBorders>
          </w:tcPr>
          <w:p>
            <w:pPr>
              <w:spacing w:after="0"/>
              <w:rPr>
                <w:sz w:val="12"/>
                <w:szCs w:val="12"/>
                <w:color w:val="auto"/>
              </w:rPr>
            </w:pPr>
          </w:p>
        </w:tc>
        <w:tc>
          <w:tcPr>
            <w:tcW w:w="640" w:type="dxa"/>
            <w:vAlign w:val="bottom"/>
            <w:tcBorders>
              <w:bottom w:val="single" w:sz="8" w:color="939598"/>
            </w:tcBorders>
          </w:tcPr>
          <w:p>
            <w:pPr>
              <w:spacing w:after="0"/>
              <w:rPr>
                <w:sz w:val="12"/>
                <w:szCs w:val="12"/>
                <w:color w:val="auto"/>
              </w:rPr>
            </w:pPr>
          </w:p>
        </w:tc>
        <w:tc>
          <w:tcPr>
            <w:tcW w:w="2140" w:type="dxa"/>
            <w:vAlign w:val="bottom"/>
            <w:tcBorders>
              <w:bottom w:val="single" w:sz="8" w:color="939598"/>
            </w:tcBorders>
          </w:tcPr>
          <w:p>
            <w:pPr>
              <w:spacing w:after="0"/>
              <w:rPr>
                <w:sz w:val="12"/>
                <w:szCs w:val="12"/>
                <w:color w:val="auto"/>
              </w:rPr>
            </w:pPr>
          </w:p>
        </w:tc>
        <w:tc>
          <w:tcPr>
            <w:tcW w:w="720" w:type="dxa"/>
            <w:vAlign w:val="bottom"/>
            <w:tcBorders>
              <w:bottom w:val="single" w:sz="8" w:color="939598"/>
            </w:tcBorders>
          </w:tcPr>
          <w:p>
            <w:pPr>
              <w:spacing w:after="0"/>
              <w:rPr>
                <w:sz w:val="12"/>
                <w:szCs w:val="12"/>
                <w:color w:val="auto"/>
              </w:rPr>
            </w:pPr>
          </w:p>
        </w:tc>
        <w:tc>
          <w:tcPr>
            <w:tcW w:w="640" w:type="dxa"/>
            <w:vAlign w:val="bottom"/>
            <w:tcBorders>
              <w:bottom w:val="single" w:sz="8" w:color="939598"/>
            </w:tcBorders>
          </w:tcPr>
          <w:p>
            <w:pPr>
              <w:spacing w:after="0"/>
              <w:rPr>
                <w:sz w:val="12"/>
                <w:szCs w:val="12"/>
                <w:color w:val="auto"/>
              </w:rPr>
            </w:pPr>
          </w:p>
        </w:tc>
        <w:tc>
          <w:tcPr>
            <w:tcW w:w="180" w:type="dxa"/>
            <w:vAlign w:val="bottom"/>
            <w:tcBorders>
              <w:bottom w:val="single" w:sz="8" w:color="939598"/>
            </w:tcBorders>
          </w:tcPr>
          <w:p>
            <w:pPr>
              <w:spacing w:after="0"/>
              <w:rPr>
                <w:sz w:val="12"/>
                <w:szCs w:val="12"/>
                <w:color w:val="auto"/>
              </w:rPr>
            </w:pPr>
          </w:p>
        </w:tc>
        <w:tc>
          <w:tcPr>
            <w:tcW w:w="600" w:type="dxa"/>
            <w:vAlign w:val="bottom"/>
            <w:tcBorders>
              <w:bottom w:val="single" w:sz="8" w:color="939598"/>
            </w:tcBorders>
          </w:tcPr>
          <w:p>
            <w:pPr>
              <w:spacing w:after="0"/>
              <w:rPr>
                <w:sz w:val="12"/>
                <w:szCs w:val="12"/>
                <w:color w:val="auto"/>
              </w:rPr>
            </w:pPr>
          </w:p>
        </w:tc>
      </w:tr>
      <w:tr>
        <w:trPr>
          <w:trHeight w:val="250"/>
        </w:trPr>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Billal</w:t>
            </w:r>
          </w:p>
        </w:tc>
        <w:tc>
          <w:tcPr>
            <w:tcW w:w="620" w:type="dxa"/>
            <w:vAlign w:val="bottom"/>
          </w:tcPr>
          <w:p>
            <w:pPr>
              <w:spacing w:after="0"/>
              <w:rPr>
                <w:sz w:val="20"/>
                <w:szCs w:val="20"/>
                <w:color w:val="auto"/>
              </w:rPr>
            </w:pPr>
            <w:r>
              <w:rPr>
                <w:rFonts w:ascii="Arial" w:cs="Arial" w:eastAsia="Arial" w:hAnsi="Arial"/>
                <w:sz w:val="11"/>
                <w:szCs w:val="11"/>
                <w:color w:val="auto"/>
              </w:rPr>
              <w:t>ICP</w:t>
            </w: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6,941</w:t>
            </w:r>
          </w:p>
        </w:tc>
        <w:tc>
          <w:tcPr>
            <w:tcW w:w="180" w:type="dxa"/>
            <w:vAlign w:val="bottom"/>
          </w:tcPr>
          <w:p>
            <w:pPr>
              <w:spacing w:after="0"/>
              <w:rPr>
                <w:sz w:val="21"/>
                <w:szCs w:val="21"/>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694,148</w:t>
            </w:r>
          </w:p>
        </w:tc>
        <w:tc>
          <w:tcPr>
            <w:tcW w:w="180" w:type="dxa"/>
            <w:vAlign w:val="bottom"/>
          </w:tcPr>
          <w:p>
            <w:pPr>
              <w:spacing w:after="0"/>
              <w:rPr>
                <w:sz w:val="21"/>
                <w:szCs w:val="21"/>
                <w:color w:val="auto"/>
              </w:rPr>
            </w:pPr>
          </w:p>
        </w:tc>
        <w:tc>
          <w:tcPr>
            <w:tcW w:w="1460" w:type="dxa"/>
            <w:vAlign w:val="bottom"/>
          </w:tcPr>
          <w:p>
            <w:pPr>
              <w:jc w:val="right"/>
              <w:ind w:right="846"/>
              <w:spacing w:after="0"/>
              <w:rPr>
                <w:sz w:val="20"/>
                <w:szCs w:val="20"/>
                <w:color w:val="auto"/>
              </w:rPr>
            </w:pPr>
            <w:r>
              <w:rPr>
                <w:rFonts w:ascii="Arial" w:cs="Arial" w:eastAsia="Arial" w:hAnsi="Arial"/>
                <w:sz w:val="11"/>
                <w:szCs w:val="11"/>
                <w:color w:val="auto"/>
              </w:rPr>
              <w:t>1,388,296</w:t>
            </w:r>
          </w:p>
        </w:tc>
        <w:tc>
          <w:tcPr>
            <w:tcW w:w="6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148"/>
        </w:trPr>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Hammoud</w:t>
            </w:r>
          </w:p>
        </w:tc>
        <w:tc>
          <w:tcPr>
            <w:tcW w:w="620" w:type="dxa"/>
            <w:vAlign w:val="bottom"/>
            <w:tcBorders>
              <w:bottom w:val="single" w:sz="8" w:color="939598"/>
            </w:tcBorders>
          </w:tcPr>
          <w:p>
            <w:pPr>
              <w:spacing w:after="0"/>
              <w:rPr>
                <w:sz w:val="12"/>
                <w:szCs w:val="12"/>
                <w:color w:val="auto"/>
              </w:rPr>
            </w:pPr>
          </w:p>
        </w:tc>
        <w:tc>
          <w:tcPr>
            <w:tcW w:w="760" w:type="dxa"/>
            <w:vAlign w:val="bottom"/>
            <w:tcBorders>
              <w:bottom w:val="single" w:sz="8" w:color="939598"/>
            </w:tcBorders>
          </w:tcPr>
          <w:p>
            <w:pPr>
              <w:spacing w:after="0"/>
              <w:rPr>
                <w:sz w:val="12"/>
                <w:szCs w:val="12"/>
                <w:color w:val="auto"/>
              </w:rPr>
            </w:pPr>
          </w:p>
        </w:tc>
        <w:tc>
          <w:tcPr>
            <w:tcW w:w="920" w:type="dxa"/>
            <w:vAlign w:val="bottom"/>
            <w:tcBorders>
              <w:bottom w:val="single" w:sz="8" w:color="939598"/>
            </w:tcBorders>
          </w:tcPr>
          <w:p>
            <w:pPr>
              <w:spacing w:after="0"/>
              <w:rPr>
                <w:sz w:val="12"/>
                <w:szCs w:val="12"/>
                <w:color w:val="auto"/>
              </w:rPr>
            </w:pPr>
          </w:p>
        </w:tc>
        <w:tc>
          <w:tcPr>
            <w:tcW w:w="820" w:type="dxa"/>
            <w:vAlign w:val="bottom"/>
            <w:tcBorders>
              <w:bottom w:val="single" w:sz="8" w:color="939598"/>
            </w:tcBorders>
          </w:tcPr>
          <w:p>
            <w:pPr>
              <w:spacing w:after="0"/>
              <w:rPr>
                <w:sz w:val="12"/>
                <w:szCs w:val="12"/>
                <w:color w:val="auto"/>
              </w:rPr>
            </w:pPr>
          </w:p>
        </w:tc>
        <w:tc>
          <w:tcPr>
            <w:tcW w:w="180" w:type="dxa"/>
            <w:vAlign w:val="bottom"/>
            <w:tcBorders>
              <w:bottom w:val="single" w:sz="8" w:color="939598"/>
            </w:tcBorders>
          </w:tcPr>
          <w:p>
            <w:pPr>
              <w:spacing w:after="0"/>
              <w:rPr>
                <w:sz w:val="12"/>
                <w:szCs w:val="12"/>
                <w:color w:val="auto"/>
              </w:rPr>
            </w:pPr>
          </w:p>
        </w:tc>
        <w:tc>
          <w:tcPr>
            <w:tcW w:w="600" w:type="dxa"/>
            <w:vAlign w:val="bottom"/>
            <w:tcBorders>
              <w:bottom w:val="single" w:sz="8" w:color="939598"/>
            </w:tcBorders>
          </w:tcPr>
          <w:p>
            <w:pPr>
              <w:spacing w:after="0"/>
              <w:rPr>
                <w:sz w:val="12"/>
                <w:szCs w:val="12"/>
                <w:color w:val="auto"/>
              </w:rPr>
            </w:pPr>
          </w:p>
        </w:tc>
        <w:tc>
          <w:tcPr>
            <w:tcW w:w="180" w:type="dxa"/>
            <w:vAlign w:val="bottom"/>
            <w:tcBorders>
              <w:bottom w:val="single" w:sz="8" w:color="939598"/>
            </w:tcBorders>
          </w:tcPr>
          <w:p>
            <w:pPr>
              <w:spacing w:after="0"/>
              <w:rPr>
                <w:sz w:val="12"/>
                <w:szCs w:val="12"/>
                <w:color w:val="auto"/>
              </w:rPr>
            </w:pPr>
          </w:p>
        </w:tc>
        <w:tc>
          <w:tcPr>
            <w:tcW w:w="1460" w:type="dxa"/>
            <w:vAlign w:val="bottom"/>
            <w:tcBorders>
              <w:bottom w:val="single" w:sz="8" w:color="939598"/>
            </w:tcBorders>
          </w:tcPr>
          <w:p>
            <w:pPr>
              <w:spacing w:after="0"/>
              <w:rPr>
                <w:sz w:val="12"/>
                <w:szCs w:val="12"/>
                <w:color w:val="auto"/>
              </w:rPr>
            </w:pPr>
          </w:p>
        </w:tc>
        <w:tc>
          <w:tcPr>
            <w:tcW w:w="640" w:type="dxa"/>
            <w:vAlign w:val="bottom"/>
            <w:tcBorders>
              <w:bottom w:val="single" w:sz="8" w:color="939598"/>
            </w:tcBorders>
          </w:tcPr>
          <w:p>
            <w:pPr>
              <w:spacing w:after="0"/>
              <w:rPr>
                <w:sz w:val="12"/>
                <w:szCs w:val="12"/>
                <w:color w:val="auto"/>
              </w:rPr>
            </w:pPr>
          </w:p>
        </w:tc>
        <w:tc>
          <w:tcPr>
            <w:tcW w:w="2140" w:type="dxa"/>
            <w:vAlign w:val="bottom"/>
            <w:tcBorders>
              <w:bottom w:val="single" w:sz="8" w:color="939598"/>
            </w:tcBorders>
          </w:tcPr>
          <w:p>
            <w:pPr>
              <w:spacing w:after="0"/>
              <w:rPr>
                <w:sz w:val="12"/>
                <w:szCs w:val="12"/>
                <w:color w:val="auto"/>
              </w:rPr>
            </w:pPr>
          </w:p>
        </w:tc>
        <w:tc>
          <w:tcPr>
            <w:tcW w:w="720" w:type="dxa"/>
            <w:vAlign w:val="bottom"/>
            <w:tcBorders>
              <w:bottom w:val="single" w:sz="8" w:color="939598"/>
            </w:tcBorders>
          </w:tcPr>
          <w:p>
            <w:pPr>
              <w:spacing w:after="0"/>
              <w:rPr>
                <w:sz w:val="12"/>
                <w:szCs w:val="12"/>
                <w:color w:val="auto"/>
              </w:rPr>
            </w:pPr>
          </w:p>
        </w:tc>
        <w:tc>
          <w:tcPr>
            <w:tcW w:w="640" w:type="dxa"/>
            <w:vAlign w:val="bottom"/>
            <w:tcBorders>
              <w:bottom w:val="single" w:sz="8" w:color="939598"/>
            </w:tcBorders>
          </w:tcPr>
          <w:p>
            <w:pPr>
              <w:spacing w:after="0"/>
              <w:rPr>
                <w:sz w:val="12"/>
                <w:szCs w:val="12"/>
                <w:color w:val="auto"/>
              </w:rPr>
            </w:pPr>
          </w:p>
        </w:tc>
        <w:tc>
          <w:tcPr>
            <w:tcW w:w="180" w:type="dxa"/>
            <w:vAlign w:val="bottom"/>
            <w:tcBorders>
              <w:bottom w:val="single" w:sz="8" w:color="939598"/>
            </w:tcBorders>
          </w:tcPr>
          <w:p>
            <w:pPr>
              <w:spacing w:after="0"/>
              <w:rPr>
                <w:sz w:val="12"/>
                <w:szCs w:val="12"/>
                <w:color w:val="auto"/>
              </w:rPr>
            </w:pPr>
          </w:p>
        </w:tc>
        <w:tc>
          <w:tcPr>
            <w:tcW w:w="600" w:type="dxa"/>
            <w:vAlign w:val="bottom"/>
            <w:tcBorders>
              <w:bottom w:val="single" w:sz="8" w:color="939598"/>
            </w:tcBorders>
          </w:tcPr>
          <w:p>
            <w:pPr>
              <w:spacing w:after="0"/>
              <w:rPr>
                <w:sz w:val="12"/>
                <w:szCs w:val="12"/>
                <w:color w:val="auto"/>
              </w:rPr>
            </w:pPr>
          </w:p>
        </w:tc>
      </w:tr>
      <w:tr>
        <w:trPr>
          <w:trHeight w:val="257"/>
        </w:trPr>
        <w:tc>
          <w:tcPr>
            <w:tcW w:w="760" w:type="dxa"/>
            <w:vAlign w:val="bottom"/>
          </w:tcPr>
          <w:p>
            <w:pPr>
              <w:spacing w:after="0"/>
              <w:rPr>
                <w:sz w:val="22"/>
                <w:szCs w:val="22"/>
                <w:color w:val="auto"/>
              </w:rPr>
            </w:pPr>
          </w:p>
        </w:tc>
        <w:tc>
          <w:tcPr>
            <w:tcW w:w="620" w:type="dxa"/>
            <w:vAlign w:val="bottom"/>
          </w:tcPr>
          <w:p>
            <w:pPr>
              <w:spacing w:after="0"/>
              <w:rPr>
                <w:sz w:val="20"/>
                <w:szCs w:val="20"/>
                <w:color w:val="auto"/>
              </w:rPr>
            </w:pPr>
            <w:r>
              <w:rPr>
                <w:rFonts w:ascii="Arial" w:cs="Arial" w:eastAsia="Arial" w:hAnsi="Arial"/>
                <w:sz w:val="11"/>
                <w:szCs w:val="11"/>
                <w:color w:val="auto"/>
              </w:rPr>
              <w:t>NQSO</w:t>
            </w:r>
          </w:p>
        </w:tc>
        <w:tc>
          <w:tcPr>
            <w:tcW w:w="760" w:type="dxa"/>
            <w:vAlign w:val="bottom"/>
          </w:tcPr>
          <w:p>
            <w:pPr>
              <w:ind w:left="100"/>
              <w:spacing w:after="0"/>
              <w:rPr>
                <w:sz w:val="20"/>
                <w:szCs w:val="20"/>
                <w:color w:val="auto"/>
              </w:rPr>
            </w:pPr>
            <w:r>
              <w:rPr>
                <w:rFonts w:ascii="Arial" w:cs="Arial" w:eastAsia="Arial" w:hAnsi="Arial"/>
                <w:sz w:val="11"/>
                <w:szCs w:val="11"/>
                <w:color w:val="auto"/>
              </w:rPr>
              <w:t>2/13/2025</w:t>
            </w:r>
          </w:p>
        </w:tc>
        <w:tc>
          <w:tcPr>
            <w:tcW w:w="920" w:type="dxa"/>
            <w:vAlign w:val="bottom"/>
          </w:tcPr>
          <w:p>
            <w:pPr>
              <w:ind w:left="120"/>
              <w:spacing w:after="0"/>
              <w:rPr>
                <w:sz w:val="20"/>
                <w:szCs w:val="20"/>
                <w:color w:val="auto"/>
              </w:rPr>
            </w:pPr>
            <w:r>
              <w:rPr>
                <w:rFonts w:ascii="Arial" w:cs="Arial" w:eastAsia="Arial" w:hAnsi="Arial"/>
                <w:sz w:val="11"/>
                <w:szCs w:val="11"/>
                <w:color w:val="auto"/>
              </w:rPr>
              <w:t>2/19/2025</w:t>
            </w: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140" w:type="dxa"/>
            <w:vAlign w:val="bottom"/>
          </w:tcPr>
          <w:p>
            <w:pPr>
              <w:jc w:val="right"/>
              <w:ind w:right="66"/>
              <w:spacing w:after="0"/>
              <w:rPr>
                <w:sz w:val="20"/>
                <w:szCs w:val="20"/>
                <w:color w:val="auto"/>
              </w:rPr>
            </w:pPr>
            <w:r>
              <w:rPr>
                <w:rFonts w:ascii="Arial" w:cs="Arial" w:eastAsia="Arial" w:hAnsi="Arial"/>
                <w:sz w:val="11"/>
                <w:szCs w:val="11"/>
                <w:color w:val="auto"/>
              </w:rPr>
              <w:t>11,100</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209.81</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210.81</w:t>
            </w:r>
          </w:p>
        </w:tc>
        <w:tc>
          <w:tcPr>
            <w:tcW w:w="180" w:type="dxa"/>
            <w:vAlign w:val="bottom"/>
          </w:tcPr>
          <w:p>
            <w:pPr>
              <w:spacing w:after="0"/>
              <w:rPr>
                <w:sz w:val="22"/>
                <w:szCs w:val="2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486,402</w:t>
            </w:r>
          </w:p>
        </w:tc>
      </w:tr>
      <w:tr>
        <w:trPr>
          <w:trHeight w:val="141"/>
        </w:trPr>
        <w:tc>
          <w:tcPr>
            <w:tcW w:w="760" w:type="dxa"/>
            <w:vAlign w:val="bottom"/>
          </w:tcPr>
          <w:p>
            <w:pPr>
              <w:spacing w:after="0"/>
              <w:rPr>
                <w:sz w:val="12"/>
                <w:szCs w:val="12"/>
                <w:color w:val="auto"/>
              </w:rPr>
            </w:pPr>
          </w:p>
        </w:tc>
        <w:tc>
          <w:tcPr>
            <w:tcW w:w="620" w:type="dxa"/>
            <w:vAlign w:val="bottom"/>
            <w:tcBorders>
              <w:bottom w:val="single" w:sz="8" w:color="939598"/>
            </w:tcBorders>
          </w:tcPr>
          <w:p>
            <w:pPr>
              <w:spacing w:after="0"/>
              <w:rPr>
                <w:sz w:val="12"/>
                <w:szCs w:val="12"/>
                <w:color w:val="auto"/>
              </w:rPr>
            </w:pPr>
          </w:p>
        </w:tc>
        <w:tc>
          <w:tcPr>
            <w:tcW w:w="760" w:type="dxa"/>
            <w:vAlign w:val="bottom"/>
            <w:tcBorders>
              <w:bottom w:val="single" w:sz="8" w:color="939598"/>
            </w:tcBorders>
          </w:tcPr>
          <w:p>
            <w:pPr>
              <w:spacing w:after="0"/>
              <w:rPr>
                <w:sz w:val="12"/>
                <w:szCs w:val="12"/>
                <w:color w:val="auto"/>
              </w:rPr>
            </w:pPr>
          </w:p>
        </w:tc>
        <w:tc>
          <w:tcPr>
            <w:tcW w:w="920" w:type="dxa"/>
            <w:vAlign w:val="bottom"/>
            <w:tcBorders>
              <w:bottom w:val="single" w:sz="8" w:color="939598"/>
            </w:tcBorders>
          </w:tcPr>
          <w:p>
            <w:pPr>
              <w:spacing w:after="0"/>
              <w:rPr>
                <w:sz w:val="12"/>
                <w:szCs w:val="12"/>
                <w:color w:val="auto"/>
              </w:rPr>
            </w:pPr>
          </w:p>
        </w:tc>
        <w:tc>
          <w:tcPr>
            <w:tcW w:w="820" w:type="dxa"/>
            <w:vAlign w:val="bottom"/>
            <w:tcBorders>
              <w:bottom w:val="single" w:sz="8" w:color="939598"/>
            </w:tcBorders>
          </w:tcPr>
          <w:p>
            <w:pPr>
              <w:spacing w:after="0"/>
              <w:rPr>
                <w:sz w:val="12"/>
                <w:szCs w:val="12"/>
                <w:color w:val="auto"/>
              </w:rPr>
            </w:pPr>
          </w:p>
        </w:tc>
        <w:tc>
          <w:tcPr>
            <w:tcW w:w="180" w:type="dxa"/>
            <w:vAlign w:val="bottom"/>
            <w:tcBorders>
              <w:bottom w:val="single" w:sz="8" w:color="939598"/>
            </w:tcBorders>
          </w:tcPr>
          <w:p>
            <w:pPr>
              <w:spacing w:after="0"/>
              <w:rPr>
                <w:sz w:val="12"/>
                <w:szCs w:val="12"/>
                <w:color w:val="auto"/>
              </w:rPr>
            </w:pPr>
          </w:p>
        </w:tc>
        <w:tc>
          <w:tcPr>
            <w:tcW w:w="600" w:type="dxa"/>
            <w:vAlign w:val="bottom"/>
            <w:tcBorders>
              <w:bottom w:val="single" w:sz="8" w:color="939598"/>
            </w:tcBorders>
          </w:tcPr>
          <w:p>
            <w:pPr>
              <w:spacing w:after="0"/>
              <w:rPr>
                <w:sz w:val="12"/>
                <w:szCs w:val="12"/>
                <w:color w:val="auto"/>
              </w:rPr>
            </w:pPr>
          </w:p>
        </w:tc>
        <w:tc>
          <w:tcPr>
            <w:tcW w:w="180" w:type="dxa"/>
            <w:vAlign w:val="bottom"/>
            <w:tcBorders>
              <w:bottom w:val="single" w:sz="8" w:color="939598"/>
            </w:tcBorders>
          </w:tcPr>
          <w:p>
            <w:pPr>
              <w:spacing w:after="0"/>
              <w:rPr>
                <w:sz w:val="12"/>
                <w:szCs w:val="12"/>
                <w:color w:val="auto"/>
              </w:rPr>
            </w:pPr>
          </w:p>
        </w:tc>
        <w:tc>
          <w:tcPr>
            <w:tcW w:w="1460" w:type="dxa"/>
            <w:vAlign w:val="bottom"/>
            <w:tcBorders>
              <w:bottom w:val="single" w:sz="8" w:color="939598"/>
            </w:tcBorders>
          </w:tcPr>
          <w:p>
            <w:pPr>
              <w:spacing w:after="0"/>
              <w:rPr>
                <w:sz w:val="12"/>
                <w:szCs w:val="12"/>
                <w:color w:val="auto"/>
              </w:rPr>
            </w:pPr>
          </w:p>
        </w:tc>
        <w:tc>
          <w:tcPr>
            <w:tcW w:w="640" w:type="dxa"/>
            <w:vAlign w:val="bottom"/>
            <w:tcBorders>
              <w:bottom w:val="single" w:sz="8" w:color="939598"/>
            </w:tcBorders>
          </w:tcPr>
          <w:p>
            <w:pPr>
              <w:spacing w:after="0"/>
              <w:rPr>
                <w:sz w:val="12"/>
                <w:szCs w:val="12"/>
                <w:color w:val="auto"/>
              </w:rPr>
            </w:pPr>
          </w:p>
        </w:tc>
        <w:tc>
          <w:tcPr>
            <w:tcW w:w="2140" w:type="dxa"/>
            <w:vAlign w:val="bottom"/>
            <w:tcBorders>
              <w:bottom w:val="single" w:sz="8" w:color="939598"/>
            </w:tcBorders>
          </w:tcPr>
          <w:p>
            <w:pPr>
              <w:spacing w:after="0"/>
              <w:rPr>
                <w:sz w:val="12"/>
                <w:szCs w:val="12"/>
                <w:color w:val="auto"/>
              </w:rPr>
            </w:pPr>
          </w:p>
        </w:tc>
        <w:tc>
          <w:tcPr>
            <w:tcW w:w="720" w:type="dxa"/>
            <w:vAlign w:val="bottom"/>
            <w:tcBorders>
              <w:bottom w:val="single" w:sz="8" w:color="939598"/>
            </w:tcBorders>
          </w:tcPr>
          <w:p>
            <w:pPr>
              <w:spacing w:after="0"/>
              <w:rPr>
                <w:sz w:val="12"/>
                <w:szCs w:val="12"/>
                <w:color w:val="auto"/>
              </w:rPr>
            </w:pPr>
          </w:p>
        </w:tc>
        <w:tc>
          <w:tcPr>
            <w:tcW w:w="640" w:type="dxa"/>
            <w:vAlign w:val="bottom"/>
            <w:tcBorders>
              <w:bottom w:val="single" w:sz="8" w:color="939598"/>
            </w:tcBorders>
          </w:tcPr>
          <w:p>
            <w:pPr>
              <w:spacing w:after="0"/>
              <w:rPr>
                <w:sz w:val="12"/>
                <w:szCs w:val="12"/>
                <w:color w:val="auto"/>
              </w:rPr>
            </w:pPr>
          </w:p>
        </w:tc>
        <w:tc>
          <w:tcPr>
            <w:tcW w:w="180" w:type="dxa"/>
            <w:vAlign w:val="bottom"/>
            <w:tcBorders>
              <w:bottom w:val="single" w:sz="8" w:color="939598"/>
            </w:tcBorders>
          </w:tcPr>
          <w:p>
            <w:pPr>
              <w:spacing w:after="0"/>
              <w:rPr>
                <w:sz w:val="12"/>
                <w:szCs w:val="12"/>
                <w:color w:val="auto"/>
              </w:rPr>
            </w:pPr>
          </w:p>
        </w:tc>
        <w:tc>
          <w:tcPr>
            <w:tcW w:w="600" w:type="dxa"/>
            <w:vAlign w:val="bottom"/>
            <w:tcBorders>
              <w:bottom w:val="single" w:sz="8" w:color="939598"/>
            </w:tcBorders>
          </w:tcPr>
          <w:p>
            <w:pPr>
              <w:spacing w:after="0"/>
              <w:rPr>
                <w:sz w:val="12"/>
                <w:szCs w:val="12"/>
                <w:color w:val="auto"/>
              </w:rPr>
            </w:pPr>
          </w:p>
        </w:tc>
      </w:tr>
      <w:tr>
        <w:trPr>
          <w:trHeight w:val="300"/>
        </w:trPr>
        <w:tc>
          <w:tcPr>
            <w:tcW w:w="76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1"/>
                <w:szCs w:val="11"/>
                <w:color w:val="auto"/>
              </w:rPr>
              <w:t>NQSO</w:t>
            </w:r>
            <w:r>
              <w:rPr>
                <w:rFonts w:ascii="Arial" w:cs="Arial" w:eastAsia="Arial" w:hAnsi="Arial"/>
                <w:sz w:val="14"/>
                <w:szCs w:val="14"/>
                <w:color w:val="auto"/>
                <w:vertAlign w:val="superscript"/>
              </w:rPr>
              <w:t>(7)</w:t>
            </w:r>
          </w:p>
        </w:tc>
        <w:tc>
          <w:tcPr>
            <w:tcW w:w="760" w:type="dxa"/>
            <w:vAlign w:val="bottom"/>
          </w:tcPr>
          <w:p>
            <w:pPr>
              <w:ind w:left="100"/>
              <w:spacing w:after="0"/>
              <w:rPr>
                <w:sz w:val="20"/>
                <w:szCs w:val="20"/>
                <w:color w:val="auto"/>
              </w:rPr>
            </w:pPr>
            <w:r>
              <w:rPr>
                <w:rFonts w:ascii="Arial" w:cs="Arial" w:eastAsia="Arial" w:hAnsi="Arial"/>
                <w:sz w:val="11"/>
                <w:szCs w:val="11"/>
                <w:color w:val="auto"/>
              </w:rPr>
              <w:t>2/13/2025</w:t>
            </w:r>
          </w:p>
        </w:tc>
        <w:tc>
          <w:tcPr>
            <w:tcW w:w="920" w:type="dxa"/>
            <w:vAlign w:val="bottom"/>
          </w:tcPr>
          <w:p>
            <w:pPr>
              <w:ind w:left="120"/>
              <w:spacing w:after="0"/>
              <w:rPr>
                <w:sz w:val="20"/>
                <w:szCs w:val="20"/>
                <w:color w:val="auto"/>
              </w:rPr>
            </w:pPr>
            <w:r>
              <w:rPr>
                <w:rFonts w:ascii="Arial" w:cs="Arial" w:eastAsia="Arial" w:hAnsi="Arial"/>
                <w:sz w:val="11"/>
                <w:szCs w:val="11"/>
                <w:color w:val="auto"/>
              </w:rPr>
              <w:t>2/19/2025</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40" w:type="dxa"/>
            <w:vAlign w:val="bottom"/>
          </w:tcPr>
          <w:p>
            <w:pPr>
              <w:jc w:val="right"/>
              <w:ind w:right="26"/>
              <w:spacing w:after="0"/>
              <w:rPr>
                <w:sz w:val="20"/>
                <w:szCs w:val="20"/>
                <w:color w:val="auto"/>
              </w:rPr>
            </w:pPr>
            <w:r>
              <w:rPr>
                <w:rFonts w:ascii="Arial" w:cs="Arial" w:eastAsia="Arial" w:hAnsi="Arial"/>
                <w:sz w:val="11"/>
                <w:szCs w:val="11"/>
                <w:color w:val="auto"/>
              </w:rPr>
              <w:t>13,693</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209.81</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210.81</w:t>
            </w:r>
          </w:p>
        </w:tc>
        <w:tc>
          <w:tcPr>
            <w:tcW w:w="180" w:type="dxa"/>
            <w:vAlign w:val="bottom"/>
          </w:tcPr>
          <w:p>
            <w:pPr>
              <w:spacing w:after="0"/>
              <w:rPr>
                <w:sz w:val="24"/>
                <w:szCs w:val="24"/>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99"/>
        </w:trPr>
        <w:tc>
          <w:tcPr>
            <w:tcW w:w="760" w:type="dxa"/>
            <w:vAlign w:val="bottom"/>
          </w:tcPr>
          <w:p>
            <w:pPr>
              <w:spacing w:after="0"/>
              <w:rPr>
                <w:sz w:val="8"/>
                <w:szCs w:val="8"/>
                <w:color w:val="auto"/>
              </w:rPr>
            </w:pPr>
          </w:p>
        </w:tc>
        <w:tc>
          <w:tcPr>
            <w:tcW w:w="620" w:type="dxa"/>
            <w:vAlign w:val="bottom"/>
            <w:tcBorders>
              <w:bottom w:val="single" w:sz="8" w:color="939598"/>
            </w:tcBorders>
          </w:tcPr>
          <w:p>
            <w:pPr>
              <w:spacing w:after="0"/>
              <w:rPr>
                <w:sz w:val="8"/>
                <w:szCs w:val="8"/>
                <w:color w:val="auto"/>
              </w:rPr>
            </w:pPr>
          </w:p>
        </w:tc>
        <w:tc>
          <w:tcPr>
            <w:tcW w:w="760" w:type="dxa"/>
            <w:vAlign w:val="bottom"/>
            <w:tcBorders>
              <w:bottom w:val="single" w:sz="8" w:color="939598"/>
            </w:tcBorders>
          </w:tcPr>
          <w:p>
            <w:pPr>
              <w:spacing w:after="0"/>
              <w:rPr>
                <w:sz w:val="8"/>
                <w:szCs w:val="8"/>
                <w:color w:val="auto"/>
              </w:rPr>
            </w:pPr>
          </w:p>
        </w:tc>
        <w:tc>
          <w:tcPr>
            <w:tcW w:w="920" w:type="dxa"/>
            <w:vAlign w:val="bottom"/>
            <w:tcBorders>
              <w:bottom w:val="single" w:sz="8" w:color="939598"/>
            </w:tcBorders>
          </w:tcPr>
          <w:p>
            <w:pPr>
              <w:spacing w:after="0"/>
              <w:rPr>
                <w:sz w:val="8"/>
                <w:szCs w:val="8"/>
                <w:color w:val="auto"/>
              </w:rPr>
            </w:pPr>
          </w:p>
        </w:tc>
        <w:tc>
          <w:tcPr>
            <w:tcW w:w="820" w:type="dxa"/>
            <w:vAlign w:val="bottom"/>
            <w:tcBorders>
              <w:bottom w:val="single" w:sz="8" w:color="939598"/>
            </w:tcBorders>
          </w:tcPr>
          <w:p>
            <w:pPr>
              <w:spacing w:after="0"/>
              <w:rPr>
                <w:sz w:val="8"/>
                <w:szCs w:val="8"/>
                <w:color w:val="auto"/>
              </w:rPr>
            </w:pPr>
          </w:p>
        </w:tc>
        <w:tc>
          <w:tcPr>
            <w:tcW w:w="180" w:type="dxa"/>
            <w:vAlign w:val="bottom"/>
            <w:tcBorders>
              <w:bottom w:val="single" w:sz="8" w:color="939598"/>
            </w:tcBorders>
          </w:tcPr>
          <w:p>
            <w:pPr>
              <w:spacing w:after="0"/>
              <w:rPr>
                <w:sz w:val="8"/>
                <w:szCs w:val="8"/>
                <w:color w:val="auto"/>
              </w:rPr>
            </w:pPr>
          </w:p>
        </w:tc>
        <w:tc>
          <w:tcPr>
            <w:tcW w:w="600" w:type="dxa"/>
            <w:vAlign w:val="bottom"/>
            <w:tcBorders>
              <w:bottom w:val="single" w:sz="8" w:color="939598"/>
            </w:tcBorders>
          </w:tcPr>
          <w:p>
            <w:pPr>
              <w:spacing w:after="0"/>
              <w:rPr>
                <w:sz w:val="8"/>
                <w:szCs w:val="8"/>
                <w:color w:val="auto"/>
              </w:rPr>
            </w:pPr>
          </w:p>
        </w:tc>
        <w:tc>
          <w:tcPr>
            <w:tcW w:w="180" w:type="dxa"/>
            <w:vAlign w:val="bottom"/>
            <w:tcBorders>
              <w:bottom w:val="single" w:sz="8" w:color="939598"/>
            </w:tcBorders>
          </w:tcPr>
          <w:p>
            <w:pPr>
              <w:spacing w:after="0"/>
              <w:rPr>
                <w:sz w:val="8"/>
                <w:szCs w:val="8"/>
                <w:color w:val="auto"/>
              </w:rPr>
            </w:pPr>
          </w:p>
        </w:tc>
        <w:tc>
          <w:tcPr>
            <w:tcW w:w="1460" w:type="dxa"/>
            <w:vAlign w:val="bottom"/>
            <w:tcBorders>
              <w:bottom w:val="single" w:sz="8" w:color="939598"/>
            </w:tcBorders>
          </w:tcPr>
          <w:p>
            <w:pPr>
              <w:spacing w:after="0"/>
              <w:rPr>
                <w:sz w:val="8"/>
                <w:szCs w:val="8"/>
                <w:color w:val="auto"/>
              </w:rPr>
            </w:pPr>
          </w:p>
        </w:tc>
        <w:tc>
          <w:tcPr>
            <w:tcW w:w="640" w:type="dxa"/>
            <w:vAlign w:val="bottom"/>
            <w:tcBorders>
              <w:bottom w:val="single" w:sz="8" w:color="939598"/>
            </w:tcBorders>
          </w:tcPr>
          <w:p>
            <w:pPr>
              <w:spacing w:after="0"/>
              <w:rPr>
                <w:sz w:val="8"/>
                <w:szCs w:val="8"/>
                <w:color w:val="auto"/>
              </w:rPr>
            </w:pPr>
          </w:p>
        </w:tc>
        <w:tc>
          <w:tcPr>
            <w:tcW w:w="2140" w:type="dxa"/>
            <w:vAlign w:val="bottom"/>
            <w:tcBorders>
              <w:bottom w:val="single" w:sz="8" w:color="939598"/>
            </w:tcBorders>
          </w:tcPr>
          <w:p>
            <w:pPr>
              <w:spacing w:after="0"/>
              <w:rPr>
                <w:sz w:val="8"/>
                <w:szCs w:val="8"/>
                <w:color w:val="auto"/>
              </w:rPr>
            </w:pPr>
          </w:p>
        </w:tc>
        <w:tc>
          <w:tcPr>
            <w:tcW w:w="720" w:type="dxa"/>
            <w:vAlign w:val="bottom"/>
            <w:tcBorders>
              <w:bottom w:val="single" w:sz="8" w:color="939598"/>
            </w:tcBorders>
          </w:tcPr>
          <w:p>
            <w:pPr>
              <w:spacing w:after="0"/>
              <w:rPr>
                <w:sz w:val="8"/>
                <w:szCs w:val="8"/>
                <w:color w:val="auto"/>
              </w:rPr>
            </w:pPr>
          </w:p>
        </w:tc>
        <w:tc>
          <w:tcPr>
            <w:tcW w:w="640" w:type="dxa"/>
            <w:vAlign w:val="bottom"/>
            <w:tcBorders>
              <w:bottom w:val="single" w:sz="8" w:color="939598"/>
            </w:tcBorders>
          </w:tcPr>
          <w:p>
            <w:pPr>
              <w:spacing w:after="0"/>
              <w:rPr>
                <w:sz w:val="8"/>
                <w:szCs w:val="8"/>
                <w:color w:val="auto"/>
              </w:rPr>
            </w:pPr>
          </w:p>
        </w:tc>
        <w:tc>
          <w:tcPr>
            <w:tcW w:w="180" w:type="dxa"/>
            <w:vAlign w:val="bottom"/>
            <w:tcBorders>
              <w:bottom w:val="single" w:sz="8" w:color="939598"/>
            </w:tcBorders>
          </w:tcPr>
          <w:p>
            <w:pPr>
              <w:spacing w:after="0"/>
              <w:rPr>
                <w:sz w:val="8"/>
                <w:szCs w:val="8"/>
                <w:color w:val="auto"/>
              </w:rPr>
            </w:pPr>
          </w:p>
        </w:tc>
        <w:tc>
          <w:tcPr>
            <w:tcW w:w="600" w:type="dxa"/>
            <w:vAlign w:val="bottom"/>
            <w:tcBorders>
              <w:bottom w:val="single" w:sz="8" w:color="939598"/>
            </w:tcBorders>
          </w:tcPr>
          <w:p>
            <w:pPr>
              <w:spacing w:after="0"/>
              <w:rPr>
                <w:sz w:val="8"/>
                <w:szCs w:val="8"/>
                <w:color w:val="auto"/>
              </w:rPr>
            </w:pPr>
          </w:p>
        </w:tc>
      </w:tr>
      <w:tr>
        <w:trPr>
          <w:trHeight w:val="257"/>
        </w:trPr>
        <w:tc>
          <w:tcPr>
            <w:tcW w:w="760" w:type="dxa"/>
            <w:vAlign w:val="bottom"/>
          </w:tcPr>
          <w:p>
            <w:pPr>
              <w:spacing w:after="0"/>
              <w:rPr>
                <w:sz w:val="22"/>
                <w:szCs w:val="22"/>
                <w:color w:val="auto"/>
              </w:rPr>
            </w:pPr>
          </w:p>
        </w:tc>
        <w:tc>
          <w:tcPr>
            <w:tcW w:w="620" w:type="dxa"/>
            <w:vAlign w:val="bottom"/>
          </w:tcPr>
          <w:p>
            <w:pPr>
              <w:spacing w:after="0"/>
              <w:rPr>
                <w:sz w:val="20"/>
                <w:szCs w:val="20"/>
                <w:color w:val="auto"/>
              </w:rPr>
            </w:pPr>
            <w:r>
              <w:rPr>
                <w:rFonts w:ascii="Arial" w:cs="Arial" w:eastAsia="Arial" w:hAnsi="Arial"/>
                <w:sz w:val="11"/>
                <w:szCs w:val="11"/>
                <w:color w:val="auto"/>
              </w:rPr>
              <w:t>PSU25-27</w:t>
            </w:r>
          </w:p>
        </w:tc>
        <w:tc>
          <w:tcPr>
            <w:tcW w:w="760" w:type="dxa"/>
            <w:vAlign w:val="bottom"/>
          </w:tcPr>
          <w:p>
            <w:pPr>
              <w:ind w:left="100"/>
              <w:spacing w:after="0"/>
              <w:rPr>
                <w:sz w:val="20"/>
                <w:szCs w:val="20"/>
                <w:color w:val="auto"/>
              </w:rPr>
            </w:pPr>
            <w:r>
              <w:rPr>
                <w:rFonts w:ascii="Arial" w:cs="Arial" w:eastAsia="Arial" w:hAnsi="Arial"/>
                <w:sz w:val="11"/>
                <w:szCs w:val="11"/>
                <w:color w:val="auto"/>
              </w:rPr>
              <w:t>2/13/2025</w:t>
            </w:r>
          </w:p>
        </w:tc>
        <w:tc>
          <w:tcPr>
            <w:tcW w:w="920" w:type="dxa"/>
            <w:vAlign w:val="bottom"/>
          </w:tcPr>
          <w:p>
            <w:pPr>
              <w:ind w:left="120"/>
              <w:spacing w:after="0"/>
              <w:rPr>
                <w:sz w:val="20"/>
                <w:szCs w:val="20"/>
                <w:color w:val="auto"/>
              </w:rPr>
            </w:pPr>
            <w:r>
              <w:rPr>
                <w:rFonts w:ascii="Arial" w:cs="Arial" w:eastAsia="Arial" w:hAnsi="Arial"/>
                <w:sz w:val="11"/>
                <w:szCs w:val="11"/>
                <w:color w:val="auto"/>
              </w:rPr>
              <w:t>2/19/2025</w:t>
            </w: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ind w:right="46"/>
              <w:spacing w:after="0"/>
              <w:rPr>
                <w:sz w:val="20"/>
                <w:szCs w:val="20"/>
                <w:color w:val="auto"/>
              </w:rPr>
            </w:pPr>
            <w:r>
              <w:rPr>
                <w:rFonts w:ascii="Arial" w:cs="Arial" w:eastAsia="Arial" w:hAnsi="Arial"/>
                <w:sz w:val="11"/>
                <w:szCs w:val="11"/>
                <w:color w:val="auto"/>
              </w:rPr>
              <w:t>310</w:t>
            </w:r>
          </w:p>
        </w:tc>
        <w:tc>
          <w:tcPr>
            <w:tcW w:w="640" w:type="dxa"/>
            <w:vAlign w:val="bottom"/>
          </w:tcPr>
          <w:p>
            <w:pPr>
              <w:jc w:val="right"/>
              <w:ind w:right="146"/>
              <w:spacing w:after="0"/>
              <w:rPr>
                <w:sz w:val="20"/>
                <w:szCs w:val="20"/>
                <w:color w:val="auto"/>
              </w:rPr>
            </w:pPr>
            <w:r>
              <w:rPr>
                <w:rFonts w:ascii="Arial" w:cs="Arial" w:eastAsia="Arial" w:hAnsi="Arial"/>
                <w:sz w:val="11"/>
                <w:szCs w:val="11"/>
                <w:color w:val="auto"/>
              </w:rPr>
              <w:t>4,959</w:t>
            </w:r>
          </w:p>
        </w:tc>
        <w:tc>
          <w:tcPr>
            <w:tcW w:w="2140" w:type="dxa"/>
            <w:vAlign w:val="bottom"/>
          </w:tcPr>
          <w:p>
            <w:pPr>
              <w:jc w:val="right"/>
              <w:ind w:right="1546"/>
              <w:spacing w:after="0"/>
              <w:rPr>
                <w:sz w:val="20"/>
                <w:szCs w:val="20"/>
                <w:color w:val="auto"/>
              </w:rPr>
            </w:pPr>
            <w:r>
              <w:rPr>
                <w:rFonts w:ascii="Arial" w:cs="Arial" w:eastAsia="Arial" w:hAnsi="Arial"/>
                <w:sz w:val="11"/>
                <w:szCs w:val="11"/>
                <w:color w:val="auto"/>
              </w:rPr>
              <w:t>9,918</w:t>
            </w: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994,473</w:t>
            </w:r>
          </w:p>
        </w:tc>
      </w:tr>
      <w:tr>
        <w:trPr>
          <w:trHeight w:val="142"/>
        </w:trPr>
        <w:tc>
          <w:tcPr>
            <w:tcW w:w="760" w:type="dxa"/>
            <w:vAlign w:val="bottom"/>
          </w:tcPr>
          <w:p>
            <w:pPr>
              <w:spacing w:after="0"/>
              <w:rPr>
                <w:sz w:val="12"/>
                <w:szCs w:val="12"/>
                <w:color w:val="auto"/>
              </w:rPr>
            </w:pPr>
          </w:p>
        </w:tc>
        <w:tc>
          <w:tcPr>
            <w:tcW w:w="620" w:type="dxa"/>
            <w:vAlign w:val="bottom"/>
            <w:tcBorders>
              <w:bottom w:val="single" w:sz="8" w:color="939598"/>
            </w:tcBorders>
          </w:tcPr>
          <w:p>
            <w:pPr>
              <w:spacing w:after="0"/>
              <w:rPr>
                <w:sz w:val="12"/>
                <w:szCs w:val="12"/>
                <w:color w:val="auto"/>
              </w:rPr>
            </w:pPr>
          </w:p>
        </w:tc>
        <w:tc>
          <w:tcPr>
            <w:tcW w:w="760" w:type="dxa"/>
            <w:vAlign w:val="bottom"/>
            <w:tcBorders>
              <w:bottom w:val="single" w:sz="8" w:color="939598"/>
            </w:tcBorders>
          </w:tcPr>
          <w:p>
            <w:pPr>
              <w:spacing w:after="0"/>
              <w:rPr>
                <w:sz w:val="12"/>
                <w:szCs w:val="12"/>
                <w:color w:val="auto"/>
              </w:rPr>
            </w:pPr>
          </w:p>
        </w:tc>
        <w:tc>
          <w:tcPr>
            <w:tcW w:w="920" w:type="dxa"/>
            <w:vAlign w:val="bottom"/>
            <w:tcBorders>
              <w:bottom w:val="single" w:sz="8" w:color="939598"/>
            </w:tcBorders>
          </w:tcPr>
          <w:p>
            <w:pPr>
              <w:spacing w:after="0"/>
              <w:rPr>
                <w:sz w:val="12"/>
                <w:szCs w:val="12"/>
                <w:color w:val="auto"/>
              </w:rPr>
            </w:pPr>
          </w:p>
        </w:tc>
        <w:tc>
          <w:tcPr>
            <w:tcW w:w="820" w:type="dxa"/>
            <w:vAlign w:val="bottom"/>
            <w:tcBorders>
              <w:bottom w:val="single" w:sz="8" w:color="939598"/>
            </w:tcBorders>
          </w:tcPr>
          <w:p>
            <w:pPr>
              <w:spacing w:after="0"/>
              <w:rPr>
                <w:sz w:val="12"/>
                <w:szCs w:val="12"/>
                <w:color w:val="auto"/>
              </w:rPr>
            </w:pPr>
          </w:p>
        </w:tc>
        <w:tc>
          <w:tcPr>
            <w:tcW w:w="180" w:type="dxa"/>
            <w:vAlign w:val="bottom"/>
            <w:tcBorders>
              <w:bottom w:val="single" w:sz="8" w:color="939598"/>
            </w:tcBorders>
          </w:tcPr>
          <w:p>
            <w:pPr>
              <w:spacing w:after="0"/>
              <w:rPr>
                <w:sz w:val="12"/>
                <w:szCs w:val="12"/>
                <w:color w:val="auto"/>
              </w:rPr>
            </w:pPr>
          </w:p>
        </w:tc>
        <w:tc>
          <w:tcPr>
            <w:tcW w:w="600" w:type="dxa"/>
            <w:vAlign w:val="bottom"/>
            <w:tcBorders>
              <w:bottom w:val="single" w:sz="8" w:color="939598"/>
            </w:tcBorders>
          </w:tcPr>
          <w:p>
            <w:pPr>
              <w:spacing w:after="0"/>
              <w:rPr>
                <w:sz w:val="12"/>
                <w:szCs w:val="12"/>
                <w:color w:val="auto"/>
              </w:rPr>
            </w:pPr>
          </w:p>
        </w:tc>
        <w:tc>
          <w:tcPr>
            <w:tcW w:w="180" w:type="dxa"/>
            <w:vAlign w:val="bottom"/>
            <w:tcBorders>
              <w:bottom w:val="single" w:sz="8" w:color="939598"/>
            </w:tcBorders>
          </w:tcPr>
          <w:p>
            <w:pPr>
              <w:spacing w:after="0"/>
              <w:rPr>
                <w:sz w:val="12"/>
                <w:szCs w:val="12"/>
                <w:color w:val="auto"/>
              </w:rPr>
            </w:pPr>
          </w:p>
        </w:tc>
        <w:tc>
          <w:tcPr>
            <w:tcW w:w="1460" w:type="dxa"/>
            <w:vAlign w:val="bottom"/>
            <w:tcBorders>
              <w:bottom w:val="single" w:sz="8" w:color="939598"/>
            </w:tcBorders>
          </w:tcPr>
          <w:p>
            <w:pPr>
              <w:spacing w:after="0"/>
              <w:rPr>
                <w:sz w:val="12"/>
                <w:szCs w:val="12"/>
                <w:color w:val="auto"/>
              </w:rPr>
            </w:pPr>
          </w:p>
        </w:tc>
        <w:tc>
          <w:tcPr>
            <w:tcW w:w="640" w:type="dxa"/>
            <w:vAlign w:val="bottom"/>
            <w:tcBorders>
              <w:bottom w:val="single" w:sz="8" w:color="939598"/>
            </w:tcBorders>
          </w:tcPr>
          <w:p>
            <w:pPr>
              <w:spacing w:after="0"/>
              <w:rPr>
                <w:sz w:val="12"/>
                <w:szCs w:val="12"/>
                <w:color w:val="auto"/>
              </w:rPr>
            </w:pPr>
          </w:p>
        </w:tc>
        <w:tc>
          <w:tcPr>
            <w:tcW w:w="2140" w:type="dxa"/>
            <w:vAlign w:val="bottom"/>
            <w:tcBorders>
              <w:bottom w:val="single" w:sz="8" w:color="939598"/>
            </w:tcBorders>
          </w:tcPr>
          <w:p>
            <w:pPr>
              <w:spacing w:after="0"/>
              <w:rPr>
                <w:sz w:val="12"/>
                <w:szCs w:val="12"/>
                <w:color w:val="auto"/>
              </w:rPr>
            </w:pPr>
          </w:p>
        </w:tc>
        <w:tc>
          <w:tcPr>
            <w:tcW w:w="720" w:type="dxa"/>
            <w:vAlign w:val="bottom"/>
            <w:tcBorders>
              <w:bottom w:val="single" w:sz="8" w:color="939598"/>
            </w:tcBorders>
          </w:tcPr>
          <w:p>
            <w:pPr>
              <w:spacing w:after="0"/>
              <w:rPr>
                <w:sz w:val="12"/>
                <w:szCs w:val="12"/>
                <w:color w:val="auto"/>
              </w:rPr>
            </w:pPr>
          </w:p>
        </w:tc>
        <w:tc>
          <w:tcPr>
            <w:tcW w:w="640" w:type="dxa"/>
            <w:vAlign w:val="bottom"/>
            <w:tcBorders>
              <w:bottom w:val="single" w:sz="8" w:color="939598"/>
            </w:tcBorders>
          </w:tcPr>
          <w:p>
            <w:pPr>
              <w:spacing w:after="0"/>
              <w:rPr>
                <w:sz w:val="12"/>
                <w:szCs w:val="12"/>
                <w:color w:val="auto"/>
              </w:rPr>
            </w:pPr>
          </w:p>
        </w:tc>
        <w:tc>
          <w:tcPr>
            <w:tcW w:w="180" w:type="dxa"/>
            <w:vAlign w:val="bottom"/>
            <w:tcBorders>
              <w:bottom w:val="single" w:sz="8" w:color="939598"/>
            </w:tcBorders>
          </w:tcPr>
          <w:p>
            <w:pPr>
              <w:spacing w:after="0"/>
              <w:rPr>
                <w:sz w:val="12"/>
                <w:szCs w:val="12"/>
                <w:color w:val="auto"/>
              </w:rPr>
            </w:pPr>
          </w:p>
        </w:tc>
        <w:tc>
          <w:tcPr>
            <w:tcW w:w="600" w:type="dxa"/>
            <w:vAlign w:val="bottom"/>
            <w:tcBorders>
              <w:bottom w:val="single" w:sz="8" w:color="939598"/>
            </w:tcBorders>
          </w:tcPr>
          <w:p>
            <w:pPr>
              <w:spacing w:after="0"/>
              <w:rPr>
                <w:sz w:val="12"/>
                <w:szCs w:val="12"/>
                <w:color w:val="auto"/>
              </w:rPr>
            </w:pPr>
          </w:p>
        </w:tc>
      </w:tr>
      <w:tr>
        <w:trPr>
          <w:trHeight w:val="257"/>
        </w:trPr>
        <w:tc>
          <w:tcPr>
            <w:tcW w:w="760" w:type="dxa"/>
            <w:vAlign w:val="bottom"/>
          </w:tcPr>
          <w:p>
            <w:pPr>
              <w:spacing w:after="0"/>
              <w:rPr>
                <w:sz w:val="22"/>
                <w:szCs w:val="22"/>
                <w:color w:val="auto"/>
              </w:rPr>
            </w:pPr>
          </w:p>
        </w:tc>
        <w:tc>
          <w:tcPr>
            <w:tcW w:w="620" w:type="dxa"/>
            <w:vAlign w:val="bottom"/>
          </w:tcPr>
          <w:p>
            <w:pPr>
              <w:spacing w:after="0"/>
              <w:rPr>
                <w:sz w:val="20"/>
                <w:szCs w:val="20"/>
                <w:color w:val="auto"/>
              </w:rPr>
            </w:pPr>
            <w:r>
              <w:rPr>
                <w:rFonts w:ascii="Arial" w:cs="Arial" w:eastAsia="Arial" w:hAnsi="Arial"/>
                <w:sz w:val="11"/>
                <w:szCs w:val="11"/>
                <w:color w:val="auto"/>
              </w:rPr>
              <w:t>RSU</w:t>
            </w:r>
          </w:p>
        </w:tc>
        <w:tc>
          <w:tcPr>
            <w:tcW w:w="760" w:type="dxa"/>
            <w:vAlign w:val="bottom"/>
          </w:tcPr>
          <w:p>
            <w:pPr>
              <w:ind w:left="100"/>
              <w:spacing w:after="0"/>
              <w:rPr>
                <w:sz w:val="20"/>
                <w:szCs w:val="20"/>
                <w:color w:val="auto"/>
              </w:rPr>
            </w:pPr>
            <w:r>
              <w:rPr>
                <w:rFonts w:ascii="Arial" w:cs="Arial" w:eastAsia="Arial" w:hAnsi="Arial"/>
                <w:sz w:val="11"/>
                <w:szCs w:val="11"/>
                <w:color w:val="auto"/>
              </w:rPr>
              <w:t>2/13/2025</w:t>
            </w:r>
          </w:p>
        </w:tc>
        <w:tc>
          <w:tcPr>
            <w:tcW w:w="920" w:type="dxa"/>
            <w:vAlign w:val="bottom"/>
          </w:tcPr>
          <w:p>
            <w:pPr>
              <w:ind w:left="120"/>
              <w:spacing w:after="0"/>
              <w:rPr>
                <w:sz w:val="20"/>
                <w:szCs w:val="20"/>
                <w:color w:val="auto"/>
              </w:rPr>
            </w:pPr>
            <w:r>
              <w:rPr>
                <w:rFonts w:ascii="Arial" w:cs="Arial" w:eastAsia="Arial" w:hAnsi="Arial"/>
                <w:sz w:val="11"/>
                <w:szCs w:val="11"/>
                <w:color w:val="auto"/>
              </w:rPr>
              <w:t>2/19/2025</w:t>
            </w: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140" w:type="dxa"/>
            <w:vAlign w:val="bottom"/>
          </w:tcPr>
          <w:p>
            <w:pPr>
              <w:jc w:val="right"/>
              <w:ind w:right="846"/>
              <w:spacing w:after="0"/>
              <w:rPr>
                <w:sz w:val="20"/>
                <w:szCs w:val="20"/>
                <w:color w:val="auto"/>
              </w:rPr>
            </w:pPr>
            <w:r>
              <w:rPr>
                <w:rFonts w:ascii="Arial" w:cs="Arial" w:eastAsia="Arial" w:hAnsi="Arial"/>
                <w:sz w:val="11"/>
                <w:szCs w:val="11"/>
                <w:color w:val="auto"/>
              </w:rPr>
              <w:t>2,300</w:t>
            </w: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482,563</w:t>
            </w:r>
          </w:p>
        </w:tc>
      </w:tr>
      <w:tr>
        <w:trPr>
          <w:trHeight w:val="142"/>
        </w:trPr>
        <w:tc>
          <w:tcPr>
            <w:tcW w:w="760" w:type="dxa"/>
            <w:vAlign w:val="bottom"/>
          </w:tcPr>
          <w:p>
            <w:pPr>
              <w:spacing w:after="0"/>
              <w:rPr>
                <w:sz w:val="12"/>
                <w:szCs w:val="12"/>
                <w:color w:val="auto"/>
              </w:rPr>
            </w:pPr>
          </w:p>
        </w:tc>
        <w:tc>
          <w:tcPr>
            <w:tcW w:w="620" w:type="dxa"/>
            <w:vAlign w:val="bottom"/>
            <w:tcBorders>
              <w:bottom w:val="single" w:sz="8" w:color="939598"/>
            </w:tcBorders>
          </w:tcPr>
          <w:p>
            <w:pPr>
              <w:spacing w:after="0"/>
              <w:rPr>
                <w:sz w:val="12"/>
                <w:szCs w:val="12"/>
                <w:color w:val="auto"/>
              </w:rPr>
            </w:pPr>
          </w:p>
        </w:tc>
        <w:tc>
          <w:tcPr>
            <w:tcW w:w="760" w:type="dxa"/>
            <w:vAlign w:val="bottom"/>
            <w:tcBorders>
              <w:bottom w:val="single" w:sz="8" w:color="939598"/>
            </w:tcBorders>
          </w:tcPr>
          <w:p>
            <w:pPr>
              <w:spacing w:after="0"/>
              <w:rPr>
                <w:sz w:val="12"/>
                <w:szCs w:val="12"/>
                <w:color w:val="auto"/>
              </w:rPr>
            </w:pPr>
          </w:p>
        </w:tc>
        <w:tc>
          <w:tcPr>
            <w:tcW w:w="920" w:type="dxa"/>
            <w:vAlign w:val="bottom"/>
            <w:tcBorders>
              <w:bottom w:val="single" w:sz="8" w:color="939598"/>
            </w:tcBorders>
          </w:tcPr>
          <w:p>
            <w:pPr>
              <w:spacing w:after="0"/>
              <w:rPr>
                <w:sz w:val="12"/>
                <w:szCs w:val="12"/>
                <w:color w:val="auto"/>
              </w:rPr>
            </w:pPr>
          </w:p>
        </w:tc>
        <w:tc>
          <w:tcPr>
            <w:tcW w:w="820" w:type="dxa"/>
            <w:vAlign w:val="bottom"/>
            <w:tcBorders>
              <w:bottom w:val="single" w:sz="8" w:color="939598"/>
            </w:tcBorders>
          </w:tcPr>
          <w:p>
            <w:pPr>
              <w:spacing w:after="0"/>
              <w:rPr>
                <w:sz w:val="12"/>
                <w:szCs w:val="12"/>
                <w:color w:val="auto"/>
              </w:rPr>
            </w:pPr>
          </w:p>
        </w:tc>
        <w:tc>
          <w:tcPr>
            <w:tcW w:w="180" w:type="dxa"/>
            <w:vAlign w:val="bottom"/>
            <w:tcBorders>
              <w:bottom w:val="single" w:sz="8" w:color="939598"/>
            </w:tcBorders>
          </w:tcPr>
          <w:p>
            <w:pPr>
              <w:spacing w:after="0"/>
              <w:rPr>
                <w:sz w:val="12"/>
                <w:szCs w:val="12"/>
                <w:color w:val="auto"/>
              </w:rPr>
            </w:pPr>
          </w:p>
        </w:tc>
        <w:tc>
          <w:tcPr>
            <w:tcW w:w="600" w:type="dxa"/>
            <w:vAlign w:val="bottom"/>
            <w:tcBorders>
              <w:bottom w:val="single" w:sz="8" w:color="939598"/>
            </w:tcBorders>
          </w:tcPr>
          <w:p>
            <w:pPr>
              <w:spacing w:after="0"/>
              <w:rPr>
                <w:sz w:val="12"/>
                <w:szCs w:val="12"/>
                <w:color w:val="auto"/>
              </w:rPr>
            </w:pPr>
          </w:p>
        </w:tc>
        <w:tc>
          <w:tcPr>
            <w:tcW w:w="180" w:type="dxa"/>
            <w:vAlign w:val="bottom"/>
            <w:tcBorders>
              <w:bottom w:val="single" w:sz="8" w:color="939598"/>
            </w:tcBorders>
          </w:tcPr>
          <w:p>
            <w:pPr>
              <w:spacing w:after="0"/>
              <w:rPr>
                <w:sz w:val="12"/>
                <w:szCs w:val="12"/>
                <w:color w:val="auto"/>
              </w:rPr>
            </w:pPr>
          </w:p>
        </w:tc>
        <w:tc>
          <w:tcPr>
            <w:tcW w:w="1460" w:type="dxa"/>
            <w:vAlign w:val="bottom"/>
            <w:tcBorders>
              <w:bottom w:val="single" w:sz="8" w:color="939598"/>
            </w:tcBorders>
          </w:tcPr>
          <w:p>
            <w:pPr>
              <w:spacing w:after="0"/>
              <w:rPr>
                <w:sz w:val="12"/>
                <w:szCs w:val="12"/>
                <w:color w:val="auto"/>
              </w:rPr>
            </w:pPr>
          </w:p>
        </w:tc>
        <w:tc>
          <w:tcPr>
            <w:tcW w:w="640" w:type="dxa"/>
            <w:vAlign w:val="bottom"/>
            <w:tcBorders>
              <w:bottom w:val="single" w:sz="8" w:color="939598"/>
            </w:tcBorders>
          </w:tcPr>
          <w:p>
            <w:pPr>
              <w:spacing w:after="0"/>
              <w:rPr>
                <w:sz w:val="12"/>
                <w:szCs w:val="12"/>
                <w:color w:val="auto"/>
              </w:rPr>
            </w:pPr>
          </w:p>
        </w:tc>
        <w:tc>
          <w:tcPr>
            <w:tcW w:w="2140" w:type="dxa"/>
            <w:vAlign w:val="bottom"/>
            <w:tcBorders>
              <w:bottom w:val="single" w:sz="8" w:color="939598"/>
            </w:tcBorders>
          </w:tcPr>
          <w:p>
            <w:pPr>
              <w:spacing w:after="0"/>
              <w:rPr>
                <w:sz w:val="12"/>
                <w:szCs w:val="12"/>
                <w:color w:val="auto"/>
              </w:rPr>
            </w:pPr>
          </w:p>
        </w:tc>
        <w:tc>
          <w:tcPr>
            <w:tcW w:w="720" w:type="dxa"/>
            <w:vAlign w:val="bottom"/>
            <w:tcBorders>
              <w:bottom w:val="single" w:sz="8" w:color="939598"/>
            </w:tcBorders>
          </w:tcPr>
          <w:p>
            <w:pPr>
              <w:spacing w:after="0"/>
              <w:rPr>
                <w:sz w:val="12"/>
                <w:szCs w:val="12"/>
                <w:color w:val="auto"/>
              </w:rPr>
            </w:pPr>
          </w:p>
        </w:tc>
        <w:tc>
          <w:tcPr>
            <w:tcW w:w="640" w:type="dxa"/>
            <w:vAlign w:val="bottom"/>
            <w:tcBorders>
              <w:bottom w:val="single" w:sz="8" w:color="939598"/>
            </w:tcBorders>
          </w:tcPr>
          <w:p>
            <w:pPr>
              <w:spacing w:after="0"/>
              <w:rPr>
                <w:sz w:val="12"/>
                <w:szCs w:val="12"/>
                <w:color w:val="auto"/>
              </w:rPr>
            </w:pPr>
          </w:p>
        </w:tc>
        <w:tc>
          <w:tcPr>
            <w:tcW w:w="180" w:type="dxa"/>
            <w:vAlign w:val="bottom"/>
            <w:tcBorders>
              <w:bottom w:val="single" w:sz="8" w:color="939598"/>
            </w:tcBorders>
          </w:tcPr>
          <w:p>
            <w:pPr>
              <w:spacing w:after="0"/>
              <w:rPr>
                <w:sz w:val="12"/>
                <w:szCs w:val="12"/>
                <w:color w:val="auto"/>
              </w:rPr>
            </w:pPr>
          </w:p>
        </w:tc>
        <w:tc>
          <w:tcPr>
            <w:tcW w:w="600" w:type="dxa"/>
            <w:vAlign w:val="bottom"/>
            <w:tcBorders>
              <w:bottom w:val="single" w:sz="8" w:color="939598"/>
            </w:tcBorders>
          </w:tcPr>
          <w:p>
            <w:pPr>
              <w:spacing w:after="0"/>
              <w:rPr>
                <w:sz w:val="12"/>
                <w:szCs w:val="12"/>
                <w:color w:val="auto"/>
              </w:rPr>
            </w:pPr>
          </w:p>
        </w:tc>
      </w:tr>
      <w:tr>
        <w:trPr>
          <w:trHeight w:val="282"/>
        </w:trPr>
        <w:tc>
          <w:tcPr>
            <w:tcW w:w="76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21"/>
                <w:szCs w:val="21"/>
                <w:color w:val="auto"/>
                <w:vertAlign w:val="subscript"/>
              </w:rPr>
              <w:t>RSU</w:t>
            </w:r>
            <w:r>
              <w:rPr>
                <w:rFonts w:ascii="Arial" w:cs="Arial" w:eastAsia="Arial" w:hAnsi="Arial"/>
                <w:sz w:val="7"/>
                <w:szCs w:val="7"/>
                <w:color w:val="auto"/>
              </w:rPr>
              <w:t>(7)</w:t>
            </w:r>
          </w:p>
        </w:tc>
        <w:tc>
          <w:tcPr>
            <w:tcW w:w="760" w:type="dxa"/>
            <w:vAlign w:val="bottom"/>
          </w:tcPr>
          <w:p>
            <w:pPr>
              <w:ind w:left="100"/>
              <w:spacing w:after="0"/>
              <w:rPr>
                <w:sz w:val="20"/>
                <w:szCs w:val="20"/>
                <w:color w:val="auto"/>
              </w:rPr>
            </w:pPr>
            <w:r>
              <w:rPr>
                <w:rFonts w:ascii="Arial" w:cs="Arial" w:eastAsia="Arial" w:hAnsi="Arial"/>
                <w:sz w:val="11"/>
                <w:szCs w:val="11"/>
                <w:color w:val="auto"/>
              </w:rPr>
              <w:t>2/13/2025</w:t>
            </w:r>
          </w:p>
        </w:tc>
        <w:tc>
          <w:tcPr>
            <w:tcW w:w="920" w:type="dxa"/>
            <w:vAlign w:val="bottom"/>
          </w:tcPr>
          <w:p>
            <w:pPr>
              <w:ind w:left="120"/>
              <w:spacing w:after="0"/>
              <w:rPr>
                <w:sz w:val="20"/>
                <w:szCs w:val="20"/>
                <w:color w:val="auto"/>
              </w:rPr>
            </w:pPr>
            <w:r>
              <w:rPr>
                <w:rFonts w:ascii="Arial" w:cs="Arial" w:eastAsia="Arial" w:hAnsi="Arial"/>
                <w:sz w:val="11"/>
                <w:szCs w:val="11"/>
                <w:color w:val="auto"/>
              </w:rPr>
              <w:t>2/19/2025</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40" w:type="dxa"/>
            <w:vAlign w:val="bottom"/>
          </w:tcPr>
          <w:p>
            <w:pPr>
              <w:jc w:val="right"/>
              <w:ind w:right="806"/>
              <w:spacing w:after="0"/>
              <w:rPr>
                <w:sz w:val="20"/>
                <w:szCs w:val="20"/>
                <w:color w:val="auto"/>
              </w:rPr>
            </w:pPr>
            <w:r>
              <w:rPr>
                <w:rFonts w:ascii="Arial" w:cs="Arial" w:eastAsia="Arial" w:hAnsi="Arial"/>
                <w:sz w:val="11"/>
                <w:szCs w:val="11"/>
                <w:color w:val="auto"/>
              </w:rPr>
              <w:t>1,907</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117"/>
        </w:trPr>
        <w:tc>
          <w:tcPr>
            <w:tcW w:w="760" w:type="dxa"/>
            <w:vAlign w:val="bottom"/>
          </w:tcPr>
          <w:p>
            <w:pPr>
              <w:spacing w:after="0"/>
              <w:rPr>
                <w:sz w:val="10"/>
                <w:szCs w:val="10"/>
                <w:color w:val="auto"/>
              </w:rPr>
            </w:pPr>
          </w:p>
        </w:tc>
        <w:tc>
          <w:tcPr>
            <w:tcW w:w="620" w:type="dxa"/>
            <w:vAlign w:val="bottom"/>
            <w:tcBorders>
              <w:bottom w:val="single" w:sz="8" w:color="939598"/>
            </w:tcBorders>
          </w:tcPr>
          <w:p>
            <w:pPr>
              <w:spacing w:after="0"/>
              <w:rPr>
                <w:sz w:val="10"/>
                <w:szCs w:val="10"/>
                <w:color w:val="auto"/>
              </w:rPr>
            </w:pPr>
          </w:p>
        </w:tc>
        <w:tc>
          <w:tcPr>
            <w:tcW w:w="760" w:type="dxa"/>
            <w:vAlign w:val="bottom"/>
            <w:tcBorders>
              <w:bottom w:val="single" w:sz="8" w:color="939598"/>
            </w:tcBorders>
          </w:tcPr>
          <w:p>
            <w:pPr>
              <w:spacing w:after="0"/>
              <w:rPr>
                <w:sz w:val="10"/>
                <w:szCs w:val="10"/>
                <w:color w:val="auto"/>
              </w:rPr>
            </w:pPr>
          </w:p>
        </w:tc>
        <w:tc>
          <w:tcPr>
            <w:tcW w:w="92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spacing w:after="0"/>
              <w:rPr>
                <w:sz w:val="10"/>
                <w:szCs w:val="10"/>
                <w:color w:val="auto"/>
              </w:rPr>
            </w:pPr>
          </w:p>
        </w:tc>
        <w:tc>
          <w:tcPr>
            <w:tcW w:w="18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spacing w:after="0"/>
              <w:rPr>
                <w:sz w:val="10"/>
                <w:szCs w:val="10"/>
                <w:color w:val="auto"/>
              </w:rPr>
            </w:pPr>
          </w:p>
        </w:tc>
        <w:tc>
          <w:tcPr>
            <w:tcW w:w="180" w:type="dxa"/>
            <w:vAlign w:val="bottom"/>
            <w:tcBorders>
              <w:bottom w:val="single" w:sz="8" w:color="939598"/>
            </w:tcBorders>
          </w:tcPr>
          <w:p>
            <w:pPr>
              <w:spacing w:after="0"/>
              <w:rPr>
                <w:sz w:val="10"/>
                <w:szCs w:val="10"/>
                <w:color w:val="auto"/>
              </w:rPr>
            </w:pPr>
          </w:p>
        </w:tc>
        <w:tc>
          <w:tcPr>
            <w:tcW w:w="146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spacing w:after="0"/>
              <w:rPr>
                <w:sz w:val="10"/>
                <w:szCs w:val="10"/>
                <w:color w:val="auto"/>
              </w:rPr>
            </w:pPr>
          </w:p>
        </w:tc>
        <w:tc>
          <w:tcPr>
            <w:tcW w:w="2140" w:type="dxa"/>
            <w:vAlign w:val="bottom"/>
            <w:tcBorders>
              <w:bottom w:val="single" w:sz="8" w:color="939598"/>
            </w:tcBorders>
          </w:tcPr>
          <w:p>
            <w:pPr>
              <w:spacing w:after="0"/>
              <w:rPr>
                <w:sz w:val="10"/>
                <w:szCs w:val="10"/>
                <w:color w:val="auto"/>
              </w:rPr>
            </w:pPr>
          </w:p>
        </w:tc>
        <w:tc>
          <w:tcPr>
            <w:tcW w:w="72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spacing w:after="0"/>
              <w:rPr>
                <w:sz w:val="10"/>
                <w:szCs w:val="10"/>
                <w:color w:val="auto"/>
              </w:rPr>
            </w:pPr>
          </w:p>
        </w:tc>
        <w:tc>
          <w:tcPr>
            <w:tcW w:w="18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spacing w:after="0"/>
              <w:rPr>
                <w:sz w:val="10"/>
                <w:szCs w:val="10"/>
                <w:color w:val="auto"/>
              </w:rPr>
            </w:pPr>
          </w:p>
        </w:tc>
      </w:tr>
      <w:tr>
        <w:trPr>
          <w:trHeight w:val="257"/>
        </w:trPr>
        <w:tc>
          <w:tcPr>
            <w:tcW w:w="760" w:type="dxa"/>
            <w:vAlign w:val="bottom"/>
          </w:tcPr>
          <w:p>
            <w:pPr>
              <w:spacing w:after="0"/>
              <w:rPr>
                <w:sz w:val="22"/>
                <w:szCs w:val="22"/>
                <w:color w:val="auto"/>
              </w:rPr>
            </w:pPr>
          </w:p>
        </w:tc>
        <w:tc>
          <w:tcPr>
            <w:tcW w:w="620" w:type="dxa"/>
            <w:vAlign w:val="bottom"/>
          </w:tcPr>
          <w:p>
            <w:pPr>
              <w:spacing w:after="0"/>
              <w:rPr>
                <w:sz w:val="20"/>
                <w:szCs w:val="20"/>
                <w:color w:val="auto"/>
              </w:rPr>
            </w:pPr>
            <w:r>
              <w:rPr>
                <w:rFonts w:ascii="Arial" w:cs="Arial" w:eastAsia="Arial" w:hAnsi="Arial"/>
                <w:sz w:val="11"/>
                <w:szCs w:val="11"/>
                <w:color w:val="auto"/>
              </w:rPr>
              <w:t>RSU</w:t>
            </w:r>
          </w:p>
        </w:tc>
        <w:tc>
          <w:tcPr>
            <w:tcW w:w="760" w:type="dxa"/>
            <w:vAlign w:val="bottom"/>
          </w:tcPr>
          <w:p>
            <w:pPr>
              <w:ind w:left="100"/>
              <w:spacing w:after="0"/>
              <w:rPr>
                <w:sz w:val="20"/>
                <w:szCs w:val="20"/>
                <w:color w:val="auto"/>
              </w:rPr>
            </w:pPr>
            <w:r>
              <w:rPr>
                <w:rFonts w:ascii="Arial" w:cs="Arial" w:eastAsia="Arial" w:hAnsi="Arial"/>
                <w:sz w:val="11"/>
                <w:szCs w:val="11"/>
                <w:color w:val="auto"/>
              </w:rPr>
              <w:t>12/15/2025</w:t>
            </w:r>
          </w:p>
        </w:tc>
        <w:tc>
          <w:tcPr>
            <w:tcW w:w="920" w:type="dxa"/>
            <w:vAlign w:val="bottom"/>
          </w:tcPr>
          <w:p>
            <w:pPr>
              <w:ind w:left="120"/>
              <w:spacing w:after="0"/>
              <w:rPr>
                <w:sz w:val="20"/>
                <w:szCs w:val="20"/>
                <w:color w:val="auto"/>
              </w:rPr>
            </w:pPr>
            <w:r>
              <w:rPr>
                <w:rFonts w:ascii="Arial" w:cs="Arial" w:eastAsia="Arial" w:hAnsi="Arial"/>
                <w:sz w:val="11"/>
                <w:szCs w:val="11"/>
                <w:color w:val="auto"/>
              </w:rPr>
              <w:t>12/17/2025</w:t>
            </w: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140" w:type="dxa"/>
            <w:vAlign w:val="bottom"/>
          </w:tcPr>
          <w:p>
            <w:pPr>
              <w:jc w:val="right"/>
              <w:ind w:right="806"/>
              <w:spacing w:after="0"/>
              <w:rPr>
                <w:sz w:val="20"/>
                <w:szCs w:val="20"/>
                <w:color w:val="auto"/>
              </w:rPr>
            </w:pPr>
            <w:r>
              <w:rPr>
                <w:rFonts w:ascii="Arial" w:cs="Arial" w:eastAsia="Arial" w:hAnsi="Arial"/>
                <w:sz w:val="11"/>
                <w:szCs w:val="11"/>
                <w:color w:val="auto"/>
              </w:rPr>
              <w:t>4,993</w:t>
            </w: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1,000,048</w:t>
            </w:r>
          </w:p>
        </w:tc>
      </w:tr>
      <w:tr>
        <w:trPr>
          <w:trHeight w:val="141"/>
        </w:trPr>
        <w:tc>
          <w:tcPr>
            <w:tcW w:w="760" w:type="dxa"/>
            <w:vAlign w:val="bottom"/>
            <w:tcBorders>
              <w:bottom w:val="single" w:sz="8" w:color="939598"/>
            </w:tcBorders>
          </w:tcPr>
          <w:p>
            <w:pPr>
              <w:spacing w:after="0"/>
              <w:rPr>
                <w:sz w:val="12"/>
                <w:szCs w:val="12"/>
                <w:color w:val="auto"/>
              </w:rPr>
            </w:pPr>
          </w:p>
        </w:tc>
        <w:tc>
          <w:tcPr>
            <w:tcW w:w="620" w:type="dxa"/>
            <w:vAlign w:val="bottom"/>
            <w:tcBorders>
              <w:bottom w:val="single" w:sz="8" w:color="939598"/>
            </w:tcBorders>
          </w:tcPr>
          <w:p>
            <w:pPr>
              <w:spacing w:after="0"/>
              <w:rPr>
                <w:sz w:val="12"/>
                <w:szCs w:val="12"/>
                <w:color w:val="auto"/>
              </w:rPr>
            </w:pPr>
          </w:p>
        </w:tc>
        <w:tc>
          <w:tcPr>
            <w:tcW w:w="760" w:type="dxa"/>
            <w:vAlign w:val="bottom"/>
            <w:tcBorders>
              <w:bottom w:val="single" w:sz="8" w:color="939598"/>
            </w:tcBorders>
          </w:tcPr>
          <w:p>
            <w:pPr>
              <w:spacing w:after="0"/>
              <w:rPr>
                <w:sz w:val="12"/>
                <w:szCs w:val="12"/>
                <w:color w:val="auto"/>
              </w:rPr>
            </w:pPr>
          </w:p>
        </w:tc>
        <w:tc>
          <w:tcPr>
            <w:tcW w:w="920" w:type="dxa"/>
            <w:vAlign w:val="bottom"/>
            <w:tcBorders>
              <w:bottom w:val="single" w:sz="8" w:color="939598"/>
            </w:tcBorders>
          </w:tcPr>
          <w:p>
            <w:pPr>
              <w:spacing w:after="0"/>
              <w:rPr>
                <w:sz w:val="12"/>
                <w:szCs w:val="12"/>
                <w:color w:val="auto"/>
              </w:rPr>
            </w:pPr>
          </w:p>
        </w:tc>
        <w:tc>
          <w:tcPr>
            <w:tcW w:w="820" w:type="dxa"/>
            <w:vAlign w:val="bottom"/>
            <w:tcBorders>
              <w:bottom w:val="single" w:sz="8" w:color="939598"/>
            </w:tcBorders>
          </w:tcPr>
          <w:p>
            <w:pPr>
              <w:spacing w:after="0"/>
              <w:rPr>
                <w:sz w:val="12"/>
                <w:szCs w:val="12"/>
                <w:color w:val="auto"/>
              </w:rPr>
            </w:pPr>
          </w:p>
        </w:tc>
        <w:tc>
          <w:tcPr>
            <w:tcW w:w="180" w:type="dxa"/>
            <w:vAlign w:val="bottom"/>
            <w:tcBorders>
              <w:bottom w:val="single" w:sz="8" w:color="939598"/>
            </w:tcBorders>
          </w:tcPr>
          <w:p>
            <w:pPr>
              <w:spacing w:after="0"/>
              <w:rPr>
                <w:sz w:val="12"/>
                <w:szCs w:val="12"/>
                <w:color w:val="auto"/>
              </w:rPr>
            </w:pPr>
          </w:p>
        </w:tc>
        <w:tc>
          <w:tcPr>
            <w:tcW w:w="600" w:type="dxa"/>
            <w:vAlign w:val="bottom"/>
            <w:tcBorders>
              <w:bottom w:val="single" w:sz="8" w:color="939598"/>
            </w:tcBorders>
          </w:tcPr>
          <w:p>
            <w:pPr>
              <w:spacing w:after="0"/>
              <w:rPr>
                <w:sz w:val="12"/>
                <w:szCs w:val="12"/>
                <w:color w:val="auto"/>
              </w:rPr>
            </w:pPr>
          </w:p>
        </w:tc>
        <w:tc>
          <w:tcPr>
            <w:tcW w:w="180" w:type="dxa"/>
            <w:vAlign w:val="bottom"/>
            <w:tcBorders>
              <w:bottom w:val="single" w:sz="8" w:color="939598"/>
            </w:tcBorders>
          </w:tcPr>
          <w:p>
            <w:pPr>
              <w:spacing w:after="0"/>
              <w:rPr>
                <w:sz w:val="12"/>
                <w:szCs w:val="12"/>
                <w:color w:val="auto"/>
              </w:rPr>
            </w:pPr>
          </w:p>
        </w:tc>
        <w:tc>
          <w:tcPr>
            <w:tcW w:w="1460" w:type="dxa"/>
            <w:vAlign w:val="bottom"/>
            <w:tcBorders>
              <w:bottom w:val="single" w:sz="8" w:color="939598"/>
            </w:tcBorders>
          </w:tcPr>
          <w:p>
            <w:pPr>
              <w:spacing w:after="0"/>
              <w:rPr>
                <w:sz w:val="12"/>
                <w:szCs w:val="12"/>
                <w:color w:val="auto"/>
              </w:rPr>
            </w:pPr>
          </w:p>
        </w:tc>
        <w:tc>
          <w:tcPr>
            <w:tcW w:w="640" w:type="dxa"/>
            <w:vAlign w:val="bottom"/>
            <w:tcBorders>
              <w:bottom w:val="single" w:sz="8" w:color="939598"/>
            </w:tcBorders>
          </w:tcPr>
          <w:p>
            <w:pPr>
              <w:spacing w:after="0"/>
              <w:rPr>
                <w:sz w:val="12"/>
                <w:szCs w:val="12"/>
                <w:color w:val="auto"/>
              </w:rPr>
            </w:pPr>
          </w:p>
        </w:tc>
        <w:tc>
          <w:tcPr>
            <w:tcW w:w="2140" w:type="dxa"/>
            <w:vAlign w:val="bottom"/>
            <w:tcBorders>
              <w:bottom w:val="single" w:sz="8" w:color="939598"/>
            </w:tcBorders>
          </w:tcPr>
          <w:p>
            <w:pPr>
              <w:spacing w:after="0"/>
              <w:rPr>
                <w:sz w:val="12"/>
                <w:szCs w:val="12"/>
                <w:color w:val="auto"/>
              </w:rPr>
            </w:pPr>
          </w:p>
        </w:tc>
        <w:tc>
          <w:tcPr>
            <w:tcW w:w="720" w:type="dxa"/>
            <w:vAlign w:val="bottom"/>
            <w:tcBorders>
              <w:bottom w:val="single" w:sz="8" w:color="939598"/>
            </w:tcBorders>
          </w:tcPr>
          <w:p>
            <w:pPr>
              <w:spacing w:after="0"/>
              <w:rPr>
                <w:sz w:val="12"/>
                <w:szCs w:val="12"/>
                <w:color w:val="auto"/>
              </w:rPr>
            </w:pPr>
          </w:p>
        </w:tc>
        <w:tc>
          <w:tcPr>
            <w:tcW w:w="640" w:type="dxa"/>
            <w:vAlign w:val="bottom"/>
            <w:tcBorders>
              <w:bottom w:val="single" w:sz="8" w:color="939598"/>
            </w:tcBorders>
          </w:tcPr>
          <w:p>
            <w:pPr>
              <w:spacing w:after="0"/>
              <w:rPr>
                <w:sz w:val="12"/>
                <w:szCs w:val="12"/>
                <w:color w:val="auto"/>
              </w:rPr>
            </w:pPr>
          </w:p>
        </w:tc>
        <w:tc>
          <w:tcPr>
            <w:tcW w:w="180" w:type="dxa"/>
            <w:vAlign w:val="bottom"/>
            <w:tcBorders>
              <w:bottom w:val="single" w:sz="8" w:color="939598"/>
            </w:tcBorders>
          </w:tcPr>
          <w:p>
            <w:pPr>
              <w:spacing w:after="0"/>
              <w:rPr>
                <w:sz w:val="12"/>
                <w:szCs w:val="12"/>
                <w:color w:val="auto"/>
              </w:rPr>
            </w:pPr>
          </w:p>
        </w:tc>
        <w:tc>
          <w:tcPr>
            <w:tcW w:w="600" w:type="dxa"/>
            <w:vAlign w:val="bottom"/>
            <w:tcBorders>
              <w:bottom w:val="single" w:sz="8" w:color="939598"/>
            </w:tcBorders>
          </w:tcPr>
          <w:p>
            <w:pPr>
              <w:spacing w:after="0"/>
              <w:rPr>
                <w:sz w:val="12"/>
                <w:szCs w:val="12"/>
                <w:color w:val="auto"/>
              </w:rPr>
            </w:pPr>
          </w:p>
        </w:tc>
      </w:tr>
      <w:tr>
        <w:trPr>
          <w:trHeight w:val="250"/>
        </w:trPr>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Gregory P.</w:t>
            </w:r>
          </w:p>
        </w:tc>
        <w:tc>
          <w:tcPr>
            <w:tcW w:w="620" w:type="dxa"/>
            <w:vAlign w:val="bottom"/>
          </w:tcPr>
          <w:p>
            <w:pPr>
              <w:spacing w:after="0"/>
              <w:rPr>
                <w:sz w:val="20"/>
                <w:szCs w:val="20"/>
                <w:color w:val="auto"/>
              </w:rPr>
            </w:pPr>
            <w:r>
              <w:rPr>
                <w:rFonts w:ascii="Arial" w:cs="Arial" w:eastAsia="Arial" w:hAnsi="Arial"/>
                <w:sz w:val="11"/>
                <w:szCs w:val="11"/>
                <w:color w:val="auto"/>
              </w:rPr>
              <w:t>ICP</w:t>
            </w: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3,445</w:t>
            </w:r>
          </w:p>
        </w:tc>
        <w:tc>
          <w:tcPr>
            <w:tcW w:w="180" w:type="dxa"/>
            <w:vAlign w:val="bottom"/>
          </w:tcPr>
          <w:p>
            <w:pPr>
              <w:spacing w:after="0"/>
              <w:rPr>
                <w:sz w:val="21"/>
                <w:szCs w:val="21"/>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344,526</w:t>
            </w:r>
          </w:p>
        </w:tc>
        <w:tc>
          <w:tcPr>
            <w:tcW w:w="180" w:type="dxa"/>
            <w:vAlign w:val="bottom"/>
          </w:tcPr>
          <w:p>
            <w:pPr>
              <w:spacing w:after="0"/>
              <w:rPr>
                <w:sz w:val="21"/>
                <w:szCs w:val="21"/>
                <w:color w:val="auto"/>
              </w:rPr>
            </w:pPr>
          </w:p>
        </w:tc>
        <w:tc>
          <w:tcPr>
            <w:tcW w:w="1460" w:type="dxa"/>
            <w:vAlign w:val="bottom"/>
          </w:tcPr>
          <w:p>
            <w:pPr>
              <w:jc w:val="right"/>
              <w:ind w:right="846"/>
              <w:spacing w:after="0"/>
              <w:rPr>
                <w:sz w:val="20"/>
                <w:szCs w:val="20"/>
                <w:color w:val="auto"/>
              </w:rPr>
            </w:pPr>
            <w:r>
              <w:rPr>
                <w:rFonts w:ascii="Arial" w:cs="Arial" w:eastAsia="Arial" w:hAnsi="Arial"/>
                <w:sz w:val="11"/>
                <w:szCs w:val="11"/>
                <w:color w:val="auto"/>
              </w:rPr>
              <w:t>689,052</w:t>
            </w:r>
          </w:p>
        </w:tc>
        <w:tc>
          <w:tcPr>
            <w:tcW w:w="6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148"/>
        </w:trPr>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Lewis</w:t>
            </w:r>
          </w:p>
        </w:tc>
        <w:tc>
          <w:tcPr>
            <w:tcW w:w="620" w:type="dxa"/>
            <w:vAlign w:val="bottom"/>
            <w:tcBorders>
              <w:bottom w:val="single" w:sz="8" w:color="939598"/>
            </w:tcBorders>
          </w:tcPr>
          <w:p>
            <w:pPr>
              <w:spacing w:after="0"/>
              <w:rPr>
                <w:sz w:val="12"/>
                <w:szCs w:val="12"/>
                <w:color w:val="auto"/>
              </w:rPr>
            </w:pPr>
          </w:p>
        </w:tc>
        <w:tc>
          <w:tcPr>
            <w:tcW w:w="760" w:type="dxa"/>
            <w:vAlign w:val="bottom"/>
            <w:tcBorders>
              <w:bottom w:val="single" w:sz="8" w:color="939598"/>
            </w:tcBorders>
          </w:tcPr>
          <w:p>
            <w:pPr>
              <w:spacing w:after="0"/>
              <w:rPr>
                <w:sz w:val="12"/>
                <w:szCs w:val="12"/>
                <w:color w:val="auto"/>
              </w:rPr>
            </w:pPr>
          </w:p>
        </w:tc>
        <w:tc>
          <w:tcPr>
            <w:tcW w:w="920" w:type="dxa"/>
            <w:vAlign w:val="bottom"/>
            <w:tcBorders>
              <w:bottom w:val="single" w:sz="8" w:color="939598"/>
            </w:tcBorders>
          </w:tcPr>
          <w:p>
            <w:pPr>
              <w:spacing w:after="0"/>
              <w:rPr>
                <w:sz w:val="12"/>
                <w:szCs w:val="12"/>
                <w:color w:val="auto"/>
              </w:rPr>
            </w:pPr>
          </w:p>
        </w:tc>
        <w:tc>
          <w:tcPr>
            <w:tcW w:w="820" w:type="dxa"/>
            <w:vAlign w:val="bottom"/>
            <w:tcBorders>
              <w:bottom w:val="single" w:sz="8" w:color="939598"/>
            </w:tcBorders>
          </w:tcPr>
          <w:p>
            <w:pPr>
              <w:spacing w:after="0"/>
              <w:rPr>
                <w:sz w:val="12"/>
                <w:szCs w:val="12"/>
                <w:color w:val="auto"/>
              </w:rPr>
            </w:pPr>
          </w:p>
        </w:tc>
        <w:tc>
          <w:tcPr>
            <w:tcW w:w="180" w:type="dxa"/>
            <w:vAlign w:val="bottom"/>
            <w:tcBorders>
              <w:bottom w:val="single" w:sz="8" w:color="939598"/>
            </w:tcBorders>
          </w:tcPr>
          <w:p>
            <w:pPr>
              <w:spacing w:after="0"/>
              <w:rPr>
                <w:sz w:val="12"/>
                <w:szCs w:val="12"/>
                <w:color w:val="auto"/>
              </w:rPr>
            </w:pPr>
          </w:p>
        </w:tc>
        <w:tc>
          <w:tcPr>
            <w:tcW w:w="600" w:type="dxa"/>
            <w:vAlign w:val="bottom"/>
            <w:tcBorders>
              <w:bottom w:val="single" w:sz="8" w:color="939598"/>
            </w:tcBorders>
          </w:tcPr>
          <w:p>
            <w:pPr>
              <w:spacing w:after="0"/>
              <w:rPr>
                <w:sz w:val="12"/>
                <w:szCs w:val="12"/>
                <w:color w:val="auto"/>
              </w:rPr>
            </w:pPr>
          </w:p>
        </w:tc>
        <w:tc>
          <w:tcPr>
            <w:tcW w:w="180" w:type="dxa"/>
            <w:vAlign w:val="bottom"/>
            <w:tcBorders>
              <w:bottom w:val="single" w:sz="8" w:color="939598"/>
            </w:tcBorders>
          </w:tcPr>
          <w:p>
            <w:pPr>
              <w:spacing w:after="0"/>
              <w:rPr>
                <w:sz w:val="12"/>
                <w:szCs w:val="12"/>
                <w:color w:val="auto"/>
              </w:rPr>
            </w:pPr>
          </w:p>
        </w:tc>
        <w:tc>
          <w:tcPr>
            <w:tcW w:w="1460" w:type="dxa"/>
            <w:vAlign w:val="bottom"/>
            <w:tcBorders>
              <w:bottom w:val="single" w:sz="8" w:color="939598"/>
            </w:tcBorders>
          </w:tcPr>
          <w:p>
            <w:pPr>
              <w:spacing w:after="0"/>
              <w:rPr>
                <w:sz w:val="12"/>
                <w:szCs w:val="12"/>
                <w:color w:val="auto"/>
              </w:rPr>
            </w:pPr>
          </w:p>
        </w:tc>
        <w:tc>
          <w:tcPr>
            <w:tcW w:w="640" w:type="dxa"/>
            <w:vAlign w:val="bottom"/>
            <w:tcBorders>
              <w:bottom w:val="single" w:sz="8" w:color="939598"/>
            </w:tcBorders>
          </w:tcPr>
          <w:p>
            <w:pPr>
              <w:spacing w:after="0"/>
              <w:rPr>
                <w:sz w:val="12"/>
                <w:szCs w:val="12"/>
                <w:color w:val="auto"/>
              </w:rPr>
            </w:pPr>
          </w:p>
        </w:tc>
        <w:tc>
          <w:tcPr>
            <w:tcW w:w="2140" w:type="dxa"/>
            <w:vAlign w:val="bottom"/>
            <w:tcBorders>
              <w:bottom w:val="single" w:sz="8" w:color="939598"/>
            </w:tcBorders>
          </w:tcPr>
          <w:p>
            <w:pPr>
              <w:spacing w:after="0"/>
              <w:rPr>
                <w:sz w:val="12"/>
                <w:szCs w:val="12"/>
                <w:color w:val="auto"/>
              </w:rPr>
            </w:pPr>
          </w:p>
        </w:tc>
        <w:tc>
          <w:tcPr>
            <w:tcW w:w="720" w:type="dxa"/>
            <w:vAlign w:val="bottom"/>
            <w:tcBorders>
              <w:bottom w:val="single" w:sz="8" w:color="939598"/>
            </w:tcBorders>
          </w:tcPr>
          <w:p>
            <w:pPr>
              <w:spacing w:after="0"/>
              <w:rPr>
                <w:sz w:val="12"/>
                <w:szCs w:val="12"/>
                <w:color w:val="auto"/>
              </w:rPr>
            </w:pPr>
          </w:p>
        </w:tc>
        <w:tc>
          <w:tcPr>
            <w:tcW w:w="640" w:type="dxa"/>
            <w:vAlign w:val="bottom"/>
            <w:tcBorders>
              <w:bottom w:val="single" w:sz="8" w:color="939598"/>
            </w:tcBorders>
          </w:tcPr>
          <w:p>
            <w:pPr>
              <w:spacing w:after="0"/>
              <w:rPr>
                <w:sz w:val="12"/>
                <w:szCs w:val="12"/>
                <w:color w:val="auto"/>
              </w:rPr>
            </w:pPr>
          </w:p>
        </w:tc>
        <w:tc>
          <w:tcPr>
            <w:tcW w:w="180" w:type="dxa"/>
            <w:vAlign w:val="bottom"/>
            <w:tcBorders>
              <w:bottom w:val="single" w:sz="8" w:color="939598"/>
            </w:tcBorders>
          </w:tcPr>
          <w:p>
            <w:pPr>
              <w:spacing w:after="0"/>
              <w:rPr>
                <w:sz w:val="12"/>
                <w:szCs w:val="12"/>
                <w:color w:val="auto"/>
              </w:rPr>
            </w:pPr>
          </w:p>
        </w:tc>
        <w:tc>
          <w:tcPr>
            <w:tcW w:w="600" w:type="dxa"/>
            <w:vAlign w:val="bottom"/>
            <w:tcBorders>
              <w:bottom w:val="single" w:sz="8" w:color="939598"/>
            </w:tcBorders>
          </w:tcPr>
          <w:p>
            <w:pPr>
              <w:spacing w:after="0"/>
              <w:rPr>
                <w:sz w:val="12"/>
                <w:szCs w:val="12"/>
                <w:color w:val="auto"/>
              </w:rPr>
            </w:pPr>
          </w:p>
        </w:tc>
      </w:tr>
      <w:tr>
        <w:trPr>
          <w:trHeight w:val="257"/>
        </w:trPr>
        <w:tc>
          <w:tcPr>
            <w:tcW w:w="760" w:type="dxa"/>
            <w:vAlign w:val="bottom"/>
          </w:tcPr>
          <w:p>
            <w:pPr>
              <w:spacing w:after="0"/>
              <w:rPr>
                <w:sz w:val="22"/>
                <w:szCs w:val="22"/>
                <w:color w:val="auto"/>
              </w:rPr>
            </w:pPr>
          </w:p>
        </w:tc>
        <w:tc>
          <w:tcPr>
            <w:tcW w:w="620" w:type="dxa"/>
            <w:vAlign w:val="bottom"/>
          </w:tcPr>
          <w:p>
            <w:pPr>
              <w:spacing w:after="0"/>
              <w:rPr>
                <w:sz w:val="20"/>
                <w:szCs w:val="20"/>
                <w:color w:val="auto"/>
              </w:rPr>
            </w:pPr>
            <w:r>
              <w:rPr>
                <w:rFonts w:ascii="Arial" w:cs="Arial" w:eastAsia="Arial" w:hAnsi="Arial"/>
                <w:sz w:val="11"/>
                <w:szCs w:val="11"/>
                <w:color w:val="auto"/>
              </w:rPr>
              <w:t>NQSO</w:t>
            </w:r>
          </w:p>
        </w:tc>
        <w:tc>
          <w:tcPr>
            <w:tcW w:w="760" w:type="dxa"/>
            <w:vAlign w:val="bottom"/>
          </w:tcPr>
          <w:p>
            <w:pPr>
              <w:ind w:left="100"/>
              <w:spacing w:after="0"/>
              <w:rPr>
                <w:sz w:val="20"/>
                <w:szCs w:val="20"/>
                <w:color w:val="auto"/>
              </w:rPr>
            </w:pPr>
            <w:r>
              <w:rPr>
                <w:rFonts w:ascii="Arial" w:cs="Arial" w:eastAsia="Arial" w:hAnsi="Arial"/>
                <w:sz w:val="11"/>
                <w:szCs w:val="11"/>
                <w:color w:val="auto"/>
              </w:rPr>
              <w:t>2/13/2025</w:t>
            </w:r>
          </w:p>
        </w:tc>
        <w:tc>
          <w:tcPr>
            <w:tcW w:w="920" w:type="dxa"/>
            <w:vAlign w:val="bottom"/>
          </w:tcPr>
          <w:p>
            <w:pPr>
              <w:ind w:left="120"/>
              <w:spacing w:after="0"/>
              <w:rPr>
                <w:sz w:val="20"/>
                <w:szCs w:val="20"/>
                <w:color w:val="auto"/>
              </w:rPr>
            </w:pPr>
            <w:r>
              <w:rPr>
                <w:rFonts w:ascii="Arial" w:cs="Arial" w:eastAsia="Arial" w:hAnsi="Arial"/>
                <w:sz w:val="11"/>
                <w:szCs w:val="11"/>
                <w:color w:val="auto"/>
              </w:rPr>
              <w:t>2/19/2025</w:t>
            </w: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140" w:type="dxa"/>
            <w:vAlign w:val="bottom"/>
          </w:tcPr>
          <w:p>
            <w:pPr>
              <w:jc w:val="right"/>
              <w:ind w:right="66"/>
              <w:spacing w:after="0"/>
              <w:rPr>
                <w:sz w:val="20"/>
                <w:szCs w:val="20"/>
                <w:color w:val="auto"/>
              </w:rPr>
            </w:pPr>
            <w:r>
              <w:rPr>
                <w:rFonts w:ascii="Arial" w:cs="Arial" w:eastAsia="Arial" w:hAnsi="Arial"/>
                <w:sz w:val="11"/>
                <w:szCs w:val="11"/>
                <w:color w:val="auto"/>
              </w:rPr>
              <w:t>5,700</w:t>
            </w:r>
          </w:p>
        </w:tc>
        <w:tc>
          <w:tcPr>
            <w:tcW w:w="720" w:type="dxa"/>
            <w:vAlign w:val="bottom"/>
          </w:tcPr>
          <w:p>
            <w:pPr>
              <w:jc w:val="right"/>
              <w:ind w:right="26"/>
              <w:spacing w:after="0"/>
              <w:rPr>
                <w:sz w:val="20"/>
                <w:szCs w:val="20"/>
                <w:color w:val="auto"/>
              </w:rPr>
            </w:pPr>
            <w:r>
              <w:rPr>
                <w:rFonts w:ascii="Arial" w:cs="Arial" w:eastAsia="Arial" w:hAnsi="Arial"/>
                <w:sz w:val="11"/>
                <w:szCs w:val="11"/>
                <w:color w:val="auto"/>
              </w:rPr>
              <w:t>209.81</w:t>
            </w:r>
          </w:p>
        </w:tc>
        <w:tc>
          <w:tcPr>
            <w:tcW w:w="640" w:type="dxa"/>
            <w:vAlign w:val="bottom"/>
          </w:tcPr>
          <w:p>
            <w:pPr>
              <w:jc w:val="right"/>
              <w:spacing w:after="0"/>
              <w:rPr>
                <w:sz w:val="20"/>
                <w:szCs w:val="20"/>
                <w:color w:val="auto"/>
              </w:rPr>
            </w:pPr>
            <w:r>
              <w:rPr>
                <w:rFonts w:ascii="Arial" w:cs="Arial" w:eastAsia="Arial" w:hAnsi="Arial"/>
                <w:sz w:val="11"/>
                <w:szCs w:val="11"/>
                <w:color w:val="auto"/>
              </w:rPr>
              <w:t>210.81</w:t>
            </w:r>
          </w:p>
        </w:tc>
        <w:tc>
          <w:tcPr>
            <w:tcW w:w="180" w:type="dxa"/>
            <w:vAlign w:val="bottom"/>
          </w:tcPr>
          <w:p>
            <w:pPr>
              <w:spacing w:after="0"/>
              <w:rPr>
                <w:sz w:val="22"/>
                <w:szCs w:val="2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249,774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89535</wp:posOffset>
            </wp:positionV>
            <wp:extent cx="665226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6652260" cy="8890"/>
                    </a:xfrm>
                    <a:prstGeom prst="rect">
                      <a:avLst/>
                    </a:prstGeom>
                    <a:noFill/>
                  </pic:spPr>
                </pic:pic>
              </a:graphicData>
            </a:graphic>
          </wp:anchor>
        </w:drawing>
      </w:r>
    </w:p>
    <w:p>
      <w:pPr>
        <w:sectPr>
          <w:pgSz w:w="11900" w:h="16838" w:orient="portrait"/>
          <w:cols w:equalWidth="0" w:num="1">
            <w:col w:w="11240"/>
          </w:cols>
          <w:pgMar w:left="320" w:top="230" w:right="339" w:bottom="0" w:gutter="0" w:footer="0" w:header="0"/>
          <w:type w:val="continuous"/>
        </w:sectPr>
      </w:pPr>
    </w:p>
    <w:bookmarkStart w:id="98" w:name="page99"/>
    <w:bookmarkEnd w:id="98"/>
    <w:tbl>
      <w:tblPr>
        <w:tblLayout w:type="fixed"/>
        <w:tblInd w:w="0" w:type="dxa"/>
        <w:tblCellMar>
          <w:top w:w="0" w:type="dxa"/>
          <w:left w:w="0" w:type="dxa"/>
          <w:bottom w:w="0" w:type="dxa"/>
          <w:right w:w="0" w:type="dxa"/>
        </w:tblCellMar>
      </w:tblPr>
      <w:tr>
        <w:trPr>
          <w:trHeight w:val="142"/>
        </w:trPr>
        <w:tc>
          <w:tcPr>
            <w:tcW w:w="760" w:type="dxa"/>
            <w:vAlign w:val="bottom"/>
          </w:tcPr>
          <w:p>
            <w:pPr>
              <w:spacing w:after="0"/>
              <w:rPr>
                <w:sz w:val="12"/>
                <w:szCs w:val="12"/>
                <w:color w:val="auto"/>
              </w:rPr>
            </w:pPr>
          </w:p>
        </w:tc>
        <w:tc>
          <w:tcPr>
            <w:tcW w:w="620" w:type="dxa"/>
            <w:vAlign w:val="bottom"/>
          </w:tcPr>
          <w:p>
            <w:pPr>
              <w:spacing w:after="0"/>
              <w:rPr>
                <w:sz w:val="20"/>
                <w:szCs w:val="20"/>
                <w:color w:val="auto"/>
              </w:rPr>
            </w:pPr>
            <w:r>
              <w:rPr>
                <w:rFonts w:ascii="Arial" w:cs="Arial" w:eastAsia="Arial" w:hAnsi="Arial"/>
                <w:sz w:val="11"/>
                <w:szCs w:val="11"/>
                <w:color w:val="auto"/>
              </w:rPr>
              <w:t>PSU25-27</w:t>
            </w: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2/13/2025</w:t>
            </w:r>
          </w:p>
        </w:tc>
        <w:tc>
          <w:tcPr>
            <w:tcW w:w="2260" w:type="dxa"/>
            <w:vAlign w:val="bottom"/>
          </w:tcPr>
          <w:p>
            <w:pPr>
              <w:jc w:val="right"/>
              <w:ind w:right="1586"/>
              <w:spacing w:after="0"/>
              <w:rPr>
                <w:sz w:val="20"/>
                <w:szCs w:val="20"/>
                <w:color w:val="auto"/>
              </w:rPr>
            </w:pPr>
            <w:r>
              <w:rPr>
                <w:rFonts w:ascii="Arial" w:cs="Arial" w:eastAsia="Arial" w:hAnsi="Arial"/>
                <w:sz w:val="11"/>
                <w:szCs w:val="11"/>
                <w:color w:val="auto"/>
              </w:rPr>
              <w:t>2/19/2025</w:t>
            </w:r>
          </w:p>
        </w:tc>
        <w:tc>
          <w:tcPr>
            <w:tcW w:w="1960" w:type="dxa"/>
            <w:vAlign w:val="bottom"/>
          </w:tcPr>
          <w:p>
            <w:pPr>
              <w:jc w:val="right"/>
              <w:ind w:right="86"/>
              <w:spacing w:after="0"/>
              <w:rPr>
                <w:sz w:val="20"/>
                <w:szCs w:val="20"/>
                <w:color w:val="auto"/>
              </w:rPr>
            </w:pPr>
            <w:r>
              <w:rPr>
                <w:rFonts w:ascii="Arial" w:cs="Arial" w:eastAsia="Arial" w:hAnsi="Arial"/>
                <w:sz w:val="11"/>
                <w:szCs w:val="11"/>
                <w:color w:val="auto"/>
              </w:rPr>
              <w:t>158</w:t>
            </w:r>
          </w:p>
        </w:tc>
        <w:tc>
          <w:tcPr>
            <w:tcW w:w="640" w:type="dxa"/>
            <w:vAlign w:val="bottom"/>
          </w:tcPr>
          <w:p>
            <w:pPr>
              <w:jc w:val="right"/>
              <w:ind w:right="186"/>
              <w:spacing w:after="0"/>
              <w:rPr>
                <w:sz w:val="20"/>
                <w:szCs w:val="20"/>
                <w:color w:val="auto"/>
              </w:rPr>
            </w:pPr>
            <w:r>
              <w:rPr>
                <w:rFonts w:ascii="Arial" w:cs="Arial" w:eastAsia="Arial" w:hAnsi="Arial"/>
                <w:sz w:val="11"/>
                <w:szCs w:val="11"/>
                <w:color w:val="auto"/>
              </w:rPr>
              <w:t>2,532</w:t>
            </w:r>
          </w:p>
        </w:tc>
        <w:tc>
          <w:tcPr>
            <w:tcW w:w="2200" w:type="dxa"/>
            <w:vAlign w:val="bottom"/>
          </w:tcPr>
          <w:p>
            <w:pPr>
              <w:jc w:val="right"/>
              <w:ind w:right="1646"/>
              <w:spacing w:after="0"/>
              <w:rPr>
                <w:sz w:val="20"/>
                <w:szCs w:val="20"/>
                <w:color w:val="auto"/>
              </w:rPr>
            </w:pPr>
            <w:r>
              <w:rPr>
                <w:rFonts w:ascii="Arial" w:cs="Arial" w:eastAsia="Arial" w:hAnsi="Arial"/>
                <w:sz w:val="11"/>
                <w:szCs w:val="11"/>
                <w:color w:val="auto"/>
              </w:rPr>
              <w:t>5,064</w:t>
            </w: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507,816</w:t>
            </w:r>
          </w:p>
        </w:tc>
      </w:tr>
      <w:tr>
        <w:trPr>
          <w:trHeight w:val="142"/>
        </w:trPr>
        <w:tc>
          <w:tcPr>
            <w:tcW w:w="760" w:type="dxa"/>
            <w:vAlign w:val="bottom"/>
          </w:tcPr>
          <w:p>
            <w:pPr>
              <w:spacing w:after="0"/>
              <w:rPr>
                <w:sz w:val="12"/>
                <w:szCs w:val="12"/>
                <w:color w:val="auto"/>
              </w:rPr>
            </w:pPr>
          </w:p>
        </w:tc>
        <w:tc>
          <w:tcPr>
            <w:tcW w:w="620" w:type="dxa"/>
            <w:vAlign w:val="bottom"/>
            <w:tcBorders>
              <w:bottom w:val="single" w:sz="8" w:color="939598"/>
            </w:tcBorders>
          </w:tcPr>
          <w:p>
            <w:pPr>
              <w:spacing w:after="0"/>
              <w:rPr>
                <w:sz w:val="12"/>
                <w:szCs w:val="12"/>
                <w:color w:val="auto"/>
              </w:rPr>
            </w:pPr>
          </w:p>
        </w:tc>
        <w:tc>
          <w:tcPr>
            <w:tcW w:w="740" w:type="dxa"/>
            <w:vAlign w:val="bottom"/>
            <w:tcBorders>
              <w:bottom w:val="single" w:sz="8" w:color="939598"/>
            </w:tcBorders>
          </w:tcPr>
          <w:p>
            <w:pPr>
              <w:spacing w:after="0"/>
              <w:rPr>
                <w:sz w:val="12"/>
                <w:szCs w:val="12"/>
                <w:color w:val="auto"/>
              </w:rPr>
            </w:pPr>
          </w:p>
        </w:tc>
        <w:tc>
          <w:tcPr>
            <w:tcW w:w="2260" w:type="dxa"/>
            <w:vAlign w:val="bottom"/>
            <w:tcBorders>
              <w:bottom w:val="single" w:sz="8" w:color="939598"/>
            </w:tcBorders>
          </w:tcPr>
          <w:p>
            <w:pPr>
              <w:spacing w:after="0"/>
              <w:rPr>
                <w:sz w:val="12"/>
                <w:szCs w:val="12"/>
                <w:color w:val="auto"/>
              </w:rPr>
            </w:pPr>
          </w:p>
        </w:tc>
        <w:tc>
          <w:tcPr>
            <w:tcW w:w="1960" w:type="dxa"/>
            <w:vAlign w:val="bottom"/>
            <w:tcBorders>
              <w:bottom w:val="single" w:sz="8" w:color="939598"/>
            </w:tcBorders>
          </w:tcPr>
          <w:p>
            <w:pPr>
              <w:spacing w:after="0"/>
              <w:rPr>
                <w:sz w:val="12"/>
                <w:szCs w:val="12"/>
                <w:color w:val="auto"/>
              </w:rPr>
            </w:pPr>
          </w:p>
        </w:tc>
        <w:tc>
          <w:tcPr>
            <w:tcW w:w="640" w:type="dxa"/>
            <w:vAlign w:val="bottom"/>
            <w:tcBorders>
              <w:bottom w:val="single" w:sz="8" w:color="939598"/>
            </w:tcBorders>
          </w:tcPr>
          <w:p>
            <w:pPr>
              <w:spacing w:after="0"/>
              <w:rPr>
                <w:sz w:val="12"/>
                <w:szCs w:val="12"/>
                <w:color w:val="auto"/>
              </w:rPr>
            </w:pPr>
          </w:p>
        </w:tc>
        <w:tc>
          <w:tcPr>
            <w:tcW w:w="220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r>
      <w:tr>
        <w:trPr>
          <w:trHeight w:val="257"/>
        </w:trPr>
        <w:tc>
          <w:tcPr>
            <w:tcW w:w="760" w:type="dxa"/>
            <w:vAlign w:val="bottom"/>
          </w:tcPr>
          <w:p>
            <w:pPr>
              <w:spacing w:after="0"/>
              <w:rPr>
                <w:sz w:val="22"/>
                <w:szCs w:val="22"/>
                <w:color w:val="auto"/>
              </w:rPr>
            </w:pPr>
          </w:p>
        </w:tc>
        <w:tc>
          <w:tcPr>
            <w:tcW w:w="620" w:type="dxa"/>
            <w:vAlign w:val="bottom"/>
          </w:tcPr>
          <w:p>
            <w:pPr>
              <w:spacing w:after="0"/>
              <w:rPr>
                <w:sz w:val="20"/>
                <w:szCs w:val="20"/>
                <w:color w:val="auto"/>
              </w:rPr>
            </w:pPr>
            <w:r>
              <w:rPr>
                <w:rFonts w:ascii="Arial" w:cs="Arial" w:eastAsia="Arial" w:hAnsi="Arial"/>
                <w:sz w:val="11"/>
                <w:szCs w:val="11"/>
                <w:color w:val="auto"/>
              </w:rPr>
              <w:t>RSU</w:t>
            </w: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2/13/2025</w:t>
            </w:r>
          </w:p>
        </w:tc>
        <w:tc>
          <w:tcPr>
            <w:tcW w:w="2260" w:type="dxa"/>
            <w:vAlign w:val="bottom"/>
          </w:tcPr>
          <w:p>
            <w:pPr>
              <w:jc w:val="right"/>
              <w:ind w:right="1586"/>
              <w:spacing w:after="0"/>
              <w:rPr>
                <w:sz w:val="20"/>
                <w:szCs w:val="20"/>
                <w:color w:val="auto"/>
              </w:rPr>
            </w:pPr>
            <w:r>
              <w:rPr>
                <w:rFonts w:ascii="Arial" w:cs="Arial" w:eastAsia="Arial" w:hAnsi="Arial"/>
                <w:sz w:val="11"/>
                <w:szCs w:val="11"/>
                <w:color w:val="auto"/>
              </w:rPr>
              <w:t>2/19/2025</w:t>
            </w:r>
          </w:p>
        </w:tc>
        <w:tc>
          <w:tcPr>
            <w:tcW w:w="19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0" w:type="dxa"/>
            <w:vAlign w:val="bottom"/>
          </w:tcPr>
          <w:p>
            <w:pPr>
              <w:jc w:val="right"/>
              <w:ind w:right="946"/>
              <w:spacing w:after="0"/>
              <w:rPr>
                <w:sz w:val="20"/>
                <w:szCs w:val="20"/>
                <w:color w:val="auto"/>
              </w:rPr>
            </w:pPr>
            <w:r>
              <w:rPr>
                <w:rFonts w:ascii="Arial" w:cs="Arial" w:eastAsia="Arial" w:hAnsi="Arial"/>
                <w:sz w:val="11"/>
                <w:szCs w:val="11"/>
                <w:color w:val="auto"/>
              </w:rPr>
              <w:t>1,100</w:t>
            </w: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230,791</w:t>
            </w:r>
          </w:p>
        </w:tc>
      </w:tr>
      <w:tr>
        <w:trPr>
          <w:trHeight w:val="142"/>
        </w:trPr>
        <w:tc>
          <w:tcPr>
            <w:tcW w:w="760" w:type="dxa"/>
            <w:vAlign w:val="bottom"/>
            <w:tcBorders>
              <w:bottom w:val="single" w:sz="8" w:color="939598"/>
            </w:tcBorders>
          </w:tcPr>
          <w:p>
            <w:pPr>
              <w:spacing w:after="0"/>
              <w:rPr>
                <w:sz w:val="12"/>
                <w:szCs w:val="12"/>
                <w:color w:val="auto"/>
              </w:rPr>
            </w:pPr>
          </w:p>
        </w:tc>
        <w:tc>
          <w:tcPr>
            <w:tcW w:w="620" w:type="dxa"/>
            <w:vAlign w:val="bottom"/>
            <w:tcBorders>
              <w:bottom w:val="single" w:sz="8" w:color="939598"/>
            </w:tcBorders>
          </w:tcPr>
          <w:p>
            <w:pPr>
              <w:spacing w:after="0"/>
              <w:rPr>
                <w:sz w:val="12"/>
                <w:szCs w:val="12"/>
                <w:color w:val="auto"/>
              </w:rPr>
            </w:pPr>
          </w:p>
        </w:tc>
        <w:tc>
          <w:tcPr>
            <w:tcW w:w="740" w:type="dxa"/>
            <w:vAlign w:val="bottom"/>
            <w:tcBorders>
              <w:bottom w:val="single" w:sz="8" w:color="939598"/>
            </w:tcBorders>
          </w:tcPr>
          <w:p>
            <w:pPr>
              <w:spacing w:after="0"/>
              <w:rPr>
                <w:sz w:val="12"/>
                <w:szCs w:val="12"/>
                <w:color w:val="auto"/>
              </w:rPr>
            </w:pPr>
          </w:p>
        </w:tc>
        <w:tc>
          <w:tcPr>
            <w:tcW w:w="2260" w:type="dxa"/>
            <w:vAlign w:val="bottom"/>
            <w:tcBorders>
              <w:bottom w:val="single" w:sz="8" w:color="939598"/>
            </w:tcBorders>
          </w:tcPr>
          <w:p>
            <w:pPr>
              <w:spacing w:after="0"/>
              <w:rPr>
                <w:sz w:val="12"/>
                <w:szCs w:val="12"/>
                <w:color w:val="auto"/>
              </w:rPr>
            </w:pPr>
          </w:p>
        </w:tc>
        <w:tc>
          <w:tcPr>
            <w:tcW w:w="1960" w:type="dxa"/>
            <w:vAlign w:val="bottom"/>
            <w:tcBorders>
              <w:bottom w:val="single" w:sz="8" w:color="939598"/>
            </w:tcBorders>
          </w:tcPr>
          <w:p>
            <w:pPr>
              <w:spacing w:after="0"/>
              <w:rPr>
                <w:sz w:val="12"/>
                <w:szCs w:val="12"/>
                <w:color w:val="auto"/>
              </w:rPr>
            </w:pPr>
          </w:p>
        </w:tc>
        <w:tc>
          <w:tcPr>
            <w:tcW w:w="640" w:type="dxa"/>
            <w:vAlign w:val="bottom"/>
            <w:tcBorders>
              <w:bottom w:val="single" w:sz="8" w:color="939598"/>
            </w:tcBorders>
          </w:tcPr>
          <w:p>
            <w:pPr>
              <w:spacing w:after="0"/>
              <w:rPr>
                <w:sz w:val="12"/>
                <w:szCs w:val="12"/>
                <w:color w:val="auto"/>
              </w:rPr>
            </w:pPr>
          </w:p>
        </w:tc>
        <w:tc>
          <w:tcPr>
            <w:tcW w:w="220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r>
      <w:tr>
        <w:trPr>
          <w:trHeight w:val="250"/>
        </w:trPr>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Lucian</w:t>
            </w:r>
          </w:p>
        </w:tc>
        <w:tc>
          <w:tcPr>
            <w:tcW w:w="620" w:type="dxa"/>
            <w:vAlign w:val="bottom"/>
          </w:tcPr>
          <w:p>
            <w:pPr>
              <w:spacing w:after="0"/>
              <w:rPr>
                <w:sz w:val="20"/>
                <w:szCs w:val="20"/>
                <w:color w:val="auto"/>
              </w:rPr>
            </w:pPr>
            <w:r>
              <w:rPr>
                <w:rFonts w:ascii="Arial" w:cs="Arial" w:eastAsia="Arial" w:hAnsi="Arial"/>
                <w:sz w:val="11"/>
                <w:szCs w:val="11"/>
                <w:color w:val="auto"/>
              </w:rPr>
              <w:t>ICP</w:t>
            </w:r>
          </w:p>
        </w:tc>
        <w:tc>
          <w:tcPr>
            <w:tcW w:w="7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148"/>
        </w:trPr>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Boldea</w:t>
            </w:r>
          </w:p>
        </w:tc>
        <w:tc>
          <w:tcPr>
            <w:tcW w:w="620" w:type="dxa"/>
            <w:vAlign w:val="bottom"/>
            <w:tcBorders>
              <w:bottom w:val="single" w:sz="8" w:color="939598"/>
            </w:tcBorders>
          </w:tcPr>
          <w:p>
            <w:pPr>
              <w:spacing w:after="0"/>
              <w:rPr>
                <w:sz w:val="12"/>
                <w:szCs w:val="12"/>
                <w:color w:val="auto"/>
              </w:rPr>
            </w:pPr>
          </w:p>
        </w:tc>
        <w:tc>
          <w:tcPr>
            <w:tcW w:w="740" w:type="dxa"/>
            <w:vAlign w:val="bottom"/>
            <w:tcBorders>
              <w:bottom w:val="single" w:sz="8" w:color="939598"/>
            </w:tcBorders>
          </w:tcPr>
          <w:p>
            <w:pPr>
              <w:spacing w:after="0"/>
              <w:rPr>
                <w:sz w:val="12"/>
                <w:szCs w:val="12"/>
                <w:color w:val="auto"/>
              </w:rPr>
            </w:pPr>
          </w:p>
        </w:tc>
        <w:tc>
          <w:tcPr>
            <w:tcW w:w="2260" w:type="dxa"/>
            <w:vAlign w:val="bottom"/>
            <w:tcBorders>
              <w:bottom w:val="single" w:sz="8" w:color="939598"/>
            </w:tcBorders>
          </w:tcPr>
          <w:p>
            <w:pPr>
              <w:spacing w:after="0"/>
              <w:rPr>
                <w:sz w:val="12"/>
                <w:szCs w:val="12"/>
                <w:color w:val="auto"/>
              </w:rPr>
            </w:pPr>
          </w:p>
        </w:tc>
        <w:tc>
          <w:tcPr>
            <w:tcW w:w="1960" w:type="dxa"/>
            <w:vAlign w:val="bottom"/>
            <w:tcBorders>
              <w:bottom w:val="single" w:sz="8" w:color="939598"/>
            </w:tcBorders>
          </w:tcPr>
          <w:p>
            <w:pPr>
              <w:spacing w:after="0"/>
              <w:rPr>
                <w:sz w:val="12"/>
                <w:szCs w:val="12"/>
                <w:color w:val="auto"/>
              </w:rPr>
            </w:pPr>
          </w:p>
        </w:tc>
        <w:tc>
          <w:tcPr>
            <w:tcW w:w="640" w:type="dxa"/>
            <w:vAlign w:val="bottom"/>
            <w:tcBorders>
              <w:bottom w:val="single" w:sz="8" w:color="939598"/>
            </w:tcBorders>
          </w:tcPr>
          <w:p>
            <w:pPr>
              <w:spacing w:after="0"/>
              <w:rPr>
                <w:sz w:val="12"/>
                <w:szCs w:val="12"/>
                <w:color w:val="auto"/>
              </w:rPr>
            </w:pPr>
          </w:p>
        </w:tc>
        <w:tc>
          <w:tcPr>
            <w:tcW w:w="220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r>
      <w:tr>
        <w:trPr>
          <w:trHeight w:val="257"/>
        </w:trPr>
        <w:tc>
          <w:tcPr>
            <w:tcW w:w="760" w:type="dxa"/>
            <w:vAlign w:val="bottom"/>
          </w:tcPr>
          <w:p>
            <w:pPr>
              <w:spacing w:after="0"/>
              <w:rPr>
                <w:sz w:val="22"/>
                <w:szCs w:val="22"/>
                <w:color w:val="auto"/>
              </w:rPr>
            </w:pPr>
          </w:p>
        </w:tc>
        <w:tc>
          <w:tcPr>
            <w:tcW w:w="620" w:type="dxa"/>
            <w:vAlign w:val="bottom"/>
          </w:tcPr>
          <w:p>
            <w:pPr>
              <w:spacing w:after="0"/>
              <w:rPr>
                <w:sz w:val="20"/>
                <w:szCs w:val="20"/>
                <w:color w:val="auto"/>
              </w:rPr>
            </w:pPr>
            <w:r>
              <w:rPr>
                <w:rFonts w:ascii="Arial" w:cs="Arial" w:eastAsia="Arial" w:hAnsi="Arial"/>
                <w:sz w:val="11"/>
                <w:szCs w:val="11"/>
                <w:color w:val="auto"/>
              </w:rPr>
              <w:t>NQSO</w:t>
            </w: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2/13/2025</w:t>
            </w:r>
          </w:p>
        </w:tc>
        <w:tc>
          <w:tcPr>
            <w:tcW w:w="2260" w:type="dxa"/>
            <w:vAlign w:val="bottom"/>
          </w:tcPr>
          <w:p>
            <w:pPr>
              <w:jc w:val="right"/>
              <w:ind w:right="1586"/>
              <w:spacing w:after="0"/>
              <w:rPr>
                <w:sz w:val="20"/>
                <w:szCs w:val="20"/>
                <w:color w:val="auto"/>
              </w:rPr>
            </w:pPr>
            <w:r>
              <w:rPr>
                <w:rFonts w:ascii="Arial" w:cs="Arial" w:eastAsia="Arial" w:hAnsi="Arial"/>
                <w:sz w:val="11"/>
                <w:szCs w:val="11"/>
                <w:color w:val="auto"/>
              </w:rPr>
              <w:t>2/19/2025</w:t>
            </w:r>
          </w:p>
        </w:tc>
        <w:tc>
          <w:tcPr>
            <w:tcW w:w="19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0" w:type="dxa"/>
            <w:vAlign w:val="bottom"/>
          </w:tcPr>
          <w:p>
            <w:pPr>
              <w:jc w:val="right"/>
              <w:ind w:right="126"/>
              <w:spacing w:after="0"/>
              <w:rPr>
                <w:sz w:val="20"/>
                <w:szCs w:val="20"/>
                <w:color w:val="auto"/>
              </w:rPr>
            </w:pPr>
            <w:r>
              <w:rPr>
                <w:rFonts w:ascii="Arial" w:cs="Arial" w:eastAsia="Arial" w:hAnsi="Arial"/>
                <w:sz w:val="11"/>
                <w:szCs w:val="11"/>
                <w:color w:val="auto"/>
              </w:rPr>
              <w:t>22,700</w:t>
            </w:r>
          </w:p>
        </w:tc>
        <w:tc>
          <w:tcPr>
            <w:tcW w:w="680" w:type="dxa"/>
            <w:vAlign w:val="bottom"/>
          </w:tcPr>
          <w:p>
            <w:pPr>
              <w:jc w:val="right"/>
              <w:ind w:right="126"/>
              <w:spacing w:after="0"/>
              <w:rPr>
                <w:sz w:val="20"/>
                <w:szCs w:val="20"/>
                <w:color w:val="auto"/>
              </w:rPr>
            </w:pPr>
            <w:r>
              <w:rPr>
                <w:rFonts w:ascii="Arial" w:cs="Arial" w:eastAsia="Arial" w:hAnsi="Arial"/>
                <w:sz w:val="11"/>
                <w:szCs w:val="11"/>
                <w:color w:val="auto"/>
              </w:rPr>
              <w:t>209.81</w:t>
            </w: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210.81</w:t>
            </w: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994,714</w:t>
            </w:r>
          </w:p>
        </w:tc>
      </w:tr>
      <w:tr>
        <w:trPr>
          <w:trHeight w:val="142"/>
        </w:trPr>
        <w:tc>
          <w:tcPr>
            <w:tcW w:w="760" w:type="dxa"/>
            <w:vAlign w:val="bottom"/>
          </w:tcPr>
          <w:p>
            <w:pPr>
              <w:spacing w:after="0"/>
              <w:rPr>
                <w:sz w:val="12"/>
                <w:szCs w:val="12"/>
                <w:color w:val="auto"/>
              </w:rPr>
            </w:pPr>
          </w:p>
        </w:tc>
        <w:tc>
          <w:tcPr>
            <w:tcW w:w="620" w:type="dxa"/>
            <w:vAlign w:val="bottom"/>
            <w:tcBorders>
              <w:bottom w:val="single" w:sz="8" w:color="939598"/>
            </w:tcBorders>
          </w:tcPr>
          <w:p>
            <w:pPr>
              <w:spacing w:after="0"/>
              <w:rPr>
                <w:sz w:val="12"/>
                <w:szCs w:val="12"/>
                <w:color w:val="auto"/>
              </w:rPr>
            </w:pPr>
          </w:p>
        </w:tc>
        <w:tc>
          <w:tcPr>
            <w:tcW w:w="740" w:type="dxa"/>
            <w:vAlign w:val="bottom"/>
            <w:tcBorders>
              <w:bottom w:val="single" w:sz="8" w:color="939598"/>
            </w:tcBorders>
          </w:tcPr>
          <w:p>
            <w:pPr>
              <w:spacing w:after="0"/>
              <w:rPr>
                <w:sz w:val="12"/>
                <w:szCs w:val="12"/>
                <w:color w:val="auto"/>
              </w:rPr>
            </w:pPr>
          </w:p>
        </w:tc>
        <w:tc>
          <w:tcPr>
            <w:tcW w:w="2260" w:type="dxa"/>
            <w:vAlign w:val="bottom"/>
            <w:tcBorders>
              <w:bottom w:val="single" w:sz="8" w:color="939598"/>
            </w:tcBorders>
          </w:tcPr>
          <w:p>
            <w:pPr>
              <w:spacing w:after="0"/>
              <w:rPr>
                <w:sz w:val="12"/>
                <w:szCs w:val="12"/>
                <w:color w:val="auto"/>
              </w:rPr>
            </w:pPr>
          </w:p>
        </w:tc>
        <w:tc>
          <w:tcPr>
            <w:tcW w:w="1960" w:type="dxa"/>
            <w:vAlign w:val="bottom"/>
            <w:tcBorders>
              <w:bottom w:val="single" w:sz="8" w:color="939598"/>
            </w:tcBorders>
          </w:tcPr>
          <w:p>
            <w:pPr>
              <w:spacing w:after="0"/>
              <w:rPr>
                <w:sz w:val="12"/>
                <w:szCs w:val="12"/>
                <w:color w:val="auto"/>
              </w:rPr>
            </w:pPr>
          </w:p>
        </w:tc>
        <w:tc>
          <w:tcPr>
            <w:tcW w:w="640" w:type="dxa"/>
            <w:vAlign w:val="bottom"/>
            <w:tcBorders>
              <w:bottom w:val="single" w:sz="8" w:color="939598"/>
            </w:tcBorders>
          </w:tcPr>
          <w:p>
            <w:pPr>
              <w:spacing w:after="0"/>
              <w:rPr>
                <w:sz w:val="12"/>
                <w:szCs w:val="12"/>
                <w:color w:val="auto"/>
              </w:rPr>
            </w:pPr>
          </w:p>
        </w:tc>
        <w:tc>
          <w:tcPr>
            <w:tcW w:w="220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r>
      <w:tr>
        <w:trPr>
          <w:trHeight w:val="300"/>
        </w:trPr>
        <w:tc>
          <w:tcPr>
            <w:tcW w:w="76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1"/>
                <w:szCs w:val="11"/>
                <w:color w:val="auto"/>
              </w:rPr>
              <w:t>NQSO</w:t>
            </w:r>
            <w:r>
              <w:rPr>
                <w:rFonts w:ascii="Arial" w:cs="Arial" w:eastAsia="Arial" w:hAnsi="Arial"/>
                <w:sz w:val="14"/>
                <w:szCs w:val="14"/>
                <w:color w:val="auto"/>
                <w:vertAlign w:val="superscript"/>
              </w:rPr>
              <w:t>(7)</w:t>
            </w: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2/13/2025</w:t>
            </w:r>
          </w:p>
        </w:tc>
        <w:tc>
          <w:tcPr>
            <w:tcW w:w="2260" w:type="dxa"/>
            <w:vAlign w:val="bottom"/>
          </w:tcPr>
          <w:p>
            <w:pPr>
              <w:jc w:val="right"/>
              <w:ind w:right="1586"/>
              <w:spacing w:after="0"/>
              <w:rPr>
                <w:sz w:val="20"/>
                <w:szCs w:val="20"/>
                <w:color w:val="auto"/>
              </w:rPr>
            </w:pPr>
            <w:r>
              <w:rPr>
                <w:rFonts w:ascii="Arial" w:cs="Arial" w:eastAsia="Arial" w:hAnsi="Arial"/>
                <w:sz w:val="11"/>
                <w:szCs w:val="11"/>
                <w:color w:val="auto"/>
              </w:rPr>
              <w:t>2/19/2025</w:t>
            </w:r>
          </w:p>
        </w:tc>
        <w:tc>
          <w:tcPr>
            <w:tcW w:w="1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0" w:type="dxa"/>
            <w:vAlign w:val="bottom"/>
          </w:tcPr>
          <w:p>
            <w:pPr>
              <w:jc w:val="right"/>
              <w:ind w:right="126"/>
              <w:spacing w:after="0"/>
              <w:rPr>
                <w:sz w:val="20"/>
                <w:szCs w:val="20"/>
                <w:color w:val="auto"/>
              </w:rPr>
            </w:pPr>
            <w:r>
              <w:rPr>
                <w:rFonts w:ascii="Arial" w:cs="Arial" w:eastAsia="Arial" w:hAnsi="Arial"/>
                <w:sz w:val="11"/>
                <w:szCs w:val="11"/>
                <w:color w:val="auto"/>
              </w:rPr>
              <w:t>13,693</w:t>
            </w:r>
          </w:p>
        </w:tc>
        <w:tc>
          <w:tcPr>
            <w:tcW w:w="680" w:type="dxa"/>
            <w:vAlign w:val="bottom"/>
          </w:tcPr>
          <w:p>
            <w:pPr>
              <w:jc w:val="right"/>
              <w:ind w:right="126"/>
              <w:spacing w:after="0"/>
              <w:rPr>
                <w:sz w:val="20"/>
                <w:szCs w:val="20"/>
                <w:color w:val="auto"/>
              </w:rPr>
            </w:pPr>
            <w:r>
              <w:rPr>
                <w:rFonts w:ascii="Arial" w:cs="Arial" w:eastAsia="Arial" w:hAnsi="Arial"/>
                <w:sz w:val="11"/>
                <w:szCs w:val="11"/>
                <w:color w:val="auto"/>
              </w:rPr>
              <w:t>209.81</w:t>
            </w: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210.81</w:t>
            </w: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99"/>
        </w:trPr>
        <w:tc>
          <w:tcPr>
            <w:tcW w:w="760" w:type="dxa"/>
            <w:vAlign w:val="bottom"/>
          </w:tcPr>
          <w:p>
            <w:pPr>
              <w:spacing w:after="0"/>
              <w:rPr>
                <w:sz w:val="8"/>
                <w:szCs w:val="8"/>
                <w:color w:val="auto"/>
              </w:rPr>
            </w:pPr>
          </w:p>
        </w:tc>
        <w:tc>
          <w:tcPr>
            <w:tcW w:w="620" w:type="dxa"/>
            <w:vAlign w:val="bottom"/>
            <w:tcBorders>
              <w:bottom w:val="single" w:sz="8" w:color="939598"/>
            </w:tcBorders>
          </w:tcPr>
          <w:p>
            <w:pPr>
              <w:spacing w:after="0"/>
              <w:rPr>
                <w:sz w:val="8"/>
                <w:szCs w:val="8"/>
                <w:color w:val="auto"/>
              </w:rPr>
            </w:pPr>
          </w:p>
        </w:tc>
        <w:tc>
          <w:tcPr>
            <w:tcW w:w="740" w:type="dxa"/>
            <w:vAlign w:val="bottom"/>
            <w:tcBorders>
              <w:bottom w:val="single" w:sz="8" w:color="939598"/>
            </w:tcBorders>
          </w:tcPr>
          <w:p>
            <w:pPr>
              <w:spacing w:after="0"/>
              <w:rPr>
                <w:sz w:val="8"/>
                <w:szCs w:val="8"/>
                <w:color w:val="auto"/>
              </w:rPr>
            </w:pPr>
          </w:p>
        </w:tc>
        <w:tc>
          <w:tcPr>
            <w:tcW w:w="2260" w:type="dxa"/>
            <w:vAlign w:val="bottom"/>
            <w:tcBorders>
              <w:bottom w:val="single" w:sz="8" w:color="939598"/>
            </w:tcBorders>
          </w:tcPr>
          <w:p>
            <w:pPr>
              <w:spacing w:after="0"/>
              <w:rPr>
                <w:sz w:val="8"/>
                <w:szCs w:val="8"/>
                <w:color w:val="auto"/>
              </w:rPr>
            </w:pPr>
          </w:p>
        </w:tc>
        <w:tc>
          <w:tcPr>
            <w:tcW w:w="1960" w:type="dxa"/>
            <w:vAlign w:val="bottom"/>
            <w:tcBorders>
              <w:bottom w:val="single" w:sz="8" w:color="939598"/>
            </w:tcBorders>
          </w:tcPr>
          <w:p>
            <w:pPr>
              <w:spacing w:after="0"/>
              <w:rPr>
                <w:sz w:val="8"/>
                <w:szCs w:val="8"/>
                <w:color w:val="auto"/>
              </w:rPr>
            </w:pPr>
          </w:p>
        </w:tc>
        <w:tc>
          <w:tcPr>
            <w:tcW w:w="640" w:type="dxa"/>
            <w:vAlign w:val="bottom"/>
            <w:tcBorders>
              <w:bottom w:val="single" w:sz="8" w:color="939598"/>
            </w:tcBorders>
          </w:tcPr>
          <w:p>
            <w:pPr>
              <w:spacing w:after="0"/>
              <w:rPr>
                <w:sz w:val="8"/>
                <w:szCs w:val="8"/>
                <w:color w:val="auto"/>
              </w:rPr>
            </w:pPr>
          </w:p>
        </w:tc>
        <w:tc>
          <w:tcPr>
            <w:tcW w:w="2200" w:type="dxa"/>
            <w:vAlign w:val="bottom"/>
            <w:tcBorders>
              <w:bottom w:val="single" w:sz="8" w:color="939598"/>
            </w:tcBorders>
          </w:tcPr>
          <w:p>
            <w:pPr>
              <w:spacing w:after="0"/>
              <w:rPr>
                <w:sz w:val="8"/>
                <w:szCs w:val="8"/>
                <w:color w:val="auto"/>
              </w:rPr>
            </w:pPr>
          </w:p>
        </w:tc>
        <w:tc>
          <w:tcPr>
            <w:tcW w:w="680" w:type="dxa"/>
            <w:vAlign w:val="bottom"/>
            <w:tcBorders>
              <w:bottom w:val="single" w:sz="8" w:color="939598"/>
            </w:tcBorders>
          </w:tcPr>
          <w:p>
            <w:pPr>
              <w:spacing w:after="0"/>
              <w:rPr>
                <w:sz w:val="8"/>
                <w:szCs w:val="8"/>
                <w:color w:val="auto"/>
              </w:rPr>
            </w:pPr>
          </w:p>
        </w:tc>
        <w:tc>
          <w:tcPr>
            <w:tcW w:w="680" w:type="dxa"/>
            <w:vAlign w:val="bottom"/>
            <w:tcBorders>
              <w:bottom w:val="single" w:sz="8" w:color="939598"/>
            </w:tcBorders>
          </w:tcPr>
          <w:p>
            <w:pPr>
              <w:spacing w:after="0"/>
              <w:rPr>
                <w:sz w:val="8"/>
                <w:szCs w:val="8"/>
                <w:color w:val="auto"/>
              </w:rPr>
            </w:pPr>
          </w:p>
        </w:tc>
        <w:tc>
          <w:tcPr>
            <w:tcW w:w="680" w:type="dxa"/>
            <w:vAlign w:val="bottom"/>
            <w:tcBorders>
              <w:bottom w:val="single" w:sz="8" w:color="939598"/>
            </w:tcBorders>
          </w:tcPr>
          <w:p>
            <w:pPr>
              <w:spacing w:after="0"/>
              <w:rPr>
                <w:sz w:val="8"/>
                <w:szCs w:val="8"/>
                <w:color w:val="auto"/>
              </w:rPr>
            </w:pPr>
          </w:p>
        </w:tc>
      </w:tr>
      <w:tr>
        <w:trPr>
          <w:trHeight w:val="257"/>
        </w:trPr>
        <w:tc>
          <w:tcPr>
            <w:tcW w:w="760" w:type="dxa"/>
            <w:vAlign w:val="bottom"/>
          </w:tcPr>
          <w:p>
            <w:pPr>
              <w:spacing w:after="0"/>
              <w:rPr>
                <w:sz w:val="22"/>
                <w:szCs w:val="22"/>
                <w:color w:val="auto"/>
              </w:rPr>
            </w:pPr>
          </w:p>
        </w:tc>
        <w:tc>
          <w:tcPr>
            <w:tcW w:w="620" w:type="dxa"/>
            <w:vAlign w:val="bottom"/>
          </w:tcPr>
          <w:p>
            <w:pPr>
              <w:spacing w:after="0"/>
              <w:rPr>
                <w:sz w:val="20"/>
                <w:szCs w:val="20"/>
                <w:color w:val="auto"/>
              </w:rPr>
            </w:pPr>
            <w:r>
              <w:rPr>
                <w:rFonts w:ascii="Arial" w:cs="Arial" w:eastAsia="Arial" w:hAnsi="Arial"/>
                <w:sz w:val="11"/>
                <w:szCs w:val="11"/>
                <w:color w:val="auto"/>
              </w:rPr>
              <w:t>PSU25-27</w:t>
            </w: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2/13/2025</w:t>
            </w:r>
          </w:p>
        </w:tc>
        <w:tc>
          <w:tcPr>
            <w:tcW w:w="2260" w:type="dxa"/>
            <w:vAlign w:val="bottom"/>
          </w:tcPr>
          <w:p>
            <w:pPr>
              <w:jc w:val="right"/>
              <w:ind w:right="1586"/>
              <w:spacing w:after="0"/>
              <w:rPr>
                <w:sz w:val="20"/>
                <w:szCs w:val="20"/>
                <w:color w:val="auto"/>
              </w:rPr>
            </w:pPr>
            <w:r>
              <w:rPr>
                <w:rFonts w:ascii="Arial" w:cs="Arial" w:eastAsia="Arial" w:hAnsi="Arial"/>
                <w:sz w:val="11"/>
                <w:szCs w:val="11"/>
                <w:color w:val="auto"/>
              </w:rPr>
              <w:t>2/19/2025</w:t>
            </w:r>
          </w:p>
        </w:tc>
        <w:tc>
          <w:tcPr>
            <w:tcW w:w="19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2,010,105</w:t>
            </w:r>
          </w:p>
        </w:tc>
      </w:tr>
      <w:tr>
        <w:trPr>
          <w:trHeight w:val="141"/>
        </w:trPr>
        <w:tc>
          <w:tcPr>
            <w:tcW w:w="760" w:type="dxa"/>
            <w:vAlign w:val="bottom"/>
          </w:tcPr>
          <w:p>
            <w:pPr>
              <w:spacing w:after="0"/>
              <w:rPr>
                <w:sz w:val="12"/>
                <w:szCs w:val="12"/>
                <w:color w:val="auto"/>
              </w:rPr>
            </w:pPr>
          </w:p>
        </w:tc>
        <w:tc>
          <w:tcPr>
            <w:tcW w:w="620" w:type="dxa"/>
            <w:vAlign w:val="bottom"/>
            <w:tcBorders>
              <w:bottom w:val="single" w:sz="8" w:color="939598"/>
            </w:tcBorders>
          </w:tcPr>
          <w:p>
            <w:pPr>
              <w:spacing w:after="0"/>
              <w:rPr>
                <w:sz w:val="12"/>
                <w:szCs w:val="12"/>
                <w:color w:val="auto"/>
              </w:rPr>
            </w:pPr>
          </w:p>
        </w:tc>
        <w:tc>
          <w:tcPr>
            <w:tcW w:w="740" w:type="dxa"/>
            <w:vAlign w:val="bottom"/>
            <w:tcBorders>
              <w:bottom w:val="single" w:sz="8" w:color="939598"/>
            </w:tcBorders>
          </w:tcPr>
          <w:p>
            <w:pPr>
              <w:spacing w:after="0"/>
              <w:rPr>
                <w:sz w:val="12"/>
                <w:szCs w:val="12"/>
                <w:color w:val="auto"/>
              </w:rPr>
            </w:pPr>
          </w:p>
        </w:tc>
        <w:tc>
          <w:tcPr>
            <w:tcW w:w="2260" w:type="dxa"/>
            <w:vAlign w:val="bottom"/>
            <w:tcBorders>
              <w:bottom w:val="single" w:sz="8" w:color="939598"/>
            </w:tcBorders>
          </w:tcPr>
          <w:p>
            <w:pPr>
              <w:spacing w:after="0"/>
              <w:rPr>
                <w:sz w:val="12"/>
                <w:szCs w:val="12"/>
                <w:color w:val="auto"/>
              </w:rPr>
            </w:pPr>
          </w:p>
        </w:tc>
        <w:tc>
          <w:tcPr>
            <w:tcW w:w="1960" w:type="dxa"/>
            <w:vAlign w:val="bottom"/>
            <w:tcBorders>
              <w:bottom w:val="single" w:sz="8" w:color="939598"/>
            </w:tcBorders>
          </w:tcPr>
          <w:p>
            <w:pPr>
              <w:spacing w:after="0"/>
              <w:rPr>
                <w:sz w:val="12"/>
                <w:szCs w:val="12"/>
                <w:color w:val="auto"/>
              </w:rPr>
            </w:pPr>
          </w:p>
        </w:tc>
        <w:tc>
          <w:tcPr>
            <w:tcW w:w="640" w:type="dxa"/>
            <w:vAlign w:val="bottom"/>
            <w:tcBorders>
              <w:bottom w:val="single" w:sz="8" w:color="939598"/>
            </w:tcBorders>
          </w:tcPr>
          <w:p>
            <w:pPr>
              <w:spacing w:after="0"/>
              <w:rPr>
                <w:sz w:val="12"/>
                <w:szCs w:val="12"/>
                <w:color w:val="auto"/>
              </w:rPr>
            </w:pPr>
          </w:p>
        </w:tc>
        <w:tc>
          <w:tcPr>
            <w:tcW w:w="220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r>
      <w:tr>
        <w:trPr>
          <w:trHeight w:val="257"/>
        </w:trPr>
        <w:tc>
          <w:tcPr>
            <w:tcW w:w="760" w:type="dxa"/>
            <w:vAlign w:val="bottom"/>
          </w:tcPr>
          <w:p>
            <w:pPr>
              <w:spacing w:after="0"/>
              <w:rPr>
                <w:sz w:val="22"/>
                <w:szCs w:val="22"/>
                <w:color w:val="auto"/>
              </w:rPr>
            </w:pPr>
          </w:p>
        </w:tc>
        <w:tc>
          <w:tcPr>
            <w:tcW w:w="620" w:type="dxa"/>
            <w:vAlign w:val="bottom"/>
          </w:tcPr>
          <w:p>
            <w:pPr>
              <w:spacing w:after="0"/>
              <w:rPr>
                <w:sz w:val="20"/>
                <w:szCs w:val="20"/>
                <w:color w:val="auto"/>
              </w:rPr>
            </w:pPr>
            <w:r>
              <w:rPr>
                <w:rFonts w:ascii="Arial" w:cs="Arial" w:eastAsia="Arial" w:hAnsi="Arial"/>
                <w:sz w:val="11"/>
                <w:szCs w:val="11"/>
                <w:color w:val="auto"/>
              </w:rPr>
              <w:t>RSU</w:t>
            </w: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2/13/2025</w:t>
            </w:r>
          </w:p>
        </w:tc>
        <w:tc>
          <w:tcPr>
            <w:tcW w:w="2260" w:type="dxa"/>
            <w:vAlign w:val="bottom"/>
          </w:tcPr>
          <w:p>
            <w:pPr>
              <w:jc w:val="right"/>
              <w:ind w:right="1586"/>
              <w:spacing w:after="0"/>
              <w:rPr>
                <w:sz w:val="20"/>
                <w:szCs w:val="20"/>
                <w:color w:val="auto"/>
              </w:rPr>
            </w:pPr>
            <w:r>
              <w:rPr>
                <w:rFonts w:ascii="Arial" w:cs="Arial" w:eastAsia="Arial" w:hAnsi="Arial"/>
                <w:sz w:val="11"/>
                <w:szCs w:val="11"/>
                <w:color w:val="auto"/>
              </w:rPr>
              <w:t>2/19/2025</w:t>
            </w:r>
          </w:p>
        </w:tc>
        <w:tc>
          <w:tcPr>
            <w:tcW w:w="19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0" w:type="dxa"/>
            <w:vAlign w:val="bottom"/>
          </w:tcPr>
          <w:p>
            <w:pPr>
              <w:jc w:val="right"/>
              <w:ind w:right="906"/>
              <w:spacing w:after="0"/>
              <w:rPr>
                <w:sz w:val="20"/>
                <w:szCs w:val="20"/>
                <w:color w:val="auto"/>
              </w:rPr>
            </w:pPr>
            <w:r>
              <w:rPr>
                <w:rFonts w:ascii="Arial" w:cs="Arial" w:eastAsia="Arial" w:hAnsi="Arial"/>
                <w:sz w:val="11"/>
                <w:szCs w:val="11"/>
                <w:color w:val="auto"/>
              </w:rPr>
              <w:t>4,700</w:t>
            </w: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986,107</w:t>
            </w:r>
          </w:p>
        </w:tc>
      </w:tr>
      <w:tr>
        <w:trPr>
          <w:trHeight w:val="141"/>
        </w:trPr>
        <w:tc>
          <w:tcPr>
            <w:tcW w:w="760" w:type="dxa"/>
            <w:vAlign w:val="bottom"/>
          </w:tcPr>
          <w:p>
            <w:pPr>
              <w:spacing w:after="0"/>
              <w:rPr>
                <w:sz w:val="12"/>
                <w:szCs w:val="12"/>
                <w:color w:val="auto"/>
              </w:rPr>
            </w:pPr>
          </w:p>
        </w:tc>
        <w:tc>
          <w:tcPr>
            <w:tcW w:w="620" w:type="dxa"/>
            <w:vAlign w:val="bottom"/>
            <w:tcBorders>
              <w:bottom w:val="single" w:sz="8" w:color="939598"/>
            </w:tcBorders>
          </w:tcPr>
          <w:p>
            <w:pPr>
              <w:spacing w:after="0"/>
              <w:rPr>
                <w:sz w:val="12"/>
                <w:szCs w:val="12"/>
                <w:color w:val="auto"/>
              </w:rPr>
            </w:pPr>
          </w:p>
        </w:tc>
        <w:tc>
          <w:tcPr>
            <w:tcW w:w="740" w:type="dxa"/>
            <w:vAlign w:val="bottom"/>
            <w:tcBorders>
              <w:bottom w:val="single" w:sz="8" w:color="939598"/>
            </w:tcBorders>
          </w:tcPr>
          <w:p>
            <w:pPr>
              <w:spacing w:after="0"/>
              <w:rPr>
                <w:sz w:val="12"/>
                <w:szCs w:val="12"/>
                <w:color w:val="auto"/>
              </w:rPr>
            </w:pPr>
          </w:p>
        </w:tc>
        <w:tc>
          <w:tcPr>
            <w:tcW w:w="2260" w:type="dxa"/>
            <w:vAlign w:val="bottom"/>
            <w:tcBorders>
              <w:bottom w:val="single" w:sz="8" w:color="939598"/>
            </w:tcBorders>
          </w:tcPr>
          <w:p>
            <w:pPr>
              <w:spacing w:after="0"/>
              <w:rPr>
                <w:sz w:val="12"/>
                <w:szCs w:val="12"/>
                <w:color w:val="auto"/>
              </w:rPr>
            </w:pPr>
          </w:p>
        </w:tc>
        <w:tc>
          <w:tcPr>
            <w:tcW w:w="1960" w:type="dxa"/>
            <w:vAlign w:val="bottom"/>
            <w:tcBorders>
              <w:bottom w:val="single" w:sz="8" w:color="939598"/>
            </w:tcBorders>
          </w:tcPr>
          <w:p>
            <w:pPr>
              <w:spacing w:after="0"/>
              <w:rPr>
                <w:sz w:val="12"/>
                <w:szCs w:val="12"/>
                <w:color w:val="auto"/>
              </w:rPr>
            </w:pPr>
          </w:p>
        </w:tc>
        <w:tc>
          <w:tcPr>
            <w:tcW w:w="640" w:type="dxa"/>
            <w:vAlign w:val="bottom"/>
            <w:tcBorders>
              <w:bottom w:val="single" w:sz="8" w:color="939598"/>
            </w:tcBorders>
          </w:tcPr>
          <w:p>
            <w:pPr>
              <w:spacing w:after="0"/>
              <w:rPr>
                <w:sz w:val="12"/>
                <w:szCs w:val="12"/>
                <w:color w:val="auto"/>
              </w:rPr>
            </w:pPr>
          </w:p>
        </w:tc>
        <w:tc>
          <w:tcPr>
            <w:tcW w:w="220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r>
      <w:tr>
        <w:trPr>
          <w:trHeight w:val="300"/>
        </w:trPr>
        <w:tc>
          <w:tcPr>
            <w:tcW w:w="76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1"/>
                <w:szCs w:val="11"/>
                <w:color w:val="auto"/>
              </w:rPr>
              <w:t>RSU</w:t>
            </w:r>
            <w:r>
              <w:rPr>
                <w:rFonts w:ascii="Arial" w:cs="Arial" w:eastAsia="Arial" w:hAnsi="Arial"/>
                <w:sz w:val="14"/>
                <w:szCs w:val="14"/>
                <w:color w:val="auto"/>
                <w:vertAlign w:val="superscript"/>
              </w:rPr>
              <w:t>(7)</w:t>
            </w: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2/13/2025</w:t>
            </w:r>
          </w:p>
        </w:tc>
        <w:tc>
          <w:tcPr>
            <w:tcW w:w="2260" w:type="dxa"/>
            <w:vAlign w:val="bottom"/>
          </w:tcPr>
          <w:p>
            <w:pPr>
              <w:jc w:val="right"/>
              <w:ind w:right="1586"/>
              <w:spacing w:after="0"/>
              <w:rPr>
                <w:sz w:val="20"/>
                <w:szCs w:val="20"/>
                <w:color w:val="auto"/>
              </w:rPr>
            </w:pPr>
            <w:r>
              <w:rPr>
                <w:rFonts w:ascii="Arial" w:cs="Arial" w:eastAsia="Arial" w:hAnsi="Arial"/>
                <w:sz w:val="11"/>
                <w:szCs w:val="11"/>
                <w:color w:val="auto"/>
              </w:rPr>
              <w:t>2/19/2025</w:t>
            </w:r>
          </w:p>
        </w:tc>
        <w:tc>
          <w:tcPr>
            <w:tcW w:w="1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0" w:type="dxa"/>
            <w:vAlign w:val="bottom"/>
          </w:tcPr>
          <w:p>
            <w:pPr>
              <w:jc w:val="right"/>
              <w:ind w:right="946"/>
              <w:spacing w:after="0"/>
              <w:rPr>
                <w:sz w:val="20"/>
                <w:szCs w:val="20"/>
                <w:color w:val="auto"/>
              </w:rPr>
            </w:pPr>
            <w:r>
              <w:rPr>
                <w:rFonts w:ascii="Arial" w:cs="Arial" w:eastAsia="Arial" w:hAnsi="Arial"/>
                <w:sz w:val="11"/>
                <w:szCs w:val="11"/>
                <w:color w:val="auto"/>
              </w:rPr>
              <w:t>1,907</w:t>
            </w: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2343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18" w:lineRule="exact"/>
        <w:rPr>
          <w:sz w:val="20"/>
          <w:szCs w:val="20"/>
          <w:color w:val="auto"/>
        </w:rPr>
      </w:pPr>
    </w:p>
    <w:p>
      <w:pPr>
        <w:ind w:left="200" w:hanging="192"/>
        <w:spacing w:after="0"/>
        <w:tabs>
          <w:tab w:leader="none" w:pos="200" w:val="left"/>
        </w:tabs>
        <w:numPr>
          <w:ilvl w:val="0"/>
          <w:numId w:val="189"/>
        </w:numPr>
        <w:rPr>
          <w:rFonts w:ascii="Arial" w:cs="Arial" w:eastAsia="Arial" w:hAnsi="Arial"/>
          <w:sz w:val="16"/>
          <w:szCs w:val="16"/>
          <w:color w:val="auto"/>
          <w:vertAlign w:val="superscript"/>
        </w:rPr>
      </w:pPr>
      <w:r>
        <w:rPr>
          <w:rFonts w:ascii="Arial" w:cs="Arial" w:eastAsia="Arial" w:hAnsi="Arial"/>
          <w:sz w:val="13"/>
          <w:szCs w:val="13"/>
          <w:color w:val="auto"/>
        </w:rPr>
        <w:t>Award Type:</w:t>
      </w:r>
    </w:p>
    <w:p>
      <w:pPr>
        <w:spacing w:after="0" w:line="63" w:lineRule="exact"/>
        <w:rPr>
          <w:rFonts w:ascii="Arial" w:cs="Arial" w:eastAsia="Arial" w:hAnsi="Arial"/>
          <w:sz w:val="16"/>
          <w:szCs w:val="16"/>
          <w:color w:val="auto"/>
          <w:vertAlign w:val="superscript"/>
        </w:rPr>
      </w:pPr>
    </w:p>
    <w:p>
      <w:pPr>
        <w:ind w:left="200" w:right="6700"/>
        <w:spacing w:after="0" w:line="357" w:lineRule="auto"/>
        <w:rPr>
          <w:rFonts w:ascii="Arial" w:cs="Arial" w:eastAsia="Arial" w:hAnsi="Arial"/>
          <w:sz w:val="16"/>
          <w:szCs w:val="16"/>
          <w:color w:val="auto"/>
          <w:vertAlign w:val="superscript"/>
        </w:rPr>
      </w:pPr>
      <w:r>
        <w:rPr>
          <w:rFonts w:ascii="Arial" w:cs="Arial" w:eastAsia="Arial" w:hAnsi="Arial"/>
          <w:sz w:val="13"/>
          <w:szCs w:val="13"/>
          <w:color w:val="auto"/>
        </w:rPr>
        <w:t>ICP = Incentive Compensation Plan (for 2025 performance year, paid in 2026) NQSO = Nonqualified Stock Option</w:t>
      </w:r>
    </w:p>
    <w:p>
      <w:pPr>
        <w:ind w:left="200" w:right="8320"/>
        <w:spacing w:after="0" w:line="357" w:lineRule="auto"/>
        <w:rPr>
          <w:rFonts w:ascii="Arial" w:cs="Arial" w:eastAsia="Arial" w:hAnsi="Arial"/>
          <w:sz w:val="16"/>
          <w:szCs w:val="16"/>
          <w:color w:val="auto"/>
          <w:vertAlign w:val="superscript"/>
        </w:rPr>
      </w:pPr>
      <w:r>
        <w:rPr>
          <w:rFonts w:ascii="Arial" w:cs="Arial" w:eastAsia="Arial" w:hAnsi="Arial"/>
          <w:sz w:val="13"/>
          <w:szCs w:val="13"/>
          <w:color w:val="auto"/>
        </w:rPr>
        <w:t>PSU25-27 = 2025–2027 Performance Stock Unit RSU = Restricted Stock Unit</w:t>
      </w:r>
    </w:p>
    <w:p>
      <w:pPr>
        <w:ind w:left="200" w:hanging="192"/>
        <w:spacing w:after="0"/>
        <w:tabs>
          <w:tab w:leader="none" w:pos="200" w:val="left"/>
        </w:tabs>
        <w:numPr>
          <w:ilvl w:val="0"/>
          <w:numId w:val="189"/>
        </w:numPr>
        <w:rPr>
          <w:rFonts w:ascii="Arial" w:cs="Arial" w:eastAsia="Arial" w:hAnsi="Arial"/>
          <w:sz w:val="16"/>
          <w:szCs w:val="16"/>
          <w:color w:val="auto"/>
          <w:vertAlign w:val="superscript"/>
        </w:rPr>
      </w:pPr>
      <w:r>
        <w:rPr>
          <w:rFonts w:ascii="Arial" w:cs="Arial" w:eastAsia="Arial" w:hAnsi="Arial"/>
          <w:sz w:val="13"/>
          <w:szCs w:val="13"/>
          <w:color w:val="auto"/>
        </w:rPr>
        <w:t>Represents the minimum level of performance that must be achieved for any amount to be payable.</w:t>
      </w:r>
    </w:p>
    <w:p>
      <w:pPr>
        <w:spacing w:after="0" w:line="56" w:lineRule="exact"/>
        <w:rPr>
          <w:rFonts w:ascii="Arial" w:cs="Arial" w:eastAsia="Arial" w:hAnsi="Arial"/>
          <w:sz w:val="16"/>
          <w:szCs w:val="16"/>
          <w:color w:val="auto"/>
          <w:vertAlign w:val="superscript"/>
        </w:rPr>
      </w:pPr>
    </w:p>
    <w:p>
      <w:pPr>
        <w:ind w:left="200" w:right="60" w:hanging="192"/>
        <w:spacing w:after="0" w:line="234" w:lineRule="auto"/>
        <w:tabs>
          <w:tab w:leader="none" w:pos="200" w:val="left"/>
        </w:tabs>
        <w:numPr>
          <w:ilvl w:val="0"/>
          <w:numId w:val="189"/>
        </w:numPr>
        <w:rPr>
          <w:rFonts w:ascii="Arial" w:cs="Arial" w:eastAsia="Arial" w:hAnsi="Arial"/>
          <w:sz w:val="16"/>
          <w:szCs w:val="16"/>
          <w:color w:val="auto"/>
          <w:vertAlign w:val="superscript"/>
        </w:rPr>
      </w:pPr>
      <w:r>
        <w:rPr>
          <w:rFonts w:ascii="Arial" w:cs="Arial" w:eastAsia="Arial" w:hAnsi="Arial"/>
          <w:sz w:val="13"/>
          <w:szCs w:val="13"/>
          <w:color w:val="auto"/>
        </w:rPr>
        <w:t>The amount in the Target column represents the number of PSUs awarded to the Named Executive Officer in 2025 under the 2016 Stock Incentive Plan for the performance period of January 1, 2025–December 31, 2027. The actual number of PSUs has been adjusted to account for the Solstice Advanced Materials spin-off. Actual earned PSU awards may range from 0% to 200% based on performance against plan metrics over the three-year performance period. Awards vest 100% in February 2028. 50% of the total number of PSUs earned will be converted to, and paid in, cash. 50% of the earned PSUs will be paid in shares subject to a minimum one-year holding period.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2026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89</w:t>
            </w:r>
          </w:p>
        </w:tc>
      </w:tr>
      <w:tr>
        <w:trPr>
          <w:trHeight w:val="359"/>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-368300</wp:posOffset>
            </wp:positionV>
            <wp:extent cx="548640" cy="10287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21" w:right="339" w:bottom="1440" w:gutter="0" w:footer="0" w:header="0"/>
        </w:sectPr>
      </w:pPr>
    </w:p>
    <w:bookmarkStart w:id="99" w:name="page100"/>
    <w:bookmarkEnd w:id="99"/>
    <w:p>
      <w:pPr>
        <w:spacing w:after="0"/>
        <w:rPr>
          <w:sz w:val="20"/>
          <w:szCs w:val="20"/>
          <w:color w:val="auto"/>
        </w:rPr>
      </w:pPr>
      <w:r>
        <w:rPr>
          <w:rFonts w:ascii="Arial" w:cs="Arial" w:eastAsia="Arial" w:hAnsi="Arial"/>
          <w:sz w:val="13"/>
          <w:szCs w:val="13"/>
          <w:b w:val="1"/>
          <w:bCs w:val="1"/>
          <w:color w:val="6D6E71"/>
        </w:rPr>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0" w:right="40" w:hanging="192"/>
        <w:spacing w:after="0" w:line="230" w:lineRule="auto"/>
        <w:tabs>
          <w:tab w:leader="none" w:pos="200" w:val="left"/>
        </w:tabs>
        <w:numPr>
          <w:ilvl w:val="0"/>
          <w:numId w:val="190"/>
        </w:numPr>
        <w:rPr>
          <w:rFonts w:ascii="Arial" w:cs="Arial" w:eastAsia="Arial" w:hAnsi="Arial"/>
          <w:sz w:val="16"/>
          <w:szCs w:val="16"/>
          <w:color w:val="auto"/>
          <w:vertAlign w:val="superscript"/>
        </w:rPr>
      </w:pPr>
      <w:r>
        <w:rPr>
          <w:rFonts w:ascii="Arial" w:cs="Arial" w:eastAsia="Arial" w:hAnsi="Arial"/>
          <w:sz w:val="13"/>
          <w:szCs w:val="13"/>
          <w:color w:val="auto"/>
        </w:rPr>
        <w:t>Represents the number of RSUs awarded to the Named Executive Officer in 2025 under the 2016 Stock Incentive Plan. Annual RSUs vest in three installments; 33% on each of the second and third anniversaries of the grant date and 34% on the fourth anniversary of the grant date. Also included is the one-time sign-on RSU grant for Mr. Masso on July 14, 2025 and the one-time discretionary RSU grant for Mr. Hammoud on December 17, 2025.</w:t>
      </w:r>
    </w:p>
    <w:p>
      <w:pPr>
        <w:spacing w:after="0" w:line="63" w:lineRule="exact"/>
        <w:rPr>
          <w:rFonts w:ascii="Arial" w:cs="Arial" w:eastAsia="Arial" w:hAnsi="Arial"/>
          <w:sz w:val="16"/>
          <w:szCs w:val="16"/>
          <w:color w:val="auto"/>
          <w:vertAlign w:val="superscript"/>
        </w:rPr>
      </w:pPr>
    </w:p>
    <w:p>
      <w:pPr>
        <w:ind w:left="200" w:right="20" w:hanging="192"/>
        <w:spacing w:after="0" w:line="226" w:lineRule="auto"/>
        <w:tabs>
          <w:tab w:leader="none" w:pos="200" w:val="left"/>
        </w:tabs>
        <w:numPr>
          <w:ilvl w:val="0"/>
          <w:numId w:val="190"/>
        </w:numPr>
        <w:rPr>
          <w:rFonts w:ascii="Arial" w:cs="Arial" w:eastAsia="Arial" w:hAnsi="Arial"/>
          <w:sz w:val="16"/>
          <w:szCs w:val="16"/>
          <w:color w:val="auto"/>
          <w:vertAlign w:val="superscript"/>
        </w:rPr>
      </w:pPr>
      <w:r>
        <w:rPr>
          <w:rFonts w:ascii="Arial" w:cs="Arial" w:eastAsia="Arial" w:hAnsi="Arial"/>
          <w:sz w:val="13"/>
          <w:szCs w:val="13"/>
          <w:color w:val="auto"/>
        </w:rPr>
        <w:t>NQSO awards in this column represent the number of annual stock options awarded to the Named Executive Officers on the Grant Date. These stock options vest in equal annual installments over a period of four years and have a 10-year term. The exercise price is equal to the fair market value of Honeywell stock on the date of grant.</w:t>
      </w:r>
    </w:p>
    <w:p>
      <w:pPr>
        <w:spacing w:after="0" w:line="63" w:lineRule="exact"/>
        <w:rPr>
          <w:rFonts w:ascii="Arial" w:cs="Arial" w:eastAsia="Arial" w:hAnsi="Arial"/>
          <w:sz w:val="16"/>
          <w:szCs w:val="16"/>
          <w:color w:val="auto"/>
          <w:vertAlign w:val="superscript"/>
        </w:rPr>
      </w:pPr>
    </w:p>
    <w:p>
      <w:pPr>
        <w:ind w:left="200" w:hanging="192"/>
        <w:spacing w:after="0" w:line="237" w:lineRule="auto"/>
        <w:tabs>
          <w:tab w:leader="none" w:pos="200" w:val="left"/>
        </w:tabs>
        <w:numPr>
          <w:ilvl w:val="0"/>
          <w:numId w:val="190"/>
        </w:numPr>
        <w:rPr>
          <w:rFonts w:ascii="Arial" w:cs="Arial" w:eastAsia="Arial" w:hAnsi="Arial"/>
          <w:sz w:val="16"/>
          <w:szCs w:val="16"/>
          <w:color w:val="auto"/>
          <w:vertAlign w:val="superscript"/>
        </w:rPr>
      </w:pPr>
      <w:r>
        <w:rPr>
          <w:rFonts w:ascii="Arial" w:cs="Arial" w:eastAsia="Arial" w:hAnsi="Arial"/>
          <w:sz w:val="13"/>
          <w:szCs w:val="13"/>
          <w:color w:val="auto"/>
        </w:rPr>
        <w:t>The grant date fair values for NQSO awards were calculated in accordance with FASB ASC Topic 718, using the Black-Scholes option valuation model at the time of grant. NQSO grant date values were $43.82 for February 19, 2025 grants and $44.88 for Mr. Masso's July 14, 2025 grant. A more detailed discussion of the assumptions used in the valuation of stock option awards may be found in Note 15 of the Notes to the Financial Statements in the Company’s Form 10-K for the year ended December 31, 2025. The grant date fair values for RSUs were determined using the average of the high and low stock prices of Honeywell stock on the grant date. Grant date fair values for RSUs issued in 2025 were $209.81 for February 19, 2025, grants, $236.71 for Mr. Masso's July 14, 2025 grant, and $200.29 for Mr. Hammoud's December 17, 2025 grant. The grant date fair value for PSU25-27 awards were calculated based on the value of Honeywell stock on the date of grant for the 75% of the award tied to performance against internal metrics, and (b) a multifactor Monte Carlo simulation of Honeywell’s stock price and TSR relative to each of the other companies in the Compensation Peer Group, determined in accordance with FASB ASC Topic 718, for the 25% of the award with payout determined based on three-year TSR relative to the Compensation Peer Group. The PSU25-27 grant date fair values were $211.59 for February 19, 2025 grants and $245.82 for Mr. Masso's July 14, 2025 grant.</w:t>
      </w:r>
    </w:p>
    <w:p>
      <w:pPr>
        <w:spacing w:after="0" w:line="53" w:lineRule="exact"/>
        <w:rPr>
          <w:rFonts w:ascii="Arial" w:cs="Arial" w:eastAsia="Arial" w:hAnsi="Arial"/>
          <w:sz w:val="16"/>
          <w:szCs w:val="16"/>
          <w:color w:val="auto"/>
          <w:vertAlign w:val="superscript"/>
        </w:rPr>
      </w:pPr>
    </w:p>
    <w:p>
      <w:pPr>
        <w:ind w:left="200" w:right="500" w:hanging="192"/>
        <w:spacing w:after="0" w:line="236" w:lineRule="auto"/>
        <w:tabs>
          <w:tab w:leader="none" w:pos="200" w:val="left"/>
        </w:tabs>
        <w:numPr>
          <w:ilvl w:val="0"/>
          <w:numId w:val="190"/>
        </w:numPr>
        <w:rPr>
          <w:rFonts w:ascii="Arial" w:cs="Arial" w:eastAsia="Arial" w:hAnsi="Arial"/>
          <w:sz w:val="16"/>
          <w:szCs w:val="16"/>
          <w:color w:val="auto"/>
          <w:vertAlign w:val="superscript"/>
        </w:rPr>
      </w:pPr>
      <w:r>
        <w:rPr>
          <w:rFonts w:ascii="Arial" w:cs="Arial" w:eastAsia="Arial" w:hAnsi="Arial"/>
          <w:sz w:val="13"/>
          <w:szCs w:val="13"/>
          <w:color w:val="auto"/>
        </w:rPr>
        <w:t>There is no grant date value shown for transaction awards granted in 2025 because no compensation expense was required to be recognized with respect to such awards in 2025 due to the probable outcome of the performance based vesting condition.</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D7282F"/>
        </w:rPr>
        <w:t>DESCRIPTION OF PLAN-BASED AWARDS</w:t>
      </w:r>
    </w:p>
    <w:p>
      <w:pPr>
        <w:spacing w:after="0" w:line="112"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All NQSO, PSU, and RSU awards granted to the Named Executive Officers in fiscal year 2025 were granted under the Company’s 2016 Stock Incentive Plan and are governed by and subject to the terms and conditions of the 2016 Stock Incentive Plan and the relevant award agreements. The outstanding equity awards granted prior to October 30, 2025 have been adjusted for the Solstice Advanced materials spin-off. The number of units and option exercise prices in the table have been adjusted to reflect values after giving effect to the spin-off. A detailed discussion of these long-term incentive awards can be found beginning on page 74 of this Proxy Statement.</w:t>
      </w:r>
    </w:p>
    <w:p>
      <w:pPr>
        <w:spacing w:after="0" w:line="201"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90</w:t>
      </w:r>
      <w:r>
        <w:rPr>
          <w:sz w:val="20"/>
          <w:szCs w:val="20"/>
          <w:color w:val="auto"/>
        </w:rPr>
        <w:tab/>
      </w:r>
      <w:r>
        <w:rPr>
          <w:sz w:val="1"/>
          <w:szCs w:val="1"/>
          <w:color w:val="auto"/>
        </w:rPr>
        <w:drawing>
          <wp:inline distT="0" distB="0" distL="0" distR="0">
            <wp:extent cx="548640" cy="102870"/>
            <wp:effectExtent l="0" t="0" r="0" b="0"/>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2026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sectPr>
      </w:pPr>
    </w:p>
    <w:bookmarkStart w:id="100" w:name="page101"/>
    <w:bookmarkEnd w:id="100"/>
    <w:p>
      <w:pPr>
        <w:jc w:val="right"/>
        <w:spacing w:after="0"/>
        <w:rPr>
          <w:sz w:val="20"/>
          <w:szCs w:val="20"/>
          <w:color w:val="auto"/>
        </w:rPr>
      </w:pPr>
      <w:r>
        <w:rPr>
          <w:rFonts w:ascii="Arial" w:cs="Arial" w:eastAsia="Arial" w:hAnsi="Arial"/>
          <w:sz w:val="13"/>
          <w:szCs w:val="13"/>
          <w:b w:val="1"/>
          <w:bCs w:val="1"/>
          <w:color w:val="6D6E71"/>
        </w:rPr>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OUTSTANDING EQUITY AWARDS AT 2025 FISCAL YEAR-END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80" w:type="dxa"/>
            <w:vAlign w:val="bottom"/>
          </w:tcPr>
          <w:p>
            <w:pPr>
              <w:jc w:val="right"/>
              <w:ind w:right="48"/>
              <w:spacing w:after="0"/>
              <w:rPr>
                <w:sz w:val="20"/>
                <w:szCs w:val="20"/>
                <w:color w:val="auto"/>
              </w:rPr>
            </w:pPr>
            <w:r>
              <w:rPr>
                <w:rFonts w:ascii="Arial" w:cs="Arial" w:eastAsia="Arial" w:hAnsi="Arial"/>
                <w:sz w:val="11"/>
                <w:szCs w:val="11"/>
                <w:b w:val="1"/>
                <w:bCs w:val="1"/>
                <w:color w:val="auto"/>
              </w:rPr>
              <w:t>Option Awards</w:t>
            </w:r>
            <w:r>
              <w:rPr>
                <w:rFonts w:ascii="Arial" w:cs="Arial" w:eastAsia="Arial" w:hAnsi="Arial"/>
                <w:sz w:val="14"/>
                <w:szCs w:val="14"/>
                <w:b w:val="1"/>
                <w:bCs w:val="1"/>
                <w:color w:val="auto"/>
                <w:vertAlign w:val="superscript"/>
              </w:rPr>
              <w:t>(1)</w:t>
            </w: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60" w:type="dxa"/>
            <w:vAlign w:val="bottom"/>
          </w:tcPr>
          <w:p>
            <w:pPr>
              <w:jc w:val="right"/>
              <w:ind w:right="46"/>
              <w:spacing w:after="0"/>
              <w:rPr>
                <w:sz w:val="20"/>
                <w:szCs w:val="20"/>
                <w:color w:val="auto"/>
              </w:rPr>
            </w:pPr>
            <w:r>
              <w:rPr>
                <w:rFonts w:ascii="Arial" w:cs="Arial" w:eastAsia="Arial" w:hAnsi="Arial"/>
                <w:sz w:val="11"/>
                <w:szCs w:val="11"/>
                <w:b w:val="1"/>
                <w:bCs w:val="1"/>
                <w:color w:val="auto"/>
              </w:rPr>
              <w:t>Stock Awards</w:t>
            </w: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40" w:type="dxa"/>
            <w:vAlign w:val="bottom"/>
            <w:tcBorders>
              <w:bottom w:val="single" w:sz="8" w:color="D7282F"/>
            </w:tcBorders>
          </w:tcPr>
          <w:p>
            <w:pPr>
              <w:spacing w:after="0"/>
              <w:rPr>
                <w:sz w:val="8"/>
                <w:szCs w:val="8"/>
                <w:color w:val="auto"/>
              </w:rPr>
            </w:pPr>
          </w:p>
        </w:tc>
        <w:tc>
          <w:tcPr>
            <w:tcW w:w="1280" w:type="dxa"/>
            <w:vAlign w:val="bottom"/>
            <w:tcBorders>
              <w:bottom w:val="single" w:sz="8" w:color="D7282F"/>
            </w:tcBorders>
          </w:tcPr>
          <w:p>
            <w:pPr>
              <w:spacing w:after="0"/>
              <w:rPr>
                <w:sz w:val="8"/>
                <w:szCs w:val="8"/>
                <w:color w:val="auto"/>
              </w:rPr>
            </w:pPr>
          </w:p>
        </w:tc>
        <w:tc>
          <w:tcPr>
            <w:tcW w:w="680" w:type="dxa"/>
            <w:vAlign w:val="bottom"/>
            <w:tcBorders>
              <w:bottom w:val="single" w:sz="8" w:color="D7282F"/>
            </w:tcBorders>
          </w:tcPr>
          <w:p>
            <w:pPr>
              <w:spacing w:after="0"/>
              <w:rPr>
                <w:sz w:val="8"/>
                <w:szCs w:val="8"/>
                <w:color w:val="auto"/>
              </w:rPr>
            </w:pPr>
          </w:p>
        </w:tc>
        <w:tc>
          <w:tcPr>
            <w:tcW w:w="680" w:type="dxa"/>
            <w:vAlign w:val="bottom"/>
            <w:tcBorders>
              <w:bottom w:val="single" w:sz="8" w:color="D7282F"/>
            </w:tcBorders>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Borders>
              <w:bottom w:val="single" w:sz="8" w:color="D7282F"/>
            </w:tcBorders>
          </w:tcPr>
          <w:p>
            <w:pPr>
              <w:spacing w:after="0"/>
              <w:rPr>
                <w:sz w:val="8"/>
                <w:szCs w:val="8"/>
                <w:color w:val="auto"/>
              </w:rPr>
            </w:pPr>
          </w:p>
        </w:tc>
        <w:tc>
          <w:tcPr>
            <w:tcW w:w="1660" w:type="dxa"/>
            <w:vAlign w:val="bottom"/>
            <w:tcBorders>
              <w:bottom w:val="single" w:sz="8" w:color="D7282F"/>
            </w:tcBorders>
          </w:tcPr>
          <w:p>
            <w:pPr>
              <w:spacing w:after="0"/>
              <w:rPr>
                <w:sz w:val="8"/>
                <w:szCs w:val="8"/>
                <w:color w:val="auto"/>
              </w:rPr>
            </w:pPr>
          </w:p>
        </w:tc>
        <w:tc>
          <w:tcPr>
            <w:tcW w:w="680" w:type="dxa"/>
            <w:vAlign w:val="bottom"/>
            <w:tcBorders>
              <w:bottom w:val="single" w:sz="8" w:color="D7282F"/>
            </w:tcBorders>
          </w:tcPr>
          <w:p>
            <w:pPr>
              <w:spacing w:after="0"/>
              <w:rPr>
                <w:sz w:val="8"/>
                <w:szCs w:val="8"/>
                <w:color w:val="auto"/>
              </w:rPr>
            </w:pPr>
          </w:p>
        </w:tc>
        <w:tc>
          <w:tcPr>
            <w:tcW w:w="1340" w:type="dxa"/>
            <w:vAlign w:val="bottom"/>
            <w:tcBorders>
              <w:bottom w:val="single" w:sz="8" w:color="D7282F"/>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4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Number of</w:t>
            </w:r>
          </w:p>
        </w:tc>
        <w:tc>
          <w:tcPr>
            <w:tcW w:w="1280" w:type="dxa"/>
            <w:vAlign w:val="bottom"/>
            <w:vMerge w:val="restart"/>
          </w:tcPr>
          <w:p>
            <w:pPr>
              <w:jc w:val="right"/>
              <w:ind w:right="328"/>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vMerge w:val="restart"/>
          </w:tcPr>
          <w:p>
            <w:pPr>
              <w:jc w:val="right"/>
              <w:ind w:right="434"/>
              <w:spacing w:after="0"/>
              <w:rPr>
                <w:sz w:val="20"/>
                <w:szCs w:val="20"/>
                <w:color w:val="auto"/>
              </w:rPr>
            </w:pPr>
            <w:r>
              <w:rPr>
                <w:rFonts w:ascii="Arial" w:cs="Arial" w:eastAsia="Arial" w:hAnsi="Arial"/>
                <w:sz w:val="11"/>
                <w:szCs w:val="11"/>
                <w:b w:val="1"/>
                <w:bCs w:val="1"/>
                <w:color w:val="auto"/>
              </w:rPr>
              <w:t>Number of</w:t>
            </w:r>
          </w:p>
        </w:tc>
        <w:tc>
          <w:tcPr>
            <w:tcW w:w="16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Number of</w:t>
            </w:r>
          </w:p>
        </w:tc>
        <w:tc>
          <w:tcPr>
            <w:tcW w:w="13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Market Value</w:t>
            </w:r>
          </w:p>
        </w:tc>
        <w:tc>
          <w:tcPr>
            <w:tcW w:w="0" w:type="dxa"/>
            <w:vAlign w:val="bottom"/>
          </w:tcPr>
          <w:p>
            <w:pPr>
              <w:spacing w:after="0"/>
              <w:rPr>
                <w:sz w:val="1"/>
                <w:szCs w:val="1"/>
                <w:color w:val="auto"/>
              </w:rPr>
            </w:pPr>
          </w:p>
        </w:tc>
      </w:tr>
      <w:tr>
        <w:trPr>
          <w:trHeight w:val="121"/>
        </w:trPr>
        <w:tc>
          <w:tcPr>
            <w:tcW w:w="1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6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Unearned</w:t>
            </w: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40" w:type="dxa"/>
            <w:vAlign w:val="bottom"/>
          </w:tcPr>
          <w:p>
            <w:pPr>
              <w:jc w:val="right"/>
              <w:ind w:right="106"/>
              <w:spacing w:after="0" w:line="122" w:lineRule="exact"/>
              <w:rPr>
                <w:sz w:val="20"/>
                <w:szCs w:val="20"/>
                <w:color w:val="auto"/>
              </w:rPr>
            </w:pPr>
            <w:r>
              <w:rPr>
                <w:rFonts w:ascii="Arial" w:cs="Arial" w:eastAsia="Arial" w:hAnsi="Arial"/>
                <w:sz w:val="11"/>
                <w:szCs w:val="11"/>
                <w:b w:val="1"/>
                <w:bCs w:val="1"/>
                <w:color w:val="auto"/>
              </w:rPr>
              <w:t>Securities</w:t>
            </w:r>
          </w:p>
        </w:tc>
        <w:tc>
          <w:tcPr>
            <w:tcW w:w="1280" w:type="dxa"/>
            <w:vAlign w:val="bottom"/>
          </w:tcPr>
          <w:p>
            <w:pPr>
              <w:jc w:val="right"/>
              <w:ind w:right="328"/>
              <w:spacing w:after="0" w:line="122" w:lineRule="exact"/>
              <w:rPr>
                <w:sz w:val="20"/>
                <w:szCs w:val="20"/>
                <w:color w:val="auto"/>
              </w:rPr>
            </w:pPr>
            <w:r>
              <w:rPr>
                <w:rFonts w:ascii="Arial" w:cs="Arial" w:eastAsia="Arial" w:hAnsi="Arial"/>
                <w:sz w:val="11"/>
                <w:szCs w:val="11"/>
                <w:b w:val="1"/>
                <w:bCs w:val="1"/>
                <w:color w:val="auto"/>
              </w:rPr>
              <w:t>Securities</w:t>
            </w: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Pr>
          <w:p>
            <w:pPr>
              <w:jc w:val="right"/>
              <w:ind w:right="434"/>
              <w:spacing w:after="0" w:line="122" w:lineRule="exact"/>
              <w:rPr>
                <w:sz w:val="20"/>
                <w:szCs w:val="20"/>
                <w:color w:val="auto"/>
              </w:rPr>
            </w:pPr>
            <w:r>
              <w:rPr>
                <w:rFonts w:ascii="Arial" w:cs="Arial" w:eastAsia="Arial" w:hAnsi="Arial"/>
                <w:sz w:val="11"/>
                <w:szCs w:val="11"/>
                <w:b w:val="1"/>
                <w:bCs w:val="1"/>
                <w:color w:val="auto"/>
              </w:rPr>
              <w:t>Shares or</w:t>
            </w:r>
          </w:p>
        </w:tc>
        <w:tc>
          <w:tcPr>
            <w:tcW w:w="1660" w:type="dxa"/>
            <w:vAlign w:val="bottom"/>
          </w:tcPr>
          <w:p>
            <w:pPr>
              <w:jc w:val="right"/>
              <w:ind w:right="486"/>
              <w:spacing w:after="0" w:line="122" w:lineRule="exact"/>
              <w:rPr>
                <w:sz w:val="20"/>
                <w:szCs w:val="20"/>
                <w:color w:val="auto"/>
              </w:rPr>
            </w:pPr>
            <w:r>
              <w:rPr>
                <w:rFonts w:ascii="Arial" w:cs="Arial" w:eastAsia="Arial" w:hAnsi="Arial"/>
                <w:sz w:val="11"/>
                <w:szCs w:val="11"/>
                <w:b w:val="1"/>
                <w:bCs w:val="1"/>
                <w:color w:val="auto"/>
              </w:rPr>
              <w:t>Market Value of</w:t>
            </w:r>
          </w:p>
        </w:tc>
        <w:tc>
          <w:tcPr>
            <w:tcW w:w="6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Shares or</w:t>
            </w:r>
          </w:p>
        </w:tc>
        <w:tc>
          <w:tcPr>
            <w:tcW w:w="134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of Shares or</w:t>
            </w: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jc w:val="right"/>
              <w:ind w:right="106"/>
              <w:spacing w:after="0"/>
              <w:rPr>
                <w:sz w:val="20"/>
                <w:szCs w:val="20"/>
                <w:color w:val="auto"/>
              </w:rPr>
            </w:pPr>
            <w:r>
              <w:rPr>
                <w:rFonts w:ascii="Arial" w:cs="Arial" w:eastAsia="Arial" w:hAnsi="Arial"/>
                <w:sz w:val="11"/>
                <w:szCs w:val="11"/>
                <w:b w:val="1"/>
                <w:bCs w:val="1"/>
                <w:color w:val="auto"/>
              </w:rPr>
              <w:t>Underlying</w:t>
            </w:r>
          </w:p>
        </w:tc>
        <w:tc>
          <w:tcPr>
            <w:tcW w:w="1280" w:type="dxa"/>
            <w:vAlign w:val="bottom"/>
          </w:tcPr>
          <w:p>
            <w:pPr>
              <w:jc w:val="right"/>
              <w:ind w:right="328"/>
              <w:spacing w:after="0"/>
              <w:rPr>
                <w:sz w:val="20"/>
                <w:szCs w:val="20"/>
                <w:color w:val="auto"/>
              </w:rPr>
            </w:pPr>
            <w:r>
              <w:rPr>
                <w:rFonts w:ascii="Arial" w:cs="Arial" w:eastAsia="Arial" w:hAnsi="Arial"/>
                <w:sz w:val="11"/>
                <w:szCs w:val="11"/>
                <w:b w:val="1"/>
                <w:bCs w:val="1"/>
                <w:color w:val="auto"/>
              </w:rPr>
              <w:t>Underlying</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jc w:val="right"/>
              <w:ind w:right="434"/>
              <w:spacing w:after="0"/>
              <w:rPr>
                <w:sz w:val="20"/>
                <w:szCs w:val="20"/>
                <w:color w:val="auto"/>
              </w:rPr>
            </w:pPr>
            <w:r>
              <w:rPr>
                <w:rFonts w:ascii="Arial" w:cs="Arial" w:eastAsia="Arial" w:hAnsi="Arial"/>
                <w:sz w:val="11"/>
                <w:szCs w:val="11"/>
                <w:b w:val="1"/>
                <w:bCs w:val="1"/>
                <w:color w:val="auto"/>
              </w:rPr>
              <w:t>Units of</w:t>
            </w:r>
          </w:p>
        </w:tc>
        <w:tc>
          <w:tcPr>
            <w:tcW w:w="1660" w:type="dxa"/>
            <w:vAlign w:val="bottom"/>
          </w:tcPr>
          <w:p>
            <w:pPr>
              <w:jc w:val="right"/>
              <w:ind w:right="486"/>
              <w:spacing w:after="0"/>
              <w:rPr>
                <w:sz w:val="20"/>
                <w:szCs w:val="20"/>
                <w:color w:val="auto"/>
              </w:rPr>
            </w:pPr>
            <w:r>
              <w:rPr>
                <w:rFonts w:ascii="Arial" w:cs="Arial" w:eastAsia="Arial" w:hAnsi="Arial"/>
                <w:sz w:val="11"/>
                <w:szCs w:val="11"/>
                <w:b w:val="1"/>
                <w:bCs w:val="1"/>
                <w:color w:val="auto"/>
              </w:rPr>
              <w:t>Shares or Units</w:t>
            </w: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Units of</w:t>
            </w:r>
          </w:p>
        </w:tc>
        <w:tc>
          <w:tcPr>
            <w:tcW w:w="1340" w:type="dxa"/>
            <w:vAlign w:val="bottom"/>
          </w:tcPr>
          <w:p>
            <w:pPr>
              <w:jc w:val="right"/>
              <w:spacing w:after="0"/>
              <w:rPr>
                <w:sz w:val="20"/>
                <w:szCs w:val="20"/>
                <w:color w:val="auto"/>
              </w:rPr>
            </w:pPr>
            <w:r>
              <w:rPr>
                <w:rFonts w:ascii="Arial" w:cs="Arial" w:eastAsia="Arial" w:hAnsi="Arial"/>
                <w:sz w:val="11"/>
                <w:szCs w:val="11"/>
                <w:b w:val="1"/>
                <w:bCs w:val="1"/>
                <w:color w:val="auto"/>
              </w:rPr>
              <w:t>Units of</w:t>
            </w:r>
          </w:p>
        </w:tc>
        <w:tc>
          <w:tcPr>
            <w:tcW w:w="0" w:type="dxa"/>
            <w:vAlign w:val="bottom"/>
          </w:tcPr>
          <w:p>
            <w:pPr>
              <w:spacing w:after="0"/>
              <w:rPr>
                <w:sz w:val="1"/>
                <w:szCs w:val="1"/>
                <w:color w:val="auto"/>
              </w:rPr>
            </w:pPr>
          </w:p>
        </w:tc>
      </w:tr>
      <w:tr>
        <w:trPr>
          <w:trHeight w:val="122"/>
        </w:trPr>
        <w:tc>
          <w:tcPr>
            <w:tcW w:w="1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40" w:type="dxa"/>
            <w:vAlign w:val="bottom"/>
          </w:tcPr>
          <w:p>
            <w:pPr>
              <w:jc w:val="right"/>
              <w:ind w:right="106"/>
              <w:spacing w:after="0" w:line="122" w:lineRule="exact"/>
              <w:rPr>
                <w:sz w:val="20"/>
                <w:szCs w:val="20"/>
                <w:color w:val="auto"/>
              </w:rPr>
            </w:pPr>
            <w:r>
              <w:rPr>
                <w:rFonts w:ascii="Arial" w:cs="Arial" w:eastAsia="Arial" w:hAnsi="Arial"/>
                <w:sz w:val="11"/>
                <w:szCs w:val="11"/>
                <w:b w:val="1"/>
                <w:bCs w:val="1"/>
                <w:color w:val="auto"/>
              </w:rPr>
              <w:t>Unexercised</w:t>
            </w:r>
          </w:p>
        </w:tc>
        <w:tc>
          <w:tcPr>
            <w:tcW w:w="1280" w:type="dxa"/>
            <w:vAlign w:val="bottom"/>
          </w:tcPr>
          <w:p>
            <w:pPr>
              <w:jc w:val="right"/>
              <w:ind w:right="328"/>
              <w:spacing w:after="0" w:line="122" w:lineRule="exact"/>
              <w:rPr>
                <w:sz w:val="20"/>
                <w:szCs w:val="20"/>
                <w:color w:val="auto"/>
              </w:rPr>
            </w:pPr>
            <w:r>
              <w:rPr>
                <w:rFonts w:ascii="Arial" w:cs="Arial" w:eastAsia="Arial" w:hAnsi="Arial"/>
                <w:sz w:val="11"/>
                <w:szCs w:val="11"/>
                <w:b w:val="1"/>
                <w:bCs w:val="1"/>
                <w:color w:val="auto"/>
              </w:rPr>
              <w:t>Unexercised</w:t>
            </w:r>
          </w:p>
        </w:tc>
        <w:tc>
          <w:tcPr>
            <w:tcW w:w="680" w:type="dxa"/>
            <w:vAlign w:val="bottom"/>
          </w:tcPr>
          <w:p>
            <w:pPr>
              <w:jc w:val="right"/>
              <w:ind w:right="66"/>
              <w:spacing w:after="0" w:line="122" w:lineRule="exact"/>
              <w:rPr>
                <w:sz w:val="20"/>
                <w:szCs w:val="20"/>
                <w:color w:val="auto"/>
              </w:rPr>
            </w:pPr>
            <w:r>
              <w:rPr>
                <w:rFonts w:ascii="Arial" w:cs="Arial" w:eastAsia="Arial" w:hAnsi="Arial"/>
                <w:sz w:val="11"/>
                <w:szCs w:val="11"/>
                <w:b w:val="1"/>
                <w:bCs w:val="1"/>
                <w:color w:val="auto"/>
              </w:rPr>
              <w:t>Option</w:t>
            </w:r>
          </w:p>
        </w:tc>
        <w:tc>
          <w:tcPr>
            <w:tcW w:w="900" w:type="dxa"/>
            <w:vAlign w:val="bottom"/>
            <w:gridSpan w:val="2"/>
          </w:tcPr>
          <w:p>
            <w:pPr>
              <w:jc w:val="right"/>
              <w:ind w:right="240"/>
              <w:spacing w:after="0" w:line="122" w:lineRule="exact"/>
              <w:rPr>
                <w:sz w:val="20"/>
                <w:szCs w:val="20"/>
                <w:color w:val="auto"/>
              </w:rPr>
            </w:pPr>
            <w:r>
              <w:rPr>
                <w:rFonts w:ascii="Arial" w:cs="Arial" w:eastAsia="Arial" w:hAnsi="Arial"/>
                <w:sz w:val="11"/>
                <w:szCs w:val="11"/>
                <w:b w:val="1"/>
                <w:bCs w:val="1"/>
                <w:color w:val="auto"/>
              </w:rPr>
              <w:t>Option</w:t>
            </w:r>
          </w:p>
        </w:tc>
        <w:tc>
          <w:tcPr>
            <w:tcW w:w="1280" w:type="dxa"/>
            <w:vAlign w:val="bottom"/>
          </w:tcPr>
          <w:p>
            <w:pPr>
              <w:jc w:val="right"/>
              <w:ind w:right="434"/>
              <w:spacing w:after="0" w:line="122" w:lineRule="exact"/>
              <w:rPr>
                <w:sz w:val="20"/>
                <w:szCs w:val="20"/>
                <w:color w:val="auto"/>
              </w:rPr>
            </w:pPr>
            <w:r>
              <w:rPr>
                <w:rFonts w:ascii="Arial" w:cs="Arial" w:eastAsia="Arial" w:hAnsi="Arial"/>
                <w:sz w:val="11"/>
                <w:szCs w:val="11"/>
                <w:b w:val="1"/>
                <w:bCs w:val="1"/>
                <w:color w:val="auto"/>
              </w:rPr>
              <w:t>Stock That</w:t>
            </w:r>
          </w:p>
        </w:tc>
        <w:tc>
          <w:tcPr>
            <w:tcW w:w="1660" w:type="dxa"/>
            <w:vAlign w:val="bottom"/>
          </w:tcPr>
          <w:p>
            <w:pPr>
              <w:jc w:val="right"/>
              <w:ind w:right="486"/>
              <w:spacing w:after="0" w:line="122" w:lineRule="exact"/>
              <w:rPr>
                <w:sz w:val="20"/>
                <w:szCs w:val="20"/>
                <w:color w:val="auto"/>
              </w:rPr>
            </w:pPr>
            <w:r>
              <w:rPr>
                <w:rFonts w:ascii="Arial" w:cs="Arial" w:eastAsia="Arial" w:hAnsi="Arial"/>
                <w:sz w:val="11"/>
                <w:szCs w:val="11"/>
                <w:b w:val="1"/>
                <w:bCs w:val="1"/>
                <w:color w:val="auto"/>
              </w:rPr>
              <w:t>of Stock That</w:t>
            </w:r>
          </w:p>
        </w:tc>
        <w:tc>
          <w:tcPr>
            <w:tcW w:w="6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Stock That</w:t>
            </w:r>
          </w:p>
        </w:tc>
        <w:tc>
          <w:tcPr>
            <w:tcW w:w="134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Stock That</w:t>
            </w:r>
          </w:p>
        </w:tc>
        <w:tc>
          <w:tcPr>
            <w:tcW w:w="0" w:type="dxa"/>
            <w:vAlign w:val="bottom"/>
          </w:tcPr>
          <w:p>
            <w:pPr>
              <w:spacing w:after="0"/>
              <w:rPr>
                <w:sz w:val="1"/>
                <w:szCs w:val="1"/>
                <w:color w:val="auto"/>
              </w:rPr>
            </w:pPr>
          </w:p>
        </w:tc>
      </w:tr>
      <w:tr>
        <w:trPr>
          <w:trHeight w:val="135"/>
        </w:trPr>
        <w:tc>
          <w:tcPr>
            <w:tcW w:w="1700" w:type="dxa"/>
            <w:vAlign w:val="bottom"/>
          </w:tcPr>
          <w:p>
            <w:pPr>
              <w:ind w:left="20"/>
              <w:spacing w:after="0"/>
              <w:rPr>
                <w:sz w:val="20"/>
                <w:szCs w:val="20"/>
                <w:color w:val="auto"/>
              </w:rPr>
            </w:pPr>
            <w:r>
              <w:rPr>
                <w:rFonts w:ascii="Arial" w:cs="Arial" w:eastAsia="Arial" w:hAnsi="Arial"/>
                <w:sz w:val="11"/>
                <w:szCs w:val="11"/>
                <w:b w:val="1"/>
                <w:bCs w:val="1"/>
                <w:color w:val="auto"/>
              </w:rPr>
              <w:t>Name</w:t>
            </w: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95"/>
              </w:rPr>
              <w:t>Grant</w:t>
            </w:r>
          </w:p>
        </w:tc>
        <w:tc>
          <w:tcPr>
            <w:tcW w:w="1140" w:type="dxa"/>
            <w:vAlign w:val="bottom"/>
          </w:tcPr>
          <w:p>
            <w:pPr>
              <w:jc w:val="right"/>
              <w:ind w:right="106"/>
              <w:spacing w:after="0"/>
              <w:rPr>
                <w:sz w:val="20"/>
                <w:szCs w:val="20"/>
                <w:color w:val="auto"/>
              </w:rPr>
            </w:pPr>
            <w:r>
              <w:rPr>
                <w:rFonts w:ascii="Arial" w:cs="Arial" w:eastAsia="Arial" w:hAnsi="Arial"/>
                <w:sz w:val="11"/>
                <w:szCs w:val="11"/>
                <w:b w:val="1"/>
                <w:bCs w:val="1"/>
                <w:color w:val="auto"/>
              </w:rPr>
              <w:t>Options</w:t>
            </w:r>
          </w:p>
        </w:tc>
        <w:tc>
          <w:tcPr>
            <w:tcW w:w="1280" w:type="dxa"/>
            <w:vAlign w:val="bottom"/>
          </w:tcPr>
          <w:p>
            <w:pPr>
              <w:jc w:val="right"/>
              <w:ind w:right="328"/>
              <w:spacing w:after="0"/>
              <w:rPr>
                <w:sz w:val="20"/>
                <w:szCs w:val="20"/>
                <w:color w:val="auto"/>
              </w:rPr>
            </w:pPr>
            <w:r>
              <w:rPr>
                <w:rFonts w:ascii="Arial" w:cs="Arial" w:eastAsia="Arial" w:hAnsi="Arial"/>
                <w:sz w:val="11"/>
                <w:szCs w:val="11"/>
                <w:b w:val="1"/>
                <w:bCs w:val="1"/>
                <w:color w:val="auto"/>
              </w:rPr>
              <w:t>Options</w:t>
            </w:r>
          </w:p>
        </w:tc>
        <w:tc>
          <w:tcPr>
            <w:tcW w:w="680" w:type="dxa"/>
            <w:vAlign w:val="bottom"/>
          </w:tcPr>
          <w:p>
            <w:pPr>
              <w:jc w:val="right"/>
              <w:ind w:right="66"/>
              <w:spacing w:after="0"/>
              <w:rPr>
                <w:sz w:val="20"/>
                <w:szCs w:val="20"/>
                <w:color w:val="auto"/>
              </w:rPr>
            </w:pPr>
            <w:r>
              <w:rPr>
                <w:rFonts w:ascii="Arial" w:cs="Arial" w:eastAsia="Arial" w:hAnsi="Arial"/>
                <w:sz w:val="11"/>
                <w:szCs w:val="11"/>
                <w:b w:val="1"/>
                <w:bCs w:val="1"/>
                <w:color w:val="auto"/>
              </w:rPr>
              <w:t>Exercise</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Expiration</w:t>
            </w:r>
          </w:p>
        </w:tc>
        <w:tc>
          <w:tcPr>
            <w:tcW w:w="1280" w:type="dxa"/>
            <w:vAlign w:val="bottom"/>
          </w:tcPr>
          <w:p>
            <w:pPr>
              <w:jc w:val="right"/>
              <w:ind w:right="434"/>
              <w:spacing w:after="0"/>
              <w:rPr>
                <w:sz w:val="20"/>
                <w:szCs w:val="20"/>
                <w:color w:val="auto"/>
              </w:rPr>
            </w:pPr>
            <w:r>
              <w:rPr>
                <w:rFonts w:ascii="Arial" w:cs="Arial" w:eastAsia="Arial" w:hAnsi="Arial"/>
                <w:sz w:val="11"/>
                <w:szCs w:val="11"/>
                <w:b w:val="1"/>
                <w:bCs w:val="1"/>
                <w:color w:val="auto"/>
              </w:rPr>
              <w:t>Have Not</w:t>
            </w:r>
          </w:p>
        </w:tc>
        <w:tc>
          <w:tcPr>
            <w:tcW w:w="1660" w:type="dxa"/>
            <w:vAlign w:val="bottom"/>
          </w:tcPr>
          <w:p>
            <w:pPr>
              <w:jc w:val="right"/>
              <w:ind w:right="486"/>
              <w:spacing w:after="0"/>
              <w:rPr>
                <w:sz w:val="20"/>
                <w:szCs w:val="20"/>
                <w:color w:val="auto"/>
              </w:rPr>
            </w:pPr>
            <w:r>
              <w:rPr>
                <w:rFonts w:ascii="Arial" w:cs="Arial" w:eastAsia="Arial" w:hAnsi="Arial"/>
                <w:sz w:val="11"/>
                <w:szCs w:val="11"/>
                <w:b w:val="1"/>
                <w:bCs w:val="1"/>
                <w:color w:val="auto"/>
              </w:rPr>
              <w:t>Have Not</w:t>
            </w: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Have Not</w:t>
            </w:r>
          </w:p>
        </w:tc>
        <w:tc>
          <w:tcPr>
            <w:tcW w:w="1340" w:type="dxa"/>
            <w:vAlign w:val="bottom"/>
          </w:tcPr>
          <w:p>
            <w:pPr>
              <w:jc w:val="right"/>
              <w:spacing w:after="0"/>
              <w:rPr>
                <w:sz w:val="20"/>
                <w:szCs w:val="20"/>
                <w:color w:val="auto"/>
              </w:rPr>
            </w:pPr>
            <w:r>
              <w:rPr>
                <w:rFonts w:ascii="Arial" w:cs="Arial" w:eastAsia="Arial" w:hAnsi="Arial"/>
                <w:sz w:val="11"/>
                <w:szCs w:val="11"/>
                <w:b w:val="1"/>
                <w:bCs w:val="1"/>
                <w:color w:val="auto"/>
              </w:rPr>
              <w:t>Have Not</w:t>
            </w:r>
          </w:p>
        </w:tc>
        <w:tc>
          <w:tcPr>
            <w:tcW w:w="0" w:type="dxa"/>
            <w:vAlign w:val="bottom"/>
          </w:tcPr>
          <w:p>
            <w:pPr>
              <w:spacing w:after="0"/>
              <w:rPr>
                <w:sz w:val="1"/>
                <w:szCs w:val="1"/>
                <w:color w:val="auto"/>
              </w:rPr>
            </w:pPr>
          </w:p>
        </w:tc>
      </w:tr>
      <w:tr>
        <w:trPr>
          <w:trHeight w:val="176"/>
        </w:trPr>
        <w:tc>
          <w:tcPr>
            <w:tcW w:w="1700" w:type="dxa"/>
            <w:vAlign w:val="bottom"/>
            <w:tcBorders>
              <w:bottom w:val="single" w:sz="8" w:color="D7282F"/>
            </w:tcBorders>
          </w:tcPr>
          <w:p>
            <w:pPr>
              <w:spacing w:after="0"/>
              <w:rPr>
                <w:sz w:val="15"/>
                <w:szCs w:val="15"/>
                <w:color w:val="auto"/>
              </w:rPr>
            </w:pPr>
          </w:p>
        </w:tc>
        <w:tc>
          <w:tcPr>
            <w:tcW w:w="560" w:type="dxa"/>
            <w:vAlign w:val="bottom"/>
            <w:tcBorders>
              <w:bottom w:val="single" w:sz="8" w:color="D7282F"/>
            </w:tcBorders>
          </w:tcPr>
          <w:p>
            <w:pPr>
              <w:jc w:val="center"/>
              <w:spacing w:after="0"/>
              <w:rPr>
                <w:sz w:val="20"/>
                <w:szCs w:val="20"/>
                <w:color w:val="auto"/>
              </w:rPr>
            </w:pPr>
            <w:r>
              <w:rPr>
                <w:rFonts w:ascii="Arial" w:cs="Arial" w:eastAsia="Arial" w:hAnsi="Arial"/>
                <w:sz w:val="11"/>
                <w:szCs w:val="11"/>
                <w:b w:val="1"/>
                <w:bCs w:val="1"/>
                <w:color w:val="auto"/>
              </w:rPr>
              <w:t>Year</w:t>
            </w:r>
          </w:p>
        </w:tc>
        <w:tc>
          <w:tcPr>
            <w:tcW w:w="1140" w:type="dxa"/>
            <w:vAlign w:val="bottom"/>
            <w:tcBorders>
              <w:bottom w:val="single" w:sz="8" w:color="D7282F"/>
            </w:tcBorders>
          </w:tcPr>
          <w:p>
            <w:pPr>
              <w:jc w:val="right"/>
              <w:ind w:right="106"/>
              <w:spacing w:after="0"/>
              <w:rPr>
                <w:sz w:val="20"/>
                <w:szCs w:val="20"/>
                <w:color w:val="auto"/>
              </w:rPr>
            </w:pPr>
            <w:r>
              <w:rPr>
                <w:rFonts w:ascii="Arial" w:cs="Arial" w:eastAsia="Arial" w:hAnsi="Arial"/>
                <w:sz w:val="11"/>
                <w:szCs w:val="11"/>
                <w:b w:val="1"/>
                <w:bCs w:val="1"/>
                <w:color w:val="auto"/>
              </w:rPr>
              <w:t>Exercisable</w:t>
            </w:r>
          </w:p>
        </w:tc>
        <w:tc>
          <w:tcPr>
            <w:tcW w:w="1280" w:type="dxa"/>
            <w:vAlign w:val="bottom"/>
            <w:tcBorders>
              <w:bottom w:val="single" w:sz="8" w:color="D7282F"/>
            </w:tcBorders>
          </w:tcPr>
          <w:p>
            <w:pPr>
              <w:jc w:val="right"/>
              <w:ind w:right="328"/>
              <w:spacing w:after="0"/>
              <w:rPr>
                <w:sz w:val="20"/>
                <w:szCs w:val="20"/>
                <w:color w:val="auto"/>
              </w:rPr>
            </w:pPr>
            <w:r>
              <w:rPr>
                <w:rFonts w:ascii="Arial" w:cs="Arial" w:eastAsia="Arial" w:hAnsi="Arial"/>
                <w:sz w:val="11"/>
                <w:szCs w:val="11"/>
                <w:b w:val="1"/>
                <w:bCs w:val="1"/>
                <w:color w:val="auto"/>
              </w:rPr>
              <w:t>Unexercisable</w:t>
            </w:r>
          </w:p>
        </w:tc>
        <w:tc>
          <w:tcPr>
            <w:tcW w:w="680" w:type="dxa"/>
            <w:vAlign w:val="bottom"/>
            <w:tcBorders>
              <w:bottom w:val="single" w:sz="8" w:color="D7282F"/>
            </w:tcBorders>
          </w:tcPr>
          <w:p>
            <w:pPr>
              <w:jc w:val="right"/>
              <w:ind w:right="66"/>
              <w:spacing w:after="0"/>
              <w:rPr>
                <w:sz w:val="20"/>
                <w:szCs w:val="20"/>
                <w:color w:val="auto"/>
              </w:rPr>
            </w:pPr>
            <w:r>
              <w:rPr>
                <w:rFonts w:ascii="Arial" w:cs="Arial" w:eastAsia="Arial" w:hAnsi="Arial"/>
                <w:sz w:val="11"/>
                <w:szCs w:val="11"/>
                <w:b w:val="1"/>
                <w:bCs w:val="1"/>
                <w:color w:val="auto"/>
              </w:rPr>
              <w:t>Price</w:t>
            </w:r>
          </w:p>
        </w:tc>
        <w:tc>
          <w:tcPr>
            <w:tcW w:w="900" w:type="dxa"/>
            <w:vAlign w:val="bottom"/>
            <w:tcBorders>
              <w:bottom w:val="single" w:sz="8" w:color="D7282F"/>
            </w:tcBorders>
            <w:gridSpan w:val="2"/>
          </w:tcPr>
          <w:p>
            <w:pPr>
              <w:jc w:val="right"/>
              <w:ind w:right="240"/>
              <w:spacing w:after="0"/>
              <w:rPr>
                <w:sz w:val="20"/>
                <w:szCs w:val="20"/>
                <w:color w:val="auto"/>
              </w:rPr>
            </w:pPr>
            <w:r>
              <w:rPr>
                <w:rFonts w:ascii="Arial" w:cs="Arial" w:eastAsia="Arial" w:hAnsi="Arial"/>
                <w:sz w:val="11"/>
                <w:szCs w:val="11"/>
                <w:b w:val="1"/>
                <w:bCs w:val="1"/>
                <w:color w:val="auto"/>
              </w:rPr>
              <w:t>Date</w:t>
            </w:r>
          </w:p>
        </w:tc>
        <w:tc>
          <w:tcPr>
            <w:tcW w:w="1280" w:type="dxa"/>
            <w:vAlign w:val="bottom"/>
            <w:tcBorders>
              <w:bottom w:val="single" w:sz="8" w:color="D7282F"/>
            </w:tcBorders>
          </w:tcPr>
          <w:p>
            <w:pPr>
              <w:jc w:val="right"/>
              <w:ind w:right="434"/>
              <w:spacing w:after="0"/>
              <w:rPr>
                <w:sz w:val="20"/>
                <w:szCs w:val="20"/>
                <w:color w:val="auto"/>
              </w:rPr>
            </w:pPr>
            <w:r>
              <w:rPr>
                <w:rFonts w:ascii="Arial" w:cs="Arial" w:eastAsia="Arial" w:hAnsi="Arial"/>
                <w:sz w:val="11"/>
                <w:szCs w:val="11"/>
                <w:b w:val="1"/>
                <w:bCs w:val="1"/>
                <w:color w:val="auto"/>
              </w:rPr>
              <w:t>Vested</w:t>
            </w:r>
          </w:p>
        </w:tc>
        <w:tc>
          <w:tcPr>
            <w:tcW w:w="1660" w:type="dxa"/>
            <w:vAlign w:val="bottom"/>
            <w:tcBorders>
              <w:bottom w:val="single" w:sz="8" w:color="D7282F"/>
            </w:tcBorders>
          </w:tcPr>
          <w:p>
            <w:pPr>
              <w:jc w:val="right"/>
              <w:ind w:right="486"/>
              <w:spacing w:after="0"/>
              <w:rPr>
                <w:sz w:val="20"/>
                <w:szCs w:val="20"/>
                <w:color w:val="auto"/>
              </w:rPr>
            </w:pPr>
            <w:r>
              <w:rPr>
                <w:rFonts w:ascii="Arial" w:cs="Arial" w:eastAsia="Arial" w:hAnsi="Arial"/>
                <w:sz w:val="11"/>
                <w:szCs w:val="11"/>
                <w:b w:val="1"/>
                <w:bCs w:val="1"/>
                <w:color w:val="auto"/>
              </w:rPr>
              <w:t>Vested</w:t>
            </w:r>
            <w:r>
              <w:rPr>
                <w:rFonts w:ascii="Arial" w:cs="Arial" w:eastAsia="Arial" w:hAnsi="Arial"/>
                <w:sz w:val="7"/>
                <w:szCs w:val="7"/>
                <w:b w:val="1"/>
                <w:bCs w:val="1"/>
                <w:color w:val="auto"/>
              </w:rPr>
              <w:t>(2)</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1"/>
                <w:szCs w:val="11"/>
                <w:b w:val="1"/>
                <w:bCs w:val="1"/>
                <w:color w:val="auto"/>
              </w:rPr>
              <w:t>Vested</w:t>
            </w:r>
          </w:p>
        </w:tc>
        <w:tc>
          <w:tcPr>
            <w:tcW w:w="1340" w:type="dxa"/>
            <w:vAlign w:val="bottom"/>
            <w:tcBorders>
              <w:bottom w:val="single" w:sz="8" w:color="D7282F"/>
            </w:tcBorders>
          </w:tcPr>
          <w:p>
            <w:pPr>
              <w:jc w:val="right"/>
              <w:spacing w:after="0"/>
              <w:rPr>
                <w:sz w:val="20"/>
                <w:szCs w:val="20"/>
                <w:color w:val="auto"/>
              </w:rPr>
            </w:pPr>
            <w:r>
              <w:rPr>
                <w:rFonts w:ascii="Arial" w:cs="Arial" w:eastAsia="Arial" w:hAnsi="Arial"/>
                <w:sz w:val="11"/>
                <w:szCs w:val="11"/>
                <w:b w:val="1"/>
                <w:bCs w:val="1"/>
                <w:color w:val="auto"/>
              </w:rPr>
              <w:t>Vested</w:t>
            </w:r>
            <w:r>
              <w:rPr>
                <w:rFonts w:ascii="Arial" w:cs="Arial" w:eastAsia="Arial" w:hAnsi="Arial"/>
                <w:sz w:val="14"/>
                <w:szCs w:val="14"/>
                <w:b w:val="1"/>
                <w:bCs w:val="1"/>
                <w:color w:val="auto"/>
                <w:vertAlign w:val="superscript"/>
              </w:rPr>
              <w:t>(2)</w:t>
            </w:r>
          </w:p>
        </w:tc>
        <w:tc>
          <w:tcPr>
            <w:tcW w:w="0" w:type="dxa"/>
            <w:vAlign w:val="bottom"/>
          </w:tcPr>
          <w:p>
            <w:pPr>
              <w:spacing w:after="0"/>
              <w:rPr>
                <w:sz w:val="1"/>
                <w:szCs w:val="1"/>
                <w:color w:val="auto"/>
              </w:rPr>
            </w:pPr>
          </w:p>
        </w:tc>
      </w:tr>
      <w:tr>
        <w:trPr>
          <w:trHeight w:val="110"/>
        </w:trPr>
        <w:tc>
          <w:tcPr>
            <w:tcW w:w="1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80" w:type="dxa"/>
            <w:vAlign w:val="bottom"/>
          </w:tcPr>
          <w:p>
            <w:pPr>
              <w:jc w:val="right"/>
              <w:ind w:right="208"/>
              <w:spacing w:after="0"/>
              <w:rPr>
                <w:sz w:val="20"/>
                <w:szCs w:val="20"/>
                <w:color w:val="auto"/>
              </w:rPr>
            </w:pPr>
            <w:r>
              <w:rPr>
                <w:rFonts w:ascii="Arial" w:cs="Arial" w:eastAsia="Arial" w:hAnsi="Arial"/>
                <w:sz w:val="7"/>
                <w:szCs w:val="7"/>
                <w:color w:val="auto"/>
              </w:rPr>
              <w:t>(3)</w:t>
            </w: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40" w:type="dxa"/>
            <w:vAlign w:val="bottom"/>
          </w:tcPr>
          <w:p>
            <w:pPr>
              <w:jc w:val="right"/>
              <w:ind w:right="1192"/>
              <w:spacing w:after="0"/>
              <w:rPr>
                <w:sz w:val="20"/>
                <w:szCs w:val="20"/>
                <w:color w:val="auto"/>
              </w:rPr>
            </w:pPr>
            <w:r>
              <w:rPr>
                <w:rFonts w:ascii="Arial" w:cs="Arial" w:eastAsia="Arial" w:hAnsi="Arial"/>
                <w:sz w:val="7"/>
                <w:szCs w:val="7"/>
                <w:color w:val="auto"/>
                <w:w w:val="92"/>
              </w:rPr>
              <w:t>(4)</w:t>
            </w:r>
          </w:p>
        </w:tc>
        <w:tc>
          <w:tcPr>
            <w:tcW w:w="0" w:type="dxa"/>
            <w:vAlign w:val="bottom"/>
          </w:tcPr>
          <w:p>
            <w:pPr>
              <w:spacing w:after="0"/>
              <w:rPr>
                <w:sz w:val="1"/>
                <w:szCs w:val="1"/>
                <w:color w:val="auto"/>
              </w:rPr>
            </w:pPr>
          </w:p>
        </w:tc>
      </w:tr>
      <w:tr>
        <w:trPr>
          <w:trHeight w:val="153"/>
        </w:trPr>
        <w:tc>
          <w:tcPr>
            <w:tcW w:w="1700" w:type="dxa"/>
            <w:vAlign w:val="bottom"/>
          </w:tcPr>
          <w:p>
            <w:pPr>
              <w:ind w:left="20"/>
              <w:spacing w:after="0"/>
              <w:rPr>
                <w:sz w:val="20"/>
                <w:szCs w:val="20"/>
                <w:color w:val="auto"/>
              </w:rPr>
            </w:pPr>
            <w:r>
              <w:rPr>
                <w:rFonts w:ascii="Arial" w:cs="Arial" w:eastAsia="Arial" w:hAnsi="Arial"/>
                <w:sz w:val="11"/>
                <w:szCs w:val="11"/>
                <w:b w:val="1"/>
                <w:bCs w:val="1"/>
                <w:color w:val="auto"/>
              </w:rPr>
              <w:t>Vimal Kapur</w:t>
            </w:r>
          </w:p>
        </w:tc>
        <w:tc>
          <w:tcPr>
            <w:tcW w:w="560" w:type="dxa"/>
            <w:vAlign w:val="bottom"/>
          </w:tcPr>
          <w:p>
            <w:pPr>
              <w:jc w:val="center"/>
              <w:spacing w:after="0"/>
              <w:rPr>
                <w:sz w:val="20"/>
                <w:szCs w:val="20"/>
                <w:color w:val="auto"/>
              </w:rPr>
            </w:pPr>
            <w:r>
              <w:rPr>
                <w:rFonts w:ascii="Arial" w:cs="Arial" w:eastAsia="Arial" w:hAnsi="Arial"/>
                <w:sz w:val="11"/>
                <w:szCs w:val="11"/>
                <w:color w:val="auto"/>
                <w:w w:val="97"/>
              </w:rPr>
              <w:t>2025</w:t>
            </w:r>
          </w:p>
        </w:tc>
        <w:tc>
          <w:tcPr>
            <w:tcW w:w="114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1280" w:type="dxa"/>
            <w:vAlign w:val="bottom"/>
          </w:tcPr>
          <w:p>
            <w:pPr>
              <w:jc w:val="right"/>
              <w:ind w:right="368"/>
              <w:spacing w:after="0"/>
              <w:rPr>
                <w:sz w:val="20"/>
                <w:szCs w:val="20"/>
                <w:color w:val="auto"/>
              </w:rPr>
            </w:pPr>
            <w:r>
              <w:rPr>
                <w:rFonts w:ascii="Arial" w:cs="Arial" w:eastAsia="Arial" w:hAnsi="Arial"/>
                <w:sz w:val="11"/>
                <w:szCs w:val="11"/>
                <w:color w:val="auto"/>
              </w:rPr>
              <w:t>43,335</w:t>
            </w: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$198.89</w:t>
            </w:r>
          </w:p>
        </w:tc>
        <w:tc>
          <w:tcPr>
            <w:tcW w:w="680" w:type="dxa"/>
            <w:vAlign w:val="bottom"/>
          </w:tcPr>
          <w:p>
            <w:pPr>
              <w:jc w:val="right"/>
              <w:spacing w:after="0"/>
              <w:rPr>
                <w:sz w:val="20"/>
                <w:szCs w:val="20"/>
                <w:color w:val="auto"/>
              </w:rPr>
            </w:pPr>
            <w:r>
              <w:rPr>
                <w:rFonts w:ascii="Arial" w:cs="Arial" w:eastAsia="Arial" w:hAnsi="Arial"/>
                <w:sz w:val="11"/>
                <w:szCs w:val="11"/>
                <w:color w:val="auto"/>
              </w:rPr>
              <w:t>2/18/2035</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6,168</w:t>
            </w:r>
          </w:p>
        </w:tc>
        <w:tc>
          <w:tcPr>
            <w:tcW w:w="1340" w:type="dxa"/>
            <w:vAlign w:val="bottom"/>
          </w:tcPr>
          <w:p>
            <w:pPr>
              <w:jc w:val="right"/>
              <w:ind w:right="12"/>
              <w:spacing w:after="0"/>
              <w:rPr>
                <w:sz w:val="20"/>
                <w:szCs w:val="20"/>
                <w:color w:val="auto"/>
              </w:rPr>
            </w:pPr>
            <w:r>
              <w:rPr>
                <w:rFonts w:ascii="Arial" w:cs="Arial" w:eastAsia="Arial" w:hAnsi="Arial"/>
                <w:sz w:val="11"/>
                <w:szCs w:val="11"/>
                <w:color w:val="auto"/>
              </w:rPr>
              <w:t>$1,203,220</w:t>
            </w:r>
          </w:p>
        </w:tc>
        <w:tc>
          <w:tcPr>
            <w:tcW w:w="0" w:type="dxa"/>
            <w:vAlign w:val="bottom"/>
          </w:tcPr>
          <w:p>
            <w:pPr>
              <w:spacing w:after="0"/>
              <w:rPr>
                <w:sz w:val="1"/>
                <w:szCs w:val="1"/>
                <w:color w:val="auto"/>
              </w:rPr>
            </w:pPr>
          </w:p>
        </w:tc>
      </w:tr>
      <w:tr>
        <w:trPr>
          <w:trHeight w:val="136"/>
        </w:trPr>
        <w:tc>
          <w:tcPr>
            <w:tcW w:w="1700" w:type="dxa"/>
            <w:vAlign w:val="bottom"/>
          </w:tcPr>
          <w:p>
            <w:pPr>
              <w:spacing w:after="0"/>
              <w:rPr>
                <w:sz w:val="11"/>
                <w:szCs w:val="11"/>
                <w:color w:val="auto"/>
              </w:rPr>
            </w:pPr>
          </w:p>
        </w:tc>
        <w:tc>
          <w:tcPr>
            <w:tcW w:w="560" w:type="dxa"/>
            <w:vAlign w:val="bottom"/>
            <w:tcBorders>
              <w:bottom w:val="single" w:sz="8" w:color="939598"/>
            </w:tcBorders>
          </w:tcPr>
          <w:p>
            <w:pPr>
              <w:spacing w:after="0"/>
              <w:rPr>
                <w:sz w:val="11"/>
                <w:szCs w:val="11"/>
                <w:color w:val="auto"/>
              </w:rPr>
            </w:pPr>
          </w:p>
        </w:tc>
        <w:tc>
          <w:tcPr>
            <w:tcW w:w="1140" w:type="dxa"/>
            <w:vAlign w:val="bottom"/>
            <w:tcBorders>
              <w:bottom w:val="single" w:sz="8" w:color="939598"/>
            </w:tcBorders>
          </w:tcPr>
          <w:p>
            <w:pPr>
              <w:spacing w:after="0"/>
              <w:rPr>
                <w:sz w:val="11"/>
                <w:szCs w:val="11"/>
                <w:color w:val="auto"/>
              </w:rPr>
            </w:pPr>
          </w:p>
        </w:tc>
        <w:tc>
          <w:tcPr>
            <w:tcW w:w="1280" w:type="dxa"/>
            <w:vAlign w:val="bottom"/>
            <w:tcBorders>
              <w:bottom w:val="single" w:sz="8" w:color="939598"/>
            </w:tcBorders>
          </w:tcPr>
          <w:p>
            <w:pPr>
              <w:spacing w:after="0"/>
              <w:rPr>
                <w:sz w:val="11"/>
                <w:szCs w:val="11"/>
                <w:color w:val="auto"/>
              </w:rPr>
            </w:pPr>
          </w:p>
        </w:tc>
        <w:tc>
          <w:tcPr>
            <w:tcW w:w="680" w:type="dxa"/>
            <w:vAlign w:val="bottom"/>
            <w:tcBorders>
              <w:bottom w:val="single" w:sz="8" w:color="939598"/>
            </w:tcBorders>
          </w:tcPr>
          <w:p>
            <w:pPr>
              <w:spacing w:after="0"/>
              <w:rPr>
                <w:sz w:val="11"/>
                <w:szCs w:val="11"/>
                <w:color w:val="auto"/>
              </w:rPr>
            </w:pPr>
          </w:p>
        </w:tc>
        <w:tc>
          <w:tcPr>
            <w:tcW w:w="680" w:type="dxa"/>
            <w:vAlign w:val="bottom"/>
            <w:tcBorders>
              <w:bottom w:val="single" w:sz="8" w:color="939598"/>
            </w:tcBorders>
          </w:tcPr>
          <w:p>
            <w:pPr>
              <w:spacing w:after="0"/>
              <w:rPr>
                <w:sz w:val="11"/>
                <w:szCs w:val="11"/>
                <w:color w:val="auto"/>
              </w:rPr>
            </w:pPr>
          </w:p>
        </w:tc>
        <w:tc>
          <w:tcPr>
            <w:tcW w:w="220" w:type="dxa"/>
            <w:vAlign w:val="bottom"/>
            <w:tcBorders>
              <w:bottom w:val="single" w:sz="8" w:color="939598"/>
            </w:tcBorders>
          </w:tcPr>
          <w:p>
            <w:pPr>
              <w:spacing w:after="0"/>
              <w:rPr>
                <w:sz w:val="11"/>
                <w:szCs w:val="11"/>
                <w:color w:val="auto"/>
              </w:rPr>
            </w:pPr>
          </w:p>
        </w:tc>
        <w:tc>
          <w:tcPr>
            <w:tcW w:w="1280" w:type="dxa"/>
            <w:vAlign w:val="bottom"/>
            <w:tcBorders>
              <w:bottom w:val="single" w:sz="8" w:color="939598"/>
            </w:tcBorders>
          </w:tcPr>
          <w:p>
            <w:pPr>
              <w:spacing w:after="0"/>
              <w:rPr>
                <w:sz w:val="11"/>
                <w:szCs w:val="11"/>
                <w:color w:val="auto"/>
              </w:rPr>
            </w:pPr>
          </w:p>
        </w:tc>
        <w:tc>
          <w:tcPr>
            <w:tcW w:w="1660" w:type="dxa"/>
            <w:vAlign w:val="bottom"/>
            <w:tcBorders>
              <w:bottom w:val="single" w:sz="8" w:color="939598"/>
            </w:tcBorders>
          </w:tcPr>
          <w:p>
            <w:pPr>
              <w:spacing w:after="0"/>
              <w:rPr>
                <w:sz w:val="11"/>
                <w:szCs w:val="11"/>
                <w:color w:val="auto"/>
              </w:rPr>
            </w:pPr>
          </w:p>
        </w:tc>
        <w:tc>
          <w:tcPr>
            <w:tcW w:w="680" w:type="dxa"/>
            <w:vAlign w:val="bottom"/>
            <w:tcBorders>
              <w:bottom w:val="single" w:sz="8" w:color="939598"/>
            </w:tcBorders>
          </w:tcPr>
          <w:p>
            <w:pPr>
              <w:spacing w:after="0"/>
              <w:rPr>
                <w:sz w:val="11"/>
                <w:szCs w:val="11"/>
                <w:color w:val="auto"/>
              </w:rPr>
            </w:pPr>
          </w:p>
        </w:tc>
        <w:tc>
          <w:tcPr>
            <w:tcW w:w="134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1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ind w:left="840"/>
              <w:spacing w:after="0"/>
              <w:rPr>
                <w:sz w:val="20"/>
                <w:szCs w:val="20"/>
                <w:color w:val="auto"/>
              </w:rPr>
            </w:pPr>
            <w:r>
              <w:rPr>
                <w:rFonts w:ascii="Arial" w:cs="Arial" w:eastAsia="Arial" w:hAnsi="Arial"/>
                <w:sz w:val="7"/>
                <w:szCs w:val="7"/>
                <w:color w:val="auto"/>
              </w:rPr>
              <w:t>(5)</w:t>
            </w:r>
          </w:p>
        </w:tc>
        <w:tc>
          <w:tcPr>
            <w:tcW w:w="1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40" w:type="dxa"/>
            <w:vAlign w:val="bottom"/>
          </w:tcPr>
          <w:p>
            <w:pPr>
              <w:jc w:val="right"/>
              <w:ind w:right="1192"/>
              <w:spacing w:after="0"/>
              <w:rPr>
                <w:sz w:val="20"/>
                <w:szCs w:val="20"/>
                <w:color w:val="auto"/>
              </w:rPr>
            </w:pPr>
            <w:r>
              <w:rPr>
                <w:rFonts w:ascii="Arial" w:cs="Arial" w:eastAsia="Arial" w:hAnsi="Arial"/>
                <w:sz w:val="7"/>
                <w:szCs w:val="7"/>
                <w:color w:val="auto"/>
                <w:w w:val="92"/>
              </w:rPr>
              <w:t>(6)</w:t>
            </w:r>
          </w:p>
        </w:tc>
        <w:tc>
          <w:tcPr>
            <w:tcW w:w="0" w:type="dxa"/>
            <w:vAlign w:val="bottom"/>
          </w:tcPr>
          <w:p>
            <w:pPr>
              <w:spacing w:after="0"/>
              <w:rPr>
                <w:sz w:val="1"/>
                <w:szCs w:val="1"/>
                <w:color w:val="auto"/>
              </w:rPr>
            </w:pPr>
          </w:p>
        </w:tc>
      </w:tr>
      <w:tr>
        <w:trPr>
          <w:trHeight w:val="147"/>
        </w:trPr>
        <w:tc>
          <w:tcPr>
            <w:tcW w:w="170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auto"/>
                <w:w w:val="97"/>
              </w:rPr>
              <w:t>2025</w:t>
            </w:r>
          </w:p>
        </w:tc>
        <w:tc>
          <w:tcPr>
            <w:tcW w:w="114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1280" w:type="dxa"/>
            <w:vAlign w:val="bottom"/>
          </w:tcPr>
          <w:p>
            <w:pPr>
              <w:jc w:val="right"/>
              <w:ind w:right="368"/>
              <w:spacing w:after="0"/>
              <w:rPr>
                <w:sz w:val="20"/>
                <w:szCs w:val="20"/>
                <w:color w:val="auto"/>
              </w:rPr>
            </w:pPr>
            <w:r>
              <w:rPr>
                <w:rFonts w:ascii="Arial" w:cs="Arial" w:eastAsia="Arial" w:hAnsi="Arial"/>
                <w:sz w:val="11"/>
                <w:szCs w:val="11"/>
                <w:color w:val="auto"/>
              </w:rPr>
              <w:t>87,244</w:t>
            </w: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198.89</w:t>
            </w:r>
          </w:p>
        </w:tc>
        <w:tc>
          <w:tcPr>
            <w:tcW w:w="680" w:type="dxa"/>
            <w:vAlign w:val="bottom"/>
          </w:tcPr>
          <w:p>
            <w:pPr>
              <w:jc w:val="right"/>
              <w:spacing w:after="0"/>
              <w:rPr>
                <w:sz w:val="20"/>
                <w:szCs w:val="20"/>
                <w:color w:val="auto"/>
              </w:rPr>
            </w:pPr>
            <w:r>
              <w:rPr>
                <w:rFonts w:ascii="Arial" w:cs="Arial" w:eastAsia="Arial" w:hAnsi="Arial"/>
                <w:sz w:val="11"/>
                <w:szCs w:val="11"/>
                <w:color w:val="auto"/>
              </w:rPr>
              <w:t>2/18/2035</w:t>
            </w:r>
          </w:p>
        </w:tc>
        <w:tc>
          <w:tcPr>
            <w:tcW w:w="220" w:type="dxa"/>
            <w:vAlign w:val="bottom"/>
          </w:tcPr>
          <w:p>
            <w:pPr>
              <w:spacing w:after="0"/>
              <w:rPr>
                <w:sz w:val="12"/>
                <w:szCs w:val="12"/>
                <w:color w:val="auto"/>
              </w:rPr>
            </w:pPr>
          </w:p>
        </w:tc>
        <w:tc>
          <w:tcPr>
            <w:tcW w:w="1280" w:type="dxa"/>
            <w:vAlign w:val="bottom"/>
          </w:tcPr>
          <w:p>
            <w:pPr>
              <w:jc w:val="right"/>
              <w:ind w:right="474"/>
              <w:spacing w:after="0"/>
              <w:rPr>
                <w:sz w:val="20"/>
                <w:szCs w:val="20"/>
                <w:color w:val="auto"/>
              </w:rPr>
            </w:pPr>
            <w:r>
              <w:rPr>
                <w:rFonts w:ascii="Arial" w:cs="Arial" w:eastAsia="Arial" w:hAnsi="Arial"/>
                <w:sz w:val="11"/>
                <w:szCs w:val="11"/>
                <w:color w:val="auto"/>
              </w:rPr>
              <w:t>18,544</w:t>
            </w:r>
          </w:p>
        </w:tc>
        <w:tc>
          <w:tcPr>
            <w:tcW w:w="1660" w:type="dxa"/>
            <w:vAlign w:val="bottom"/>
          </w:tcPr>
          <w:p>
            <w:pPr>
              <w:jc w:val="right"/>
              <w:ind w:right="526"/>
              <w:spacing w:after="0"/>
              <w:rPr>
                <w:sz w:val="20"/>
                <w:szCs w:val="20"/>
                <w:color w:val="auto"/>
              </w:rPr>
            </w:pPr>
            <w:r>
              <w:rPr>
                <w:rFonts w:ascii="Arial" w:cs="Arial" w:eastAsia="Arial" w:hAnsi="Arial"/>
                <w:sz w:val="11"/>
                <w:szCs w:val="11"/>
                <w:color w:val="auto"/>
              </w:rPr>
              <w:t>$3,617,833</w:t>
            </w: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36,980</w:t>
            </w:r>
          </w:p>
        </w:tc>
        <w:tc>
          <w:tcPr>
            <w:tcW w:w="1340" w:type="dxa"/>
            <w:vAlign w:val="bottom"/>
          </w:tcPr>
          <w:p>
            <w:pPr>
              <w:jc w:val="right"/>
              <w:ind w:right="12"/>
              <w:spacing w:after="0"/>
              <w:rPr>
                <w:sz w:val="20"/>
                <w:szCs w:val="20"/>
                <w:color w:val="auto"/>
              </w:rPr>
            </w:pPr>
            <w:r>
              <w:rPr>
                <w:rFonts w:ascii="Arial" w:cs="Arial" w:eastAsia="Arial" w:hAnsi="Arial"/>
                <w:sz w:val="11"/>
                <w:szCs w:val="11"/>
                <w:color w:val="auto"/>
              </w:rPr>
              <w:t>7,214,334</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560" w:type="dxa"/>
            <w:vAlign w:val="bottom"/>
            <w:tcBorders>
              <w:bottom w:val="single" w:sz="8" w:color="939598"/>
            </w:tcBorders>
          </w:tcPr>
          <w:p>
            <w:pPr>
              <w:spacing w:after="0"/>
              <w:rPr>
                <w:sz w:val="12"/>
                <w:szCs w:val="12"/>
                <w:color w:val="auto"/>
              </w:rPr>
            </w:pPr>
          </w:p>
        </w:tc>
        <w:tc>
          <w:tcPr>
            <w:tcW w:w="1140" w:type="dxa"/>
            <w:vAlign w:val="bottom"/>
            <w:tcBorders>
              <w:bottom w:val="single" w:sz="8" w:color="939598"/>
            </w:tcBorders>
          </w:tcPr>
          <w:p>
            <w:pPr>
              <w:spacing w:after="0"/>
              <w:rPr>
                <w:sz w:val="12"/>
                <w:szCs w:val="12"/>
                <w:color w:val="auto"/>
              </w:rPr>
            </w:pPr>
          </w:p>
        </w:tc>
        <w:tc>
          <w:tcPr>
            <w:tcW w:w="12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220" w:type="dxa"/>
            <w:vAlign w:val="bottom"/>
            <w:tcBorders>
              <w:bottom w:val="single" w:sz="8" w:color="939598"/>
            </w:tcBorders>
          </w:tcPr>
          <w:p>
            <w:pPr>
              <w:spacing w:after="0"/>
              <w:rPr>
                <w:sz w:val="12"/>
                <w:szCs w:val="12"/>
                <w:color w:val="auto"/>
              </w:rPr>
            </w:pPr>
          </w:p>
        </w:tc>
        <w:tc>
          <w:tcPr>
            <w:tcW w:w="1280" w:type="dxa"/>
            <w:vAlign w:val="bottom"/>
            <w:tcBorders>
              <w:bottom w:val="single" w:sz="8" w:color="939598"/>
            </w:tcBorders>
          </w:tcPr>
          <w:p>
            <w:pPr>
              <w:spacing w:after="0"/>
              <w:rPr>
                <w:sz w:val="12"/>
                <w:szCs w:val="12"/>
                <w:color w:val="auto"/>
              </w:rPr>
            </w:pPr>
          </w:p>
        </w:tc>
        <w:tc>
          <w:tcPr>
            <w:tcW w:w="166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1340" w:type="dxa"/>
            <w:vAlign w:val="bottom"/>
            <w:tcBorders>
              <w:bottom w:val="single" w:sz="8" w:color="939598"/>
            </w:tcBorders>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ind w:left="840"/>
              <w:spacing w:after="0"/>
              <w:rPr>
                <w:sz w:val="20"/>
                <w:szCs w:val="20"/>
                <w:color w:val="auto"/>
              </w:rPr>
            </w:pPr>
            <w:r>
              <w:rPr>
                <w:rFonts w:ascii="Arial" w:cs="Arial" w:eastAsia="Arial" w:hAnsi="Arial"/>
                <w:sz w:val="7"/>
                <w:szCs w:val="7"/>
                <w:color w:val="auto"/>
              </w:rPr>
              <w:t>(7)</w:t>
            </w:r>
          </w:p>
        </w:tc>
        <w:tc>
          <w:tcPr>
            <w:tcW w:w="1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40" w:type="dxa"/>
            <w:vAlign w:val="bottom"/>
          </w:tcPr>
          <w:p>
            <w:pPr>
              <w:jc w:val="right"/>
              <w:ind w:right="1192"/>
              <w:spacing w:after="0"/>
              <w:rPr>
                <w:sz w:val="20"/>
                <w:szCs w:val="20"/>
                <w:color w:val="auto"/>
              </w:rPr>
            </w:pPr>
            <w:r>
              <w:rPr>
                <w:rFonts w:ascii="Arial" w:cs="Arial" w:eastAsia="Arial" w:hAnsi="Arial"/>
                <w:sz w:val="7"/>
                <w:szCs w:val="7"/>
                <w:color w:val="auto"/>
                <w:w w:val="92"/>
              </w:rPr>
              <w:t>(8)</w:t>
            </w:r>
          </w:p>
        </w:tc>
        <w:tc>
          <w:tcPr>
            <w:tcW w:w="0" w:type="dxa"/>
            <w:vAlign w:val="bottom"/>
          </w:tcPr>
          <w:p>
            <w:pPr>
              <w:spacing w:after="0"/>
              <w:rPr>
                <w:sz w:val="1"/>
                <w:szCs w:val="1"/>
                <w:color w:val="auto"/>
              </w:rPr>
            </w:pPr>
          </w:p>
        </w:tc>
      </w:tr>
      <w:tr>
        <w:trPr>
          <w:trHeight w:val="147"/>
        </w:trPr>
        <w:tc>
          <w:tcPr>
            <w:tcW w:w="170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auto"/>
                <w:w w:val="97"/>
              </w:rPr>
              <w:t>2024</w:t>
            </w:r>
          </w:p>
        </w:tc>
        <w:tc>
          <w:tcPr>
            <w:tcW w:w="1140" w:type="dxa"/>
            <w:vAlign w:val="bottom"/>
          </w:tcPr>
          <w:p>
            <w:pPr>
              <w:jc w:val="right"/>
              <w:ind w:right="146"/>
              <w:spacing w:after="0"/>
              <w:rPr>
                <w:sz w:val="20"/>
                <w:szCs w:val="20"/>
                <w:color w:val="auto"/>
              </w:rPr>
            </w:pPr>
            <w:r>
              <w:rPr>
                <w:rFonts w:ascii="Arial" w:cs="Arial" w:eastAsia="Arial" w:hAnsi="Arial"/>
                <w:sz w:val="11"/>
                <w:szCs w:val="11"/>
                <w:color w:val="auto"/>
              </w:rPr>
              <w:t>22,444</w:t>
            </w:r>
          </w:p>
        </w:tc>
        <w:tc>
          <w:tcPr>
            <w:tcW w:w="1280" w:type="dxa"/>
            <w:vAlign w:val="bottom"/>
          </w:tcPr>
          <w:p>
            <w:pPr>
              <w:jc w:val="right"/>
              <w:ind w:right="368"/>
              <w:spacing w:after="0"/>
              <w:rPr>
                <w:sz w:val="20"/>
                <w:szCs w:val="20"/>
                <w:color w:val="auto"/>
              </w:rPr>
            </w:pPr>
            <w:r>
              <w:rPr>
                <w:rFonts w:ascii="Arial" w:cs="Arial" w:eastAsia="Arial" w:hAnsi="Arial"/>
                <w:sz w:val="11"/>
                <w:szCs w:val="11"/>
                <w:color w:val="auto"/>
              </w:rPr>
              <w:t>67,332</w:t>
            </w: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187.39</w:t>
            </w:r>
          </w:p>
        </w:tc>
        <w:tc>
          <w:tcPr>
            <w:tcW w:w="680" w:type="dxa"/>
            <w:vAlign w:val="bottom"/>
          </w:tcPr>
          <w:p>
            <w:pPr>
              <w:jc w:val="right"/>
              <w:spacing w:after="0"/>
              <w:rPr>
                <w:sz w:val="20"/>
                <w:szCs w:val="20"/>
                <w:color w:val="auto"/>
              </w:rPr>
            </w:pPr>
            <w:r>
              <w:rPr>
                <w:rFonts w:ascii="Arial" w:cs="Arial" w:eastAsia="Arial" w:hAnsi="Arial"/>
                <w:sz w:val="11"/>
                <w:szCs w:val="11"/>
                <w:color w:val="auto"/>
              </w:rPr>
              <w:t>2/15/2034</w:t>
            </w:r>
          </w:p>
        </w:tc>
        <w:tc>
          <w:tcPr>
            <w:tcW w:w="220" w:type="dxa"/>
            <w:vAlign w:val="bottom"/>
          </w:tcPr>
          <w:p>
            <w:pPr>
              <w:spacing w:after="0"/>
              <w:rPr>
                <w:sz w:val="12"/>
                <w:szCs w:val="12"/>
                <w:color w:val="auto"/>
              </w:rPr>
            </w:pPr>
          </w:p>
        </w:tc>
        <w:tc>
          <w:tcPr>
            <w:tcW w:w="1280" w:type="dxa"/>
            <w:vAlign w:val="bottom"/>
          </w:tcPr>
          <w:p>
            <w:pPr>
              <w:jc w:val="right"/>
              <w:ind w:right="474"/>
              <w:spacing w:after="0"/>
              <w:rPr>
                <w:sz w:val="20"/>
                <w:szCs w:val="20"/>
                <w:color w:val="auto"/>
              </w:rPr>
            </w:pPr>
            <w:r>
              <w:rPr>
                <w:rFonts w:ascii="Arial" w:cs="Arial" w:eastAsia="Arial" w:hAnsi="Arial"/>
                <w:sz w:val="11"/>
                <w:szCs w:val="11"/>
                <w:color w:val="auto"/>
              </w:rPr>
              <w:t>18,166</w:t>
            </w:r>
          </w:p>
        </w:tc>
        <w:tc>
          <w:tcPr>
            <w:tcW w:w="1660" w:type="dxa"/>
            <w:vAlign w:val="bottom"/>
          </w:tcPr>
          <w:p>
            <w:pPr>
              <w:jc w:val="right"/>
              <w:ind w:right="526"/>
              <w:spacing w:after="0"/>
              <w:rPr>
                <w:sz w:val="20"/>
                <w:szCs w:val="20"/>
                <w:color w:val="auto"/>
              </w:rPr>
            </w:pPr>
            <w:r>
              <w:rPr>
                <w:rFonts w:ascii="Arial" w:cs="Arial" w:eastAsia="Arial" w:hAnsi="Arial"/>
                <w:sz w:val="11"/>
                <w:szCs w:val="11"/>
                <w:color w:val="auto"/>
              </w:rPr>
              <w:t>3,543,966</w:t>
            </w: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35,341</w:t>
            </w:r>
          </w:p>
        </w:tc>
        <w:tc>
          <w:tcPr>
            <w:tcW w:w="1340" w:type="dxa"/>
            <w:vAlign w:val="bottom"/>
          </w:tcPr>
          <w:p>
            <w:pPr>
              <w:jc w:val="right"/>
              <w:ind w:right="12"/>
              <w:spacing w:after="0"/>
              <w:rPr>
                <w:sz w:val="20"/>
                <w:szCs w:val="20"/>
                <w:color w:val="auto"/>
              </w:rPr>
            </w:pPr>
            <w:r>
              <w:rPr>
                <w:rFonts w:ascii="Arial" w:cs="Arial" w:eastAsia="Arial" w:hAnsi="Arial"/>
                <w:sz w:val="11"/>
                <w:szCs w:val="11"/>
                <w:color w:val="auto"/>
              </w:rPr>
              <w:t>6,894,722</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560" w:type="dxa"/>
            <w:vAlign w:val="bottom"/>
            <w:tcBorders>
              <w:bottom w:val="single" w:sz="8" w:color="939598"/>
            </w:tcBorders>
          </w:tcPr>
          <w:p>
            <w:pPr>
              <w:spacing w:after="0"/>
              <w:rPr>
                <w:sz w:val="12"/>
                <w:szCs w:val="12"/>
                <w:color w:val="auto"/>
              </w:rPr>
            </w:pPr>
          </w:p>
        </w:tc>
        <w:tc>
          <w:tcPr>
            <w:tcW w:w="1140" w:type="dxa"/>
            <w:vAlign w:val="bottom"/>
            <w:tcBorders>
              <w:bottom w:val="single" w:sz="8" w:color="939598"/>
            </w:tcBorders>
          </w:tcPr>
          <w:p>
            <w:pPr>
              <w:spacing w:after="0"/>
              <w:rPr>
                <w:sz w:val="12"/>
                <w:szCs w:val="12"/>
                <w:color w:val="auto"/>
              </w:rPr>
            </w:pPr>
          </w:p>
        </w:tc>
        <w:tc>
          <w:tcPr>
            <w:tcW w:w="12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220" w:type="dxa"/>
            <w:vAlign w:val="bottom"/>
            <w:tcBorders>
              <w:bottom w:val="single" w:sz="8" w:color="939598"/>
            </w:tcBorders>
          </w:tcPr>
          <w:p>
            <w:pPr>
              <w:spacing w:after="0"/>
              <w:rPr>
                <w:sz w:val="12"/>
                <w:szCs w:val="12"/>
                <w:color w:val="auto"/>
              </w:rPr>
            </w:pPr>
          </w:p>
        </w:tc>
        <w:tc>
          <w:tcPr>
            <w:tcW w:w="1280" w:type="dxa"/>
            <w:vAlign w:val="bottom"/>
            <w:tcBorders>
              <w:bottom w:val="single" w:sz="8" w:color="939598"/>
            </w:tcBorders>
          </w:tcPr>
          <w:p>
            <w:pPr>
              <w:spacing w:after="0"/>
              <w:rPr>
                <w:sz w:val="12"/>
                <w:szCs w:val="12"/>
                <w:color w:val="auto"/>
              </w:rPr>
            </w:pPr>
          </w:p>
        </w:tc>
        <w:tc>
          <w:tcPr>
            <w:tcW w:w="166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1340" w:type="dxa"/>
            <w:vAlign w:val="bottom"/>
            <w:tcBorders>
              <w:bottom w:val="single" w:sz="8" w:color="939598"/>
            </w:tcBorders>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ind w:left="840"/>
              <w:spacing w:after="0"/>
              <w:rPr>
                <w:sz w:val="20"/>
                <w:szCs w:val="20"/>
                <w:color w:val="auto"/>
              </w:rPr>
            </w:pPr>
            <w:r>
              <w:rPr>
                <w:rFonts w:ascii="Arial" w:cs="Arial" w:eastAsia="Arial" w:hAnsi="Arial"/>
                <w:sz w:val="7"/>
                <w:szCs w:val="7"/>
                <w:color w:val="auto"/>
              </w:rPr>
              <w:t>(9)</w:t>
            </w:r>
          </w:p>
        </w:tc>
        <w:tc>
          <w:tcPr>
            <w:tcW w:w="1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70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auto"/>
                <w:w w:val="97"/>
              </w:rPr>
              <w:t>2023</w:t>
            </w:r>
          </w:p>
        </w:tc>
        <w:tc>
          <w:tcPr>
            <w:tcW w:w="1140" w:type="dxa"/>
            <w:vAlign w:val="bottom"/>
          </w:tcPr>
          <w:p>
            <w:pPr>
              <w:jc w:val="right"/>
              <w:ind w:right="146"/>
              <w:spacing w:after="0"/>
              <w:rPr>
                <w:sz w:val="20"/>
                <w:szCs w:val="20"/>
                <w:color w:val="auto"/>
              </w:rPr>
            </w:pPr>
            <w:r>
              <w:rPr>
                <w:rFonts w:ascii="Arial" w:cs="Arial" w:eastAsia="Arial" w:hAnsi="Arial"/>
                <w:sz w:val="11"/>
                <w:szCs w:val="11"/>
                <w:color w:val="auto"/>
              </w:rPr>
              <w:t>15,081</w:t>
            </w:r>
          </w:p>
        </w:tc>
        <w:tc>
          <w:tcPr>
            <w:tcW w:w="1280" w:type="dxa"/>
            <w:vAlign w:val="bottom"/>
          </w:tcPr>
          <w:p>
            <w:pPr>
              <w:jc w:val="right"/>
              <w:ind w:right="368"/>
              <w:spacing w:after="0"/>
              <w:rPr>
                <w:sz w:val="20"/>
                <w:szCs w:val="20"/>
                <w:color w:val="auto"/>
              </w:rPr>
            </w:pPr>
            <w:r>
              <w:rPr>
                <w:rFonts w:ascii="Arial" w:cs="Arial" w:eastAsia="Arial" w:hAnsi="Arial"/>
                <w:sz w:val="11"/>
                <w:szCs w:val="11"/>
                <w:color w:val="auto"/>
              </w:rPr>
              <w:t>15,082</w:t>
            </w: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182.37</w:t>
            </w:r>
          </w:p>
        </w:tc>
        <w:tc>
          <w:tcPr>
            <w:tcW w:w="680" w:type="dxa"/>
            <w:vAlign w:val="bottom"/>
          </w:tcPr>
          <w:p>
            <w:pPr>
              <w:jc w:val="right"/>
              <w:spacing w:after="0"/>
              <w:rPr>
                <w:sz w:val="20"/>
                <w:szCs w:val="20"/>
                <w:color w:val="auto"/>
              </w:rPr>
            </w:pPr>
            <w:r>
              <w:rPr>
                <w:rFonts w:ascii="Arial" w:cs="Arial" w:eastAsia="Arial" w:hAnsi="Arial"/>
                <w:sz w:val="11"/>
                <w:szCs w:val="11"/>
                <w:color w:val="auto"/>
              </w:rPr>
              <w:t>5/31/2033</w:t>
            </w:r>
          </w:p>
        </w:tc>
        <w:tc>
          <w:tcPr>
            <w:tcW w:w="220" w:type="dxa"/>
            <w:vAlign w:val="bottom"/>
          </w:tcPr>
          <w:p>
            <w:pPr>
              <w:spacing w:after="0"/>
              <w:rPr>
                <w:sz w:val="12"/>
                <w:szCs w:val="12"/>
                <w:color w:val="auto"/>
              </w:rPr>
            </w:pPr>
          </w:p>
        </w:tc>
        <w:tc>
          <w:tcPr>
            <w:tcW w:w="1280" w:type="dxa"/>
            <w:vAlign w:val="bottom"/>
          </w:tcPr>
          <w:p>
            <w:pPr>
              <w:jc w:val="right"/>
              <w:ind w:right="474"/>
              <w:spacing w:after="0"/>
              <w:rPr>
                <w:sz w:val="20"/>
                <w:szCs w:val="20"/>
                <w:color w:val="auto"/>
              </w:rPr>
            </w:pPr>
            <w:r>
              <w:rPr>
                <w:rFonts w:ascii="Arial" w:cs="Arial" w:eastAsia="Arial" w:hAnsi="Arial"/>
                <w:sz w:val="11"/>
                <w:szCs w:val="11"/>
                <w:color w:val="auto"/>
              </w:rPr>
              <w:t>4,034</w:t>
            </w:r>
          </w:p>
        </w:tc>
        <w:tc>
          <w:tcPr>
            <w:tcW w:w="1660" w:type="dxa"/>
            <w:vAlign w:val="bottom"/>
          </w:tcPr>
          <w:p>
            <w:pPr>
              <w:jc w:val="right"/>
              <w:ind w:right="526"/>
              <w:spacing w:after="0"/>
              <w:rPr>
                <w:sz w:val="20"/>
                <w:szCs w:val="20"/>
                <w:color w:val="auto"/>
              </w:rPr>
            </w:pPr>
            <w:r>
              <w:rPr>
                <w:rFonts w:ascii="Arial" w:cs="Arial" w:eastAsia="Arial" w:hAnsi="Arial"/>
                <w:sz w:val="11"/>
                <w:szCs w:val="11"/>
                <w:color w:val="auto"/>
              </w:rPr>
              <w:t>787,058</w:t>
            </w:r>
          </w:p>
        </w:tc>
        <w:tc>
          <w:tcPr>
            <w:tcW w:w="6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700" w:type="dxa"/>
            <w:vAlign w:val="bottom"/>
          </w:tcPr>
          <w:p>
            <w:pPr>
              <w:spacing w:after="0"/>
              <w:rPr>
                <w:sz w:val="12"/>
                <w:szCs w:val="12"/>
                <w:color w:val="auto"/>
              </w:rPr>
            </w:pPr>
          </w:p>
        </w:tc>
        <w:tc>
          <w:tcPr>
            <w:tcW w:w="560" w:type="dxa"/>
            <w:vAlign w:val="bottom"/>
            <w:tcBorders>
              <w:bottom w:val="single" w:sz="8" w:color="939598"/>
            </w:tcBorders>
          </w:tcPr>
          <w:p>
            <w:pPr>
              <w:spacing w:after="0"/>
              <w:rPr>
                <w:sz w:val="12"/>
                <w:szCs w:val="12"/>
                <w:color w:val="auto"/>
              </w:rPr>
            </w:pPr>
          </w:p>
        </w:tc>
        <w:tc>
          <w:tcPr>
            <w:tcW w:w="1140" w:type="dxa"/>
            <w:vAlign w:val="bottom"/>
            <w:tcBorders>
              <w:bottom w:val="single" w:sz="8" w:color="939598"/>
            </w:tcBorders>
          </w:tcPr>
          <w:p>
            <w:pPr>
              <w:spacing w:after="0"/>
              <w:rPr>
                <w:sz w:val="12"/>
                <w:szCs w:val="12"/>
                <w:color w:val="auto"/>
              </w:rPr>
            </w:pPr>
          </w:p>
        </w:tc>
        <w:tc>
          <w:tcPr>
            <w:tcW w:w="12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220" w:type="dxa"/>
            <w:vAlign w:val="bottom"/>
            <w:tcBorders>
              <w:bottom w:val="single" w:sz="8" w:color="939598"/>
            </w:tcBorders>
          </w:tcPr>
          <w:p>
            <w:pPr>
              <w:spacing w:after="0"/>
              <w:rPr>
                <w:sz w:val="12"/>
                <w:szCs w:val="12"/>
                <w:color w:val="auto"/>
              </w:rPr>
            </w:pPr>
          </w:p>
        </w:tc>
        <w:tc>
          <w:tcPr>
            <w:tcW w:w="1280" w:type="dxa"/>
            <w:vAlign w:val="bottom"/>
            <w:tcBorders>
              <w:bottom w:val="single" w:sz="8" w:color="939598"/>
            </w:tcBorders>
          </w:tcPr>
          <w:p>
            <w:pPr>
              <w:spacing w:after="0"/>
              <w:rPr>
                <w:sz w:val="12"/>
                <w:szCs w:val="12"/>
                <w:color w:val="auto"/>
              </w:rPr>
            </w:pPr>
          </w:p>
        </w:tc>
        <w:tc>
          <w:tcPr>
            <w:tcW w:w="166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1340" w:type="dxa"/>
            <w:vAlign w:val="bottom"/>
            <w:tcBorders>
              <w:bottom w:val="single" w:sz="8" w:color="939598"/>
            </w:tcBorders>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ind w:left="840"/>
              <w:spacing w:after="0"/>
              <w:rPr>
                <w:sz w:val="20"/>
                <w:szCs w:val="20"/>
                <w:color w:val="auto"/>
              </w:rPr>
            </w:pPr>
            <w:r>
              <w:rPr>
                <w:rFonts w:ascii="Arial" w:cs="Arial" w:eastAsia="Arial" w:hAnsi="Arial"/>
                <w:sz w:val="7"/>
                <w:szCs w:val="7"/>
                <w:color w:val="auto"/>
              </w:rPr>
              <w:t>(10)</w:t>
            </w:r>
          </w:p>
        </w:tc>
        <w:tc>
          <w:tcPr>
            <w:tcW w:w="1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70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auto"/>
                <w:w w:val="97"/>
              </w:rPr>
              <w:t>2023</w:t>
            </w:r>
          </w:p>
        </w:tc>
        <w:tc>
          <w:tcPr>
            <w:tcW w:w="1140" w:type="dxa"/>
            <w:vAlign w:val="bottom"/>
          </w:tcPr>
          <w:p>
            <w:pPr>
              <w:jc w:val="right"/>
              <w:ind w:right="146"/>
              <w:spacing w:after="0"/>
              <w:rPr>
                <w:sz w:val="20"/>
                <w:szCs w:val="20"/>
                <w:color w:val="auto"/>
              </w:rPr>
            </w:pPr>
            <w:r>
              <w:rPr>
                <w:rFonts w:ascii="Arial" w:cs="Arial" w:eastAsia="Arial" w:hAnsi="Arial"/>
                <w:sz w:val="11"/>
                <w:szCs w:val="11"/>
                <w:color w:val="auto"/>
              </w:rPr>
              <w:t>19,495</w:t>
            </w:r>
          </w:p>
        </w:tc>
        <w:tc>
          <w:tcPr>
            <w:tcW w:w="1280" w:type="dxa"/>
            <w:vAlign w:val="bottom"/>
          </w:tcPr>
          <w:p>
            <w:pPr>
              <w:jc w:val="right"/>
              <w:ind w:right="368"/>
              <w:spacing w:after="0"/>
              <w:rPr>
                <w:sz w:val="20"/>
                <w:szCs w:val="20"/>
                <w:color w:val="auto"/>
              </w:rPr>
            </w:pPr>
            <w:r>
              <w:rPr>
                <w:rFonts w:ascii="Arial" w:cs="Arial" w:eastAsia="Arial" w:hAnsi="Arial"/>
                <w:sz w:val="11"/>
                <w:szCs w:val="11"/>
                <w:color w:val="auto"/>
              </w:rPr>
              <w:t>19,496</w:t>
            </w: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189.21</w:t>
            </w:r>
          </w:p>
        </w:tc>
        <w:tc>
          <w:tcPr>
            <w:tcW w:w="680" w:type="dxa"/>
            <w:vAlign w:val="bottom"/>
          </w:tcPr>
          <w:p>
            <w:pPr>
              <w:jc w:val="right"/>
              <w:spacing w:after="0"/>
              <w:rPr>
                <w:sz w:val="20"/>
                <w:szCs w:val="20"/>
                <w:color w:val="auto"/>
              </w:rPr>
            </w:pPr>
            <w:r>
              <w:rPr>
                <w:rFonts w:ascii="Arial" w:cs="Arial" w:eastAsia="Arial" w:hAnsi="Arial"/>
                <w:sz w:val="11"/>
                <w:szCs w:val="11"/>
                <w:color w:val="auto"/>
              </w:rPr>
              <w:t>2/9/2033</w:t>
            </w:r>
          </w:p>
        </w:tc>
        <w:tc>
          <w:tcPr>
            <w:tcW w:w="220" w:type="dxa"/>
            <w:vAlign w:val="bottom"/>
          </w:tcPr>
          <w:p>
            <w:pPr>
              <w:spacing w:after="0"/>
              <w:rPr>
                <w:sz w:val="12"/>
                <w:szCs w:val="12"/>
                <w:color w:val="auto"/>
              </w:rPr>
            </w:pPr>
          </w:p>
        </w:tc>
        <w:tc>
          <w:tcPr>
            <w:tcW w:w="1280" w:type="dxa"/>
            <w:vAlign w:val="bottom"/>
          </w:tcPr>
          <w:p>
            <w:pPr>
              <w:jc w:val="right"/>
              <w:ind w:right="474"/>
              <w:spacing w:after="0"/>
              <w:rPr>
                <w:sz w:val="20"/>
                <w:szCs w:val="20"/>
                <w:color w:val="auto"/>
              </w:rPr>
            </w:pPr>
            <w:r>
              <w:rPr>
                <w:rFonts w:ascii="Arial" w:cs="Arial" w:eastAsia="Arial" w:hAnsi="Arial"/>
                <w:sz w:val="11"/>
                <w:szCs w:val="11"/>
                <w:color w:val="auto"/>
              </w:rPr>
              <w:t>5,570</w:t>
            </w:r>
          </w:p>
        </w:tc>
        <w:tc>
          <w:tcPr>
            <w:tcW w:w="1660" w:type="dxa"/>
            <w:vAlign w:val="bottom"/>
          </w:tcPr>
          <w:p>
            <w:pPr>
              <w:jc w:val="right"/>
              <w:ind w:right="526"/>
              <w:spacing w:after="0"/>
              <w:rPr>
                <w:sz w:val="20"/>
                <w:szCs w:val="20"/>
                <w:color w:val="auto"/>
              </w:rPr>
            </w:pPr>
            <w:r>
              <w:rPr>
                <w:rFonts w:ascii="Arial" w:cs="Arial" w:eastAsia="Arial" w:hAnsi="Arial"/>
                <w:sz w:val="11"/>
                <w:szCs w:val="11"/>
                <w:color w:val="auto"/>
              </w:rPr>
              <w:t>1,086,590</w:t>
            </w:r>
          </w:p>
        </w:tc>
        <w:tc>
          <w:tcPr>
            <w:tcW w:w="6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700" w:type="dxa"/>
            <w:vAlign w:val="bottom"/>
          </w:tcPr>
          <w:p>
            <w:pPr>
              <w:spacing w:after="0"/>
              <w:rPr>
                <w:sz w:val="12"/>
                <w:szCs w:val="12"/>
                <w:color w:val="auto"/>
              </w:rPr>
            </w:pPr>
          </w:p>
        </w:tc>
        <w:tc>
          <w:tcPr>
            <w:tcW w:w="560" w:type="dxa"/>
            <w:vAlign w:val="bottom"/>
            <w:tcBorders>
              <w:bottom w:val="single" w:sz="8" w:color="939598"/>
            </w:tcBorders>
          </w:tcPr>
          <w:p>
            <w:pPr>
              <w:spacing w:after="0"/>
              <w:rPr>
                <w:sz w:val="12"/>
                <w:szCs w:val="12"/>
                <w:color w:val="auto"/>
              </w:rPr>
            </w:pPr>
          </w:p>
        </w:tc>
        <w:tc>
          <w:tcPr>
            <w:tcW w:w="1140" w:type="dxa"/>
            <w:vAlign w:val="bottom"/>
            <w:tcBorders>
              <w:bottom w:val="single" w:sz="8" w:color="939598"/>
            </w:tcBorders>
          </w:tcPr>
          <w:p>
            <w:pPr>
              <w:spacing w:after="0"/>
              <w:rPr>
                <w:sz w:val="12"/>
                <w:szCs w:val="12"/>
                <w:color w:val="auto"/>
              </w:rPr>
            </w:pPr>
          </w:p>
        </w:tc>
        <w:tc>
          <w:tcPr>
            <w:tcW w:w="12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220" w:type="dxa"/>
            <w:vAlign w:val="bottom"/>
            <w:tcBorders>
              <w:bottom w:val="single" w:sz="8" w:color="939598"/>
            </w:tcBorders>
          </w:tcPr>
          <w:p>
            <w:pPr>
              <w:spacing w:after="0"/>
              <w:rPr>
                <w:sz w:val="12"/>
                <w:szCs w:val="12"/>
                <w:color w:val="auto"/>
              </w:rPr>
            </w:pPr>
          </w:p>
        </w:tc>
        <w:tc>
          <w:tcPr>
            <w:tcW w:w="1280" w:type="dxa"/>
            <w:vAlign w:val="bottom"/>
            <w:tcBorders>
              <w:bottom w:val="single" w:sz="8" w:color="939598"/>
            </w:tcBorders>
          </w:tcPr>
          <w:p>
            <w:pPr>
              <w:spacing w:after="0"/>
              <w:rPr>
                <w:sz w:val="12"/>
                <w:szCs w:val="12"/>
                <w:color w:val="auto"/>
              </w:rPr>
            </w:pPr>
          </w:p>
        </w:tc>
        <w:tc>
          <w:tcPr>
            <w:tcW w:w="166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1340" w:type="dxa"/>
            <w:vAlign w:val="bottom"/>
            <w:tcBorders>
              <w:bottom w:val="single" w:sz="8" w:color="939598"/>
            </w:tcBorders>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ind w:left="840"/>
              <w:spacing w:after="0"/>
              <w:rPr>
                <w:sz w:val="20"/>
                <w:szCs w:val="20"/>
                <w:color w:val="auto"/>
              </w:rPr>
            </w:pPr>
            <w:r>
              <w:rPr>
                <w:rFonts w:ascii="Arial" w:cs="Arial" w:eastAsia="Arial" w:hAnsi="Arial"/>
                <w:sz w:val="7"/>
                <w:szCs w:val="7"/>
                <w:color w:val="auto"/>
              </w:rPr>
              <w:t>(11)</w:t>
            </w:r>
          </w:p>
        </w:tc>
        <w:tc>
          <w:tcPr>
            <w:tcW w:w="1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70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auto"/>
                <w:w w:val="97"/>
              </w:rPr>
              <w:t>2023</w:t>
            </w:r>
          </w:p>
        </w:tc>
        <w:tc>
          <w:tcPr>
            <w:tcW w:w="1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right"/>
              <w:ind w:right="474"/>
              <w:spacing w:after="0"/>
              <w:rPr>
                <w:sz w:val="20"/>
                <w:szCs w:val="20"/>
                <w:color w:val="auto"/>
              </w:rPr>
            </w:pPr>
            <w:r>
              <w:rPr>
                <w:rFonts w:ascii="Arial" w:cs="Arial" w:eastAsia="Arial" w:hAnsi="Arial"/>
                <w:sz w:val="11"/>
                <w:szCs w:val="11"/>
                <w:color w:val="auto"/>
              </w:rPr>
              <w:t>11,540</w:t>
            </w:r>
          </w:p>
        </w:tc>
        <w:tc>
          <w:tcPr>
            <w:tcW w:w="1660" w:type="dxa"/>
            <w:vAlign w:val="bottom"/>
          </w:tcPr>
          <w:p>
            <w:pPr>
              <w:jc w:val="right"/>
              <w:ind w:right="526"/>
              <w:spacing w:after="0"/>
              <w:rPr>
                <w:sz w:val="20"/>
                <w:szCs w:val="20"/>
                <w:color w:val="auto"/>
              </w:rPr>
            </w:pPr>
            <w:r>
              <w:rPr>
                <w:rFonts w:ascii="Arial" w:cs="Arial" w:eastAsia="Arial" w:hAnsi="Arial"/>
                <w:sz w:val="11"/>
                <w:szCs w:val="11"/>
                <w:color w:val="auto"/>
              </w:rPr>
              <w:t>2,251,309</w:t>
            </w:r>
          </w:p>
        </w:tc>
        <w:tc>
          <w:tcPr>
            <w:tcW w:w="6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700" w:type="dxa"/>
            <w:vAlign w:val="bottom"/>
          </w:tcPr>
          <w:p>
            <w:pPr>
              <w:spacing w:after="0"/>
              <w:rPr>
                <w:sz w:val="12"/>
                <w:szCs w:val="12"/>
                <w:color w:val="auto"/>
              </w:rPr>
            </w:pPr>
          </w:p>
        </w:tc>
        <w:tc>
          <w:tcPr>
            <w:tcW w:w="560" w:type="dxa"/>
            <w:vAlign w:val="bottom"/>
            <w:tcBorders>
              <w:bottom w:val="single" w:sz="8" w:color="939598"/>
            </w:tcBorders>
          </w:tcPr>
          <w:p>
            <w:pPr>
              <w:spacing w:after="0"/>
              <w:rPr>
                <w:sz w:val="12"/>
                <w:szCs w:val="12"/>
                <w:color w:val="auto"/>
              </w:rPr>
            </w:pPr>
          </w:p>
        </w:tc>
        <w:tc>
          <w:tcPr>
            <w:tcW w:w="1140" w:type="dxa"/>
            <w:vAlign w:val="bottom"/>
            <w:tcBorders>
              <w:bottom w:val="single" w:sz="8" w:color="939598"/>
            </w:tcBorders>
          </w:tcPr>
          <w:p>
            <w:pPr>
              <w:spacing w:after="0"/>
              <w:rPr>
                <w:sz w:val="12"/>
                <w:szCs w:val="12"/>
                <w:color w:val="auto"/>
              </w:rPr>
            </w:pPr>
          </w:p>
        </w:tc>
        <w:tc>
          <w:tcPr>
            <w:tcW w:w="12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220" w:type="dxa"/>
            <w:vAlign w:val="bottom"/>
            <w:tcBorders>
              <w:bottom w:val="single" w:sz="8" w:color="939598"/>
            </w:tcBorders>
          </w:tcPr>
          <w:p>
            <w:pPr>
              <w:spacing w:after="0"/>
              <w:rPr>
                <w:sz w:val="12"/>
                <w:szCs w:val="12"/>
                <w:color w:val="auto"/>
              </w:rPr>
            </w:pPr>
          </w:p>
        </w:tc>
        <w:tc>
          <w:tcPr>
            <w:tcW w:w="1280" w:type="dxa"/>
            <w:vAlign w:val="bottom"/>
            <w:tcBorders>
              <w:bottom w:val="single" w:sz="8" w:color="939598"/>
            </w:tcBorders>
          </w:tcPr>
          <w:p>
            <w:pPr>
              <w:spacing w:after="0"/>
              <w:rPr>
                <w:sz w:val="12"/>
                <w:szCs w:val="12"/>
                <w:color w:val="auto"/>
              </w:rPr>
            </w:pPr>
          </w:p>
        </w:tc>
        <w:tc>
          <w:tcPr>
            <w:tcW w:w="166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1340" w:type="dxa"/>
            <w:vAlign w:val="bottom"/>
            <w:tcBorders>
              <w:bottom w:val="single" w:sz="8" w:color="939598"/>
            </w:tcBorders>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ind w:left="840"/>
              <w:spacing w:after="0"/>
              <w:rPr>
                <w:sz w:val="20"/>
                <w:szCs w:val="20"/>
                <w:color w:val="auto"/>
              </w:rPr>
            </w:pPr>
            <w:r>
              <w:rPr>
                <w:rFonts w:ascii="Arial" w:cs="Arial" w:eastAsia="Arial" w:hAnsi="Arial"/>
                <w:sz w:val="7"/>
                <w:szCs w:val="7"/>
                <w:color w:val="auto"/>
              </w:rPr>
              <w:t>(11)</w:t>
            </w:r>
          </w:p>
        </w:tc>
        <w:tc>
          <w:tcPr>
            <w:tcW w:w="1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70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auto"/>
                <w:w w:val="97"/>
              </w:rPr>
              <w:t>2023</w:t>
            </w:r>
          </w:p>
        </w:tc>
        <w:tc>
          <w:tcPr>
            <w:tcW w:w="1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right"/>
              <w:ind w:right="474"/>
              <w:spacing w:after="0"/>
              <w:rPr>
                <w:sz w:val="20"/>
                <w:szCs w:val="20"/>
                <w:color w:val="auto"/>
              </w:rPr>
            </w:pPr>
            <w:r>
              <w:rPr>
                <w:rFonts w:ascii="Arial" w:cs="Arial" w:eastAsia="Arial" w:hAnsi="Arial"/>
                <w:sz w:val="11"/>
                <w:szCs w:val="11"/>
                <w:color w:val="auto"/>
              </w:rPr>
              <w:t>16,340</w:t>
            </w:r>
          </w:p>
        </w:tc>
        <w:tc>
          <w:tcPr>
            <w:tcW w:w="1660" w:type="dxa"/>
            <w:vAlign w:val="bottom"/>
          </w:tcPr>
          <w:p>
            <w:pPr>
              <w:jc w:val="right"/>
              <w:ind w:right="526"/>
              <w:spacing w:after="0"/>
              <w:rPr>
                <w:sz w:val="20"/>
                <w:szCs w:val="20"/>
                <w:color w:val="auto"/>
              </w:rPr>
            </w:pPr>
            <w:r>
              <w:rPr>
                <w:rFonts w:ascii="Arial" w:cs="Arial" w:eastAsia="Arial" w:hAnsi="Arial"/>
                <w:sz w:val="11"/>
                <w:szCs w:val="11"/>
                <w:color w:val="auto"/>
              </w:rPr>
              <w:t>3,187,802</w:t>
            </w:r>
          </w:p>
        </w:tc>
        <w:tc>
          <w:tcPr>
            <w:tcW w:w="6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560" w:type="dxa"/>
            <w:vAlign w:val="bottom"/>
            <w:tcBorders>
              <w:bottom w:val="single" w:sz="8" w:color="939598"/>
            </w:tcBorders>
          </w:tcPr>
          <w:p>
            <w:pPr>
              <w:spacing w:after="0"/>
              <w:rPr>
                <w:sz w:val="12"/>
                <w:szCs w:val="12"/>
                <w:color w:val="auto"/>
              </w:rPr>
            </w:pPr>
          </w:p>
        </w:tc>
        <w:tc>
          <w:tcPr>
            <w:tcW w:w="1140" w:type="dxa"/>
            <w:vAlign w:val="bottom"/>
            <w:tcBorders>
              <w:bottom w:val="single" w:sz="8" w:color="939598"/>
            </w:tcBorders>
          </w:tcPr>
          <w:p>
            <w:pPr>
              <w:spacing w:after="0"/>
              <w:rPr>
                <w:sz w:val="12"/>
                <w:szCs w:val="12"/>
                <w:color w:val="auto"/>
              </w:rPr>
            </w:pPr>
          </w:p>
        </w:tc>
        <w:tc>
          <w:tcPr>
            <w:tcW w:w="12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220" w:type="dxa"/>
            <w:vAlign w:val="bottom"/>
            <w:tcBorders>
              <w:bottom w:val="single" w:sz="8" w:color="939598"/>
            </w:tcBorders>
          </w:tcPr>
          <w:p>
            <w:pPr>
              <w:spacing w:after="0"/>
              <w:rPr>
                <w:sz w:val="12"/>
                <w:szCs w:val="12"/>
                <w:color w:val="auto"/>
              </w:rPr>
            </w:pPr>
          </w:p>
        </w:tc>
        <w:tc>
          <w:tcPr>
            <w:tcW w:w="1280" w:type="dxa"/>
            <w:vAlign w:val="bottom"/>
            <w:tcBorders>
              <w:bottom w:val="single" w:sz="8" w:color="939598"/>
            </w:tcBorders>
          </w:tcPr>
          <w:p>
            <w:pPr>
              <w:spacing w:after="0"/>
              <w:rPr>
                <w:sz w:val="12"/>
                <w:szCs w:val="12"/>
                <w:color w:val="auto"/>
              </w:rPr>
            </w:pPr>
          </w:p>
        </w:tc>
        <w:tc>
          <w:tcPr>
            <w:tcW w:w="166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1340" w:type="dxa"/>
            <w:vAlign w:val="bottom"/>
            <w:tcBorders>
              <w:bottom w:val="single" w:sz="8" w:color="939598"/>
            </w:tcBorders>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ind w:left="840"/>
              <w:spacing w:after="0"/>
              <w:rPr>
                <w:sz w:val="20"/>
                <w:szCs w:val="20"/>
                <w:color w:val="auto"/>
              </w:rPr>
            </w:pPr>
            <w:r>
              <w:rPr>
                <w:rFonts w:ascii="Arial" w:cs="Arial" w:eastAsia="Arial" w:hAnsi="Arial"/>
                <w:sz w:val="7"/>
                <w:szCs w:val="7"/>
                <w:color w:val="auto"/>
              </w:rPr>
              <w:t>(12)</w:t>
            </w:r>
          </w:p>
        </w:tc>
        <w:tc>
          <w:tcPr>
            <w:tcW w:w="1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70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auto"/>
                <w:w w:val="97"/>
              </w:rPr>
              <w:t>2022</w:t>
            </w:r>
          </w:p>
        </w:tc>
        <w:tc>
          <w:tcPr>
            <w:tcW w:w="1140" w:type="dxa"/>
            <w:vAlign w:val="bottom"/>
          </w:tcPr>
          <w:p>
            <w:pPr>
              <w:jc w:val="right"/>
              <w:ind w:right="146"/>
              <w:spacing w:after="0"/>
              <w:rPr>
                <w:sz w:val="20"/>
                <w:szCs w:val="20"/>
                <w:color w:val="auto"/>
              </w:rPr>
            </w:pPr>
            <w:r>
              <w:rPr>
                <w:rFonts w:ascii="Arial" w:cs="Arial" w:eastAsia="Arial" w:hAnsi="Arial"/>
                <w:sz w:val="11"/>
                <w:szCs w:val="11"/>
                <w:color w:val="auto"/>
              </w:rPr>
              <w:t>16,494</w:t>
            </w:r>
          </w:p>
        </w:tc>
        <w:tc>
          <w:tcPr>
            <w:tcW w:w="1280" w:type="dxa"/>
            <w:vAlign w:val="bottom"/>
          </w:tcPr>
          <w:p>
            <w:pPr>
              <w:jc w:val="right"/>
              <w:ind w:right="368"/>
              <w:spacing w:after="0"/>
              <w:rPr>
                <w:sz w:val="20"/>
                <w:szCs w:val="20"/>
                <w:color w:val="auto"/>
              </w:rPr>
            </w:pPr>
            <w:r>
              <w:rPr>
                <w:rFonts w:ascii="Arial" w:cs="Arial" w:eastAsia="Arial" w:hAnsi="Arial"/>
                <w:sz w:val="11"/>
                <w:szCs w:val="11"/>
                <w:color w:val="auto"/>
              </w:rPr>
              <w:t>5,497</w:t>
            </w: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179.33</w:t>
            </w:r>
          </w:p>
        </w:tc>
        <w:tc>
          <w:tcPr>
            <w:tcW w:w="680" w:type="dxa"/>
            <w:vAlign w:val="bottom"/>
          </w:tcPr>
          <w:p>
            <w:pPr>
              <w:jc w:val="right"/>
              <w:spacing w:after="0"/>
              <w:rPr>
                <w:sz w:val="20"/>
                <w:szCs w:val="20"/>
                <w:color w:val="auto"/>
              </w:rPr>
            </w:pPr>
            <w:r>
              <w:rPr>
                <w:rFonts w:ascii="Arial" w:cs="Arial" w:eastAsia="Arial" w:hAnsi="Arial"/>
                <w:sz w:val="11"/>
                <w:szCs w:val="11"/>
                <w:color w:val="auto"/>
              </w:rPr>
              <w:t>7/27/2032</w:t>
            </w:r>
          </w:p>
        </w:tc>
        <w:tc>
          <w:tcPr>
            <w:tcW w:w="220" w:type="dxa"/>
            <w:vAlign w:val="bottom"/>
          </w:tcPr>
          <w:p>
            <w:pPr>
              <w:spacing w:after="0"/>
              <w:rPr>
                <w:sz w:val="12"/>
                <w:szCs w:val="12"/>
                <w:color w:val="auto"/>
              </w:rPr>
            </w:pPr>
          </w:p>
        </w:tc>
        <w:tc>
          <w:tcPr>
            <w:tcW w:w="1280" w:type="dxa"/>
            <w:vAlign w:val="bottom"/>
          </w:tcPr>
          <w:p>
            <w:pPr>
              <w:jc w:val="right"/>
              <w:ind w:right="474"/>
              <w:spacing w:after="0"/>
              <w:rPr>
                <w:sz w:val="20"/>
                <w:szCs w:val="20"/>
                <w:color w:val="auto"/>
              </w:rPr>
            </w:pPr>
            <w:r>
              <w:rPr>
                <w:rFonts w:ascii="Arial" w:cs="Arial" w:eastAsia="Arial" w:hAnsi="Arial"/>
                <w:sz w:val="11"/>
                <w:szCs w:val="11"/>
                <w:color w:val="auto"/>
              </w:rPr>
              <w:t>1,208</w:t>
            </w:r>
          </w:p>
        </w:tc>
        <w:tc>
          <w:tcPr>
            <w:tcW w:w="1660" w:type="dxa"/>
            <w:vAlign w:val="bottom"/>
          </w:tcPr>
          <w:p>
            <w:pPr>
              <w:jc w:val="right"/>
              <w:ind w:right="526"/>
              <w:spacing w:after="0"/>
              <w:rPr>
                <w:sz w:val="20"/>
                <w:szCs w:val="20"/>
                <w:color w:val="auto"/>
              </w:rPr>
            </w:pPr>
            <w:r>
              <w:rPr>
                <w:rFonts w:ascii="Arial" w:cs="Arial" w:eastAsia="Arial" w:hAnsi="Arial"/>
                <w:sz w:val="11"/>
                <w:szCs w:val="11"/>
                <w:color w:val="auto"/>
              </w:rPr>
              <w:t>235,692</w:t>
            </w:r>
          </w:p>
        </w:tc>
        <w:tc>
          <w:tcPr>
            <w:tcW w:w="6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560" w:type="dxa"/>
            <w:vAlign w:val="bottom"/>
            <w:tcBorders>
              <w:bottom w:val="single" w:sz="8" w:color="939598"/>
            </w:tcBorders>
          </w:tcPr>
          <w:p>
            <w:pPr>
              <w:spacing w:after="0"/>
              <w:rPr>
                <w:sz w:val="12"/>
                <w:szCs w:val="12"/>
                <w:color w:val="auto"/>
              </w:rPr>
            </w:pPr>
          </w:p>
        </w:tc>
        <w:tc>
          <w:tcPr>
            <w:tcW w:w="1140" w:type="dxa"/>
            <w:vAlign w:val="bottom"/>
            <w:tcBorders>
              <w:bottom w:val="single" w:sz="8" w:color="939598"/>
            </w:tcBorders>
          </w:tcPr>
          <w:p>
            <w:pPr>
              <w:spacing w:after="0"/>
              <w:rPr>
                <w:sz w:val="12"/>
                <w:szCs w:val="12"/>
                <w:color w:val="auto"/>
              </w:rPr>
            </w:pPr>
          </w:p>
        </w:tc>
        <w:tc>
          <w:tcPr>
            <w:tcW w:w="12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220" w:type="dxa"/>
            <w:vAlign w:val="bottom"/>
            <w:tcBorders>
              <w:bottom w:val="single" w:sz="8" w:color="939598"/>
            </w:tcBorders>
          </w:tcPr>
          <w:p>
            <w:pPr>
              <w:spacing w:after="0"/>
              <w:rPr>
                <w:sz w:val="12"/>
                <w:szCs w:val="12"/>
                <w:color w:val="auto"/>
              </w:rPr>
            </w:pPr>
          </w:p>
        </w:tc>
        <w:tc>
          <w:tcPr>
            <w:tcW w:w="1280" w:type="dxa"/>
            <w:vAlign w:val="bottom"/>
            <w:tcBorders>
              <w:bottom w:val="single" w:sz="8" w:color="939598"/>
            </w:tcBorders>
          </w:tcPr>
          <w:p>
            <w:pPr>
              <w:spacing w:after="0"/>
              <w:rPr>
                <w:sz w:val="12"/>
                <w:szCs w:val="12"/>
                <w:color w:val="auto"/>
              </w:rPr>
            </w:pPr>
          </w:p>
        </w:tc>
        <w:tc>
          <w:tcPr>
            <w:tcW w:w="166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1340" w:type="dxa"/>
            <w:vAlign w:val="bottom"/>
            <w:tcBorders>
              <w:bottom w:val="single" w:sz="8" w:color="939598"/>
            </w:tcBorders>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ind w:left="840"/>
              <w:spacing w:after="0"/>
              <w:rPr>
                <w:sz w:val="20"/>
                <w:szCs w:val="20"/>
                <w:color w:val="auto"/>
              </w:rPr>
            </w:pPr>
            <w:r>
              <w:rPr>
                <w:rFonts w:ascii="Arial" w:cs="Arial" w:eastAsia="Arial" w:hAnsi="Arial"/>
                <w:sz w:val="7"/>
                <w:szCs w:val="7"/>
                <w:color w:val="auto"/>
              </w:rPr>
              <w:t>(13)</w:t>
            </w:r>
          </w:p>
        </w:tc>
        <w:tc>
          <w:tcPr>
            <w:tcW w:w="1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70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auto"/>
                <w:w w:val="97"/>
              </w:rPr>
              <w:t>2022</w:t>
            </w:r>
          </w:p>
        </w:tc>
        <w:tc>
          <w:tcPr>
            <w:tcW w:w="1140" w:type="dxa"/>
            <w:vAlign w:val="bottom"/>
          </w:tcPr>
          <w:p>
            <w:pPr>
              <w:jc w:val="right"/>
              <w:ind w:right="146"/>
              <w:spacing w:after="0"/>
              <w:rPr>
                <w:sz w:val="20"/>
                <w:szCs w:val="20"/>
                <w:color w:val="auto"/>
              </w:rPr>
            </w:pPr>
            <w:r>
              <w:rPr>
                <w:rFonts w:ascii="Arial" w:cs="Arial" w:eastAsia="Arial" w:hAnsi="Arial"/>
                <w:sz w:val="11"/>
                <w:szCs w:val="11"/>
                <w:color w:val="auto"/>
              </w:rPr>
              <w:t>34,972</w:t>
            </w:r>
          </w:p>
        </w:tc>
        <w:tc>
          <w:tcPr>
            <w:tcW w:w="1280" w:type="dxa"/>
            <w:vAlign w:val="bottom"/>
          </w:tcPr>
          <w:p>
            <w:pPr>
              <w:jc w:val="right"/>
              <w:ind w:right="368"/>
              <w:spacing w:after="0"/>
              <w:rPr>
                <w:sz w:val="20"/>
                <w:szCs w:val="20"/>
                <w:color w:val="auto"/>
              </w:rPr>
            </w:pPr>
            <w:r>
              <w:rPr>
                <w:rFonts w:ascii="Arial" w:cs="Arial" w:eastAsia="Arial" w:hAnsi="Arial"/>
                <w:sz w:val="11"/>
                <w:szCs w:val="11"/>
                <w:color w:val="auto"/>
              </w:rPr>
              <w:t>11,657</w:t>
            </w: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179.84</w:t>
            </w:r>
          </w:p>
        </w:tc>
        <w:tc>
          <w:tcPr>
            <w:tcW w:w="680" w:type="dxa"/>
            <w:vAlign w:val="bottom"/>
          </w:tcPr>
          <w:p>
            <w:pPr>
              <w:jc w:val="right"/>
              <w:spacing w:after="0"/>
              <w:rPr>
                <w:sz w:val="20"/>
                <w:szCs w:val="20"/>
                <w:color w:val="auto"/>
              </w:rPr>
            </w:pPr>
            <w:r>
              <w:rPr>
                <w:rFonts w:ascii="Arial" w:cs="Arial" w:eastAsia="Arial" w:hAnsi="Arial"/>
                <w:sz w:val="11"/>
                <w:szCs w:val="11"/>
                <w:color w:val="auto"/>
              </w:rPr>
              <w:t>2/10/2032</w:t>
            </w:r>
          </w:p>
        </w:tc>
        <w:tc>
          <w:tcPr>
            <w:tcW w:w="220" w:type="dxa"/>
            <w:vAlign w:val="bottom"/>
          </w:tcPr>
          <w:p>
            <w:pPr>
              <w:spacing w:after="0"/>
              <w:rPr>
                <w:sz w:val="12"/>
                <w:szCs w:val="12"/>
                <w:color w:val="auto"/>
              </w:rPr>
            </w:pPr>
          </w:p>
        </w:tc>
        <w:tc>
          <w:tcPr>
            <w:tcW w:w="1280" w:type="dxa"/>
            <w:vAlign w:val="bottom"/>
          </w:tcPr>
          <w:p>
            <w:pPr>
              <w:jc w:val="right"/>
              <w:ind w:right="474"/>
              <w:spacing w:after="0"/>
              <w:rPr>
                <w:sz w:val="20"/>
                <w:szCs w:val="20"/>
                <w:color w:val="auto"/>
              </w:rPr>
            </w:pPr>
            <w:r>
              <w:rPr>
                <w:rFonts w:ascii="Arial" w:cs="Arial" w:eastAsia="Arial" w:hAnsi="Arial"/>
                <w:sz w:val="11"/>
                <w:szCs w:val="11"/>
                <w:color w:val="auto"/>
              </w:rPr>
              <w:t>2,307</w:t>
            </w:r>
          </w:p>
        </w:tc>
        <w:tc>
          <w:tcPr>
            <w:tcW w:w="1660" w:type="dxa"/>
            <w:vAlign w:val="bottom"/>
          </w:tcPr>
          <w:p>
            <w:pPr>
              <w:jc w:val="right"/>
              <w:ind w:right="526"/>
              <w:spacing w:after="0"/>
              <w:rPr>
                <w:sz w:val="20"/>
                <w:szCs w:val="20"/>
                <w:color w:val="auto"/>
              </w:rPr>
            </w:pPr>
            <w:r>
              <w:rPr>
                <w:rFonts w:ascii="Arial" w:cs="Arial" w:eastAsia="Arial" w:hAnsi="Arial"/>
                <w:sz w:val="11"/>
                <w:szCs w:val="11"/>
                <w:color w:val="auto"/>
              </w:rPr>
              <w:t>450,166</w:t>
            </w:r>
          </w:p>
        </w:tc>
        <w:tc>
          <w:tcPr>
            <w:tcW w:w="6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700" w:type="dxa"/>
            <w:vAlign w:val="bottom"/>
          </w:tcPr>
          <w:p>
            <w:pPr>
              <w:spacing w:after="0"/>
              <w:rPr>
                <w:sz w:val="12"/>
                <w:szCs w:val="12"/>
                <w:color w:val="auto"/>
              </w:rPr>
            </w:pPr>
          </w:p>
        </w:tc>
        <w:tc>
          <w:tcPr>
            <w:tcW w:w="560" w:type="dxa"/>
            <w:vAlign w:val="bottom"/>
            <w:tcBorders>
              <w:bottom w:val="single" w:sz="8" w:color="939598"/>
            </w:tcBorders>
          </w:tcPr>
          <w:p>
            <w:pPr>
              <w:spacing w:after="0"/>
              <w:rPr>
                <w:sz w:val="12"/>
                <w:szCs w:val="12"/>
                <w:color w:val="auto"/>
              </w:rPr>
            </w:pPr>
          </w:p>
        </w:tc>
        <w:tc>
          <w:tcPr>
            <w:tcW w:w="1140" w:type="dxa"/>
            <w:vAlign w:val="bottom"/>
            <w:tcBorders>
              <w:bottom w:val="single" w:sz="8" w:color="939598"/>
            </w:tcBorders>
          </w:tcPr>
          <w:p>
            <w:pPr>
              <w:spacing w:after="0"/>
              <w:rPr>
                <w:sz w:val="12"/>
                <w:szCs w:val="12"/>
                <w:color w:val="auto"/>
              </w:rPr>
            </w:pPr>
          </w:p>
        </w:tc>
        <w:tc>
          <w:tcPr>
            <w:tcW w:w="12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220" w:type="dxa"/>
            <w:vAlign w:val="bottom"/>
            <w:tcBorders>
              <w:bottom w:val="single" w:sz="8" w:color="939598"/>
            </w:tcBorders>
          </w:tcPr>
          <w:p>
            <w:pPr>
              <w:spacing w:after="0"/>
              <w:rPr>
                <w:sz w:val="12"/>
                <w:szCs w:val="12"/>
                <w:color w:val="auto"/>
              </w:rPr>
            </w:pPr>
          </w:p>
        </w:tc>
        <w:tc>
          <w:tcPr>
            <w:tcW w:w="1280" w:type="dxa"/>
            <w:vAlign w:val="bottom"/>
            <w:tcBorders>
              <w:bottom w:val="single" w:sz="8" w:color="939598"/>
            </w:tcBorders>
          </w:tcPr>
          <w:p>
            <w:pPr>
              <w:spacing w:after="0"/>
              <w:rPr>
                <w:sz w:val="12"/>
                <w:szCs w:val="12"/>
                <w:color w:val="auto"/>
              </w:rPr>
            </w:pPr>
          </w:p>
        </w:tc>
        <w:tc>
          <w:tcPr>
            <w:tcW w:w="166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1340" w:type="dxa"/>
            <w:vAlign w:val="bottom"/>
            <w:tcBorders>
              <w:bottom w:val="single" w:sz="8" w:color="939598"/>
            </w:tcBorders>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ind w:left="840"/>
              <w:spacing w:after="0"/>
              <w:rPr>
                <w:sz w:val="20"/>
                <w:szCs w:val="20"/>
                <w:color w:val="auto"/>
              </w:rPr>
            </w:pPr>
            <w:r>
              <w:rPr>
                <w:rFonts w:ascii="Arial" w:cs="Arial" w:eastAsia="Arial" w:hAnsi="Arial"/>
                <w:sz w:val="7"/>
                <w:szCs w:val="7"/>
                <w:color w:val="auto"/>
              </w:rPr>
              <w:t>(14)</w:t>
            </w:r>
          </w:p>
        </w:tc>
        <w:tc>
          <w:tcPr>
            <w:tcW w:w="1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70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auto"/>
                <w:w w:val="97"/>
              </w:rPr>
              <w:t>2021</w:t>
            </w:r>
          </w:p>
        </w:tc>
        <w:tc>
          <w:tcPr>
            <w:tcW w:w="1140" w:type="dxa"/>
            <w:vAlign w:val="bottom"/>
          </w:tcPr>
          <w:p>
            <w:pPr>
              <w:jc w:val="right"/>
              <w:ind w:right="146"/>
              <w:spacing w:after="0"/>
              <w:rPr>
                <w:sz w:val="20"/>
                <w:szCs w:val="20"/>
                <w:color w:val="auto"/>
              </w:rPr>
            </w:pPr>
            <w:r>
              <w:rPr>
                <w:rFonts w:ascii="Arial" w:cs="Arial" w:eastAsia="Arial" w:hAnsi="Arial"/>
                <w:sz w:val="11"/>
                <w:szCs w:val="11"/>
                <w:color w:val="auto"/>
              </w:rPr>
              <w:t>29,855</w:t>
            </w:r>
          </w:p>
        </w:tc>
        <w:tc>
          <w:tcPr>
            <w:tcW w:w="1280" w:type="dxa"/>
            <w:vAlign w:val="bottom"/>
          </w:tcPr>
          <w:p>
            <w:pPr>
              <w:jc w:val="right"/>
              <w:ind w:right="368"/>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192.16</w:t>
            </w:r>
          </w:p>
        </w:tc>
        <w:tc>
          <w:tcPr>
            <w:tcW w:w="680" w:type="dxa"/>
            <w:vAlign w:val="bottom"/>
          </w:tcPr>
          <w:p>
            <w:pPr>
              <w:jc w:val="right"/>
              <w:spacing w:after="0"/>
              <w:rPr>
                <w:sz w:val="20"/>
                <w:szCs w:val="20"/>
                <w:color w:val="auto"/>
              </w:rPr>
            </w:pPr>
            <w:r>
              <w:rPr>
                <w:rFonts w:ascii="Arial" w:cs="Arial" w:eastAsia="Arial" w:hAnsi="Arial"/>
                <w:sz w:val="11"/>
                <w:szCs w:val="11"/>
                <w:color w:val="auto"/>
              </w:rPr>
              <w:t>2/11/2031</w:t>
            </w:r>
          </w:p>
        </w:tc>
        <w:tc>
          <w:tcPr>
            <w:tcW w:w="220" w:type="dxa"/>
            <w:vAlign w:val="bottom"/>
          </w:tcPr>
          <w:p>
            <w:pPr>
              <w:spacing w:after="0"/>
              <w:rPr>
                <w:sz w:val="12"/>
                <w:szCs w:val="12"/>
                <w:color w:val="auto"/>
              </w:rPr>
            </w:pPr>
          </w:p>
        </w:tc>
        <w:tc>
          <w:tcPr>
            <w:tcW w:w="1280" w:type="dxa"/>
            <w:vAlign w:val="bottom"/>
          </w:tcPr>
          <w:p>
            <w:pPr>
              <w:jc w:val="right"/>
              <w:ind w:right="474"/>
              <w:spacing w:after="0"/>
              <w:rPr>
                <w:sz w:val="20"/>
                <w:szCs w:val="20"/>
                <w:color w:val="auto"/>
              </w:rPr>
            </w:pPr>
            <w:r>
              <w:rPr>
                <w:rFonts w:ascii="Arial" w:cs="Arial" w:eastAsia="Arial" w:hAnsi="Arial"/>
                <w:sz w:val="11"/>
                <w:szCs w:val="11"/>
                <w:color w:val="auto"/>
              </w:rPr>
              <w:t>755</w:t>
            </w:r>
          </w:p>
        </w:tc>
        <w:tc>
          <w:tcPr>
            <w:tcW w:w="1660" w:type="dxa"/>
            <w:vAlign w:val="bottom"/>
          </w:tcPr>
          <w:p>
            <w:pPr>
              <w:jc w:val="right"/>
              <w:ind w:right="526"/>
              <w:spacing w:after="0"/>
              <w:rPr>
                <w:sz w:val="20"/>
                <w:szCs w:val="20"/>
                <w:color w:val="auto"/>
              </w:rPr>
            </w:pPr>
            <w:r>
              <w:rPr>
                <w:rFonts w:ascii="Arial" w:cs="Arial" w:eastAsia="Arial" w:hAnsi="Arial"/>
                <w:sz w:val="11"/>
                <w:szCs w:val="11"/>
                <w:color w:val="auto"/>
              </w:rPr>
              <w:t>147,265</w:t>
            </w:r>
          </w:p>
        </w:tc>
        <w:tc>
          <w:tcPr>
            <w:tcW w:w="6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700" w:type="dxa"/>
            <w:vAlign w:val="bottom"/>
          </w:tcPr>
          <w:p>
            <w:pPr>
              <w:spacing w:after="0"/>
              <w:rPr>
                <w:sz w:val="12"/>
                <w:szCs w:val="12"/>
                <w:color w:val="auto"/>
              </w:rPr>
            </w:pPr>
          </w:p>
        </w:tc>
        <w:tc>
          <w:tcPr>
            <w:tcW w:w="560" w:type="dxa"/>
            <w:vAlign w:val="bottom"/>
            <w:tcBorders>
              <w:bottom w:val="single" w:sz="8" w:color="939598"/>
            </w:tcBorders>
          </w:tcPr>
          <w:p>
            <w:pPr>
              <w:spacing w:after="0"/>
              <w:rPr>
                <w:sz w:val="12"/>
                <w:szCs w:val="12"/>
                <w:color w:val="auto"/>
              </w:rPr>
            </w:pPr>
          </w:p>
        </w:tc>
        <w:tc>
          <w:tcPr>
            <w:tcW w:w="1140" w:type="dxa"/>
            <w:vAlign w:val="bottom"/>
            <w:tcBorders>
              <w:bottom w:val="single" w:sz="8" w:color="939598"/>
            </w:tcBorders>
          </w:tcPr>
          <w:p>
            <w:pPr>
              <w:spacing w:after="0"/>
              <w:rPr>
                <w:sz w:val="12"/>
                <w:szCs w:val="12"/>
                <w:color w:val="auto"/>
              </w:rPr>
            </w:pPr>
          </w:p>
        </w:tc>
        <w:tc>
          <w:tcPr>
            <w:tcW w:w="12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220" w:type="dxa"/>
            <w:vAlign w:val="bottom"/>
            <w:tcBorders>
              <w:bottom w:val="single" w:sz="8" w:color="939598"/>
            </w:tcBorders>
          </w:tcPr>
          <w:p>
            <w:pPr>
              <w:spacing w:after="0"/>
              <w:rPr>
                <w:sz w:val="12"/>
                <w:szCs w:val="12"/>
                <w:color w:val="auto"/>
              </w:rPr>
            </w:pPr>
          </w:p>
        </w:tc>
        <w:tc>
          <w:tcPr>
            <w:tcW w:w="1280" w:type="dxa"/>
            <w:vAlign w:val="bottom"/>
            <w:tcBorders>
              <w:bottom w:val="single" w:sz="8" w:color="939598"/>
            </w:tcBorders>
          </w:tcPr>
          <w:p>
            <w:pPr>
              <w:spacing w:after="0"/>
              <w:rPr>
                <w:sz w:val="12"/>
                <w:szCs w:val="12"/>
                <w:color w:val="auto"/>
              </w:rPr>
            </w:pPr>
          </w:p>
        </w:tc>
        <w:tc>
          <w:tcPr>
            <w:tcW w:w="166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1340" w:type="dxa"/>
            <w:vAlign w:val="bottom"/>
            <w:tcBorders>
              <w:bottom w:val="single" w:sz="8" w:color="939598"/>
            </w:tcBorders>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ind w:left="840"/>
              <w:spacing w:after="0"/>
              <w:rPr>
                <w:sz w:val="20"/>
                <w:szCs w:val="20"/>
                <w:color w:val="auto"/>
              </w:rPr>
            </w:pPr>
            <w:r>
              <w:rPr>
                <w:rFonts w:ascii="Arial" w:cs="Arial" w:eastAsia="Arial" w:hAnsi="Arial"/>
                <w:sz w:val="7"/>
                <w:szCs w:val="7"/>
                <w:color w:val="auto"/>
              </w:rPr>
              <w:t>(15)</w:t>
            </w:r>
          </w:p>
        </w:tc>
        <w:tc>
          <w:tcPr>
            <w:tcW w:w="1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70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auto"/>
                <w:w w:val="97"/>
              </w:rPr>
              <w:t>2020</w:t>
            </w:r>
          </w:p>
        </w:tc>
        <w:tc>
          <w:tcPr>
            <w:tcW w:w="1140" w:type="dxa"/>
            <w:vAlign w:val="bottom"/>
          </w:tcPr>
          <w:p>
            <w:pPr>
              <w:jc w:val="right"/>
              <w:ind w:right="146"/>
              <w:spacing w:after="0"/>
              <w:rPr>
                <w:sz w:val="20"/>
                <w:szCs w:val="20"/>
                <w:color w:val="auto"/>
              </w:rPr>
            </w:pPr>
            <w:r>
              <w:rPr>
                <w:rFonts w:ascii="Arial" w:cs="Arial" w:eastAsia="Arial" w:hAnsi="Arial"/>
                <w:sz w:val="11"/>
                <w:szCs w:val="11"/>
                <w:color w:val="auto"/>
              </w:rPr>
              <w:t>36,184</w:t>
            </w:r>
          </w:p>
        </w:tc>
        <w:tc>
          <w:tcPr>
            <w:tcW w:w="1280" w:type="dxa"/>
            <w:vAlign w:val="bottom"/>
          </w:tcPr>
          <w:p>
            <w:pPr>
              <w:jc w:val="right"/>
              <w:ind w:right="368"/>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171.50</w:t>
            </w:r>
          </w:p>
        </w:tc>
        <w:tc>
          <w:tcPr>
            <w:tcW w:w="680" w:type="dxa"/>
            <w:vAlign w:val="bottom"/>
          </w:tcPr>
          <w:p>
            <w:pPr>
              <w:jc w:val="right"/>
              <w:spacing w:after="0"/>
              <w:rPr>
                <w:sz w:val="20"/>
                <w:szCs w:val="20"/>
                <w:color w:val="auto"/>
              </w:rPr>
            </w:pPr>
            <w:r>
              <w:rPr>
                <w:rFonts w:ascii="Arial" w:cs="Arial" w:eastAsia="Arial" w:hAnsi="Arial"/>
                <w:sz w:val="11"/>
                <w:szCs w:val="11"/>
                <w:color w:val="auto"/>
              </w:rPr>
              <w:t>2/13/2030</w:t>
            </w:r>
          </w:p>
        </w:tc>
        <w:tc>
          <w:tcPr>
            <w:tcW w:w="220" w:type="dxa"/>
            <w:vAlign w:val="bottom"/>
          </w:tcPr>
          <w:p>
            <w:pPr>
              <w:spacing w:after="0"/>
              <w:rPr>
                <w:sz w:val="12"/>
                <w:szCs w:val="12"/>
                <w:color w:val="auto"/>
              </w:rPr>
            </w:pPr>
          </w:p>
        </w:tc>
        <w:tc>
          <w:tcPr>
            <w:tcW w:w="1280" w:type="dxa"/>
            <w:vAlign w:val="bottom"/>
          </w:tcPr>
          <w:p>
            <w:pPr>
              <w:jc w:val="right"/>
              <w:ind w:right="474"/>
              <w:spacing w:after="0"/>
              <w:rPr>
                <w:sz w:val="20"/>
                <w:szCs w:val="20"/>
                <w:color w:val="auto"/>
              </w:rPr>
            </w:pPr>
            <w:r>
              <w:rPr>
                <w:rFonts w:ascii="Arial" w:cs="Arial" w:eastAsia="Arial" w:hAnsi="Arial"/>
                <w:sz w:val="11"/>
                <w:szCs w:val="11"/>
                <w:color w:val="auto"/>
              </w:rPr>
              <w:t>689</w:t>
            </w:r>
          </w:p>
        </w:tc>
        <w:tc>
          <w:tcPr>
            <w:tcW w:w="1660" w:type="dxa"/>
            <w:vAlign w:val="bottom"/>
          </w:tcPr>
          <w:p>
            <w:pPr>
              <w:jc w:val="right"/>
              <w:ind w:right="526"/>
              <w:spacing w:after="0"/>
              <w:rPr>
                <w:sz w:val="20"/>
                <w:szCs w:val="20"/>
                <w:color w:val="auto"/>
              </w:rPr>
            </w:pPr>
            <w:r>
              <w:rPr>
                <w:rFonts w:ascii="Arial" w:cs="Arial" w:eastAsia="Arial" w:hAnsi="Arial"/>
                <w:sz w:val="11"/>
                <w:szCs w:val="11"/>
                <w:color w:val="auto"/>
              </w:rPr>
              <w:t>134,491</w:t>
            </w:r>
          </w:p>
        </w:tc>
        <w:tc>
          <w:tcPr>
            <w:tcW w:w="6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560" w:type="dxa"/>
            <w:vAlign w:val="bottom"/>
            <w:tcBorders>
              <w:bottom w:val="single" w:sz="8" w:color="939598"/>
            </w:tcBorders>
          </w:tcPr>
          <w:p>
            <w:pPr>
              <w:spacing w:after="0"/>
              <w:rPr>
                <w:sz w:val="12"/>
                <w:szCs w:val="12"/>
                <w:color w:val="auto"/>
              </w:rPr>
            </w:pPr>
          </w:p>
        </w:tc>
        <w:tc>
          <w:tcPr>
            <w:tcW w:w="1140" w:type="dxa"/>
            <w:vAlign w:val="bottom"/>
            <w:tcBorders>
              <w:bottom w:val="single" w:sz="8" w:color="939598"/>
            </w:tcBorders>
          </w:tcPr>
          <w:p>
            <w:pPr>
              <w:spacing w:after="0"/>
              <w:rPr>
                <w:sz w:val="12"/>
                <w:szCs w:val="12"/>
                <w:color w:val="auto"/>
              </w:rPr>
            </w:pPr>
          </w:p>
        </w:tc>
        <w:tc>
          <w:tcPr>
            <w:tcW w:w="12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220" w:type="dxa"/>
            <w:vAlign w:val="bottom"/>
            <w:tcBorders>
              <w:bottom w:val="single" w:sz="8" w:color="939598"/>
            </w:tcBorders>
          </w:tcPr>
          <w:p>
            <w:pPr>
              <w:spacing w:after="0"/>
              <w:rPr>
                <w:sz w:val="12"/>
                <w:szCs w:val="12"/>
                <w:color w:val="auto"/>
              </w:rPr>
            </w:pPr>
          </w:p>
        </w:tc>
        <w:tc>
          <w:tcPr>
            <w:tcW w:w="1280" w:type="dxa"/>
            <w:vAlign w:val="bottom"/>
            <w:tcBorders>
              <w:bottom w:val="single" w:sz="8" w:color="939598"/>
            </w:tcBorders>
          </w:tcPr>
          <w:p>
            <w:pPr>
              <w:spacing w:after="0"/>
              <w:rPr>
                <w:sz w:val="12"/>
                <w:szCs w:val="12"/>
                <w:color w:val="auto"/>
              </w:rPr>
            </w:pPr>
          </w:p>
        </w:tc>
        <w:tc>
          <w:tcPr>
            <w:tcW w:w="166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1340" w:type="dxa"/>
            <w:vAlign w:val="bottom"/>
            <w:tcBorders>
              <w:bottom w:val="single" w:sz="8" w:color="939598"/>
            </w:tcBorders>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17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auto"/>
                <w:w w:val="97"/>
              </w:rPr>
              <w:t>2019</w:t>
            </w:r>
          </w:p>
        </w:tc>
        <w:tc>
          <w:tcPr>
            <w:tcW w:w="1140" w:type="dxa"/>
            <w:vAlign w:val="bottom"/>
          </w:tcPr>
          <w:p>
            <w:pPr>
              <w:jc w:val="right"/>
              <w:ind w:right="146"/>
              <w:spacing w:after="0"/>
              <w:rPr>
                <w:sz w:val="20"/>
                <w:szCs w:val="20"/>
                <w:color w:val="auto"/>
              </w:rPr>
            </w:pPr>
            <w:r>
              <w:rPr>
                <w:rFonts w:ascii="Arial" w:cs="Arial" w:eastAsia="Arial" w:hAnsi="Arial"/>
                <w:sz w:val="11"/>
                <w:szCs w:val="11"/>
                <w:color w:val="auto"/>
              </w:rPr>
              <w:t>30,171</w:t>
            </w:r>
          </w:p>
        </w:tc>
        <w:tc>
          <w:tcPr>
            <w:tcW w:w="1280" w:type="dxa"/>
            <w:vAlign w:val="bottom"/>
          </w:tcPr>
          <w:p>
            <w:pPr>
              <w:jc w:val="right"/>
              <w:ind w:right="368"/>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146.19</w:t>
            </w:r>
          </w:p>
        </w:tc>
        <w:tc>
          <w:tcPr>
            <w:tcW w:w="680" w:type="dxa"/>
            <w:vAlign w:val="bottom"/>
          </w:tcPr>
          <w:p>
            <w:pPr>
              <w:jc w:val="right"/>
              <w:spacing w:after="0"/>
              <w:rPr>
                <w:sz w:val="20"/>
                <w:szCs w:val="20"/>
                <w:color w:val="auto"/>
              </w:rPr>
            </w:pPr>
            <w:r>
              <w:rPr>
                <w:rFonts w:ascii="Arial" w:cs="Arial" w:eastAsia="Arial" w:hAnsi="Arial"/>
                <w:sz w:val="11"/>
                <w:szCs w:val="11"/>
                <w:color w:val="auto"/>
              </w:rPr>
              <w:t>2/25/2029</w:t>
            </w: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1"/>
        </w:trPr>
        <w:tc>
          <w:tcPr>
            <w:tcW w:w="1700" w:type="dxa"/>
            <w:vAlign w:val="bottom"/>
          </w:tcPr>
          <w:p>
            <w:pPr>
              <w:spacing w:after="0"/>
              <w:rPr>
                <w:sz w:val="12"/>
                <w:szCs w:val="12"/>
                <w:color w:val="auto"/>
              </w:rPr>
            </w:pPr>
          </w:p>
        </w:tc>
        <w:tc>
          <w:tcPr>
            <w:tcW w:w="560" w:type="dxa"/>
            <w:vAlign w:val="bottom"/>
            <w:tcBorders>
              <w:bottom w:val="single" w:sz="8" w:color="939598"/>
            </w:tcBorders>
          </w:tcPr>
          <w:p>
            <w:pPr>
              <w:spacing w:after="0"/>
              <w:rPr>
                <w:sz w:val="12"/>
                <w:szCs w:val="12"/>
                <w:color w:val="auto"/>
              </w:rPr>
            </w:pPr>
          </w:p>
        </w:tc>
        <w:tc>
          <w:tcPr>
            <w:tcW w:w="1140" w:type="dxa"/>
            <w:vAlign w:val="bottom"/>
            <w:tcBorders>
              <w:bottom w:val="single" w:sz="8" w:color="939598"/>
            </w:tcBorders>
          </w:tcPr>
          <w:p>
            <w:pPr>
              <w:spacing w:after="0"/>
              <w:rPr>
                <w:sz w:val="12"/>
                <w:szCs w:val="12"/>
                <w:color w:val="auto"/>
              </w:rPr>
            </w:pPr>
          </w:p>
        </w:tc>
        <w:tc>
          <w:tcPr>
            <w:tcW w:w="12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220" w:type="dxa"/>
            <w:vAlign w:val="bottom"/>
            <w:tcBorders>
              <w:bottom w:val="single" w:sz="8" w:color="939598"/>
            </w:tcBorders>
          </w:tcPr>
          <w:p>
            <w:pPr>
              <w:spacing w:after="0"/>
              <w:rPr>
                <w:sz w:val="12"/>
                <w:szCs w:val="12"/>
                <w:color w:val="auto"/>
              </w:rPr>
            </w:pPr>
          </w:p>
        </w:tc>
        <w:tc>
          <w:tcPr>
            <w:tcW w:w="1280" w:type="dxa"/>
            <w:vAlign w:val="bottom"/>
            <w:tcBorders>
              <w:bottom w:val="single" w:sz="8" w:color="939598"/>
            </w:tcBorders>
          </w:tcPr>
          <w:p>
            <w:pPr>
              <w:spacing w:after="0"/>
              <w:rPr>
                <w:sz w:val="12"/>
                <w:szCs w:val="12"/>
                <w:color w:val="auto"/>
              </w:rPr>
            </w:pPr>
          </w:p>
        </w:tc>
        <w:tc>
          <w:tcPr>
            <w:tcW w:w="166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1340" w:type="dxa"/>
            <w:vAlign w:val="bottom"/>
            <w:tcBorders>
              <w:bottom w:val="single" w:sz="8" w:color="939598"/>
            </w:tcBorders>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17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auto"/>
                <w:w w:val="97"/>
              </w:rPr>
              <w:t>2018</w:t>
            </w:r>
          </w:p>
        </w:tc>
        <w:tc>
          <w:tcPr>
            <w:tcW w:w="1140" w:type="dxa"/>
            <w:vAlign w:val="bottom"/>
          </w:tcPr>
          <w:p>
            <w:pPr>
              <w:jc w:val="right"/>
              <w:ind w:right="146"/>
              <w:spacing w:after="0"/>
              <w:rPr>
                <w:sz w:val="20"/>
                <w:szCs w:val="20"/>
                <w:color w:val="auto"/>
              </w:rPr>
            </w:pPr>
            <w:r>
              <w:rPr>
                <w:rFonts w:ascii="Arial" w:cs="Arial" w:eastAsia="Arial" w:hAnsi="Arial"/>
                <w:sz w:val="11"/>
                <w:szCs w:val="11"/>
                <w:color w:val="auto"/>
              </w:rPr>
              <w:t>18,178</w:t>
            </w:r>
          </w:p>
        </w:tc>
        <w:tc>
          <w:tcPr>
            <w:tcW w:w="1280" w:type="dxa"/>
            <w:vAlign w:val="bottom"/>
          </w:tcPr>
          <w:p>
            <w:pPr>
              <w:jc w:val="right"/>
              <w:ind w:right="368"/>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141.04</w:t>
            </w:r>
          </w:p>
        </w:tc>
        <w:tc>
          <w:tcPr>
            <w:tcW w:w="680" w:type="dxa"/>
            <w:vAlign w:val="bottom"/>
          </w:tcPr>
          <w:p>
            <w:pPr>
              <w:jc w:val="right"/>
              <w:spacing w:after="0"/>
              <w:rPr>
                <w:sz w:val="20"/>
                <w:szCs w:val="20"/>
                <w:color w:val="auto"/>
              </w:rPr>
            </w:pPr>
            <w:r>
              <w:rPr>
                <w:rFonts w:ascii="Arial" w:cs="Arial" w:eastAsia="Arial" w:hAnsi="Arial"/>
                <w:sz w:val="11"/>
                <w:szCs w:val="11"/>
                <w:color w:val="auto"/>
              </w:rPr>
              <w:t>2/26/2028</w:t>
            </w: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1"/>
        </w:trPr>
        <w:tc>
          <w:tcPr>
            <w:tcW w:w="1700" w:type="dxa"/>
            <w:vAlign w:val="bottom"/>
          </w:tcPr>
          <w:p>
            <w:pPr>
              <w:spacing w:after="0"/>
              <w:rPr>
                <w:sz w:val="12"/>
                <w:szCs w:val="12"/>
                <w:color w:val="auto"/>
              </w:rPr>
            </w:pPr>
          </w:p>
        </w:tc>
        <w:tc>
          <w:tcPr>
            <w:tcW w:w="560" w:type="dxa"/>
            <w:vAlign w:val="bottom"/>
            <w:tcBorders>
              <w:bottom w:val="single" w:sz="8" w:color="939598"/>
            </w:tcBorders>
          </w:tcPr>
          <w:p>
            <w:pPr>
              <w:spacing w:after="0"/>
              <w:rPr>
                <w:sz w:val="12"/>
                <w:szCs w:val="12"/>
                <w:color w:val="auto"/>
              </w:rPr>
            </w:pPr>
          </w:p>
        </w:tc>
        <w:tc>
          <w:tcPr>
            <w:tcW w:w="1140" w:type="dxa"/>
            <w:vAlign w:val="bottom"/>
            <w:tcBorders>
              <w:bottom w:val="single" w:sz="8" w:color="939598"/>
            </w:tcBorders>
          </w:tcPr>
          <w:p>
            <w:pPr>
              <w:spacing w:after="0"/>
              <w:rPr>
                <w:sz w:val="12"/>
                <w:szCs w:val="12"/>
                <w:color w:val="auto"/>
              </w:rPr>
            </w:pPr>
          </w:p>
        </w:tc>
        <w:tc>
          <w:tcPr>
            <w:tcW w:w="12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220" w:type="dxa"/>
            <w:vAlign w:val="bottom"/>
            <w:tcBorders>
              <w:bottom w:val="single" w:sz="8" w:color="939598"/>
            </w:tcBorders>
          </w:tcPr>
          <w:p>
            <w:pPr>
              <w:spacing w:after="0"/>
              <w:rPr>
                <w:sz w:val="12"/>
                <w:szCs w:val="12"/>
                <w:color w:val="auto"/>
              </w:rPr>
            </w:pPr>
          </w:p>
        </w:tc>
        <w:tc>
          <w:tcPr>
            <w:tcW w:w="1280" w:type="dxa"/>
            <w:vAlign w:val="bottom"/>
            <w:tcBorders>
              <w:bottom w:val="single" w:sz="8" w:color="939598"/>
            </w:tcBorders>
          </w:tcPr>
          <w:p>
            <w:pPr>
              <w:spacing w:after="0"/>
              <w:rPr>
                <w:sz w:val="12"/>
                <w:szCs w:val="12"/>
                <w:color w:val="auto"/>
              </w:rPr>
            </w:pPr>
          </w:p>
        </w:tc>
        <w:tc>
          <w:tcPr>
            <w:tcW w:w="166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1340" w:type="dxa"/>
            <w:vAlign w:val="bottom"/>
            <w:tcBorders>
              <w:bottom w:val="single" w:sz="8" w:color="939598"/>
            </w:tcBorders>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17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auto"/>
                <w:w w:val="97"/>
              </w:rPr>
              <w:t>2017</w:t>
            </w:r>
          </w:p>
        </w:tc>
        <w:tc>
          <w:tcPr>
            <w:tcW w:w="1140" w:type="dxa"/>
            <w:vAlign w:val="bottom"/>
          </w:tcPr>
          <w:p>
            <w:pPr>
              <w:jc w:val="right"/>
              <w:ind w:right="146"/>
              <w:spacing w:after="0"/>
              <w:rPr>
                <w:sz w:val="20"/>
                <w:szCs w:val="20"/>
                <w:color w:val="auto"/>
              </w:rPr>
            </w:pPr>
            <w:r>
              <w:rPr>
                <w:rFonts w:ascii="Arial" w:cs="Arial" w:eastAsia="Arial" w:hAnsi="Arial"/>
                <w:sz w:val="11"/>
                <w:szCs w:val="11"/>
                <w:color w:val="auto"/>
              </w:rPr>
              <w:t>17,077</w:t>
            </w:r>
          </w:p>
        </w:tc>
        <w:tc>
          <w:tcPr>
            <w:tcW w:w="1280" w:type="dxa"/>
            <w:vAlign w:val="bottom"/>
          </w:tcPr>
          <w:p>
            <w:pPr>
              <w:jc w:val="right"/>
              <w:ind w:right="368"/>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113.46</w:t>
            </w:r>
          </w:p>
        </w:tc>
        <w:tc>
          <w:tcPr>
            <w:tcW w:w="680" w:type="dxa"/>
            <w:vAlign w:val="bottom"/>
          </w:tcPr>
          <w:p>
            <w:pPr>
              <w:jc w:val="right"/>
              <w:spacing w:after="0"/>
              <w:rPr>
                <w:sz w:val="20"/>
                <w:szCs w:val="20"/>
                <w:color w:val="auto"/>
              </w:rPr>
            </w:pPr>
            <w:r>
              <w:rPr>
                <w:rFonts w:ascii="Arial" w:cs="Arial" w:eastAsia="Arial" w:hAnsi="Arial"/>
                <w:sz w:val="11"/>
                <w:szCs w:val="11"/>
                <w:color w:val="auto"/>
              </w:rPr>
              <w:t>2/27/2027</w:t>
            </w: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560" w:type="dxa"/>
            <w:vAlign w:val="bottom"/>
            <w:tcBorders>
              <w:bottom w:val="single" w:sz="8" w:color="939598"/>
            </w:tcBorders>
          </w:tcPr>
          <w:p>
            <w:pPr>
              <w:spacing w:after="0"/>
              <w:rPr>
                <w:sz w:val="12"/>
                <w:szCs w:val="12"/>
                <w:color w:val="auto"/>
              </w:rPr>
            </w:pPr>
          </w:p>
        </w:tc>
        <w:tc>
          <w:tcPr>
            <w:tcW w:w="1140" w:type="dxa"/>
            <w:vAlign w:val="bottom"/>
            <w:tcBorders>
              <w:bottom w:val="single" w:sz="8" w:color="939598"/>
            </w:tcBorders>
          </w:tcPr>
          <w:p>
            <w:pPr>
              <w:spacing w:after="0"/>
              <w:rPr>
                <w:sz w:val="12"/>
                <w:szCs w:val="12"/>
                <w:color w:val="auto"/>
              </w:rPr>
            </w:pPr>
          </w:p>
        </w:tc>
        <w:tc>
          <w:tcPr>
            <w:tcW w:w="12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220" w:type="dxa"/>
            <w:vAlign w:val="bottom"/>
            <w:tcBorders>
              <w:bottom w:val="single" w:sz="8" w:color="939598"/>
            </w:tcBorders>
          </w:tcPr>
          <w:p>
            <w:pPr>
              <w:spacing w:after="0"/>
              <w:rPr>
                <w:sz w:val="12"/>
                <w:szCs w:val="12"/>
                <w:color w:val="auto"/>
              </w:rPr>
            </w:pPr>
          </w:p>
        </w:tc>
        <w:tc>
          <w:tcPr>
            <w:tcW w:w="1280" w:type="dxa"/>
            <w:vAlign w:val="bottom"/>
            <w:tcBorders>
              <w:bottom w:val="single" w:sz="8" w:color="939598"/>
            </w:tcBorders>
          </w:tcPr>
          <w:p>
            <w:pPr>
              <w:spacing w:after="0"/>
              <w:rPr>
                <w:sz w:val="12"/>
                <w:szCs w:val="12"/>
                <w:color w:val="auto"/>
              </w:rPr>
            </w:pPr>
          </w:p>
        </w:tc>
        <w:tc>
          <w:tcPr>
            <w:tcW w:w="166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1340" w:type="dxa"/>
            <w:vAlign w:val="bottom"/>
            <w:tcBorders>
              <w:bottom w:val="single" w:sz="8" w:color="939598"/>
            </w:tcBorders>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7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91"/>
              </w:rPr>
              <w:t>Total</w:t>
            </w:r>
          </w:p>
        </w:tc>
        <w:tc>
          <w:tcPr>
            <w:tcW w:w="1140" w:type="dxa"/>
            <w:vAlign w:val="bottom"/>
          </w:tcPr>
          <w:p>
            <w:pPr>
              <w:jc w:val="right"/>
              <w:ind w:right="146"/>
              <w:spacing w:after="0"/>
              <w:rPr>
                <w:sz w:val="20"/>
                <w:szCs w:val="20"/>
                <w:color w:val="auto"/>
              </w:rPr>
            </w:pPr>
            <w:r>
              <w:rPr>
                <w:rFonts w:ascii="Arial" w:cs="Arial" w:eastAsia="Arial" w:hAnsi="Arial"/>
                <w:sz w:val="11"/>
                <w:szCs w:val="11"/>
                <w:b w:val="1"/>
                <w:bCs w:val="1"/>
                <w:color w:val="auto"/>
              </w:rPr>
              <w:t>239,951</w:t>
            </w:r>
          </w:p>
        </w:tc>
        <w:tc>
          <w:tcPr>
            <w:tcW w:w="1280" w:type="dxa"/>
            <w:vAlign w:val="bottom"/>
          </w:tcPr>
          <w:p>
            <w:pPr>
              <w:jc w:val="right"/>
              <w:ind w:right="368"/>
              <w:spacing w:after="0"/>
              <w:rPr>
                <w:sz w:val="20"/>
                <w:szCs w:val="20"/>
                <w:color w:val="auto"/>
              </w:rPr>
            </w:pPr>
            <w:r>
              <w:rPr>
                <w:rFonts w:ascii="Arial" w:cs="Arial" w:eastAsia="Arial" w:hAnsi="Arial"/>
                <w:sz w:val="11"/>
                <w:szCs w:val="11"/>
                <w:b w:val="1"/>
                <w:bCs w:val="1"/>
                <w:color w:val="auto"/>
              </w:rPr>
              <w:t>249,643</w:t>
            </w: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ind w:right="474"/>
              <w:spacing w:after="0"/>
              <w:rPr>
                <w:sz w:val="20"/>
                <w:szCs w:val="20"/>
                <w:color w:val="auto"/>
              </w:rPr>
            </w:pPr>
            <w:r>
              <w:rPr>
                <w:rFonts w:ascii="Arial" w:cs="Arial" w:eastAsia="Arial" w:hAnsi="Arial"/>
                <w:sz w:val="11"/>
                <w:szCs w:val="11"/>
                <w:b w:val="1"/>
                <w:bCs w:val="1"/>
                <w:color w:val="auto"/>
              </w:rPr>
              <w:t>79,153</w:t>
            </w:r>
          </w:p>
        </w:tc>
        <w:tc>
          <w:tcPr>
            <w:tcW w:w="1660" w:type="dxa"/>
            <w:vAlign w:val="bottom"/>
          </w:tcPr>
          <w:p>
            <w:pPr>
              <w:jc w:val="right"/>
              <w:ind w:right="526"/>
              <w:spacing w:after="0"/>
              <w:rPr>
                <w:sz w:val="20"/>
                <w:szCs w:val="20"/>
                <w:color w:val="auto"/>
              </w:rPr>
            </w:pPr>
            <w:r>
              <w:rPr>
                <w:rFonts w:ascii="Arial" w:cs="Arial" w:eastAsia="Arial" w:hAnsi="Arial"/>
                <w:sz w:val="11"/>
                <w:szCs w:val="11"/>
                <w:b w:val="1"/>
                <w:bCs w:val="1"/>
                <w:color w:val="auto"/>
              </w:rPr>
              <w:t>15,442,172</w:t>
            </w:r>
          </w:p>
        </w:tc>
        <w:tc>
          <w:tcPr>
            <w:tcW w:w="680" w:type="dxa"/>
            <w:vAlign w:val="bottom"/>
          </w:tcPr>
          <w:p>
            <w:pPr>
              <w:jc w:val="right"/>
              <w:ind w:right="6"/>
              <w:spacing w:after="0"/>
              <w:rPr>
                <w:sz w:val="20"/>
                <w:szCs w:val="20"/>
                <w:color w:val="auto"/>
              </w:rPr>
            </w:pPr>
            <w:r>
              <w:rPr>
                <w:rFonts w:ascii="Arial" w:cs="Arial" w:eastAsia="Arial" w:hAnsi="Arial"/>
                <w:sz w:val="11"/>
                <w:szCs w:val="11"/>
                <w:b w:val="1"/>
                <w:bCs w:val="1"/>
                <w:color w:val="auto"/>
              </w:rPr>
              <w:t>78,489</w:t>
            </w:r>
          </w:p>
        </w:tc>
        <w:tc>
          <w:tcPr>
            <w:tcW w:w="1340" w:type="dxa"/>
            <w:vAlign w:val="bottom"/>
          </w:tcPr>
          <w:p>
            <w:pPr>
              <w:jc w:val="right"/>
              <w:ind w:right="12"/>
              <w:spacing w:after="0"/>
              <w:rPr>
                <w:sz w:val="20"/>
                <w:szCs w:val="20"/>
                <w:color w:val="auto"/>
              </w:rPr>
            </w:pPr>
            <w:r>
              <w:rPr>
                <w:rFonts w:ascii="Arial" w:cs="Arial" w:eastAsia="Arial" w:hAnsi="Arial"/>
                <w:sz w:val="11"/>
                <w:szCs w:val="11"/>
                <w:b w:val="1"/>
                <w:bCs w:val="1"/>
                <w:color w:val="auto"/>
              </w:rPr>
              <w:t>15,312,276</w:t>
            </w:r>
          </w:p>
        </w:tc>
        <w:tc>
          <w:tcPr>
            <w:tcW w:w="0" w:type="dxa"/>
            <w:vAlign w:val="bottom"/>
          </w:tcPr>
          <w:p>
            <w:pPr>
              <w:spacing w:after="0"/>
              <w:rPr>
                <w:sz w:val="1"/>
                <w:szCs w:val="1"/>
                <w:color w:val="auto"/>
              </w:rPr>
            </w:pPr>
          </w:p>
        </w:tc>
      </w:tr>
      <w:tr>
        <w:trPr>
          <w:trHeight w:val="135"/>
        </w:trPr>
        <w:tc>
          <w:tcPr>
            <w:tcW w:w="1700" w:type="dxa"/>
            <w:vAlign w:val="bottom"/>
            <w:tcBorders>
              <w:bottom w:val="single" w:sz="8" w:color="939598"/>
            </w:tcBorders>
          </w:tcPr>
          <w:p>
            <w:pPr>
              <w:spacing w:after="0"/>
              <w:rPr>
                <w:sz w:val="11"/>
                <w:szCs w:val="11"/>
                <w:color w:val="auto"/>
              </w:rPr>
            </w:pPr>
          </w:p>
        </w:tc>
        <w:tc>
          <w:tcPr>
            <w:tcW w:w="560" w:type="dxa"/>
            <w:vAlign w:val="bottom"/>
            <w:tcBorders>
              <w:bottom w:val="single" w:sz="8" w:color="939598"/>
            </w:tcBorders>
          </w:tcPr>
          <w:p>
            <w:pPr>
              <w:spacing w:after="0"/>
              <w:rPr>
                <w:sz w:val="11"/>
                <w:szCs w:val="11"/>
                <w:color w:val="auto"/>
              </w:rPr>
            </w:pPr>
          </w:p>
        </w:tc>
        <w:tc>
          <w:tcPr>
            <w:tcW w:w="1140" w:type="dxa"/>
            <w:vAlign w:val="bottom"/>
            <w:tcBorders>
              <w:bottom w:val="single" w:sz="8" w:color="939598"/>
            </w:tcBorders>
          </w:tcPr>
          <w:p>
            <w:pPr>
              <w:spacing w:after="0"/>
              <w:rPr>
                <w:sz w:val="11"/>
                <w:szCs w:val="11"/>
                <w:color w:val="auto"/>
              </w:rPr>
            </w:pPr>
          </w:p>
        </w:tc>
        <w:tc>
          <w:tcPr>
            <w:tcW w:w="1280" w:type="dxa"/>
            <w:vAlign w:val="bottom"/>
            <w:tcBorders>
              <w:bottom w:val="single" w:sz="8" w:color="939598"/>
            </w:tcBorders>
          </w:tcPr>
          <w:p>
            <w:pPr>
              <w:spacing w:after="0"/>
              <w:rPr>
                <w:sz w:val="11"/>
                <w:szCs w:val="11"/>
                <w:color w:val="auto"/>
              </w:rPr>
            </w:pPr>
          </w:p>
        </w:tc>
        <w:tc>
          <w:tcPr>
            <w:tcW w:w="680" w:type="dxa"/>
            <w:vAlign w:val="bottom"/>
            <w:tcBorders>
              <w:bottom w:val="single" w:sz="8" w:color="939598"/>
            </w:tcBorders>
          </w:tcPr>
          <w:p>
            <w:pPr>
              <w:spacing w:after="0"/>
              <w:rPr>
                <w:sz w:val="11"/>
                <w:szCs w:val="11"/>
                <w:color w:val="auto"/>
              </w:rPr>
            </w:pPr>
          </w:p>
        </w:tc>
        <w:tc>
          <w:tcPr>
            <w:tcW w:w="680" w:type="dxa"/>
            <w:vAlign w:val="bottom"/>
            <w:tcBorders>
              <w:bottom w:val="single" w:sz="8" w:color="939598"/>
            </w:tcBorders>
          </w:tcPr>
          <w:p>
            <w:pPr>
              <w:spacing w:after="0"/>
              <w:rPr>
                <w:sz w:val="11"/>
                <w:szCs w:val="11"/>
                <w:color w:val="auto"/>
              </w:rPr>
            </w:pPr>
          </w:p>
        </w:tc>
        <w:tc>
          <w:tcPr>
            <w:tcW w:w="220" w:type="dxa"/>
            <w:vAlign w:val="bottom"/>
            <w:tcBorders>
              <w:bottom w:val="single" w:sz="8" w:color="939598"/>
            </w:tcBorders>
          </w:tcPr>
          <w:p>
            <w:pPr>
              <w:spacing w:after="0"/>
              <w:rPr>
                <w:sz w:val="11"/>
                <w:szCs w:val="11"/>
                <w:color w:val="auto"/>
              </w:rPr>
            </w:pPr>
          </w:p>
        </w:tc>
        <w:tc>
          <w:tcPr>
            <w:tcW w:w="1280" w:type="dxa"/>
            <w:vAlign w:val="bottom"/>
            <w:tcBorders>
              <w:bottom w:val="single" w:sz="8" w:color="939598"/>
            </w:tcBorders>
          </w:tcPr>
          <w:p>
            <w:pPr>
              <w:spacing w:after="0"/>
              <w:rPr>
                <w:sz w:val="11"/>
                <w:szCs w:val="11"/>
                <w:color w:val="auto"/>
              </w:rPr>
            </w:pPr>
          </w:p>
        </w:tc>
        <w:tc>
          <w:tcPr>
            <w:tcW w:w="1660" w:type="dxa"/>
            <w:vAlign w:val="bottom"/>
            <w:tcBorders>
              <w:bottom w:val="single" w:sz="8" w:color="939598"/>
            </w:tcBorders>
          </w:tcPr>
          <w:p>
            <w:pPr>
              <w:spacing w:after="0"/>
              <w:rPr>
                <w:sz w:val="11"/>
                <w:szCs w:val="11"/>
                <w:color w:val="auto"/>
              </w:rPr>
            </w:pPr>
          </w:p>
        </w:tc>
        <w:tc>
          <w:tcPr>
            <w:tcW w:w="680" w:type="dxa"/>
            <w:vAlign w:val="bottom"/>
            <w:tcBorders>
              <w:bottom w:val="single" w:sz="8" w:color="939598"/>
            </w:tcBorders>
          </w:tcPr>
          <w:p>
            <w:pPr>
              <w:spacing w:after="0"/>
              <w:rPr>
                <w:sz w:val="11"/>
                <w:szCs w:val="11"/>
                <w:color w:val="auto"/>
              </w:rPr>
            </w:pPr>
          </w:p>
        </w:tc>
        <w:tc>
          <w:tcPr>
            <w:tcW w:w="134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1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80" w:type="dxa"/>
            <w:vAlign w:val="bottom"/>
          </w:tcPr>
          <w:p>
            <w:pPr>
              <w:jc w:val="right"/>
              <w:ind w:right="208"/>
              <w:spacing w:after="0"/>
              <w:rPr>
                <w:sz w:val="20"/>
                <w:szCs w:val="20"/>
                <w:color w:val="auto"/>
              </w:rPr>
            </w:pPr>
            <w:r>
              <w:rPr>
                <w:rFonts w:ascii="Arial" w:cs="Arial" w:eastAsia="Arial" w:hAnsi="Arial"/>
                <w:sz w:val="7"/>
                <w:szCs w:val="7"/>
                <w:color w:val="auto"/>
              </w:rPr>
              <w:t>(3)</w:t>
            </w: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40" w:type="dxa"/>
            <w:vAlign w:val="bottom"/>
          </w:tcPr>
          <w:p>
            <w:pPr>
              <w:jc w:val="right"/>
              <w:ind w:right="1192"/>
              <w:spacing w:after="0"/>
              <w:rPr>
                <w:sz w:val="20"/>
                <w:szCs w:val="20"/>
                <w:color w:val="auto"/>
              </w:rPr>
            </w:pPr>
            <w:r>
              <w:rPr>
                <w:rFonts w:ascii="Arial" w:cs="Arial" w:eastAsia="Arial" w:hAnsi="Arial"/>
                <w:sz w:val="7"/>
                <w:szCs w:val="7"/>
                <w:color w:val="auto"/>
                <w:w w:val="92"/>
              </w:rPr>
              <w:t>(4)</w:t>
            </w:r>
          </w:p>
        </w:tc>
        <w:tc>
          <w:tcPr>
            <w:tcW w:w="0" w:type="dxa"/>
            <w:vAlign w:val="bottom"/>
          </w:tcPr>
          <w:p>
            <w:pPr>
              <w:spacing w:after="0"/>
              <w:rPr>
                <w:sz w:val="1"/>
                <w:szCs w:val="1"/>
                <w:color w:val="auto"/>
              </w:rPr>
            </w:pPr>
          </w:p>
        </w:tc>
      </w:tr>
      <w:tr>
        <w:trPr>
          <w:trHeight w:val="153"/>
        </w:trPr>
        <w:tc>
          <w:tcPr>
            <w:tcW w:w="1700" w:type="dxa"/>
            <w:vAlign w:val="bottom"/>
          </w:tcPr>
          <w:p>
            <w:pPr>
              <w:ind w:left="20"/>
              <w:spacing w:after="0"/>
              <w:rPr>
                <w:sz w:val="20"/>
                <w:szCs w:val="20"/>
                <w:color w:val="auto"/>
              </w:rPr>
            </w:pPr>
            <w:r>
              <w:rPr>
                <w:rFonts w:ascii="Arial" w:cs="Arial" w:eastAsia="Arial" w:hAnsi="Arial"/>
                <w:sz w:val="11"/>
                <w:szCs w:val="11"/>
                <w:b w:val="1"/>
                <w:bCs w:val="1"/>
                <w:color w:val="auto"/>
              </w:rPr>
              <w:t>Michal Stepniak</w:t>
            </w:r>
          </w:p>
        </w:tc>
        <w:tc>
          <w:tcPr>
            <w:tcW w:w="560" w:type="dxa"/>
            <w:vAlign w:val="bottom"/>
          </w:tcPr>
          <w:p>
            <w:pPr>
              <w:jc w:val="center"/>
              <w:spacing w:after="0"/>
              <w:rPr>
                <w:sz w:val="20"/>
                <w:szCs w:val="20"/>
                <w:color w:val="auto"/>
              </w:rPr>
            </w:pPr>
            <w:r>
              <w:rPr>
                <w:rFonts w:ascii="Arial" w:cs="Arial" w:eastAsia="Arial" w:hAnsi="Arial"/>
                <w:sz w:val="11"/>
                <w:szCs w:val="11"/>
                <w:color w:val="auto"/>
                <w:w w:val="97"/>
              </w:rPr>
              <w:t>2025</w:t>
            </w:r>
          </w:p>
        </w:tc>
        <w:tc>
          <w:tcPr>
            <w:tcW w:w="114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1280" w:type="dxa"/>
            <w:vAlign w:val="bottom"/>
          </w:tcPr>
          <w:p>
            <w:pPr>
              <w:jc w:val="right"/>
              <w:ind w:right="368"/>
              <w:spacing w:after="0"/>
              <w:rPr>
                <w:sz w:val="20"/>
                <w:szCs w:val="20"/>
                <w:color w:val="auto"/>
              </w:rPr>
            </w:pPr>
            <w:r>
              <w:rPr>
                <w:rFonts w:ascii="Arial" w:cs="Arial" w:eastAsia="Arial" w:hAnsi="Arial"/>
                <w:sz w:val="11"/>
                <w:szCs w:val="11"/>
                <w:color w:val="auto"/>
              </w:rPr>
              <w:t>36,112</w:t>
            </w: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$198.89</w:t>
            </w:r>
          </w:p>
        </w:tc>
        <w:tc>
          <w:tcPr>
            <w:tcW w:w="680" w:type="dxa"/>
            <w:vAlign w:val="bottom"/>
          </w:tcPr>
          <w:p>
            <w:pPr>
              <w:jc w:val="right"/>
              <w:spacing w:after="0"/>
              <w:rPr>
                <w:sz w:val="20"/>
                <w:szCs w:val="20"/>
                <w:color w:val="auto"/>
              </w:rPr>
            </w:pPr>
            <w:r>
              <w:rPr>
                <w:rFonts w:ascii="Arial" w:cs="Arial" w:eastAsia="Arial" w:hAnsi="Arial"/>
                <w:sz w:val="11"/>
                <w:szCs w:val="11"/>
                <w:color w:val="auto"/>
              </w:rPr>
              <w:t>2/18/2035</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5,139</w:t>
            </w:r>
          </w:p>
        </w:tc>
        <w:tc>
          <w:tcPr>
            <w:tcW w:w="1340" w:type="dxa"/>
            <w:vAlign w:val="bottom"/>
          </w:tcPr>
          <w:p>
            <w:pPr>
              <w:jc w:val="right"/>
              <w:ind w:right="12"/>
              <w:spacing w:after="0"/>
              <w:rPr>
                <w:sz w:val="20"/>
                <w:szCs w:val="20"/>
                <w:color w:val="auto"/>
              </w:rPr>
            </w:pPr>
            <w:r>
              <w:rPr>
                <w:rFonts w:ascii="Arial" w:cs="Arial" w:eastAsia="Arial" w:hAnsi="Arial"/>
                <w:sz w:val="11"/>
                <w:szCs w:val="11"/>
                <w:color w:val="auto"/>
              </w:rPr>
              <w:t>$1,002,650</w:t>
            </w: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560" w:type="dxa"/>
            <w:vAlign w:val="bottom"/>
            <w:tcBorders>
              <w:bottom w:val="single" w:sz="8" w:color="939598"/>
            </w:tcBorders>
          </w:tcPr>
          <w:p>
            <w:pPr>
              <w:spacing w:after="0"/>
              <w:rPr>
                <w:sz w:val="11"/>
                <w:szCs w:val="11"/>
                <w:color w:val="auto"/>
              </w:rPr>
            </w:pPr>
          </w:p>
        </w:tc>
        <w:tc>
          <w:tcPr>
            <w:tcW w:w="1140" w:type="dxa"/>
            <w:vAlign w:val="bottom"/>
            <w:tcBorders>
              <w:bottom w:val="single" w:sz="8" w:color="939598"/>
            </w:tcBorders>
          </w:tcPr>
          <w:p>
            <w:pPr>
              <w:spacing w:after="0"/>
              <w:rPr>
                <w:sz w:val="11"/>
                <w:szCs w:val="11"/>
                <w:color w:val="auto"/>
              </w:rPr>
            </w:pPr>
          </w:p>
        </w:tc>
        <w:tc>
          <w:tcPr>
            <w:tcW w:w="1280" w:type="dxa"/>
            <w:vAlign w:val="bottom"/>
            <w:tcBorders>
              <w:bottom w:val="single" w:sz="8" w:color="939598"/>
            </w:tcBorders>
          </w:tcPr>
          <w:p>
            <w:pPr>
              <w:spacing w:after="0"/>
              <w:rPr>
                <w:sz w:val="11"/>
                <w:szCs w:val="11"/>
                <w:color w:val="auto"/>
              </w:rPr>
            </w:pPr>
          </w:p>
        </w:tc>
        <w:tc>
          <w:tcPr>
            <w:tcW w:w="680" w:type="dxa"/>
            <w:vAlign w:val="bottom"/>
            <w:tcBorders>
              <w:bottom w:val="single" w:sz="8" w:color="939598"/>
            </w:tcBorders>
          </w:tcPr>
          <w:p>
            <w:pPr>
              <w:spacing w:after="0"/>
              <w:rPr>
                <w:sz w:val="11"/>
                <w:szCs w:val="11"/>
                <w:color w:val="auto"/>
              </w:rPr>
            </w:pPr>
          </w:p>
        </w:tc>
        <w:tc>
          <w:tcPr>
            <w:tcW w:w="680" w:type="dxa"/>
            <w:vAlign w:val="bottom"/>
            <w:tcBorders>
              <w:bottom w:val="single" w:sz="8" w:color="939598"/>
            </w:tcBorders>
          </w:tcPr>
          <w:p>
            <w:pPr>
              <w:spacing w:after="0"/>
              <w:rPr>
                <w:sz w:val="11"/>
                <w:szCs w:val="11"/>
                <w:color w:val="auto"/>
              </w:rPr>
            </w:pPr>
          </w:p>
        </w:tc>
        <w:tc>
          <w:tcPr>
            <w:tcW w:w="220" w:type="dxa"/>
            <w:vAlign w:val="bottom"/>
            <w:tcBorders>
              <w:bottom w:val="single" w:sz="8" w:color="939598"/>
            </w:tcBorders>
          </w:tcPr>
          <w:p>
            <w:pPr>
              <w:spacing w:after="0"/>
              <w:rPr>
                <w:sz w:val="11"/>
                <w:szCs w:val="11"/>
                <w:color w:val="auto"/>
              </w:rPr>
            </w:pPr>
          </w:p>
        </w:tc>
        <w:tc>
          <w:tcPr>
            <w:tcW w:w="1280" w:type="dxa"/>
            <w:vAlign w:val="bottom"/>
            <w:tcBorders>
              <w:bottom w:val="single" w:sz="8" w:color="939598"/>
            </w:tcBorders>
          </w:tcPr>
          <w:p>
            <w:pPr>
              <w:spacing w:after="0"/>
              <w:rPr>
                <w:sz w:val="11"/>
                <w:szCs w:val="11"/>
                <w:color w:val="auto"/>
              </w:rPr>
            </w:pPr>
          </w:p>
        </w:tc>
        <w:tc>
          <w:tcPr>
            <w:tcW w:w="1660" w:type="dxa"/>
            <w:vAlign w:val="bottom"/>
            <w:tcBorders>
              <w:bottom w:val="single" w:sz="8" w:color="939598"/>
            </w:tcBorders>
          </w:tcPr>
          <w:p>
            <w:pPr>
              <w:spacing w:after="0"/>
              <w:rPr>
                <w:sz w:val="11"/>
                <w:szCs w:val="11"/>
                <w:color w:val="auto"/>
              </w:rPr>
            </w:pPr>
          </w:p>
        </w:tc>
        <w:tc>
          <w:tcPr>
            <w:tcW w:w="680" w:type="dxa"/>
            <w:vAlign w:val="bottom"/>
            <w:tcBorders>
              <w:bottom w:val="single" w:sz="8" w:color="939598"/>
            </w:tcBorders>
          </w:tcPr>
          <w:p>
            <w:pPr>
              <w:spacing w:after="0"/>
              <w:rPr>
                <w:sz w:val="11"/>
                <w:szCs w:val="11"/>
                <w:color w:val="auto"/>
              </w:rPr>
            </w:pPr>
          </w:p>
        </w:tc>
        <w:tc>
          <w:tcPr>
            <w:tcW w:w="134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1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ind w:left="840"/>
              <w:spacing w:after="0"/>
              <w:rPr>
                <w:sz w:val="20"/>
                <w:szCs w:val="20"/>
                <w:color w:val="auto"/>
              </w:rPr>
            </w:pPr>
            <w:r>
              <w:rPr>
                <w:rFonts w:ascii="Arial" w:cs="Arial" w:eastAsia="Arial" w:hAnsi="Arial"/>
                <w:sz w:val="7"/>
                <w:szCs w:val="7"/>
                <w:color w:val="auto"/>
              </w:rPr>
              <w:t>(5)</w:t>
            </w:r>
          </w:p>
        </w:tc>
        <w:tc>
          <w:tcPr>
            <w:tcW w:w="1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40" w:type="dxa"/>
            <w:vAlign w:val="bottom"/>
          </w:tcPr>
          <w:p>
            <w:pPr>
              <w:jc w:val="right"/>
              <w:ind w:right="1192"/>
              <w:spacing w:after="0"/>
              <w:rPr>
                <w:sz w:val="20"/>
                <w:szCs w:val="20"/>
                <w:color w:val="auto"/>
              </w:rPr>
            </w:pPr>
            <w:r>
              <w:rPr>
                <w:rFonts w:ascii="Arial" w:cs="Arial" w:eastAsia="Arial" w:hAnsi="Arial"/>
                <w:sz w:val="7"/>
                <w:szCs w:val="7"/>
                <w:color w:val="auto"/>
                <w:w w:val="92"/>
              </w:rPr>
              <w:t>(6)</w:t>
            </w:r>
          </w:p>
        </w:tc>
        <w:tc>
          <w:tcPr>
            <w:tcW w:w="0" w:type="dxa"/>
            <w:vAlign w:val="bottom"/>
          </w:tcPr>
          <w:p>
            <w:pPr>
              <w:spacing w:after="0"/>
              <w:rPr>
                <w:sz w:val="1"/>
                <w:szCs w:val="1"/>
                <w:color w:val="auto"/>
              </w:rPr>
            </w:pPr>
          </w:p>
        </w:tc>
      </w:tr>
      <w:tr>
        <w:trPr>
          <w:trHeight w:val="147"/>
        </w:trPr>
        <w:tc>
          <w:tcPr>
            <w:tcW w:w="170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auto"/>
                <w:w w:val="97"/>
              </w:rPr>
              <w:t>2025</w:t>
            </w:r>
          </w:p>
        </w:tc>
        <w:tc>
          <w:tcPr>
            <w:tcW w:w="114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1280" w:type="dxa"/>
            <w:vAlign w:val="bottom"/>
          </w:tcPr>
          <w:p>
            <w:pPr>
              <w:jc w:val="right"/>
              <w:ind w:right="368"/>
              <w:spacing w:after="0"/>
              <w:rPr>
                <w:sz w:val="20"/>
                <w:szCs w:val="20"/>
                <w:color w:val="auto"/>
              </w:rPr>
            </w:pPr>
            <w:r>
              <w:rPr>
                <w:rFonts w:ascii="Arial" w:cs="Arial" w:eastAsia="Arial" w:hAnsi="Arial"/>
                <w:sz w:val="11"/>
                <w:szCs w:val="11"/>
                <w:color w:val="auto"/>
              </w:rPr>
              <w:t>22,787</w:t>
            </w: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198.89</w:t>
            </w:r>
          </w:p>
        </w:tc>
        <w:tc>
          <w:tcPr>
            <w:tcW w:w="680" w:type="dxa"/>
            <w:vAlign w:val="bottom"/>
          </w:tcPr>
          <w:p>
            <w:pPr>
              <w:jc w:val="right"/>
              <w:spacing w:after="0"/>
              <w:rPr>
                <w:sz w:val="20"/>
                <w:szCs w:val="20"/>
                <w:color w:val="auto"/>
              </w:rPr>
            </w:pPr>
            <w:r>
              <w:rPr>
                <w:rFonts w:ascii="Arial" w:cs="Arial" w:eastAsia="Arial" w:hAnsi="Arial"/>
                <w:sz w:val="11"/>
                <w:szCs w:val="11"/>
                <w:color w:val="auto"/>
              </w:rPr>
              <w:t>2/18/2035</w:t>
            </w:r>
          </w:p>
        </w:tc>
        <w:tc>
          <w:tcPr>
            <w:tcW w:w="220" w:type="dxa"/>
            <w:vAlign w:val="bottom"/>
          </w:tcPr>
          <w:p>
            <w:pPr>
              <w:spacing w:after="0"/>
              <w:rPr>
                <w:sz w:val="12"/>
                <w:szCs w:val="12"/>
                <w:color w:val="auto"/>
              </w:rPr>
            </w:pPr>
          </w:p>
        </w:tc>
        <w:tc>
          <w:tcPr>
            <w:tcW w:w="1280" w:type="dxa"/>
            <w:vAlign w:val="bottom"/>
          </w:tcPr>
          <w:p>
            <w:pPr>
              <w:jc w:val="right"/>
              <w:ind w:right="474"/>
              <w:spacing w:after="0"/>
              <w:rPr>
                <w:sz w:val="20"/>
                <w:szCs w:val="20"/>
                <w:color w:val="auto"/>
              </w:rPr>
            </w:pPr>
            <w:r>
              <w:rPr>
                <w:rFonts w:ascii="Arial" w:cs="Arial" w:eastAsia="Arial" w:hAnsi="Arial"/>
                <w:sz w:val="11"/>
                <w:szCs w:val="11"/>
                <w:color w:val="auto"/>
              </w:rPr>
              <w:t>4,852</w:t>
            </w:r>
          </w:p>
        </w:tc>
        <w:tc>
          <w:tcPr>
            <w:tcW w:w="1660" w:type="dxa"/>
            <w:vAlign w:val="bottom"/>
          </w:tcPr>
          <w:p>
            <w:pPr>
              <w:jc w:val="right"/>
              <w:ind w:right="526"/>
              <w:spacing w:after="0"/>
              <w:rPr>
                <w:sz w:val="20"/>
                <w:szCs w:val="20"/>
                <w:color w:val="auto"/>
              </w:rPr>
            </w:pPr>
            <w:r>
              <w:rPr>
                <w:rFonts w:ascii="Arial" w:cs="Arial" w:eastAsia="Arial" w:hAnsi="Arial"/>
                <w:sz w:val="11"/>
                <w:szCs w:val="11"/>
                <w:color w:val="auto"/>
              </w:rPr>
              <w:t>$946,626</w:t>
            </w: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9,703</w:t>
            </w:r>
          </w:p>
        </w:tc>
        <w:tc>
          <w:tcPr>
            <w:tcW w:w="1340" w:type="dxa"/>
            <w:vAlign w:val="bottom"/>
          </w:tcPr>
          <w:p>
            <w:pPr>
              <w:jc w:val="right"/>
              <w:ind w:right="12"/>
              <w:spacing w:after="0"/>
              <w:rPr>
                <w:sz w:val="20"/>
                <w:szCs w:val="20"/>
                <w:color w:val="auto"/>
              </w:rPr>
            </w:pPr>
            <w:r>
              <w:rPr>
                <w:rFonts w:ascii="Arial" w:cs="Arial" w:eastAsia="Arial" w:hAnsi="Arial"/>
                <w:sz w:val="11"/>
                <w:szCs w:val="11"/>
                <w:color w:val="auto"/>
              </w:rPr>
              <w:t>1,893,052</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560" w:type="dxa"/>
            <w:vAlign w:val="bottom"/>
            <w:tcBorders>
              <w:bottom w:val="single" w:sz="8" w:color="939598"/>
            </w:tcBorders>
          </w:tcPr>
          <w:p>
            <w:pPr>
              <w:spacing w:after="0"/>
              <w:rPr>
                <w:sz w:val="12"/>
                <w:szCs w:val="12"/>
                <w:color w:val="auto"/>
              </w:rPr>
            </w:pPr>
          </w:p>
        </w:tc>
        <w:tc>
          <w:tcPr>
            <w:tcW w:w="1140" w:type="dxa"/>
            <w:vAlign w:val="bottom"/>
            <w:tcBorders>
              <w:bottom w:val="single" w:sz="8" w:color="939598"/>
            </w:tcBorders>
          </w:tcPr>
          <w:p>
            <w:pPr>
              <w:spacing w:after="0"/>
              <w:rPr>
                <w:sz w:val="12"/>
                <w:szCs w:val="12"/>
                <w:color w:val="auto"/>
              </w:rPr>
            </w:pPr>
          </w:p>
        </w:tc>
        <w:tc>
          <w:tcPr>
            <w:tcW w:w="12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220" w:type="dxa"/>
            <w:vAlign w:val="bottom"/>
            <w:tcBorders>
              <w:bottom w:val="single" w:sz="8" w:color="939598"/>
            </w:tcBorders>
          </w:tcPr>
          <w:p>
            <w:pPr>
              <w:spacing w:after="0"/>
              <w:rPr>
                <w:sz w:val="12"/>
                <w:szCs w:val="12"/>
                <w:color w:val="auto"/>
              </w:rPr>
            </w:pPr>
          </w:p>
        </w:tc>
        <w:tc>
          <w:tcPr>
            <w:tcW w:w="1280" w:type="dxa"/>
            <w:vAlign w:val="bottom"/>
            <w:tcBorders>
              <w:bottom w:val="single" w:sz="8" w:color="939598"/>
            </w:tcBorders>
          </w:tcPr>
          <w:p>
            <w:pPr>
              <w:spacing w:after="0"/>
              <w:rPr>
                <w:sz w:val="12"/>
                <w:szCs w:val="12"/>
                <w:color w:val="auto"/>
              </w:rPr>
            </w:pPr>
          </w:p>
        </w:tc>
        <w:tc>
          <w:tcPr>
            <w:tcW w:w="166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1340" w:type="dxa"/>
            <w:vAlign w:val="bottom"/>
            <w:tcBorders>
              <w:bottom w:val="single" w:sz="8" w:color="939598"/>
            </w:tcBorders>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ind w:left="840"/>
              <w:spacing w:after="0"/>
              <w:rPr>
                <w:sz w:val="20"/>
                <w:szCs w:val="20"/>
                <w:color w:val="auto"/>
              </w:rPr>
            </w:pPr>
            <w:r>
              <w:rPr>
                <w:rFonts w:ascii="Arial" w:cs="Arial" w:eastAsia="Arial" w:hAnsi="Arial"/>
                <w:sz w:val="7"/>
                <w:szCs w:val="7"/>
                <w:color w:val="auto"/>
              </w:rPr>
              <w:t>(16)</w:t>
            </w:r>
          </w:p>
        </w:tc>
        <w:tc>
          <w:tcPr>
            <w:tcW w:w="1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70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auto"/>
                <w:w w:val="97"/>
              </w:rPr>
              <w:t>2024</w:t>
            </w:r>
          </w:p>
        </w:tc>
        <w:tc>
          <w:tcPr>
            <w:tcW w:w="1140" w:type="dxa"/>
            <w:vAlign w:val="bottom"/>
          </w:tcPr>
          <w:p>
            <w:pPr>
              <w:jc w:val="right"/>
              <w:ind w:right="146"/>
              <w:spacing w:after="0"/>
              <w:rPr>
                <w:sz w:val="20"/>
                <w:szCs w:val="20"/>
                <w:color w:val="auto"/>
              </w:rPr>
            </w:pPr>
            <w:r>
              <w:rPr>
                <w:rFonts w:ascii="Arial" w:cs="Arial" w:eastAsia="Arial" w:hAnsi="Arial"/>
                <w:sz w:val="11"/>
                <w:szCs w:val="11"/>
                <w:color w:val="auto"/>
              </w:rPr>
              <w:t>1,863</w:t>
            </w:r>
          </w:p>
        </w:tc>
        <w:tc>
          <w:tcPr>
            <w:tcW w:w="1280" w:type="dxa"/>
            <w:vAlign w:val="bottom"/>
          </w:tcPr>
          <w:p>
            <w:pPr>
              <w:jc w:val="right"/>
              <w:ind w:right="368"/>
              <w:spacing w:after="0"/>
              <w:rPr>
                <w:sz w:val="20"/>
                <w:szCs w:val="20"/>
                <w:color w:val="auto"/>
              </w:rPr>
            </w:pPr>
            <w:r>
              <w:rPr>
                <w:rFonts w:ascii="Arial" w:cs="Arial" w:eastAsia="Arial" w:hAnsi="Arial"/>
                <w:sz w:val="11"/>
                <w:szCs w:val="11"/>
                <w:color w:val="auto"/>
              </w:rPr>
              <w:t>5,590</w:t>
            </w: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187.23</w:t>
            </w:r>
          </w:p>
        </w:tc>
        <w:tc>
          <w:tcPr>
            <w:tcW w:w="680" w:type="dxa"/>
            <w:vAlign w:val="bottom"/>
          </w:tcPr>
          <w:p>
            <w:pPr>
              <w:jc w:val="right"/>
              <w:spacing w:after="0"/>
              <w:rPr>
                <w:sz w:val="20"/>
                <w:szCs w:val="20"/>
                <w:color w:val="auto"/>
              </w:rPr>
            </w:pPr>
            <w:r>
              <w:rPr>
                <w:rFonts w:ascii="Arial" w:cs="Arial" w:eastAsia="Arial" w:hAnsi="Arial"/>
                <w:sz w:val="11"/>
                <w:szCs w:val="11"/>
                <w:color w:val="auto"/>
              </w:rPr>
              <w:t>2/28/2034</w:t>
            </w:r>
          </w:p>
        </w:tc>
        <w:tc>
          <w:tcPr>
            <w:tcW w:w="220" w:type="dxa"/>
            <w:vAlign w:val="bottom"/>
          </w:tcPr>
          <w:p>
            <w:pPr>
              <w:spacing w:after="0"/>
              <w:rPr>
                <w:sz w:val="12"/>
                <w:szCs w:val="12"/>
                <w:color w:val="auto"/>
              </w:rPr>
            </w:pPr>
          </w:p>
        </w:tc>
        <w:tc>
          <w:tcPr>
            <w:tcW w:w="1280" w:type="dxa"/>
            <w:vAlign w:val="bottom"/>
          </w:tcPr>
          <w:p>
            <w:pPr>
              <w:jc w:val="right"/>
              <w:ind w:right="474"/>
              <w:spacing w:after="0"/>
              <w:rPr>
                <w:sz w:val="20"/>
                <w:szCs w:val="20"/>
                <w:color w:val="auto"/>
              </w:rPr>
            </w:pPr>
            <w:r>
              <w:rPr>
                <w:rFonts w:ascii="Arial" w:cs="Arial" w:eastAsia="Arial" w:hAnsi="Arial"/>
                <w:sz w:val="11"/>
                <w:szCs w:val="11"/>
                <w:color w:val="auto"/>
              </w:rPr>
              <w:t>1,488</w:t>
            </w:r>
          </w:p>
        </w:tc>
        <w:tc>
          <w:tcPr>
            <w:tcW w:w="1660" w:type="dxa"/>
            <w:vAlign w:val="bottom"/>
          </w:tcPr>
          <w:p>
            <w:pPr>
              <w:jc w:val="right"/>
              <w:ind w:right="526"/>
              <w:spacing w:after="0"/>
              <w:rPr>
                <w:sz w:val="20"/>
                <w:szCs w:val="20"/>
                <w:color w:val="auto"/>
              </w:rPr>
            </w:pPr>
            <w:r>
              <w:rPr>
                <w:rFonts w:ascii="Arial" w:cs="Arial" w:eastAsia="Arial" w:hAnsi="Arial"/>
                <w:sz w:val="11"/>
                <w:szCs w:val="11"/>
                <w:color w:val="auto"/>
              </w:rPr>
              <w:t>290,326</w:t>
            </w:r>
          </w:p>
        </w:tc>
        <w:tc>
          <w:tcPr>
            <w:tcW w:w="6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700" w:type="dxa"/>
            <w:vAlign w:val="bottom"/>
          </w:tcPr>
          <w:p>
            <w:pPr>
              <w:spacing w:after="0"/>
              <w:rPr>
                <w:sz w:val="12"/>
                <w:szCs w:val="12"/>
                <w:color w:val="auto"/>
              </w:rPr>
            </w:pPr>
          </w:p>
        </w:tc>
        <w:tc>
          <w:tcPr>
            <w:tcW w:w="560" w:type="dxa"/>
            <w:vAlign w:val="bottom"/>
            <w:tcBorders>
              <w:bottom w:val="single" w:sz="8" w:color="939598"/>
            </w:tcBorders>
          </w:tcPr>
          <w:p>
            <w:pPr>
              <w:spacing w:after="0"/>
              <w:rPr>
                <w:sz w:val="12"/>
                <w:szCs w:val="12"/>
                <w:color w:val="auto"/>
              </w:rPr>
            </w:pPr>
          </w:p>
        </w:tc>
        <w:tc>
          <w:tcPr>
            <w:tcW w:w="1140" w:type="dxa"/>
            <w:vAlign w:val="bottom"/>
            <w:tcBorders>
              <w:bottom w:val="single" w:sz="8" w:color="939598"/>
            </w:tcBorders>
          </w:tcPr>
          <w:p>
            <w:pPr>
              <w:spacing w:after="0"/>
              <w:rPr>
                <w:sz w:val="12"/>
                <w:szCs w:val="12"/>
                <w:color w:val="auto"/>
              </w:rPr>
            </w:pPr>
          </w:p>
        </w:tc>
        <w:tc>
          <w:tcPr>
            <w:tcW w:w="12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220" w:type="dxa"/>
            <w:vAlign w:val="bottom"/>
            <w:tcBorders>
              <w:bottom w:val="single" w:sz="8" w:color="939598"/>
            </w:tcBorders>
          </w:tcPr>
          <w:p>
            <w:pPr>
              <w:spacing w:after="0"/>
              <w:rPr>
                <w:sz w:val="12"/>
                <w:szCs w:val="12"/>
                <w:color w:val="auto"/>
              </w:rPr>
            </w:pPr>
          </w:p>
        </w:tc>
        <w:tc>
          <w:tcPr>
            <w:tcW w:w="1280" w:type="dxa"/>
            <w:vAlign w:val="bottom"/>
            <w:tcBorders>
              <w:bottom w:val="single" w:sz="8" w:color="939598"/>
            </w:tcBorders>
          </w:tcPr>
          <w:p>
            <w:pPr>
              <w:spacing w:after="0"/>
              <w:rPr>
                <w:sz w:val="12"/>
                <w:szCs w:val="12"/>
                <w:color w:val="auto"/>
              </w:rPr>
            </w:pPr>
          </w:p>
        </w:tc>
        <w:tc>
          <w:tcPr>
            <w:tcW w:w="166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1340" w:type="dxa"/>
            <w:vAlign w:val="bottom"/>
            <w:tcBorders>
              <w:bottom w:val="single" w:sz="8" w:color="939598"/>
            </w:tcBorders>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ind w:left="840"/>
              <w:spacing w:after="0"/>
              <w:rPr>
                <w:sz w:val="20"/>
                <w:szCs w:val="20"/>
                <w:color w:val="auto"/>
              </w:rPr>
            </w:pPr>
            <w:r>
              <w:rPr>
                <w:rFonts w:ascii="Arial" w:cs="Arial" w:eastAsia="Arial" w:hAnsi="Arial"/>
                <w:sz w:val="7"/>
                <w:szCs w:val="7"/>
                <w:color w:val="auto"/>
              </w:rPr>
              <w:t>(17)</w:t>
            </w:r>
          </w:p>
        </w:tc>
        <w:tc>
          <w:tcPr>
            <w:tcW w:w="1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70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auto"/>
                <w:w w:val="97"/>
              </w:rPr>
              <w:t>2023</w:t>
            </w:r>
          </w:p>
        </w:tc>
        <w:tc>
          <w:tcPr>
            <w:tcW w:w="1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right"/>
              <w:ind w:right="474"/>
              <w:spacing w:after="0"/>
              <w:rPr>
                <w:sz w:val="20"/>
                <w:szCs w:val="20"/>
                <w:color w:val="auto"/>
              </w:rPr>
            </w:pPr>
            <w:r>
              <w:rPr>
                <w:rFonts w:ascii="Arial" w:cs="Arial" w:eastAsia="Arial" w:hAnsi="Arial"/>
                <w:sz w:val="11"/>
                <w:szCs w:val="11"/>
                <w:color w:val="auto"/>
              </w:rPr>
              <w:t>1,616</w:t>
            </w:r>
          </w:p>
        </w:tc>
        <w:tc>
          <w:tcPr>
            <w:tcW w:w="1660" w:type="dxa"/>
            <w:vAlign w:val="bottom"/>
          </w:tcPr>
          <w:p>
            <w:pPr>
              <w:jc w:val="right"/>
              <w:ind w:right="526"/>
              <w:spacing w:after="0"/>
              <w:rPr>
                <w:sz w:val="20"/>
                <w:szCs w:val="20"/>
                <w:color w:val="auto"/>
              </w:rPr>
            </w:pPr>
            <w:r>
              <w:rPr>
                <w:rFonts w:ascii="Arial" w:cs="Arial" w:eastAsia="Arial" w:hAnsi="Arial"/>
                <w:sz w:val="11"/>
                <w:szCs w:val="11"/>
                <w:color w:val="auto"/>
              </w:rPr>
              <w:t>315,332</w:t>
            </w:r>
          </w:p>
        </w:tc>
        <w:tc>
          <w:tcPr>
            <w:tcW w:w="6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700" w:type="dxa"/>
            <w:vAlign w:val="bottom"/>
          </w:tcPr>
          <w:p>
            <w:pPr>
              <w:spacing w:after="0"/>
              <w:rPr>
                <w:sz w:val="12"/>
                <w:szCs w:val="12"/>
                <w:color w:val="auto"/>
              </w:rPr>
            </w:pPr>
          </w:p>
        </w:tc>
        <w:tc>
          <w:tcPr>
            <w:tcW w:w="560" w:type="dxa"/>
            <w:vAlign w:val="bottom"/>
            <w:tcBorders>
              <w:bottom w:val="single" w:sz="8" w:color="939598"/>
            </w:tcBorders>
          </w:tcPr>
          <w:p>
            <w:pPr>
              <w:spacing w:after="0"/>
              <w:rPr>
                <w:sz w:val="12"/>
                <w:szCs w:val="12"/>
                <w:color w:val="auto"/>
              </w:rPr>
            </w:pPr>
          </w:p>
        </w:tc>
        <w:tc>
          <w:tcPr>
            <w:tcW w:w="1140" w:type="dxa"/>
            <w:vAlign w:val="bottom"/>
            <w:tcBorders>
              <w:bottom w:val="single" w:sz="8" w:color="939598"/>
            </w:tcBorders>
          </w:tcPr>
          <w:p>
            <w:pPr>
              <w:spacing w:after="0"/>
              <w:rPr>
                <w:sz w:val="12"/>
                <w:szCs w:val="12"/>
                <w:color w:val="auto"/>
              </w:rPr>
            </w:pPr>
          </w:p>
        </w:tc>
        <w:tc>
          <w:tcPr>
            <w:tcW w:w="12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220" w:type="dxa"/>
            <w:vAlign w:val="bottom"/>
            <w:tcBorders>
              <w:bottom w:val="single" w:sz="8" w:color="939598"/>
            </w:tcBorders>
          </w:tcPr>
          <w:p>
            <w:pPr>
              <w:spacing w:after="0"/>
              <w:rPr>
                <w:sz w:val="12"/>
                <w:szCs w:val="12"/>
                <w:color w:val="auto"/>
              </w:rPr>
            </w:pPr>
          </w:p>
        </w:tc>
        <w:tc>
          <w:tcPr>
            <w:tcW w:w="1280" w:type="dxa"/>
            <w:vAlign w:val="bottom"/>
            <w:tcBorders>
              <w:bottom w:val="single" w:sz="8" w:color="939598"/>
            </w:tcBorders>
          </w:tcPr>
          <w:p>
            <w:pPr>
              <w:spacing w:after="0"/>
              <w:rPr>
                <w:sz w:val="12"/>
                <w:szCs w:val="12"/>
                <w:color w:val="auto"/>
              </w:rPr>
            </w:pPr>
          </w:p>
        </w:tc>
        <w:tc>
          <w:tcPr>
            <w:tcW w:w="166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1340" w:type="dxa"/>
            <w:vAlign w:val="bottom"/>
            <w:tcBorders>
              <w:bottom w:val="single" w:sz="8" w:color="939598"/>
            </w:tcBorders>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ind w:left="840"/>
              <w:spacing w:after="0"/>
              <w:rPr>
                <w:sz w:val="20"/>
                <w:szCs w:val="20"/>
                <w:color w:val="auto"/>
              </w:rPr>
            </w:pPr>
            <w:r>
              <w:rPr>
                <w:rFonts w:ascii="Arial" w:cs="Arial" w:eastAsia="Arial" w:hAnsi="Arial"/>
                <w:sz w:val="7"/>
                <w:szCs w:val="7"/>
                <w:color w:val="auto"/>
              </w:rPr>
              <w:t>(18)</w:t>
            </w:r>
          </w:p>
        </w:tc>
        <w:tc>
          <w:tcPr>
            <w:tcW w:w="1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70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auto"/>
                <w:w w:val="97"/>
              </w:rPr>
              <w:t>2023</w:t>
            </w:r>
          </w:p>
        </w:tc>
        <w:tc>
          <w:tcPr>
            <w:tcW w:w="1140" w:type="dxa"/>
            <w:vAlign w:val="bottom"/>
          </w:tcPr>
          <w:p>
            <w:pPr>
              <w:jc w:val="right"/>
              <w:ind w:right="146"/>
              <w:spacing w:after="0"/>
              <w:rPr>
                <w:sz w:val="20"/>
                <w:szCs w:val="20"/>
                <w:color w:val="auto"/>
              </w:rPr>
            </w:pPr>
            <w:r>
              <w:rPr>
                <w:rFonts w:ascii="Arial" w:cs="Arial" w:eastAsia="Arial" w:hAnsi="Arial"/>
                <w:sz w:val="11"/>
                <w:szCs w:val="11"/>
                <w:color w:val="auto"/>
              </w:rPr>
              <w:t>3,428</w:t>
            </w:r>
          </w:p>
        </w:tc>
        <w:tc>
          <w:tcPr>
            <w:tcW w:w="1280" w:type="dxa"/>
            <w:vAlign w:val="bottom"/>
          </w:tcPr>
          <w:p>
            <w:pPr>
              <w:jc w:val="right"/>
              <w:ind w:right="368"/>
              <w:spacing w:after="0"/>
              <w:rPr>
                <w:sz w:val="20"/>
                <w:szCs w:val="20"/>
                <w:color w:val="auto"/>
              </w:rPr>
            </w:pPr>
            <w:r>
              <w:rPr>
                <w:rFonts w:ascii="Arial" w:cs="Arial" w:eastAsia="Arial" w:hAnsi="Arial"/>
                <w:sz w:val="11"/>
                <w:szCs w:val="11"/>
                <w:color w:val="auto"/>
              </w:rPr>
              <w:t>3,427</w:t>
            </w: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184.19</w:t>
            </w:r>
          </w:p>
        </w:tc>
        <w:tc>
          <w:tcPr>
            <w:tcW w:w="680" w:type="dxa"/>
            <w:vAlign w:val="bottom"/>
          </w:tcPr>
          <w:p>
            <w:pPr>
              <w:jc w:val="right"/>
              <w:spacing w:after="0"/>
              <w:rPr>
                <w:sz w:val="20"/>
                <w:szCs w:val="20"/>
                <w:color w:val="auto"/>
              </w:rPr>
            </w:pPr>
            <w:r>
              <w:rPr>
                <w:rFonts w:ascii="Arial" w:cs="Arial" w:eastAsia="Arial" w:hAnsi="Arial"/>
                <w:sz w:val="11"/>
                <w:szCs w:val="11"/>
                <w:color w:val="auto"/>
              </w:rPr>
              <w:t>2/22/2033</w:t>
            </w:r>
          </w:p>
        </w:tc>
        <w:tc>
          <w:tcPr>
            <w:tcW w:w="220" w:type="dxa"/>
            <w:vAlign w:val="bottom"/>
          </w:tcPr>
          <w:p>
            <w:pPr>
              <w:spacing w:after="0"/>
              <w:rPr>
                <w:sz w:val="12"/>
                <w:szCs w:val="12"/>
                <w:color w:val="auto"/>
              </w:rPr>
            </w:pPr>
          </w:p>
        </w:tc>
        <w:tc>
          <w:tcPr>
            <w:tcW w:w="1280" w:type="dxa"/>
            <w:vAlign w:val="bottom"/>
          </w:tcPr>
          <w:p>
            <w:pPr>
              <w:jc w:val="right"/>
              <w:ind w:right="474"/>
              <w:spacing w:after="0"/>
              <w:rPr>
                <w:sz w:val="20"/>
                <w:szCs w:val="20"/>
                <w:color w:val="auto"/>
              </w:rPr>
            </w:pPr>
            <w:r>
              <w:rPr>
                <w:rFonts w:ascii="Arial" w:cs="Arial" w:eastAsia="Arial" w:hAnsi="Arial"/>
                <w:sz w:val="11"/>
                <w:szCs w:val="11"/>
                <w:color w:val="auto"/>
              </w:rPr>
              <w:t>1,459</w:t>
            </w:r>
          </w:p>
        </w:tc>
        <w:tc>
          <w:tcPr>
            <w:tcW w:w="1660" w:type="dxa"/>
            <w:vAlign w:val="bottom"/>
          </w:tcPr>
          <w:p>
            <w:pPr>
              <w:jc w:val="right"/>
              <w:ind w:right="526"/>
              <w:spacing w:after="0"/>
              <w:rPr>
                <w:sz w:val="20"/>
                <w:szCs w:val="20"/>
                <w:color w:val="auto"/>
              </w:rPr>
            </w:pPr>
            <w:r>
              <w:rPr>
                <w:rFonts w:ascii="Arial" w:cs="Arial" w:eastAsia="Arial" w:hAnsi="Arial"/>
                <w:sz w:val="11"/>
                <w:szCs w:val="11"/>
                <w:color w:val="auto"/>
              </w:rPr>
              <w:t>284,543</w:t>
            </w:r>
          </w:p>
        </w:tc>
        <w:tc>
          <w:tcPr>
            <w:tcW w:w="6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560" w:type="dxa"/>
            <w:vAlign w:val="bottom"/>
            <w:tcBorders>
              <w:bottom w:val="single" w:sz="8" w:color="939598"/>
            </w:tcBorders>
          </w:tcPr>
          <w:p>
            <w:pPr>
              <w:spacing w:after="0"/>
              <w:rPr>
                <w:sz w:val="12"/>
                <w:szCs w:val="12"/>
                <w:color w:val="auto"/>
              </w:rPr>
            </w:pPr>
          </w:p>
        </w:tc>
        <w:tc>
          <w:tcPr>
            <w:tcW w:w="1140" w:type="dxa"/>
            <w:vAlign w:val="bottom"/>
            <w:tcBorders>
              <w:bottom w:val="single" w:sz="8" w:color="939598"/>
            </w:tcBorders>
          </w:tcPr>
          <w:p>
            <w:pPr>
              <w:spacing w:after="0"/>
              <w:rPr>
                <w:sz w:val="12"/>
                <w:szCs w:val="12"/>
                <w:color w:val="auto"/>
              </w:rPr>
            </w:pPr>
          </w:p>
        </w:tc>
        <w:tc>
          <w:tcPr>
            <w:tcW w:w="12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220" w:type="dxa"/>
            <w:vAlign w:val="bottom"/>
            <w:tcBorders>
              <w:bottom w:val="single" w:sz="8" w:color="939598"/>
            </w:tcBorders>
          </w:tcPr>
          <w:p>
            <w:pPr>
              <w:spacing w:after="0"/>
              <w:rPr>
                <w:sz w:val="12"/>
                <w:szCs w:val="12"/>
                <w:color w:val="auto"/>
              </w:rPr>
            </w:pPr>
          </w:p>
        </w:tc>
        <w:tc>
          <w:tcPr>
            <w:tcW w:w="1280" w:type="dxa"/>
            <w:vAlign w:val="bottom"/>
            <w:tcBorders>
              <w:bottom w:val="single" w:sz="8" w:color="939598"/>
            </w:tcBorders>
          </w:tcPr>
          <w:p>
            <w:pPr>
              <w:spacing w:after="0"/>
              <w:rPr>
                <w:sz w:val="12"/>
                <w:szCs w:val="12"/>
                <w:color w:val="auto"/>
              </w:rPr>
            </w:pPr>
          </w:p>
        </w:tc>
        <w:tc>
          <w:tcPr>
            <w:tcW w:w="166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1340" w:type="dxa"/>
            <w:vAlign w:val="bottom"/>
            <w:tcBorders>
              <w:bottom w:val="single" w:sz="8" w:color="939598"/>
            </w:tcBorders>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ind w:left="840"/>
              <w:spacing w:after="0"/>
              <w:rPr>
                <w:sz w:val="20"/>
                <w:szCs w:val="20"/>
                <w:color w:val="auto"/>
              </w:rPr>
            </w:pPr>
            <w:r>
              <w:rPr>
                <w:rFonts w:ascii="Arial" w:cs="Arial" w:eastAsia="Arial" w:hAnsi="Arial"/>
                <w:sz w:val="7"/>
                <w:szCs w:val="7"/>
                <w:color w:val="auto"/>
              </w:rPr>
              <w:t>(19)</w:t>
            </w:r>
          </w:p>
        </w:tc>
        <w:tc>
          <w:tcPr>
            <w:tcW w:w="1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70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auto"/>
                <w:w w:val="97"/>
              </w:rPr>
              <w:t>2022</w:t>
            </w:r>
          </w:p>
        </w:tc>
        <w:tc>
          <w:tcPr>
            <w:tcW w:w="1140" w:type="dxa"/>
            <w:vAlign w:val="bottom"/>
          </w:tcPr>
          <w:p>
            <w:pPr>
              <w:jc w:val="right"/>
              <w:ind w:right="146"/>
              <w:spacing w:after="0"/>
              <w:rPr>
                <w:sz w:val="20"/>
                <w:szCs w:val="20"/>
                <w:color w:val="auto"/>
              </w:rPr>
            </w:pPr>
            <w:r>
              <w:rPr>
                <w:rFonts w:ascii="Arial" w:cs="Arial" w:eastAsia="Arial" w:hAnsi="Arial"/>
                <w:sz w:val="11"/>
                <w:szCs w:val="11"/>
                <w:color w:val="auto"/>
              </w:rPr>
              <w:t>5,559</w:t>
            </w:r>
          </w:p>
        </w:tc>
        <w:tc>
          <w:tcPr>
            <w:tcW w:w="1280" w:type="dxa"/>
            <w:vAlign w:val="bottom"/>
          </w:tcPr>
          <w:p>
            <w:pPr>
              <w:jc w:val="right"/>
              <w:ind w:right="368"/>
              <w:spacing w:after="0"/>
              <w:rPr>
                <w:sz w:val="20"/>
                <w:szCs w:val="20"/>
                <w:color w:val="auto"/>
              </w:rPr>
            </w:pPr>
            <w:r>
              <w:rPr>
                <w:rFonts w:ascii="Arial" w:cs="Arial" w:eastAsia="Arial" w:hAnsi="Arial"/>
                <w:sz w:val="11"/>
                <w:szCs w:val="11"/>
                <w:color w:val="auto"/>
              </w:rPr>
              <w:t>1,853</w:t>
            </w: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179.84</w:t>
            </w:r>
          </w:p>
        </w:tc>
        <w:tc>
          <w:tcPr>
            <w:tcW w:w="680" w:type="dxa"/>
            <w:vAlign w:val="bottom"/>
          </w:tcPr>
          <w:p>
            <w:pPr>
              <w:jc w:val="right"/>
              <w:spacing w:after="0"/>
              <w:rPr>
                <w:sz w:val="20"/>
                <w:szCs w:val="20"/>
                <w:color w:val="auto"/>
              </w:rPr>
            </w:pPr>
            <w:r>
              <w:rPr>
                <w:rFonts w:ascii="Arial" w:cs="Arial" w:eastAsia="Arial" w:hAnsi="Arial"/>
                <w:sz w:val="11"/>
                <w:szCs w:val="11"/>
                <w:color w:val="auto"/>
              </w:rPr>
              <w:t>2/10/2032</w:t>
            </w:r>
          </w:p>
        </w:tc>
        <w:tc>
          <w:tcPr>
            <w:tcW w:w="220" w:type="dxa"/>
            <w:vAlign w:val="bottom"/>
          </w:tcPr>
          <w:p>
            <w:pPr>
              <w:spacing w:after="0"/>
              <w:rPr>
                <w:sz w:val="12"/>
                <w:szCs w:val="12"/>
                <w:color w:val="auto"/>
              </w:rPr>
            </w:pPr>
          </w:p>
        </w:tc>
        <w:tc>
          <w:tcPr>
            <w:tcW w:w="1280" w:type="dxa"/>
            <w:vAlign w:val="bottom"/>
          </w:tcPr>
          <w:p>
            <w:pPr>
              <w:jc w:val="right"/>
              <w:ind w:right="474"/>
              <w:spacing w:after="0"/>
              <w:rPr>
                <w:sz w:val="20"/>
                <w:szCs w:val="20"/>
                <w:color w:val="auto"/>
              </w:rPr>
            </w:pPr>
            <w:r>
              <w:rPr>
                <w:rFonts w:ascii="Arial" w:cs="Arial" w:eastAsia="Arial" w:hAnsi="Arial"/>
                <w:sz w:val="11"/>
                <w:szCs w:val="11"/>
                <w:color w:val="auto"/>
              </w:rPr>
              <w:t>1,010</w:t>
            </w:r>
          </w:p>
        </w:tc>
        <w:tc>
          <w:tcPr>
            <w:tcW w:w="1660" w:type="dxa"/>
            <w:vAlign w:val="bottom"/>
          </w:tcPr>
          <w:p>
            <w:pPr>
              <w:jc w:val="right"/>
              <w:ind w:right="526"/>
              <w:spacing w:after="0"/>
              <w:rPr>
                <w:sz w:val="20"/>
                <w:szCs w:val="20"/>
                <w:color w:val="auto"/>
              </w:rPr>
            </w:pPr>
            <w:r>
              <w:rPr>
                <w:rFonts w:ascii="Arial" w:cs="Arial" w:eastAsia="Arial" w:hAnsi="Arial"/>
                <w:sz w:val="11"/>
                <w:szCs w:val="11"/>
                <w:color w:val="auto"/>
              </w:rPr>
              <w:t>196,961</w:t>
            </w:r>
          </w:p>
        </w:tc>
        <w:tc>
          <w:tcPr>
            <w:tcW w:w="6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560" w:type="dxa"/>
            <w:vAlign w:val="bottom"/>
            <w:tcBorders>
              <w:bottom w:val="single" w:sz="8" w:color="939598"/>
            </w:tcBorders>
          </w:tcPr>
          <w:p>
            <w:pPr>
              <w:spacing w:after="0"/>
              <w:rPr>
                <w:sz w:val="12"/>
                <w:szCs w:val="12"/>
                <w:color w:val="auto"/>
              </w:rPr>
            </w:pPr>
          </w:p>
        </w:tc>
        <w:tc>
          <w:tcPr>
            <w:tcW w:w="1140" w:type="dxa"/>
            <w:vAlign w:val="bottom"/>
            <w:tcBorders>
              <w:bottom w:val="single" w:sz="8" w:color="939598"/>
            </w:tcBorders>
          </w:tcPr>
          <w:p>
            <w:pPr>
              <w:spacing w:after="0"/>
              <w:rPr>
                <w:sz w:val="12"/>
                <w:szCs w:val="12"/>
                <w:color w:val="auto"/>
              </w:rPr>
            </w:pPr>
          </w:p>
        </w:tc>
        <w:tc>
          <w:tcPr>
            <w:tcW w:w="12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220" w:type="dxa"/>
            <w:vAlign w:val="bottom"/>
            <w:tcBorders>
              <w:bottom w:val="single" w:sz="8" w:color="939598"/>
            </w:tcBorders>
          </w:tcPr>
          <w:p>
            <w:pPr>
              <w:spacing w:after="0"/>
              <w:rPr>
                <w:sz w:val="12"/>
                <w:szCs w:val="12"/>
                <w:color w:val="auto"/>
              </w:rPr>
            </w:pPr>
          </w:p>
        </w:tc>
        <w:tc>
          <w:tcPr>
            <w:tcW w:w="1280" w:type="dxa"/>
            <w:vAlign w:val="bottom"/>
            <w:tcBorders>
              <w:bottom w:val="single" w:sz="8" w:color="939598"/>
            </w:tcBorders>
          </w:tcPr>
          <w:p>
            <w:pPr>
              <w:spacing w:after="0"/>
              <w:rPr>
                <w:sz w:val="12"/>
                <w:szCs w:val="12"/>
                <w:color w:val="auto"/>
              </w:rPr>
            </w:pPr>
          </w:p>
        </w:tc>
        <w:tc>
          <w:tcPr>
            <w:tcW w:w="166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1340" w:type="dxa"/>
            <w:vAlign w:val="bottom"/>
            <w:tcBorders>
              <w:bottom w:val="single" w:sz="8" w:color="939598"/>
            </w:tcBorders>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ind w:left="840"/>
              <w:spacing w:after="0"/>
              <w:rPr>
                <w:sz w:val="20"/>
                <w:szCs w:val="20"/>
                <w:color w:val="auto"/>
              </w:rPr>
            </w:pPr>
            <w:r>
              <w:rPr>
                <w:rFonts w:ascii="Arial" w:cs="Arial" w:eastAsia="Arial" w:hAnsi="Arial"/>
                <w:sz w:val="7"/>
                <w:szCs w:val="7"/>
                <w:color w:val="auto"/>
              </w:rPr>
              <w:t>(20)</w:t>
            </w:r>
          </w:p>
        </w:tc>
        <w:tc>
          <w:tcPr>
            <w:tcW w:w="1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70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auto"/>
                <w:w w:val="97"/>
              </w:rPr>
              <w:t>2021</w:t>
            </w:r>
          </w:p>
        </w:tc>
        <w:tc>
          <w:tcPr>
            <w:tcW w:w="1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right"/>
              <w:ind w:right="474"/>
              <w:spacing w:after="0"/>
              <w:rPr>
                <w:sz w:val="20"/>
                <w:szCs w:val="20"/>
                <w:color w:val="auto"/>
              </w:rPr>
            </w:pPr>
            <w:r>
              <w:rPr>
                <w:rFonts w:ascii="Arial" w:cs="Arial" w:eastAsia="Arial" w:hAnsi="Arial"/>
                <w:sz w:val="11"/>
                <w:szCs w:val="11"/>
                <w:color w:val="auto"/>
              </w:rPr>
              <w:t>679</w:t>
            </w:r>
          </w:p>
        </w:tc>
        <w:tc>
          <w:tcPr>
            <w:tcW w:w="1660" w:type="dxa"/>
            <w:vAlign w:val="bottom"/>
          </w:tcPr>
          <w:p>
            <w:pPr>
              <w:jc w:val="right"/>
              <w:ind w:right="526"/>
              <w:spacing w:after="0"/>
              <w:rPr>
                <w:sz w:val="20"/>
                <w:szCs w:val="20"/>
                <w:color w:val="auto"/>
              </w:rPr>
            </w:pPr>
            <w:r>
              <w:rPr>
                <w:rFonts w:ascii="Arial" w:cs="Arial" w:eastAsia="Arial" w:hAnsi="Arial"/>
                <w:sz w:val="11"/>
                <w:szCs w:val="11"/>
                <w:color w:val="auto"/>
              </w:rPr>
              <w:t>132,548</w:t>
            </w:r>
          </w:p>
        </w:tc>
        <w:tc>
          <w:tcPr>
            <w:tcW w:w="6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700" w:type="dxa"/>
            <w:vAlign w:val="bottom"/>
          </w:tcPr>
          <w:p>
            <w:pPr>
              <w:spacing w:after="0"/>
              <w:rPr>
                <w:sz w:val="12"/>
                <w:szCs w:val="12"/>
                <w:color w:val="auto"/>
              </w:rPr>
            </w:pPr>
          </w:p>
        </w:tc>
        <w:tc>
          <w:tcPr>
            <w:tcW w:w="560" w:type="dxa"/>
            <w:vAlign w:val="bottom"/>
            <w:tcBorders>
              <w:bottom w:val="single" w:sz="8" w:color="939598"/>
            </w:tcBorders>
          </w:tcPr>
          <w:p>
            <w:pPr>
              <w:spacing w:after="0"/>
              <w:rPr>
                <w:sz w:val="12"/>
                <w:szCs w:val="12"/>
                <w:color w:val="auto"/>
              </w:rPr>
            </w:pPr>
          </w:p>
        </w:tc>
        <w:tc>
          <w:tcPr>
            <w:tcW w:w="1140" w:type="dxa"/>
            <w:vAlign w:val="bottom"/>
            <w:tcBorders>
              <w:bottom w:val="single" w:sz="8" w:color="939598"/>
            </w:tcBorders>
          </w:tcPr>
          <w:p>
            <w:pPr>
              <w:spacing w:after="0"/>
              <w:rPr>
                <w:sz w:val="12"/>
                <w:szCs w:val="12"/>
                <w:color w:val="auto"/>
              </w:rPr>
            </w:pPr>
          </w:p>
        </w:tc>
        <w:tc>
          <w:tcPr>
            <w:tcW w:w="12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220" w:type="dxa"/>
            <w:vAlign w:val="bottom"/>
            <w:tcBorders>
              <w:bottom w:val="single" w:sz="8" w:color="939598"/>
            </w:tcBorders>
          </w:tcPr>
          <w:p>
            <w:pPr>
              <w:spacing w:after="0"/>
              <w:rPr>
                <w:sz w:val="12"/>
                <w:szCs w:val="12"/>
                <w:color w:val="auto"/>
              </w:rPr>
            </w:pPr>
          </w:p>
        </w:tc>
        <w:tc>
          <w:tcPr>
            <w:tcW w:w="1280" w:type="dxa"/>
            <w:vAlign w:val="bottom"/>
            <w:tcBorders>
              <w:bottom w:val="single" w:sz="8" w:color="939598"/>
            </w:tcBorders>
          </w:tcPr>
          <w:p>
            <w:pPr>
              <w:spacing w:after="0"/>
              <w:rPr>
                <w:sz w:val="12"/>
                <w:szCs w:val="12"/>
                <w:color w:val="auto"/>
              </w:rPr>
            </w:pPr>
          </w:p>
        </w:tc>
        <w:tc>
          <w:tcPr>
            <w:tcW w:w="166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1340" w:type="dxa"/>
            <w:vAlign w:val="bottom"/>
            <w:tcBorders>
              <w:bottom w:val="single" w:sz="8" w:color="939598"/>
            </w:tcBorders>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17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auto"/>
                <w:w w:val="97"/>
              </w:rPr>
              <w:t>2021</w:t>
            </w:r>
          </w:p>
        </w:tc>
        <w:tc>
          <w:tcPr>
            <w:tcW w:w="1140" w:type="dxa"/>
            <w:vAlign w:val="bottom"/>
          </w:tcPr>
          <w:p>
            <w:pPr>
              <w:jc w:val="right"/>
              <w:ind w:right="146"/>
              <w:spacing w:after="0"/>
              <w:rPr>
                <w:sz w:val="20"/>
                <w:szCs w:val="20"/>
                <w:color w:val="auto"/>
              </w:rPr>
            </w:pPr>
            <w:r>
              <w:rPr>
                <w:rFonts w:ascii="Arial" w:cs="Arial" w:eastAsia="Arial" w:hAnsi="Arial"/>
                <w:sz w:val="11"/>
                <w:szCs w:val="11"/>
                <w:color w:val="auto"/>
              </w:rPr>
              <w:t>5,641</w:t>
            </w:r>
          </w:p>
        </w:tc>
        <w:tc>
          <w:tcPr>
            <w:tcW w:w="1280" w:type="dxa"/>
            <w:vAlign w:val="bottom"/>
          </w:tcPr>
          <w:p>
            <w:pPr>
              <w:jc w:val="right"/>
              <w:ind w:right="368"/>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192.16</w:t>
            </w:r>
          </w:p>
        </w:tc>
        <w:tc>
          <w:tcPr>
            <w:tcW w:w="680" w:type="dxa"/>
            <w:vAlign w:val="bottom"/>
          </w:tcPr>
          <w:p>
            <w:pPr>
              <w:jc w:val="right"/>
              <w:spacing w:after="0"/>
              <w:rPr>
                <w:sz w:val="20"/>
                <w:szCs w:val="20"/>
                <w:color w:val="auto"/>
              </w:rPr>
            </w:pPr>
            <w:r>
              <w:rPr>
                <w:rFonts w:ascii="Arial" w:cs="Arial" w:eastAsia="Arial" w:hAnsi="Arial"/>
                <w:sz w:val="11"/>
                <w:szCs w:val="11"/>
                <w:color w:val="auto"/>
              </w:rPr>
              <w:t>2/11/2031</w:t>
            </w: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1"/>
        </w:trPr>
        <w:tc>
          <w:tcPr>
            <w:tcW w:w="1700" w:type="dxa"/>
            <w:vAlign w:val="bottom"/>
          </w:tcPr>
          <w:p>
            <w:pPr>
              <w:spacing w:after="0"/>
              <w:rPr>
                <w:sz w:val="12"/>
                <w:szCs w:val="12"/>
                <w:color w:val="auto"/>
              </w:rPr>
            </w:pPr>
          </w:p>
        </w:tc>
        <w:tc>
          <w:tcPr>
            <w:tcW w:w="560" w:type="dxa"/>
            <w:vAlign w:val="bottom"/>
            <w:tcBorders>
              <w:bottom w:val="single" w:sz="8" w:color="939598"/>
            </w:tcBorders>
          </w:tcPr>
          <w:p>
            <w:pPr>
              <w:spacing w:after="0"/>
              <w:rPr>
                <w:sz w:val="12"/>
                <w:szCs w:val="12"/>
                <w:color w:val="auto"/>
              </w:rPr>
            </w:pPr>
          </w:p>
        </w:tc>
        <w:tc>
          <w:tcPr>
            <w:tcW w:w="1140" w:type="dxa"/>
            <w:vAlign w:val="bottom"/>
            <w:tcBorders>
              <w:bottom w:val="single" w:sz="8" w:color="939598"/>
            </w:tcBorders>
          </w:tcPr>
          <w:p>
            <w:pPr>
              <w:spacing w:after="0"/>
              <w:rPr>
                <w:sz w:val="12"/>
                <w:szCs w:val="12"/>
                <w:color w:val="auto"/>
              </w:rPr>
            </w:pPr>
          </w:p>
        </w:tc>
        <w:tc>
          <w:tcPr>
            <w:tcW w:w="12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220" w:type="dxa"/>
            <w:vAlign w:val="bottom"/>
            <w:tcBorders>
              <w:bottom w:val="single" w:sz="8" w:color="939598"/>
            </w:tcBorders>
          </w:tcPr>
          <w:p>
            <w:pPr>
              <w:spacing w:after="0"/>
              <w:rPr>
                <w:sz w:val="12"/>
                <w:szCs w:val="12"/>
                <w:color w:val="auto"/>
              </w:rPr>
            </w:pPr>
          </w:p>
        </w:tc>
        <w:tc>
          <w:tcPr>
            <w:tcW w:w="1280" w:type="dxa"/>
            <w:vAlign w:val="bottom"/>
            <w:tcBorders>
              <w:bottom w:val="single" w:sz="8" w:color="939598"/>
            </w:tcBorders>
          </w:tcPr>
          <w:p>
            <w:pPr>
              <w:spacing w:after="0"/>
              <w:rPr>
                <w:sz w:val="12"/>
                <w:szCs w:val="12"/>
                <w:color w:val="auto"/>
              </w:rPr>
            </w:pPr>
          </w:p>
        </w:tc>
        <w:tc>
          <w:tcPr>
            <w:tcW w:w="166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1340" w:type="dxa"/>
            <w:vAlign w:val="bottom"/>
            <w:tcBorders>
              <w:bottom w:val="single" w:sz="8" w:color="939598"/>
            </w:tcBorders>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ind w:left="840"/>
              <w:spacing w:after="0"/>
              <w:rPr>
                <w:sz w:val="20"/>
                <w:szCs w:val="20"/>
                <w:color w:val="auto"/>
              </w:rPr>
            </w:pPr>
            <w:r>
              <w:rPr>
                <w:rFonts w:ascii="Arial" w:cs="Arial" w:eastAsia="Arial" w:hAnsi="Arial"/>
                <w:sz w:val="7"/>
                <w:szCs w:val="7"/>
                <w:color w:val="auto"/>
              </w:rPr>
              <w:t>(21)</w:t>
            </w:r>
          </w:p>
        </w:tc>
        <w:tc>
          <w:tcPr>
            <w:tcW w:w="1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70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auto"/>
                <w:w w:val="97"/>
              </w:rPr>
              <w:t>2020</w:t>
            </w:r>
          </w:p>
        </w:tc>
        <w:tc>
          <w:tcPr>
            <w:tcW w:w="1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right"/>
              <w:ind w:right="474"/>
              <w:spacing w:after="0"/>
              <w:rPr>
                <w:sz w:val="20"/>
                <w:szCs w:val="20"/>
                <w:color w:val="auto"/>
              </w:rPr>
            </w:pPr>
            <w:r>
              <w:rPr>
                <w:rFonts w:ascii="Arial" w:cs="Arial" w:eastAsia="Arial" w:hAnsi="Arial"/>
                <w:sz w:val="11"/>
                <w:szCs w:val="11"/>
                <w:color w:val="auto"/>
              </w:rPr>
              <w:t>1,196</w:t>
            </w:r>
          </w:p>
        </w:tc>
        <w:tc>
          <w:tcPr>
            <w:tcW w:w="1660" w:type="dxa"/>
            <w:vAlign w:val="bottom"/>
          </w:tcPr>
          <w:p>
            <w:pPr>
              <w:jc w:val="right"/>
              <w:ind w:right="526"/>
              <w:spacing w:after="0"/>
              <w:rPr>
                <w:sz w:val="20"/>
                <w:szCs w:val="20"/>
                <w:color w:val="auto"/>
              </w:rPr>
            </w:pPr>
            <w:r>
              <w:rPr>
                <w:rFonts w:ascii="Arial" w:cs="Arial" w:eastAsia="Arial" w:hAnsi="Arial"/>
                <w:sz w:val="11"/>
                <w:szCs w:val="11"/>
                <w:color w:val="auto"/>
              </w:rPr>
              <w:t>233,314</w:t>
            </w:r>
          </w:p>
        </w:tc>
        <w:tc>
          <w:tcPr>
            <w:tcW w:w="6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560" w:type="dxa"/>
            <w:vAlign w:val="bottom"/>
            <w:tcBorders>
              <w:bottom w:val="single" w:sz="8" w:color="939598"/>
            </w:tcBorders>
          </w:tcPr>
          <w:p>
            <w:pPr>
              <w:spacing w:after="0"/>
              <w:rPr>
                <w:sz w:val="12"/>
                <w:szCs w:val="12"/>
                <w:color w:val="auto"/>
              </w:rPr>
            </w:pPr>
          </w:p>
        </w:tc>
        <w:tc>
          <w:tcPr>
            <w:tcW w:w="1140" w:type="dxa"/>
            <w:vAlign w:val="bottom"/>
            <w:tcBorders>
              <w:bottom w:val="single" w:sz="8" w:color="939598"/>
            </w:tcBorders>
          </w:tcPr>
          <w:p>
            <w:pPr>
              <w:spacing w:after="0"/>
              <w:rPr>
                <w:sz w:val="12"/>
                <w:szCs w:val="12"/>
                <w:color w:val="auto"/>
              </w:rPr>
            </w:pPr>
          </w:p>
        </w:tc>
        <w:tc>
          <w:tcPr>
            <w:tcW w:w="12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220" w:type="dxa"/>
            <w:vAlign w:val="bottom"/>
            <w:tcBorders>
              <w:bottom w:val="single" w:sz="8" w:color="939598"/>
            </w:tcBorders>
          </w:tcPr>
          <w:p>
            <w:pPr>
              <w:spacing w:after="0"/>
              <w:rPr>
                <w:sz w:val="12"/>
                <w:szCs w:val="12"/>
                <w:color w:val="auto"/>
              </w:rPr>
            </w:pPr>
          </w:p>
        </w:tc>
        <w:tc>
          <w:tcPr>
            <w:tcW w:w="1280" w:type="dxa"/>
            <w:vAlign w:val="bottom"/>
            <w:tcBorders>
              <w:bottom w:val="single" w:sz="8" w:color="939598"/>
            </w:tcBorders>
          </w:tcPr>
          <w:p>
            <w:pPr>
              <w:spacing w:after="0"/>
              <w:rPr>
                <w:sz w:val="12"/>
                <w:szCs w:val="12"/>
                <w:color w:val="auto"/>
              </w:rPr>
            </w:pPr>
          </w:p>
        </w:tc>
        <w:tc>
          <w:tcPr>
            <w:tcW w:w="166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1340" w:type="dxa"/>
            <w:vAlign w:val="bottom"/>
            <w:tcBorders>
              <w:bottom w:val="single" w:sz="8" w:color="939598"/>
            </w:tcBorders>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7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91"/>
              </w:rPr>
              <w:t>Total</w:t>
            </w:r>
          </w:p>
        </w:tc>
        <w:tc>
          <w:tcPr>
            <w:tcW w:w="1140" w:type="dxa"/>
            <w:vAlign w:val="bottom"/>
          </w:tcPr>
          <w:p>
            <w:pPr>
              <w:jc w:val="right"/>
              <w:ind w:right="146"/>
              <w:spacing w:after="0"/>
              <w:rPr>
                <w:sz w:val="20"/>
                <w:szCs w:val="20"/>
                <w:color w:val="auto"/>
              </w:rPr>
            </w:pPr>
            <w:r>
              <w:rPr>
                <w:rFonts w:ascii="Arial" w:cs="Arial" w:eastAsia="Arial" w:hAnsi="Arial"/>
                <w:sz w:val="11"/>
                <w:szCs w:val="11"/>
                <w:b w:val="1"/>
                <w:bCs w:val="1"/>
                <w:color w:val="auto"/>
              </w:rPr>
              <w:t>16,491</w:t>
            </w:r>
          </w:p>
        </w:tc>
        <w:tc>
          <w:tcPr>
            <w:tcW w:w="1280" w:type="dxa"/>
            <w:vAlign w:val="bottom"/>
          </w:tcPr>
          <w:p>
            <w:pPr>
              <w:jc w:val="right"/>
              <w:ind w:right="368"/>
              <w:spacing w:after="0"/>
              <w:rPr>
                <w:sz w:val="20"/>
                <w:szCs w:val="20"/>
                <w:color w:val="auto"/>
              </w:rPr>
            </w:pPr>
            <w:r>
              <w:rPr>
                <w:rFonts w:ascii="Arial" w:cs="Arial" w:eastAsia="Arial" w:hAnsi="Arial"/>
                <w:sz w:val="11"/>
                <w:szCs w:val="11"/>
                <w:b w:val="1"/>
                <w:bCs w:val="1"/>
                <w:color w:val="auto"/>
              </w:rPr>
              <w:t>69,769</w:t>
            </w: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ind w:right="474"/>
              <w:spacing w:after="0"/>
              <w:rPr>
                <w:sz w:val="20"/>
                <w:szCs w:val="20"/>
                <w:color w:val="auto"/>
              </w:rPr>
            </w:pPr>
            <w:r>
              <w:rPr>
                <w:rFonts w:ascii="Arial" w:cs="Arial" w:eastAsia="Arial" w:hAnsi="Arial"/>
                <w:sz w:val="11"/>
                <w:szCs w:val="11"/>
                <w:b w:val="1"/>
                <w:bCs w:val="1"/>
                <w:color w:val="auto"/>
              </w:rPr>
              <w:t>12,300</w:t>
            </w:r>
          </w:p>
        </w:tc>
        <w:tc>
          <w:tcPr>
            <w:tcW w:w="1660" w:type="dxa"/>
            <w:vAlign w:val="bottom"/>
          </w:tcPr>
          <w:p>
            <w:pPr>
              <w:jc w:val="right"/>
              <w:ind w:right="526"/>
              <w:spacing w:after="0"/>
              <w:rPr>
                <w:sz w:val="20"/>
                <w:szCs w:val="20"/>
                <w:color w:val="auto"/>
              </w:rPr>
            </w:pPr>
            <w:r>
              <w:rPr>
                <w:rFonts w:ascii="Arial" w:cs="Arial" w:eastAsia="Arial" w:hAnsi="Arial"/>
                <w:sz w:val="11"/>
                <w:szCs w:val="11"/>
                <w:b w:val="1"/>
                <w:bCs w:val="1"/>
                <w:color w:val="auto"/>
              </w:rPr>
              <w:t>2,399,650</w:t>
            </w:r>
          </w:p>
        </w:tc>
        <w:tc>
          <w:tcPr>
            <w:tcW w:w="680" w:type="dxa"/>
            <w:vAlign w:val="bottom"/>
          </w:tcPr>
          <w:p>
            <w:pPr>
              <w:jc w:val="right"/>
              <w:ind w:right="6"/>
              <w:spacing w:after="0"/>
              <w:rPr>
                <w:sz w:val="20"/>
                <w:szCs w:val="20"/>
                <w:color w:val="auto"/>
              </w:rPr>
            </w:pPr>
            <w:r>
              <w:rPr>
                <w:rFonts w:ascii="Arial" w:cs="Arial" w:eastAsia="Arial" w:hAnsi="Arial"/>
                <w:sz w:val="11"/>
                <w:szCs w:val="11"/>
                <w:b w:val="1"/>
                <w:bCs w:val="1"/>
                <w:color w:val="auto"/>
              </w:rPr>
              <w:t>14,842</w:t>
            </w:r>
          </w:p>
        </w:tc>
        <w:tc>
          <w:tcPr>
            <w:tcW w:w="1340" w:type="dxa"/>
            <w:vAlign w:val="bottom"/>
          </w:tcPr>
          <w:p>
            <w:pPr>
              <w:jc w:val="right"/>
              <w:ind w:right="12"/>
              <w:spacing w:after="0"/>
              <w:rPr>
                <w:sz w:val="20"/>
                <w:szCs w:val="20"/>
                <w:color w:val="auto"/>
              </w:rPr>
            </w:pPr>
            <w:r>
              <w:rPr>
                <w:rFonts w:ascii="Arial" w:cs="Arial" w:eastAsia="Arial" w:hAnsi="Arial"/>
                <w:sz w:val="11"/>
                <w:szCs w:val="11"/>
                <w:b w:val="1"/>
                <w:bCs w:val="1"/>
                <w:color w:val="auto"/>
              </w:rPr>
              <w:t>2,895,702</w:t>
            </w:r>
          </w:p>
        </w:tc>
        <w:tc>
          <w:tcPr>
            <w:tcW w:w="0" w:type="dxa"/>
            <w:vAlign w:val="bottom"/>
          </w:tcPr>
          <w:p>
            <w:pPr>
              <w:spacing w:after="0"/>
              <w:rPr>
                <w:sz w:val="1"/>
                <w:szCs w:val="1"/>
                <w:color w:val="auto"/>
              </w:rPr>
            </w:pPr>
          </w:p>
        </w:tc>
      </w:tr>
      <w:tr>
        <w:trPr>
          <w:trHeight w:val="135"/>
        </w:trPr>
        <w:tc>
          <w:tcPr>
            <w:tcW w:w="1700" w:type="dxa"/>
            <w:vAlign w:val="bottom"/>
            <w:tcBorders>
              <w:bottom w:val="single" w:sz="8" w:color="939598"/>
            </w:tcBorders>
          </w:tcPr>
          <w:p>
            <w:pPr>
              <w:spacing w:after="0"/>
              <w:rPr>
                <w:sz w:val="11"/>
                <w:szCs w:val="11"/>
                <w:color w:val="auto"/>
              </w:rPr>
            </w:pPr>
          </w:p>
        </w:tc>
        <w:tc>
          <w:tcPr>
            <w:tcW w:w="560" w:type="dxa"/>
            <w:vAlign w:val="bottom"/>
            <w:tcBorders>
              <w:bottom w:val="single" w:sz="8" w:color="939598"/>
            </w:tcBorders>
          </w:tcPr>
          <w:p>
            <w:pPr>
              <w:spacing w:after="0"/>
              <w:rPr>
                <w:sz w:val="11"/>
                <w:szCs w:val="11"/>
                <w:color w:val="auto"/>
              </w:rPr>
            </w:pPr>
          </w:p>
        </w:tc>
        <w:tc>
          <w:tcPr>
            <w:tcW w:w="1140" w:type="dxa"/>
            <w:vAlign w:val="bottom"/>
            <w:tcBorders>
              <w:bottom w:val="single" w:sz="8" w:color="939598"/>
            </w:tcBorders>
          </w:tcPr>
          <w:p>
            <w:pPr>
              <w:spacing w:after="0"/>
              <w:rPr>
                <w:sz w:val="11"/>
                <w:szCs w:val="11"/>
                <w:color w:val="auto"/>
              </w:rPr>
            </w:pPr>
          </w:p>
        </w:tc>
        <w:tc>
          <w:tcPr>
            <w:tcW w:w="1280" w:type="dxa"/>
            <w:vAlign w:val="bottom"/>
            <w:tcBorders>
              <w:bottom w:val="single" w:sz="8" w:color="939598"/>
            </w:tcBorders>
          </w:tcPr>
          <w:p>
            <w:pPr>
              <w:spacing w:after="0"/>
              <w:rPr>
                <w:sz w:val="11"/>
                <w:szCs w:val="11"/>
                <w:color w:val="auto"/>
              </w:rPr>
            </w:pPr>
          </w:p>
        </w:tc>
        <w:tc>
          <w:tcPr>
            <w:tcW w:w="680" w:type="dxa"/>
            <w:vAlign w:val="bottom"/>
            <w:tcBorders>
              <w:bottom w:val="single" w:sz="8" w:color="939598"/>
            </w:tcBorders>
          </w:tcPr>
          <w:p>
            <w:pPr>
              <w:spacing w:after="0"/>
              <w:rPr>
                <w:sz w:val="11"/>
                <w:szCs w:val="11"/>
                <w:color w:val="auto"/>
              </w:rPr>
            </w:pPr>
          </w:p>
        </w:tc>
        <w:tc>
          <w:tcPr>
            <w:tcW w:w="680" w:type="dxa"/>
            <w:vAlign w:val="bottom"/>
            <w:tcBorders>
              <w:bottom w:val="single" w:sz="8" w:color="939598"/>
            </w:tcBorders>
          </w:tcPr>
          <w:p>
            <w:pPr>
              <w:spacing w:after="0"/>
              <w:rPr>
                <w:sz w:val="11"/>
                <w:szCs w:val="11"/>
                <w:color w:val="auto"/>
              </w:rPr>
            </w:pPr>
          </w:p>
        </w:tc>
        <w:tc>
          <w:tcPr>
            <w:tcW w:w="220" w:type="dxa"/>
            <w:vAlign w:val="bottom"/>
            <w:tcBorders>
              <w:bottom w:val="single" w:sz="8" w:color="939598"/>
            </w:tcBorders>
          </w:tcPr>
          <w:p>
            <w:pPr>
              <w:spacing w:after="0"/>
              <w:rPr>
                <w:sz w:val="11"/>
                <w:szCs w:val="11"/>
                <w:color w:val="auto"/>
              </w:rPr>
            </w:pPr>
          </w:p>
        </w:tc>
        <w:tc>
          <w:tcPr>
            <w:tcW w:w="1280" w:type="dxa"/>
            <w:vAlign w:val="bottom"/>
            <w:tcBorders>
              <w:bottom w:val="single" w:sz="8" w:color="939598"/>
            </w:tcBorders>
          </w:tcPr>
          <w:p>
            <w:pPr>
              <w:spacing w:after="0"/>
              <w:rPr>
                <w:sz w:val="11"/>
                <w:szCs w:val="11"/>
                <w:color w:val="auto"/>
              </w:rPr>
            </w:pPr>
          </w:p>
        </w:tc>
        <w:tc>
          <w:tcPr>
            <w:tcW w:w="1660" w:type="dxa"/>
            <w:vAlign w:val="bottom"/>
            <w:tcBorders>
              <w:bottom w:val="single" w:sz="8" w:color="939598"/>
            </w:tcBorders>
          </w:tcPr>
          <w:p>
            <w:pPr>
              <w:spacing w:after="0"/>
              <w:rPr>
                <w:sz w:val="11"/>
                <w:szCs w:val="11"/>
                <w:color w:val="auto"/>
              </w:rPr>
            </w:pPr>
          </w:p>
        </w:tc>
        <w:tc>
          <w:tcPr>
            <w:tcW w:w="680" w:type="dxa"/>
            <w:vAlign w:val="bottom"/>
            <w:tcBorders>
              <w:bottom w:val="single" w:sz="8" w:color="939598"/>
            </w:tcBorders>
          </w:tcPr>
          <w:p>
            <w:pPr>
              <w:spacing w:after="0"/>
              <w:rPr>
                <w:sz w:val="11"/>
                <w:szCs w:val="11"/>
                <w:color w:val="auto"/>
              </w:rPr>
            </w:pPr>
          </w:p>
        </w:tc>
        <w:tc>
          <w:tcPr>
            <w:tcW w:w="134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1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80" w:type="dxa"/>
            <w:vAlign w:val="bottom"/>
          </w:tcPr>
          <w:p>
            <w:pPr>
              <w:jc w:val="right"/>
              <w:ind w:right="208"/>
              <w:spacing w:after="0"/>
              <w:rPr>
                <w:sz w:val="20"/>
                <w:szCs w:val="20"/>
                <w:color w:val="auto"/>
              </w:rPr>
            </w:pPr>
            <w:r>
              <w:rPr>
                <w:rFonts w:ascii="Arial" w:cs="Arial" w:eastAsia="Arial" w:hAnsi="Arial"/>
                <w:sz w:val="7"/>
                <w:szCs w:val="7"/>
                <w:color w:val="auto"/>
              </w:rPr>
              <w:t>(3)</w:t>
            </w: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40" w:type="dxa"/>
            <w:vAlign w:val="bottom"/>
          </w:tcPr>
          <w:p>
            <w:pPr>
              <w:jc w:val="right"/>
              <w:ind w:right="1192"/>
              <w:spacing w:after="0"/>
              <w:rPr>
                <w:sz w:val="20"/>
                <w:szCs w:val="20"/>
                <w:color w:val="auto"/>
              </w:rPr>
            </w:pPr>
            <w:r>
              <w:rPr>
                <w:rFonts w:ascii="Arial" w:cs="Arial" w:eastAsia="Arial" w:hAnsi="Arial"/>
                <w:sz w:val="7"/>
                <w:szCs w:val="7"/>
                <w:color w:val="auto"/>
                <w:w w:val="92"/>
              </w:rPr>
              <w:t>(4)</w:t>
            </w:r>
          </w:p>
        </w:tc>
        <w:tc>
          <w:tcPr>
            <w:tcW w:w="0" w:type="dxa"/>
            <w:vAlign w:val="bottom"/>
          </w:tcPr>
          <w:p>
            <w:pPr>
              <w:spacing w:after="0"/>
              <w:rPr>
                <w:sz w:val="1"/>
                <w:szCs w:val="1"/>
                <w:color w:val="auto"/>
              </w:rPr>
            </w:pPr>
          </w:p>
        </w:tc>
      </w:tr>
      <w:tr>
        <w:trPr>
          <w:trHeight w:val="153"/>
        </w:trPr>
        <w:tc>
          <w:tcPr>
            <w:tcW w:w="1700" w:type="dxa"/>
            <w:vAlign w:val="bottom"/>
          </w:tcPr>
          <w:p>
            <w:pPr>
              <w:ind w:left="20"/>
              <w:spacing w:after="0"/>
              <w:rPr>
                <w:sz w:val="20"/>
                <w:szCs w:val="20"/>
                <w:color w:val="auto"/>
              </w:rPr>
            </w:pPr>
            <w:r>
              <w:rPr>
                <w:rFonts w:ascii="Arial" w:cs="Arial" w:eastAsia="Arial" w:hAnsi="Arial"/>
                <w:sz w:val="11"/>
                <w:szCs w:val="11"/>
                <w:b w:val="1"/>
                <w:bCs w:val="1"/>
                <w:color w:val="auto"/>
              </w:rPr>
              <w:t>James Currier</w:t>
            </w:r>
          </w:p>
        </w:tc>
        <w:tc>
          <w:tcPr>
            <w:tcW w:w="560" w:type="dxa"/>
            <w:vAlign w:val="bottom"/>
          </w:tcPr>
          <w:p>
            <w:pPr>
              <w:jc w:val="center"/>
              <w:spacing w:after="0"/>
              <w:rPr>
                <w:sz w:val="20"/>
                <w:szCs w:val="20"/>
                <w:color w:val="auto"/>
              </w:rPr>
            </w:pPr>
            <w:r>
              <w:rPr>
                <w:rFonts w:ascii="Arial" w:cs="Arial" w:eastAsia="Arial" w:hAnsi="Arial"/>
                <w:sz w:val="11"/>
                <w:szCs w:val="11"/>
                <w:color w:val="auto"/>
                <w:w w:val="97"/>
              </w:rPr>
              <w:t>2025</w:t>
            </w:r>
          </w:p>
        </w:tc>
        <w:tc>
          <w:tcPr>
            <w:tcW w:w="114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1280" w:type="dxa"/>
            <w:vAlign w:val="bottom"/>
          </w:tcPr>
          <w:p>
            <w:pPr>
              <w:jc w:val="right"/>
              <w:ind w:right="368"/>
              <w:spacing w:after="0"/>
              <w:rPr>
                <w:sz w:val="20"/>
                <w:szCs w:val="20"/>
                <w:color w:val="auto"/>
              </w:rPr>
            </w:pPr>
            <w:r>
              <w:rPr>
                <w:rFonts w:ascii="Arial" w:cs="Arial" w:eastAsia="Arial" w:hAnsi="Arial"/>
                <w:sz w:val="11"/>
                <w:szCs w:val="11"/>
                <w:color w:val="auto"/>
              </w:rPr>
              <w:t>43,335</w:t>
            </w: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$198.89</w:t>
            </w:r>
          </w:p>
        </w:tc>
        <w:tc>
          <w:tcPr>
            <w:tcW w:w="680" w:type="dxa"/>
            <w:vAlign w:val="bottom"/>
          </w:tcPr>
          <w:p>
            <w:pPr>
              <w:jc w:val="right"/>
              <w:spacing w:after="0"/>
              <w:rPr>
                <w:sz w:val="20"/>
                <w:szCs w:val="20"/>
                <w:color w:val="auto"/>
              </w:rPr>
            </w:pPr>
            <w:r>
              <w:rPr>
                <w:rFonts w:ascii="Arial" w:cs="Arial" w:eastAsia="Arial" w:hAnsi="Arial"/>
                <w:sz w:val="11"/>
                <w:szCs w:val="11"/>
                <w:color w:val="auto"/>
              </w:rPr>
              <w:t>2/18/2035</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6,168</w:t>
            </w:r>
          </w:p>
        </w:tc>
        <w:tc>
          <w:tcPr>
            <w:tcW w:w="1340" w:type="dxa"/>
            <w:vAlign w:val="bottom"/>
          </w:tcPr>
          <w:p>
            <w:pPr>
              <w:jc w:val="right"/>
              <w:ind w:right="12"/>
              <w:spacing w:after="0"/>
              <w:rPr>
                <w:sz w:val="20"/>
                <w:szCs w:val="20"/>
                <w:color w:val="auto"/>
              </w:rPr>
            </w:pPr>
            <w:r>
              <w:rPr>
                <w:rFonts w:ascii="Arial" w:cs="Arial" w:eastAsia="Arial" w:hAnsi="Arial"/>
                <w:sz w:val="11"/>
                <w:szCs w:val="11"/>
                <w:color w:val="auto"/>
              </w:rPr>
              <w:t>$1,203,220</w:t>
            </w: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560" w:type="dxa"/>
            <w:vAlign w:val="bottom"/>
            <w:tcBorders>
              <w:bottom w:val="single" w:sz="8" w:color="939598"/>
            </w:tcBorders>
          </w:tcPr>
          <w:p>
            <w:pPr>
              <w:spacing w:after="0"/>
              <w:rPr>
                <w:sz w:val="11"/>
                <w:szCs w:val="11"/>
                <w:color w:val="auto"/>
              </w:rPr>
            </w:pPr>
          </w:p>
        </w:tc>
        <w:tc>
          <w:tcPr>
            <w:tcW w:w="1140" w:type="dxa"/>
            <w:vAlign w:val="bottom"/>
            <w:tcBorders>
              <w:bottom w:val="single" w:sz="8" w:color="939598"/>
            </w:tcBorders>
          </w:tcPr>
          <w:p>
            <w:pPr>
              <w:spacing w:after="0"/>
              <w:rPr>
                <w:sz w:val="11"/>
                <w:szCs w:val="11"/>
                <w:color w:val="auto"/>
              </w:rPr>
            </w:pPr>
          </w:p>
        </w:tc>
        <w:tc>
          <w:tcPr>
            <w:tcW w:w="1280" w:type="dxa"/>
            <w:vAlign w:val="bottom"/>
            <w:tcBorders>
              <w:bottom w:val="single" w:sz="8" w:color="939598"/>
            </w:tcBorders>
          </w:tcPr>
          <w:p>
            <w:pPr>
              <w:spacing w:after="0"/>
              <w:rPr>
                <w:sz w:val="11"/>
                <w:szCs w:val="11"/>
                <w:color w:val="auto"/>
              </w:rPr>
            </w:pPr>
          </w:p>
        </w:tc>
        <w:tc>
          <w:tcPr>
            <w:tcW w:w="680" w:type="dxa"/>
            <w:vAlign w:val="bottom"/>
            <w:tcBorders>
              <w:bottom w:val="single" w:sz="8" w:color="939598"/>
            </w:tcBorders>
          </w:tcPr>
          <w:p>
            <w:pPr>
              <w:spacing w:after="0"/>
              <w:rPr>
                <w:sz w:val="11"/>
                <w:szCs w:val="11"/>
                <w:color w:val="auto"/>
              </w:rPr>
            </w:pPr>
          </w:p>
        </w:tc>
        <w:tc>
          <w:tcPr>
            <w:tcW w:w="680" w:type="dxa"/>
            <w:vAlign w:val="bottom"/>
            <w:tcBorders>
              <w:bottom w:val="single" w:sz="8" w:color="939598"/>
            </w:tcBorders>
          </w:tcPr>
          <w:p>
            <w:pPr>
              <w:spacing w:after="0"/>
              <w:rPr>
                <w:sz w:val="11"/>
                <w:szCs w:val="11"/>
                <w:color w:val="auto"/>
              </w:rPr>
            </w:pPr>
          </w:p>
        </w:tc>
        <w:tc>
          <w:tcPr>
            <w:tcW w:w="220" w:type="dxa"/>
            <w:vAlign w:val="bottom"/>
            <w:tcBorders>
              <w:bottom w:val="single" w:sz="8" w:color="939598"/>
            </w:tcBorders>
          </w:tcPr>
          <w:p>
            <w:pPr>
              <w:spacing w:after="0"/>
              <w:rPr>
                <w:sz w:val="11"/>
                <w:szCs w:val="11"/>
                <w:color w:val="auto"/>
              </w:rPr>
            </w:pPr>
          </w:p>
        </w:tc>
        <w:tc>
          <w:tcPr>
            <w:tcW w:w="1280" w:type="dxa"/>
            <w:vAlign w:val="bottom"/>
            <w:tcBorders>
              <w:bottom w:val="single" w:sz="8" w:color="939598"/>
            </w:tcBorders>
          </w:tcPr>
          <w:p>
            <w:pPr>
              <w:spacing w:after="0"/>
              <w:rPr>
                <w:sz w:val="11"/>
                <w:szCs w:val="11"/>
                <w:color w:val="auto"/>
              </w:rPr>
            </w:pPr>
          </w:p>
        </w:tc>
        <w:tc>
          <w:tcPr>
            <w:tcW w:w="1660" w:type="dxa"/>
            <w:vAlign w:val="bottom"/>
            <w:tcBorders>
              <w:bottom w:val="single" w:sz="8" w:color="939598"/>
            </w:tcBorders>
          </w:tcPr>
          <w:p>
            <w:pPr>
              <w:spacing w:after="0"/>
              <w:rPr>
                <w:sz w:val="11"/>
                <w:szCs w:val="11"/>
                <w:color w:val="auto"/>
              </w:rPr>
            </w:pPr>
          </w:p>
        </w:tc>
        <w:tc>
          <w:tcPr>
            <w:tcW w:w="680" w:type="dxa"/>
            <w:vAlign w:val="bottom"/>
            <w:tcBorders>
              <w:bottom w:val="single" w:sz="8" w:color="939598"/>
            </w:tcBorders>
          </w:tcPr>
          <w:p>
            <w:pPr>
              <w:spacing w:after="0"/>
              <w:rPr>
                <w:sz w:val="11"/>
                <w:szCs w:val="11"/>
                <w:color w:val="auto"/>
              </w:rPr>
            </w:pPr>
          </w:p>
        </w:tc>
        <w:tc>
          <w:tcPr>
            <w:tcW w:w="134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1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ind w:left="840"/>
              <w:spacing w:after="0"/>
              <w:rPr>
                <w:sz w:val="20"/>
                <w:szCs w:val="20"/>
                <w:color w:val="auto"/>
              </w:rPr>
            </w:pPr>
            <w:r>
              <w:rPr>
                <w:rFonts w:ascii="Arial" w:cs="Arial" w:eastAsia="Arial" w:hAnsi="Arial"/>
                <w:sz w:val="7"/>
                <w:szCs w:val="7"/>
                <w:color w:val="auto"/>
              </w:rPr>
              <w:t>(5)</w:t>
            </w:r>
          </w:p>
        </w:tc>
        <w:tc>
          <w:tcPr>
            <w:tcW w:w="1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40" w:type="dxa"/>
            <w:vAlign w:val="bottom"/>
          </w:tcPr>
          <w:p>
            <w:pPr>
              <w:jc w:val="right"/>
              <w:ind w:right="1192"/>
              <w:spacing w:after="0"/>
              <w:rPr>
                <w:sz w:val="20"/>
                <w:szCs w:val="20"/>
                <w:color w:val="auto"/>
              </w:rPr>
            </w:pPr>
            <w:r>
              <w:rPr>
                <w:rFonts w:ascii="Arial" w:cs="Arial" w:eastAsia="Arial" w:hAnsi="Arial"/>
                <w:sz w:val="7"/>
                <w:szCs w:val="7"/>
                <w:color w:val="auto"/>
                <w:w w:val="92"/>
              </w:rPr>
              <w:t>(6)</w:t>
            </w:r>
          </w:p>
        </w:tc>
        <w:tc>
          <w:tcPr>
            <w:tcW w:w="0" w:type="dxa"/>
            <w:vAlign w:val="bottom"/>
          </w:tcPr>
          <w:p>
            <w:pPr>
              <w:spacing w:after="0"/>
              <w:rPr>
                <w:sz w:val="1"/>
                <w:szCs w:val="1"/>
                <w:color w:val="auto"/>
              </w:rPr>
            </w:pPr>
          </w:p>
        </w:tc>
      </w:tr>
      <w:tr>
        <w:trPr>
          <w:trHeight w:val="147"/>
        </w:trPr>
        <w:tc>
          <w:tcPr>
            <w:tcW w:w="170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auto"/>
                <w:w w:val="97"/>
              </w:rPr>
              <w:t>2025</w:t>
            </w:r>
          </w:p>
        </w:tc>
        <w:tc>
          <w:tcPr>
            <w:tcW w:w="114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1280" w:type="dxa"/>
            <w:vAlign w:val="bottom"/>
          </w:tcPr>
          <w:p>
            <w:pPr>
              <w:jc w:val="right"/>
              <w:ind w:right="368"/>
              <w:spacing w:after="0"/>
              <w:rPr>
                <w:sz w:val="20"/>
                <w:szCs w:val="20"/>
                <w:color w:val="auto"/>
              </w:rPr>
            </w:pPr>
            <w:r>
              <w:rPr>
                <w:rFonts w:ascii="Arial" w:cs="Arial" w:eastAsia="Arial" w:hAnsi="Arial"/>
                <w:sz w:val="11"/>
                <w:szCs w:val="11"/>
                <w:color w:val="auto"/>
              </w:rPr>
              <w:t>24,052</w:t>
            </w: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198.89</w:t>
            </w:r>
          </w:p>
        </w:tc>
        <w:tc>
          <w:tcPr>
            <w:tcW w:w="680" w:type="dxa"/>
            <w:vAlign w:val="bottom"/>
          </w:tcPr>
          <w:p>
            <w:pPr>
              <w:jc w:val="right"/>
              <w:spacing w:after="0"/>
              <w:rPr>
                <w:sz w:val="20"/>
                <w:szCs w:val="20"/>
                <w:color w:val="auto"/>
              </w:rPr>
            </w:pPr>
            <w:r>
              <w:rPr>
                <w:rFonts w:ascii="Arial" w:cs="Arial" w:eastAsia="Arial" w:hAnsi="Arial"/>
                <w:sz w:val="11"/>
                <w:szCs w:val="11"/>
                <w:color w:val="auto"/>
              </w:rPr>
              <w:t>2/18/2035</w:t>
            </w:r>
          </w:p>
        </w:tc>
        <w:tc>
          <w:tcPr>
            <w:tcW w:w="220" w:type="dxa"/>
            <w:vAlign w:val="bottom"/>
          </w:tcPr>
          <w:p>
            <w:pPr>
              <w:spacing w:after="0"/>
              <w:rPr>
                <w:sz w:val="12"/>
                <w:szCs w:val="12"/>
                <w:color w:val="auto"/>
              </w:rPr>
            </w:pPr>
          </w:p>
        </w:tc>
        <w:tc>
          <w:tcPr>
            <w:tcW w:w="1280" w:type="dxa"/>
            <w:vAlign w:val="bottom"/>
          </w:tcPr>
          <w:p>
            <w:pPr>
              <w:jc w:val="right"/>
              <w:ind w:right="474"/>
              <w:spacing w:after="0"/>
              <w:rPr>
                <w:sz w:val="20"/>
                <w:szCs w:val="20"/>
                <w:color w:val="auto"/>
              </w:rPr>
            </w:pPr>
            <w:r>
              <w:rPr>
                <w:rFonts w:ascii="Arial" w:cs="Arial" w:eastAsia="Arial" w:hAnsi="Arial"/>
                <w:sz w:val="11"/>
                <w:szCs w:val="11"/>
                <w:color w:val="auto"/>
              </w:rPr>
              <w:t>5,068</w:t>
            </w:r>
          </w:p>
        </w:tc>
        <w:tc>
          <w:tcPr>
            <w:tcW w:w="1660" w:type="dxa"/>
            <w:vAlign w:val="bottom"/>
          </w:tcPr>
          <w:p>
            <w:pPr>
              <w:jc w:val="right"/>
              <w:ind w:right="526"/>
              <w:spacing w:after="0"/>
              <w:rPr>
                <w:sz w:val="20"/>
                <w:szCs w:val="20"/>
                <w:color w:val="auto"/>
              </w:rPr>
            </w:pPr>
            <w:r>
              <w:rPr>
                <w:rFonts w:ascii="Arial" w:cs="Arial" w:eastAsia="Arial" w:hAnsi="Arial"/>
                <w:sz w:val="11"/>
                <w:szCs w:val="11"/>
                <w:color w:val="auto"/>
              </w:rPr>
              <w:t>$988,694</w:t>
            </w: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10,243</w:t>
            </w:r>
          </w:p>
        </w:tc>
        <w:tc>
          <w:tcPr>
            <w:tcW w:w="1340" w:type="dxa"/>
            <w:vAlign w:val="bottom"/>
          </w:tcPr>
          <w:p>
            <w:pPr>
              <w:jc w:val="right"/>
              <w:ind w:right="12"/>
              <w:spacing w:after="0"/>
              <w:rPr>
                <w:sz w:val="20"/>
                <w:szCs w:val="20"/>
                <w:color w:val="auto"/>
              </w:rPr>
            </w:pPr>
            <w:r>
              <w:rPr>
                <w:rFonts w:ascii="Arial" w:cs="Arial" w:eastAsia="Arial" w:hAnsi="Arial"/>
                <w:sz w:val="11"/>
                <w:szCs w:val="11"/>
                <w:color w:val="auto"/>
              </w:rPr>
              <w:t>1,998,322</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560" w:type="dxa"/>
            <w:vAlign w:val="bottom"/>
            <w:tcBorders>
              <w:bottom w:val="single" w:sz="8" w:color="939598"/>
            </w:tcBorders>
          </w:tcPr>
          <w:p>
            <w:pPr>
              <w:spacing w:after="0"/>
              <w:rPr>
                <w:sz w:val="12"/>
                <w:szCs w:val="12"/>
                <w:color w:val="auto"/>
              </w:rPr>
            </w:pPr>
          </w:p>
        </w:tc>
        <w:tc>
          <w:tcPr>
            <w:tcW w:w="1140" w:type="dxa"/>
            <w:vAlign w:val="bottom"/>
            <w:tcBorders>
              <w:bottom w:val="single" w:sz="8" w:color="939598"/>
            </w:tcBorders>
          </w:tcPr>
          <w:p>
            <w:pPr>
              <w:spacing w:after="0"/>
              <w:rPr>
                <w:sz w:val="12"/>
                <w:szCs w:val="12"/>
                <w:color w:val="auto"/>
              </w:rPr>
            </w:pPr>
          </w:p>
        </w:tc>
        <w:tc>
          <w:tcPr>
            <w:tcW w:w="12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220" w:type="dxa"/>
            <w:vAlign w:val="bottom"/>
            <w:tcBorders>
              <w:bottom w:val="single" w:sz="8" w:color="939598"/>
            </w:tcBorders>
          </w:tcPr>
          <w:p>
            <w:pPr>
              <w:spacing w:after="0"/>
              <w:rPr>
                <w:sz w:val="12"/>
                <w:szCs w:val="12"/>
                <w:color w:val="auto"/>
              </w:rPr>
            </w:pPr>
          </w:p>
        </w:tc>
        <w:tc>
          <w:tcPr>
            <w:tcW w:w="1280" w:type="dxa"/>
            <w:vAlign w:val="bottom"/>
            <w:tcBorders>
              <w:bottom w:val="single" w:sz="8" w:color="939598"/>
            </w:tcBorders>
          </w:tcPr>
          <w:p>
            <w:pPr>
              <w:spacing w:after="0"/>
              <w:rPr>
                <w:sz w:val="12"/>
                <w:szCs w:val="12"/>
                <w:color w:val="auto"/>
              </w:rPr>
            </w:pPr>
          </w:p>
        </w:tc>
        <w:tc>
          <w:tcPr>
            <w:tcW w:w="166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1340" w:type="dxa"/>
            <w:vAlign w:val="bottom"/>
            <w:tcBorders>
              <w:bottom w:val="single" w:sz="8" w:color="939598"/>
            </w:tcBorders>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ind w:left="840"/>
              <w:spacing w:after="0"/>
              <w:rPr>
                <w:sz w:val="20"/>
                <w:szCs w:val="20"/>
                <w:color w:val="auto"/>
              </w:rPr>
            </w:pPr>
            <w:r>
              <w:rPr>
                <w:rFonts w:ascii="Arial" w:cs="Arial" w:eastAsia="Arial" w:hAnsi="Arial"/>
                <w:sz w:val="7"/>
                <w:szCs w:val="7"/>
                <w:color w:val="auto"/>
              </w:rPr>
              <w:t>(7)</w:t>
            </w:r>
          </w:p>
        </w:tc>
        <w:tc>
          <w:tcPr>
            <w:tcW w:w="1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40" w:type="dxa"/>
            <w:vAlign w:val="bottom"/>
          </w:tcPr>
          <w:p>
            <w:pPr>
              <w:jc w:val="right"/>
              <w:ind w:right="1192"/>
              <w:spacing w:after="0"/>
              <w:rPr>
                <w:sz w:val="20"/>
                <w:szCs w:val="20"/>
                <w:color w:val="auto"/>
              </w:rPr>
            </w:pPr>
            <w:r>
              <w:rPr>
                <w:rFonts w:ascii="Arial" w:cs="Arial" w:eastAsia="Arial" w:hAnsi="Arial"/>
                <w:sz w:val="7"/>
                <w:szCs w:val="7"/>
                <w:color w:val="auto"/>
                <w:w w:val="92"/>
              </w:rPr>
              <w:t>(8)</w:t>
            </w:r>
          </w:p>
        </w:tc>
        <w:tc>
          <w:tcPr>
            <w:tcW w:w="0" w:type="dxa"/>
            <w:vAlign w:val="bottom"/>
          </w:tcPr>
          <w:p>
            <w:pPr>
              <w:spacing w:after="0"/>
              <w:rPr>
                <w:sz w:val="1"/>
                <w:szCs w:val="1"/>
                <w:color w:val="auto"/>
              </w:rPr>
            </w:pPr>
          </w:p>
        </w:tc>
      </w:tr>
      <w:tr>
        <w:trPr>
          <w:trHeight w:val="147"/>
        </w:trPr>
        <w:tc>
          <w:tcPr>
            <w:tcW w:w="170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auto"/>
                <w:w w:val="97"/>
              </w:rPr>
              <w:t>2024</w:t>
            </w:r>
          </w:p>
        </w:tc>
        <w:tc>
          <w:tcPr>
            <w:tcW w:w="1140" w:type="dxa"/>
            <w:vAlign w:val="bottom"/>
          </w:tcPr>
          <w:p>
            <w:pPr>
              <w:jc w:val="right"/>
              <w:ind w:right="146"/>
              <w:spacing w:after="0"/>
              <w:rPr>
                <w:sz w:val="20"/>
                <w:szCs w:val="20"/>
                <w:color w:val="auto"/>
              </w:rPr>
            </w:pPr>
            <w:r>
              <w:rPr>
                <w:rFonts w:ascii="Arial" w:cs="Arial" w:eastAsia="Arial" w:hAnsi="Arial"/>
                <w:sz w:val="11"/>
                <w:szCs w:val="11"/>
                <w:color w:val="auto"/>
              </w:rPr>
              <w:t>5,884</w:t>
            </w:r>
          </w:p>
        </w:tc>
        <w:tc>
          <w:tcPr>
            <w:tcW w:w="1280" w:type="dxa"/>
            <w:vAlign w:val="bottom"/>
          </w:tcPr>
          <w:p>
            <w:pPr>
              <w:jc w:val="right"/>
              <w:ind w:right="368"/>
              <w:spacing w:after="0"/>
              <w:rPr>
                <w:sz w:val="20"/>
                <w:szCs w:val="20"/>
                <w:color w:val="auto"/>
              </w:rPr>
            </w:pPr>
            <w:r>
              <w:rPr>
                <w:rFonts w:ascii="Arial" w:cs="Arial" w:eastAsia="Arial" w:hAnsi="Arial"/>
                <w:sz w:val="11"/>
                <w:szCs w:val="11"/>
                <w:color w:val="auto"/>
              </w:rPr>
              <w:t>17,658</w:t>
            </w: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187.39</w:t>
            </w:r>
          </w:p>
        </w:tc>
        <w:tc>
          <w:tcPr>
            <w:tcW w:w="680" w:type="dxa"/>
            <w:vAlign w:val="bottom"/>
          </w:tcPr>
          <w:p>
            <w:pPr>
              <w:jc w:val="right"/>
              <w:spacing w:after="0"/>
              <w:rPr>
                <w:sz w:val="20"/>
                <w:szCs w:val="20"/>
                <w:color w:val="auto"/>
              </w:rPr>
            </w:pPr>
            <w:r>
              <w:rPr>
                <w:rFonts w:ascii="Arial" w:cs="Arial" w:eastAsia="Arial" w:hAnsi="Arial"/>
                <w:sz w:val="11"/>
                <w:szCs w:val="11"/>
                <w:color w:val="auto"/>
              </w:rPr>
              <w:t>2/15/2034</w:t>
            </w:r>
          </w:p>
        </w:tc>
        <w:tc>
          <w:tcPr>
            <w:tcW w:w="220" w:type="dxa"/>
            <w:vAlign w:val="bottom"/>
          </w:tcPr>
          <w:p>
            <w:pPr>
              <w:spacing w:after="0"/>
              <w:rPr>
                <w:sz w:val="12"/>
                <w:szCs w:val="12"/>
                <w:color w:val="auto"/>
              </w:rPr>
            </w:pPr>
          </w:p>
        </w:tc>
        <w:tc>
          <w:tcPr>
            <w:tcW w:w="1280" w:type="dxa"/>
            <w:vAlign w:val="bottom"/>
          </w:tcPr>
          <w:p>
            <w:pPr>
              <w:jc w:val="right"/>
              <w:ind w:right="474"/>
              <w:spacing w:after="0"/>
              <w:rPr>
                <w:sz w:val="20"/>
                <w:szCs w:val="20"/>
                <w:color w:val="auto"/>
              </w:rPr>
            </w:pPr>
            <w:r>
              <w:rPr>
                <w:rFonts w:ascii="Arial" w:cs="Arial" w:eastAsia="Arial" w:hAnsi="Arial"/>
                <w:sz w:val="11"/>
                <w:szCs w:val="11"/>
                <w:color w:val="auto"/>
              </w:rPr>
              <w:t>4,747</w:t>
            </w:r>
          </w:p>
        </w:tc>
        <w:tc>
          <w:tcPr>
            <w:tcW w:w="1660" w:type="dxa"/>
            <w:vAlign w:val="bottom"/>
          </w:tcPr>
          <w:p>
            <w:pPr>
              <w:jc w:val="right"/>
              <w:ind w:right="526"/>
              <w:spacing w:after="0"/>
              <w:rPr>
                <w:sz w:val="20"/>
                <w:szCs w:val="20"/>
                <w:color w:val="auto"/>
              </w:rPr>
            </w:pPr>
            <w:r>
              <w:rPr>
                <w:rFonts w:ascii="Arial" w:cs="Arial" w:eastAsia="Arial" w:hAnsi="Arial"/>
                <w:sz w:val="11"/>
                <w:szCs w:val="11"/>
                <w:color w:val="auto"/>
              </w:rPr>
              <w:t>926,151</w:t>
            </w: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9,249</w:t>
            </w:r>
          </w:p>
        </w:tc>
        <w:tc>
          <w:tcPr>
            <w:tcW w:w="1340" w:type="dxa"/>
            <w:vAlign w:val="bottom"/>
          </w:tcPr>
          <w:p>
            <w:pPr>
              <w:jc w:val="right"/>
              <w:ind w:right="12"/>
              <w:spacing w:after="0"/>
              <w:rPr>
                <w:sz w:val="20"/>
                <w:szCs w:val="20"/>
                <w:color w:val="auto"/>
              </w:rPr>
            </w:pPr>
            <w:r>
              <w:rPr>
                <w:rFonts w:ascii="Arial" w:cs="Arial" w:eastAsia="Arial" w:hAnsi="Arial"/>
                <w:sz w:val="11"/>
                <w:szCs w:val="11"/>
                <w:color w:val="auto"/>
              </w:rPr>
              <w:t>1,804,457</w:t>
            </w:r>
          </w:p>
        </w:tc>
        <w:tc>
          <w:tcPr>
            <w:tcW w:w="0" w:type="dxa"/>
            <w:vAlign w:val="bottom"/>
          </w:tcPr>
          <w:p>
            <w:pPr>
              <w:spacing w:after="0"/>
              <w:rPr>
                <w:sz w:val="1"/>
                <w:szCs w:val="1"/>
                <w:color w:val="auto"/>
              </w:rPr>
            </w:pPr>
          </w:p>
        </w:tc>
      </w:tr>
      <w:tr>
        <w:trPr>
          <w:trHeight w:val="141"/>
        </w:trPr>
        <w:tc>
          <w:tcPr>
            <w:tcW w:w="1700" w:type="dxa"/>
            <w:vAlign w:val="bottom"/>
          </w:tcPr>
          <w:p>
            <w:pPr>
              <w:spacing w:after="0"/>
              <w:rPr>
                <w:sz w:val="12"/>
                <w:szCs w:val="12"/>
                <w:color w:val="auto"/>
              </w:rPr>
            </w:pPr>
          </w:p>
        </w:tc>
        <w:tc>
          <w:tcPr>
            <w:tcW w:w="560" w:type="dxa"/>
            <w:vAlign w:val="bottom"/>
            <w:tcBorders>
              <w:bottom w:val="single" w:sz="8" w:color="939598"/>
            </w:tcBorders>
          </w:tcPr>
          <w:p>
            <w:pPr>
              <w:spacing w:after="0"/>
              <w:rPr>
                <w:sz w:val="12"/>
                <w:szCs w:val="12"/>
                <w:color w:val="auto"/>
              </w:rPr>
            </w:pPr>
          </w:p>
        </w:tc>
        <w:tc>
          <w:tcPr>
            <w:tcW w:w="1140" w:type="dxa"/>
            <w:vAlign w:val="bottom"/>
            <w:tcBorders>
              <w:bottom w:val="single" w:sz="8" w:color="939598"/>
            </w:tcBorders>
          </w:tcPr>
          <w:p>
            <w:pPr>
              <w:spacing w:after="0"/>
              <w:rPr>
                <w:sz w:val="12"/>
                <w:szCs w:val="12"/>
                <w:color w:val="auto"/>
              </w:rPr>
            </w:pPr>
          </w:p>
        </w:tc>
        <w:tc>
          <w:tcPr>
            <w:tcW w:w="12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220" w:type="dxa"/>
            <w:vAlign w:val="bottom"/>
            <w:tcBorders>
              <w:bottom w:val="single" w:sz="8" w:color="939598"/>
            </w:tcBorders>
          </w:tcPr>
          <w:p>
            <w:pPr>
              <w:spacing w:after="0"/>
              <w:rPr>
                <w:sz w:val="12"/>
                <w:szCs w:val="12"/>
                <w:color w:val="auto"/>
              </w:rPr>
            </w:pPr>
          </w:p>
        </w:tc>
        <w:tc>
          <w:tcPr>
            <w:tcW w:w="1280" w:type="dxa"/>
            <w:vAlign w:val="bottom"/>
            <w:tcBorders>
              <w:bottom w:val="single" w:sz="8" w:color="939598"/>
            </w:tcBorders>
          </w:tcPr>
          <w:p>
            <w:pPr>
              <w:spacing w:after="0"/>
              <w:rPr>
                <w:sz w:val="12"/>
                <w:szCs w:val="12"/>
                <w:color w:val="auto"/>
              </w:rPr>
            </w:pPr>
          </w:p>
        </w:tc>
        <w:tc>
          <w:tcPr>
            <w:tcW w:w="166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1340" w:type="dxa"/>
            <w:vAlign w:val="bottom"/>
            <w:tcBorders>
              <w:bottom w:val="single" w:sz="8" w:color="939598"/>
            </w:tcBorders>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ind w:left="840"/>
              <w:spacing w:after="0"/>
              <w:rPr>
                <w:sz w:val="20"/>
                <w:szCs w:val="20"/>
                <w:color w:val="auto"/>
              </w:rPr>
            </w:pPr>
            <w:r>
              <w:rPr>
                <w:rFonts w:ascii="Arial" w:cs="Arial" w:eastAsia="Arial" w:hAnsi="Arial"/>
                <w:sz w:val="7"/>
                <w:szCs w:val="7"/>
                <w:color w:val="auto"/>
              </w:rPr>
              <w:t>(17)</w:t>
            </w:r>
          </w:p>
        </w:tc>
        <w:tc>
          <w:tcPr>
            <w:tcW w:w="1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70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auto"/>
                <w:w w:val="97"/>
              </w:rPr>
              <w:t>2023</w:t>
            </w:r>
          </w:p>
        </w:tc>
        <w:tc>
          <w:tcPr>
            <w:tcW w:w="1140" w:type="dxa"/>
            <w:vAlign w:val="bottom"/>
          </w:tcPr>
          <w:p>
            <w:pPr>
              <w:jc w:val="right"/>
              <w:ind w:right="146"/>
              <w:spacing w:after="0"/>
              <w:rPr>
                <w:sz w:val="20"/>
                <w:szCs w:val="20"/>
                <w:color w:val="auto"/>
              </w:rPr>
            </w:pPr>
            <w:r>
              <w:rPr>
                <w:rFonts w:ascii="Arial" w:cs="Arial" w:eastAsia="Arial" w:hAnsi="Arial"/>
                <w:sz w:val="11"/>
                <w:szCs w:val="11"/>
                <w:color w:val="auto"/>
              </w:rPr>
              <w:t>10,841</w:t>
            </w:r>
          </w:p>
        </w:tc>
        <w:tc>
          <w:tcPr>
            <w:tcW w:w="1280" w:type="dxa"/>
            <w:vAlign w:val="bottom"/>
          </w:tcPr>
          <w:p>
            <w:pPr>
              <w:jc w:val="right"/>
              <w:ind w:right="368"/>
              <w:spacing w:after="0"/>
              <w:rPr>
                <w:sz w:val="20"/>
                <w:szCs w:val="20"/>
                <w:color w:val="auto"/>
              </w:rPr>
            </w:pPr>
            <w:r>
              <w:rPr>
                <w:rFonts w:ascii="Arial" w:cs="Arial" w:eastAsia="Arial" w:hAnsi="Arial"/>
                <w:sz w:val="11"/>
                <w:szCs w:val="11"/>
                <w:color w:val="auto"/>
              </w:rPr>
              <w:t>10,840</w:t>
            </w: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183.79</w:t>
            </w:r>
          </w:p>
        </w:tc>
        <w:tc>
          <w:tcPr>
            <w:tcW w:w="680" w:type="dxa"/>
            <w:vAlign w:val="bottom"/>
          </w:tcPr>
          <w:p>
            <w:pPr>
              <w:jc w:val="right"/>
              <w:spacing w:after="0"/>
              <w:rPr>
                <w:sz w:val="20"/>
                <w:szCs w:val="20"/>
                <w:color w:val="auto"/>
              </w:rPr>
            </w:pPr>
            <w:r>
              <w:rPr>
                <w:rFonts w:ascii="Arial" w:cs="Arial" w:eastAsia="Arial" w:hAnsi="Arial"/>
                <w:sz w:val="11"/>
                <w:szCs w:val="11"/>
                <w:color w:val="auto"/>
              </w:rPr>
              <w:t>7/31/2033</w:t>
            </w:r>
          </w:p>
        </w:tc>
        <w:tc>
          <w:tcPr>
            <w:tcW w:w="220" w:type="dxa"/>
            <w:vAlign w:val="bottom"/>
          </w:tcPr>
          <w:p>
            <w:pPr>
              <w:spacing w:after="0"/>
              <w:rPr>
                <w:sz w:val="12"/>
                <w:szCs w:val="12"/>
                <w:color w:val="auto"/>
              </w:rPr>
            </w:pPr>
          </w:p>
        </w:tc>
        <w:tc>
          <w:tcPr>
            <w:tcW w:w="1280" w:type="dxa"/>
            <w:vAlign w:val="bottom"/>
          </w:tcPr>
          <w:p>
            <w:pPr>
              <w:jc w:val="right"/>
              <w:ind w:right="474"/>
              <w:spacing w:after="0"/>
              <w:rPr>
                <w:sz w:val="20"/>
                <w:szCs w:val="20"/>
                <w:color w:val="auto"/>
              </w:rPr>
            </w:pPr>
            <w:r>
              <w:rPr>
                <w:rFonts w:ascii="Arial" w:cs="Arial" w:eastAsia="Arial" w:hAnsi="Arial"/>
                <w:sz w:val="11"/>
                <w:szCs w:val="11"/>
                <w:color w:val="auto"/>
              </w:rPr>
              <w:t>2,983</w:t>
            </w:r>
          </w:p>
        </w:tc>
        <w:tc>
          <w:tcPr>
            <w:tcW w:w="1660" w:type="dxa"/>
            <w:vAlign w:val="bottom"/>
          </w:tcPr>
          <w:p>
            <w:pPr>
              <w:jc w:val="right"/>
              <w:ind w:right="526"/>
              <w:spacing w:after="0"/>
              <w:rPr>
                <w:sz w:val="20"/>
                <w:szCs w:val="20"/>
                <w:color w:val="auto"/>
              </w:rPr>
            </w:pPr>
            <w:r>
              <w:rPr>
                <w:rFonts w:ascii="Arial" w:cs="Arial" w:eastAsia="Arial" w:hAnsi="Arial"/>
                <w:sz w:val="11"/>
                <w:szCs w:val="11"/>
                <w:color w:val="auto"/>
              </w:rPr>
              <w:t>581,883</w:t>
            </w:r>
          </w:p>
        </w:tc>
        <w:tc>
          <w:tcPr>
            <w:tcW w:w="6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560" w:type="dxa"/>
            <w:vAlign w:val="bottom"/>
            <w:tcBorders>
              <w:bottom w:val="single" w:sz="8" w:color="939598"/>
            </w:tcBorders>
          </w:tcPr>
          <w:p>
            <w:pPr>
              <w:spacing w:after="0"/>
              <w:rPr>
                <w:sz w:val="12"/>
                <w:szCs w:val="12"/>
                <w:color w:val="auto"/>
              </w:rPr>
            </w:pPr>
          </w:p>
        </w:tc>
        <w:tc>
          <w:tcPr>
            <w:tcW w:w="1140" w:type="dxa"/>
            <w:vAlign w:val="bottom"/>
            <w:tcBorders>
              <w:bottom w:val="single" w:sz="8" w:color="939598"/>
            </w:tcBorders>
          </w:tcPr>
          <w:p>
            <w:pPr>
              <w:spacing w:after="0"/>
              <w:rPr>
                <w:sz w:val="12"/>
                <w:szCs w:val="12"/>
                <w:color w:val="auto"/>
              </w:rPr>
            </w:pPr>
          </w:p>
        </w:tc>
        <w:tc>
          <w:tcPr>
            <w:tcW w:w="12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220" w:type="dxa"/>
            <w:vAlign w:val="bottom"/>
            <w:tcBorders>
              <w:bottom w:val="single" w:sz="8" w:color="939598"/>
            </w:tcBorders>
          </w:tcPr>
          <w:p>
            <w:pPr>
              <w:spacing w:after="0"/>
              <w:rPr>
                <w:sz w:val="12"/>
                <w:szCs w:val="12"/>
                <w:color w:val="auto"/>
              </w:rPr>
            </w:pPr>
          </w:p>
        </w:tc>
        <w:tc>
          <w:tcPr>
            <w:tcW w:w="1280" w:type="dxa"/>
            <w:vAlign w:val="bottom"/>
            <w:tcBorders>
              <w:bottom w:val="single" w:sz="8" w:color="939598"/>
            </w:tcBorders>
          </w:tcPr>
          <w:p>
            <w:pPr>
              <w:spacing w:after="0"/>
              <w:rPr>
                <w:sz w:val="12"/>
                <w:szCs w:val="12"/>
                <w:color w:val="auto"/>
              </w:rPr>
            </w:pPr>
          </w:p>
        </w:tc>
        <w:tc>
          <w:tcPr>
            <w:tcW w:w="166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1340" w:type="dxa"/>
            <w:vAlign w:val="bottom"/>
            <w:tcBorders>
              <w:bottom w:val="single" w:sz="8" w:color="939598"/>
            </w:tcBorders>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ind w:left="840"/>
              <w:spacing w:after="0"/>
              <w:rPr>
                <w:sz w:val="20"/>
                <w:szCs w:val="20"/>
                <w:color w:val="auto"/>
              </w:rPr>
            </w:pPr>
            <w:r>
              <w:rPr>
                <w:rFonts w:ascii="Arial" w:cs="Arial" w:eastAsia="Arial" w:hAnsi="Arial"/>
                <w:sz w:val="7"/>
                <w:szCs w:val="7"/>
                <w:color w:val="auto"/>
              </w:rPr>
              <w:t>(18)</w:t>
            </w:r>
          </w:p>
        </w:tc>
        <w:tc>
          <w:tcPr>
            <w:tcW w:w="1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70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auto"/>
                <w:w w:val="97"/>
              </w:rPr>
              <w:t>2023</w:t>
            </w:r>
          </w:p>
        </w:tc>
        <w:tc>
          <w:tcPr>
            <w:tcW w:w="1140" w:type="dxa"/>
            <w:vAlign w:val="bottom"/>
          </w:tcPr>
          <w:p>
            <w:pPr>
              <w:jc w:val="right"/>
              <w:ind w:right="146"/>
              <w:spacing w:after="0"/>
              <w:rPr>
                <w:sz w:val="20"/>
                <w:szCs w:val="20"/>
                <w:color w:val="auto"/>
              </w:rPr>
            </w:pPr>
            <w:r>
              <w:rPr>
                <w:rFonts w:ascii="Arial" w:cs="Arial" w:eastAsia="Arial" w:hAnsi="Arial"/>
                <w:sz w:val="11"/>
                <w:szCs w:val="11"/>
                <w:color w:val="auto"/>
              </w:rPr>
              <w:t>1,962</w:t>
            </w:r>
          </w:p>
        </w:tc>
        <w:tc>
          <w:tcPr>
            <w:tcW w:w="1280" w:type="dxa"/>
            <w:vAlign w:val="bottom"/>
          </w:tcPr>
          <w:p>
            <w:pPr>
              <w:jc w:val="right"/>
              <w:ind w:right="368"/>
              <w:spacing w:after="0"/>
              <w:rPr>
                <w:sz w:val="20"/>
                <w:szCs w:val="20"/>
                <w:color w:val="auto"/>
              </w:rPr>
            </w:pPr>
            <w:r>
              <w:rPr>
                <w:rFonts w:ascii="Arial" w:cs="Arial" w:eastAsia="Arial" w:hAnsi="Arial"/>
                <w:sz w:val="11"/>
                <w:szCs w:val="11"/>
                <w:color w:val="auto"/>
              </w:rPr>
              <w:t>1,961</w:t>
            </w: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184.19</w:t>
            </w:r>
          </w:p>
        </w:tc>
        <w:tc>
          <w:tcPr>
            <w:tcW w:w="680" w:type="dxa"/>
            <w:vAlign w:val="bottom"/>
          </w:tcPr>
          <w:p>
            <w:pPr>
              <w:jc w:val="right"/>
              <w:spacing w:after="0"/>
              <w:rPr>
                <w:sz w:val="20"/>
                <w:szCs w:val="20"/>
                <w:color w:val="auto"/>
              </w:rPr>
            </w:pPr>
            <w:r>
              <w:rPr>
                <w:rFonts w:ascii="Arial" w:cs="Arial" w:eastAsia="Arial" w:hAnsi="Arial"/>
                <w:sz w:val="11"/>
                <w:szCs w:val="11"/>
                <w:color w:val="auto"/>
              </w:rPr>
              <w:t>2/22/2033</w:t>
            </w:r>
          </w:p>
        </w:tc>
        <w:tc>
          <w:tcPr>
            <w:tcW w:w="220" w:type="dxa"/>
            <w:vAlign w:val="bottom"/>
          </w:tcPr>
          <w:p>
            <w:pPr>
              <w:spacing w:after="0"/>
              <w:rPr>
                <w:sz w:val="12"/>
                <w:szCs w:val="12"/>
                <w:color w:val="auto"/>
              </w:rPr>
            </w:pPr>
          </w:p>
        </w:tc>
        <w:tc>
          <w:tcPr>
            <w:tcW w:w="1280" w:type="dxa"/>
            <w:vAlign w:val="bottom"/>
          </w:tcPr>
          <w:p>
            <w:pPr>
              <w:jc w:val="right"/>
              <w:ind w:right="474"/>
              <w:spacing w:after="0"/>
              <w:rPr>
                <w:sz w:val="20"/>
                <w:szCs w:val="20"/>
                <w:color w:val="auto"/>
              </w:rPr>
            </w:pPr>
            <w:r>
              <w:rPr>
                <w:rFonts w:ascii="Arial" w:cs="Arial" w:eastAsia="Arial" w:hAnsi="Arial"/>
                <w:sz w:val="11"/>
                <w:szCs w:val="11"/>
                <w:color w:val="auto"/>
              </w:rPr>
              <w:t>835</w:t>
            </w:r>
          </w:p>
        </w:tc>
        <w:tc>
          <w:tcPr>
            <w:tcW w:w="1660" w:type="dxa"/>
            <w:vAlign w:val="bottom"/>
          </w:tcPr>
          <w:p>
            <w:pPr>
              <w:jc w:val="right"/>
              <w:ind w:right="526"/>
              <w:spacing w:after="0"/>
              <w:rPr>
                <w:sz w:val="20"/>
                <w:szCs w:val="20"/>
                <w:color w:val="auto"/>
              </w:rPr>
            </w:pPr>
            <w:r>
              <w:rPr>
                <w:rFonts w:ascii="Arial" w:cs="Arial" w:eastAsia="Arial" w:hAnsi="Arial"/>
                <w:sz w:val="11"/>
                <w:szCs w:val="11"/>
                <w:color w:val="auto"/>
              </w:rPr>
              <w:t>162,864</w:t>
            </w:r>
          </w:p>
        </w:tc>
        <w:tc>
          <w:tcPr>
            <w:tcW w:w="6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700" w:type="dxa"/>
            <w:vAlign w:val="bottom"/>
          </w:tcPr>
          <w:p>
            <w:pPr>
              <w:spacing w:after="0"/>
              <w:rPr>
                <w:sz w:val="12"/>
                <w:szCs w:val="12"/>
                <w:color w:val="auto"/>
              </w:rPr>
            </w:pPr>
          </w:p>
        </w:tc>
        <w:tc>
          <w:tcPr>
            <w:tcW w:w="560" w:type="dxa"/>
            <w:vAlign w:val="bottom"/>
            <w:tcBorders>
              <w:bottom w:val="single" w:sz="8" w:color="939598"/>
            </w:tcBorders>
          </w:tcPr>
          <w:p>
            <w:pPr>
              <w:spacing w:after="0"/>
              <w:rPr>
                <w:sz w:val="12"/>
                <w:szCs w:val="12"/>
                <w:color w:val="auto"/>
              </w:rPr>
            </w:pPr>
          </w:p>
        </w:tc>
        <w:tc>
          <w:tcPr>
            <w:tcW w:w="1140" w:type="dxa"/>
            <w:vAlign w:val="bottom"/>
            <w:tcBorders>
              <w:bottom w:val="single" w:sz="8" w:color="939598"/>
            </w:tcBorders>
          </w:tcPr>
          <w:p>
            <w:pPr>
              <w:spacing w:after="0"/>
              <w:rPr>
                <w:sz w:val="12"/>
                <w:szCs w:val="12"/>
                <w:color w:val="auto"/>
              </w:rPr>
            </w:pPr>
          </w:p>
        </w:tc>
        <w:tc>
          <w:tcPr>
            <w:tcW w:w="12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220" w:type="dxa"/>
            <w:vAlign w:val="bottom"/>
            <w:tcBorders>
              <w:bottom w:val="single" w:sz="8" w:color="939598"/>
            </w:tcBorders>
          </w:tcPr>
          <w:p>
            <w:pPr>
              <w:spacing w:after="0"/>
              <w:rPr>
                <w:sz w:val="12"/>
                <w:szCs w:val="12"/>
                <w:color w:val="auto"/>
              </w:rPr>
            </w:pPr>
          </w:p>
        </w:tc>
        <w:tc>
          <w:tcPr>
            <w:tcW w:w="1280" w:type="dxa"/>
            <w:vAlign w:val="bottom"/>
            <w:tcBorders>
              <w:bottom w:val="single" w:sz="8" w:color="939598"/>
            </w:tcBorders>
          </w:tcPr>
          <w:p>
            <w:pPr>
              <w:spacing w:after="0"/>
              <w:rPr>
                <w:sz w:val="12"/>
                <w:szCs w:val="12"/>
                <w:color w:val="auto"/>
              </w:rPr>
            </w:pPr>
          </w:p>
        </w:tc>
        <w:tc>
          <w:tcPr>
            <w:tcW w:w="166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1340" w:type="dxa"/>
            <w:vAlign w:val="bottom"/>
            <w:tcBorders>
              <w:bottom w:val="single" w:sz="8" w:color="939598"/>
            </w:tcBorders>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ind w:left="840"/>
              <w:spacing w:after="0"/>
              <w:rPr>
                <w:sz w:val="20"/>
                <w:szCs w:val="20"/>
                <w:color w:val="auto"/>
              </w:rPr>
            </w:pPr>
            <w:r>
              <w:rPr>
                <w:rFonts w:ascii="Arial" w:cs="Arial" w:eastAsia="Arial" w:hAnsi="Arial"/>
                <w:sz w:val="7"/>
                <w:szCs w:val="7"/>
                <w:color w:val="auto"/>
              </w:rPr>
              <w:t>(11)</w:t>
            </w:r>
          </w:p>
        </w:tc>
        <w:tc>
          <w:tcPr>
            <w:tcW w:w="1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70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auto"/>
                <w:w w:val="97"/>
              </w:rPr>
              <w:t>2023</w:t>
            </w:r>
          </w:p>
        </w:tc>
        <w:tc>
          <w:tcPr>
            <w:tcW w:w="1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right"/>
              <w:ind w:right="474"/>
              <w:spacing w:after="0"/>
              <w:rPr>
                <w:sz w:val="20"/>
                <w:szCs w:val="20"/>
                <w:color w:val="auto"/>
              </w:rPr>
            </w:pPr>
            <w:r>
              <w:rPr>
                <w:rFonts w:ascii="Arial" w:cs="Arial" w:eastAsia="Arial" w:hAnsi="Arial"/>
                <w:sz w:val="11"/>
                <w:szCs w:val="11"/>
                <w:color w:val="auto"/>
              </w:rPr>
              <w:t>9,458</w:t>
            </w:r>
          </w:p>
        </w:tc>
        <w:tc>
          <w:tcPr>
            <w:tcW w:w="1660" w:type="dxa"/>
            <w:vAlign w:val="bottom"/>
          </w:tcPr>
          <w:p>
            <w:pPr>
              <w:jc w:val="right"/>
              <w:ind w:right="526"/>
              <w:spacing w:after="0"/>
              <w:rPr>
                <w:sz w:val="20"/>
                <w:szCs w:val="20"/>
                <w:color w:val="auto"/>
              </w:rPr>
            </w:pPr>
            <w:r>
              <w:rPr>
                <w:rFonts w:ascii="Arial" w:cs="Arial" w:eastAsia="Arial" w:hAnsi="Arial"/>
                <w:sz w:val="11"/>
                <w:szCs w:val="11"/>
                <w:color w:val="auto"/>
              </w:rPr>
              <w:t>1,845,065</w:t>
            </w:r>
          </w:p>
        </w:tc>
        <w:tc>
          <w:tcPr>
            <w:tcW w:w="6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700" w:type="dxa"/>
            <w:vAlign w:val="bottom"/>
          </w:tcPr>
          <w:p>
            <w:pPr>
              <w:spacing w:after="0"/>
              <w:rPr>
                <w:sz w:val="12"/>
                <w:szCs w:val="12"/>
                <w:color w:val="auto"/>
              </w:rPr>
            </w:pPr>
          </w:p>
        </w:tc>
        <w:tc>
          <w:tcPr>
            <w:tcW w:w="560" w:type="dxa"/>
            <w:vAlign w:val="bottom"/>
            <w:tcBorders>
              <w:bottom w:val="single" w:sz="8" w:color="939598"/>
            </w:tcBorders>
          </w:tcPr>
          <w:p>
            <w:pPr>
              <w:spacing w:after="0"/>
              <w:rPr>
                <w:sz w:val="12"/>
                <w:szCs w:val="12"/>
                <w:color w:val="auto"/>
              </w:rPr>
            </w:pPr>
          </w:p>
        </w:tc>
        <w:tc>
          <w:tcPr>
            <w:tcW w:w="1140" w:type="dxa"/>
            <w:vAlign w:val="bottom"/>
            <w:tcBorders>
              <w:bottom w:val="single" w:sz="8" w:color="939598"/>
            </w:tcBorders>
          </w:tcPr>
          <w:p>
            <w:pPr>
              <w:spacing w:after="0"/>
              <w:rPr>
                <w:sz w:val="12"/>
                <w:szCs w:val="12"/>
                <w:color w:val="auto"/>
              </w:rPr>
            </w:pPr>
          </w:p>
        </w:tc>
        <w:tc>
          <w:tcPr>
            <w:tcW w:w="12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220" w:type="dxa"/>
            <w:vAlign w:val="bottom"/>
            <w:tcBorders>
              <w:bottom w:val="single" w:sz="8" w:color="939598"/>
            </w:tcBorders>
          </w:tcPr>
          <w:p>
            <w:pPr>
              <w:spacing w:after="0"/>
              <w:rPr>
                <w:sz w:val="12"/>
                <w:szCs w:val="12"/>
                <w:color w:val="auto"/>
              </w:rPr>
            </w:pPr>
          </w:p>
        </w:tc>
        <w:tc>
          <w:tcPr>
            <w:tcW w:w="1280" w:type="dxa"/>
            <w:vAlign w:val="bottom"/>
            <w:tcBorders>
              <w:bottom w:val="single" w:sz="8" w:color="939598"/>
            </w:tcBorders>
          </w:tcPr>
          <w:p>
            <w:pPr>
              <w:spacing w:after="0"/>
              <w:rPr>
                <w:sz w:val="12"/>
                <w:szCs w:val="12"/>
                <w:color w:val="auto"/>
              </w:rPr>
            </w:pPr>
          </w:p>
        </w:tc>
        <w:tc>
          <w:tcPr>
            <w:tcW w:w="166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1340" w:type="dxa"/>
            <w:vAlign w:val="bottom"/>
            <w:tcBorders>
              <w:bottom w:val="single" w:sz="8" w:color="939598"/>
            </w:tcBorders>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ind w:left="840"/>
              <w:spacing w:after="0"/>
              <w:rPr>
                <w:sz w:val="20"/>
                <w:szCs w:val="20"/>
                <w:color w:val="auto"/>
              </w:rPr>
            </w:pPr>
            <w:r>
              <w:rPr>
                <w:rFonts w:ascii="Arial" w:cs="Arial" w:eastAsia="Arial" w:hAnsi="Arial"/>
                <w:sz w:val="7"/>
                <w:szCs w:val="7"/>
                <w:color w:val="auto"/>
              </w:rPr>
              <w:t>(19)</w:t>
            </w:r>
          </w:p>
        </w:tc>
        <w:tc>
          <w:tcPr>
            <w:tcW w:w="1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sectPr>
          <w:pgSz w:w="11900" w:h="16838" w:orient="portrait"/>
          <w:cols w:equalWidth="0" w:num="1">
            <w:col w:w="11240"/>
          </w:cols>
          <w:pgMar w:left="320" w:top="230" w:right="339" w:bottom="0" w:gutter="0" w:footer="0" w:header="0"/>
        </w:sectPr>
      </w:pPr>
    </w:p>
    <w:p>
      <w:pPr>
        <w:ind w:left="1860"/>
        <w:spacing w:after="0"/>
        <w:tabs>
          <w:tab w:leader="none" w:pos="2920" w:val="left"/>
          <w:tab w:leader="none" w:pos="3960" w:val="left"/>
          <w:tab w:leader="none" w:pos="4860" w:val="left"/>
          <w:tab w:leader="none" w:pos="5520" w:val="left"/>
          <w:tab w:leader="none" w:pos="6740" w:val="left"/>
          <w:tab w:leader="none" w:pos="8200" w:val="left"/>
        </w:tabs>
        <w:rPr>
          <w:sz w:val="20"/>
          <w:szCs w:val="20"/>
          <w:color w:val="auto"/>
        </w:rPr>
      </w:pPr>
      <w:r>
        <w:rPr>
          <w:rFonts w:ascii="Arial" w:cs="Arial" w:eastAsia="Arial" w:hAnsi="Arial"/>
          <w:sz w:val="11"/>
          <w:szCs w:val="11"/>
          <w:color w:val="auto"/>
        </w:rPr>
        <w:t>2022</w:t>
      </w:r>
      <w:r>
        <w:rPr>
          <w:sz w:val="20"/>
          <w:szCs w:val="20"/>
          <w:color w:val="auto"/>
        </w:rPr>
        <w:tab/>
      </w:r>
      <w:r>
        <w:rPr>
          <w:rFonts w:ascii="Arial" w:cs="Arial" w:eastAsia="Arial" w:hAnsi="Arial"/>
          <w:sz w:val="11"/>
          <w:szCs w:val="11"/>
          <w:color w:val="auto"/>
        </w:rPr>
        <w:t>3,421</w:t>
      </w:r>
      <w:r>
        <w:rPr>
          <w:sz w:val="20"/>
          <w:szCs w:val="20"/>
          <w:color w:val="auto"/>
        </w:rPr>
        <w:tab/>
      </w:r>
      <w:r>
        <w:rPr>
          <w:rFonts w:ascii="Arial" w:cs="Arial" w:eastAsia="Arial" w:hAnsi="Arial"/>
          <w:sz w:val="11"/>
          <w:szCs w:val="11"/>
          <w:color w:val="auto"/>
        </w:rPr>
        <w:t>1,140</w:t>
      </w:r>
      <w:r>
        <w:rPr>
          <w:sz w:val="20"/>
          <w:szCs w:val="20"/>
          <w:color w:val="auto"/>
        </w:rPr>
        <w:tab/>
      </w:r>
      <w:r>
        <w:rPr>
          <w:rFonts w:ascii="Arial" w:cs="Arial" w:eastAsia="Arial" w:hAnsi="Arial"/>
          <w:sz w:val="11"/>
          <w:szCs w:val="11"/>
          <w:color w:val="auto"/>
        </w:rPr>
        <w:t>179.84</w:t>
      </w:r>
      <w:r>
        <w:rPr>
          <w:sz w:val="20"/>
          <w:szCs w:val="20"/>
          <w:color w:val="auto"/>
        </w:rPr>
        <w:tab/>
      </w:r>
      <w:r>
        <w:rPr>
          <w:rFonts w:ascii="Arial" w:cs="Arial" w:eastAsia="Arial" w:hAnsi="Arial"/>
          <w:sz w:val="11"/>
          <w:szCs w:val="11"/>
          <w:color w:val="auto"/>
        </w:rPr>
        <w:t>2/10/2032</w:t>
      </w:r>
      <w:r>
        <w:rPr>
          <w:sz w:val="20"/>
          <w:szCs w:val="20"/>
          <w:color w:val="auto"/>
        </w:rPr>
        <w:tab/>
      </w:r>
      <w:r>
        <w:rPr>
          <w:rFonts w:ascii="Arial" w:cs="Arial" w:eastAsia="Arial" w:hAnsi="Arial"/>
          <w:sz w:val="11"/>
          <w:szCs w:val="11"/>
          <w:color w:val="auto"/>
        </w:rPr>
        <w:t>1,010</w:t>
      </w:r>
      <w:r>
        <w:rPr>
          <w:sz w:val="20"/>
          <w:szCs w:val="20"/>
          <w:color w:val="auto"/>
        </w:rPr>
        <w:tab/>
      </w:r>
      <w:r>
        <w:rPr>
          <w:rFonts w:ascii="Arial" w:cs="Arial" w:eastAsia="Arial" w:hAnsi="Arial"/>
          <w:sz w:val="11"/>
          <w:szCs w:val="11"/>
          <w:color w:val="auto"/>
        </w:rPr>
        <w:t>196,961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99695</wp:posOffset>
            </wp:positionV>
            <wp:extent cx="6052185"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6052185" cy="8890"/>
                    </a:xfrm>
                    <a:prstGeom prst="rect">
                      <a:avLst/>
                    </a:prstGeom>
                    <a:noFill/>
                  </pic:spPr>
                </pic:pic>
              </a:graphicData>
            </a:graphic>
          </wp:anchor>
        </w:drawing>
      </w:r>
    </w:p>
    <w:p>
      <w:pPr>
        <w:sectPr>
          <w:pgSz w:w="11900" w:h="16838" w:orient="portrait"/>
          <w:cols w:equalWidth="0" w:num="1">
            <w:col w:w="11240"/>
          </w:cols>
          <w:pgMar w:left="320" w:top="230" w:right="339" w:bottom="0"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142"/>
        </w:trPr>
        <w:tc>
          <w:tcPr>
            <w:tcW w:w="1700" w:type="dxa"/>
            <w:vAlign w:val="bottom"/>
          </w:tcPr>
          <w:p>
            <w:pPr>
              <w:spacing w:after="0"/>
              <w:rPr>
                <w:sz w:val="12"/>
                <w:szCs w:val="12"/>
                <w:color w:val="auto"/>
              </w:rPr>
            </w:pPr>
          </w:p>
        </w:tc>
        <w:tc>
          <w:tcPr>
            <w:tcW w:w="780" w:type="dxa"/>
            <w:vAlign w:val="bottom"/>
          </w:tcPr>
          <w:p>
            <w:pPr>
              <w:ind w:left="160"/>
              <w:spacing w:after="0"/>
              <w:rPr>
                <w:sz w:val="20"/>
                <w:szCs w:val="20"/>
                <w:color w:val="auto"/>
              </w:rPr>
            </w:pPr>
            <w:r>
              <w:rPr>
                <w:rFonts w:ascii="Arial" w:cs="Arial" w:eastAsia="Arial" w:hAnsi="Arial"/>
                <w:sz w:val="11"/>
                <w:szCs w:val="11"/>
                <w:color w:val="auto"/>
              </w:rPr>
              <w:t>2021</w:t>
            </w:r>
          </w:p>
        </w:tc>
        <w:tc>
          <w:tcPr>
            <w:tcW w:w="1080" w:type="dxa"/>
            <w:vAlign w:val="bottom"/>
          </w:tcPr>
          <w:p>
            <w:pPr>
              <w:jc w:val="right"/>
              <w:ind w:right="306"/>
              <w:spacing w:after="0"/>
              <w:rPr>
                <w:sz w:val="20"/>
                <w:szCs w:val="20"/>
                <w:color w:val="auto"/>
              </w:rPr>
            </w:pPr>
            <w:r>
              <w:rPr>
                <w:rFonts w:ascii="Arial" w:cs="Arial" w:eastAsia="Arial" w:hAnsi="Arial"/>
                <w:sz w:val="11"/>
                <w:szCs w:val="11"/>
                <w:color w:val="auto"/>
              </w:rPr>
              <w:t>3,067</w:t>
            </w:r>
          </w:p>
        </w:tc>
        <w:tc>
          <w:tcPr>
            <w:tcW w:w="1060" w:type="dxa"/>
            <w:vAlign w:val="bottom"/>
          </w:tcPr>
          <w:p>
            <w:pPr>
              <w:jc w:val="right"/>
              <w:ind w:right="307"/>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26"/>
              <w:spacing w:after="0"/>
              <w:rPr>
                <w:sz w:val="20"/>
                <w:szCs w:val="20"/>
                <w:color w:val="auto"/>
              </w:rPr>
            </w:pPr>
            <w:r>
              <w:rPr>
                <w:rFonts w:ascii="Arial" w:cs="Arial" w:eastAsia="Arial" w:hAnsi="Arial"/>
                <w:sz w:val="11"/>
                <w:szCs w:val="11"/>
                <w:color w:val="auto"/>
              </w:rPr>
              <w:t>192.16</w:t>
            </w:r>
          </w:p>
        </w:tc>
        <w:tc>
          <w:tcPr>
            <w:tcW w:w="980" w:type="dxa"/>
            <w:vAlign w:val="bottom"/>
          </w:tcPr>
          <w:p>
            <w:pPr>
              <w:jc w:val="right"/>
              <w:ind w:right="286"/>
              <w:spacing w:after="0"/>
              <w:rPr>
                <w:sz w:val="20"/>
                <w:szCs w:val="20"/>
                <w:color w:val="auto"/>
              </w:rPr>
            </w:pPr>
            <w:r>
              <w:rPr>
                <w:rFonts w:ascii="Arial" w:cs="Arial" w:eastAsia="Arial" w:hAnsi="Arial"/>
                <w:sz w:val="11"/>
                <w:szCs w:val="11"/>
                <w:color w:val="auto"/>
              </w:rPr>
              <w:t>2/11/2031</w:t>
            </w:r>
          </w:p>
        </w:tc>
        <w:tc>
          <w:tcPr>
            <w:tcW w:w="1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42"/>
        </w:trPr>
        <w:tc>
          <w:tcPr>
            <w:tcW w:w="1700" w:type="dxa"/>
            <w:vAlign w:val="bottom"/>
          </w:tcPr>
          <w:p>
            <w:pPr>
              <w:spacing w:after="0"/>
              <w:rPr>
                <w:sz w:val="12"/>
                <w:szCs w:val="12"/>
                <w:color w:val="auto"/>
              </w:rPr>
            </w:pPr>
          </w:p>
        </w:tc>
        <w:tc>
          <w:tcPr>
            <w:tcW w:w="780" w:type="dxa"/>
            <w:vAlign w:val="bottom"/>
            <w:tcBorders>
              <w:bottom w:val="single" w:sz="8" w:color="939598"/>
            </w:tcBorders>
          </w:tcPr>
          <w:p>
            <w:pPr>
              <w:spacing w:after="0"/>
              <w:rPr>
                <w:sz w:val="12"/>
                <w:szCs w:val="12"/>
                <w:color w:val="auto"/>
              </w:rPr>
            </w:pPr>
          </w:p>
        </w:tc>
        <w:tc>
          <w:tcPr>
            <w:tcW w:w="1080" w:type="dxa"/>
            <w:vAlign w:val="bottom"/>
            <w:tcBorders>
              <w:bottom w:val="single" w:sz="8" w:color="939598"/>
            </w:tcBorders>
          </w:tcPr>
          <w:p>
            <w:pPr>
              <w:spacing w:after="0"/>
              <w:rPr>
                <w:sz w:val="12"/>
                <w:szCs w:val="12"/>
                <w:color w:val="auto"/>
              </w:rPr>
            </w:pPr>
          </w:p>
        </w:tc>
        <w:tc>
          <w:tcPr>
            <w:tcW w:w="1060" w:type="dxa"/>
            <w:vAlign w:val="bottom"/>
            <w:tcBorders>
              <w:bottom w:val="single" w:sz="8" w:color="939598"/>
            </w:tcBorders>
          </w:tcPr>
          <w:p>
            <w:pPr>
              <w:spacing w:after="0"/>
              <w:rPr>
                <w:sz w:val="12"/>
                <w:szCs w:val="12"/>
                <w:color w:val="auto"/>
              </w:rPr>
            </w:pPr>
          </w:p>
        </w:tc>
        <w:tc>
          <w:tcPr>
            <w:tcW w:w="760" w:type="dxa"/>
            <w:vAlign w:val="bottom"/>
            <w:tcBorders>
              <w:bottom w:val="single" w:sz="8" w:color="939598"/>
            </w:tcBorders>
          </w:tcPr>
          <w:p>
            <w:pPr>
              <w:spacing w:after="0"/>
              <w:rPr>
                <w:sz w:val="12"/>
                <w:szCs w:val="12"/>
                <w:color w:val="auto"/>
              </w:rPr>
            </w:pPr>
          </w:p>
        </w:tc>
        <w:tc>
          <w:tcPr>
            <w:tcW w:w="980" w:type="dxa"/>
            <w:vAlign w:val="bottom"/>
            <w:tcBorders>
              <w:bottom w:val="single" w:sz="8" w:color="939598"/>
            </w:tcBorders>
          </w:tcPr>
          <w:p>
            <w:pPr>
              <w:spacing w:after="0"/>
              <w:rPr>
                <w:sz w:val="12"/>
                <w:szCs w:val="12"/>
                <w:color w:val="auto"/>
              </w:rPr>
            </w:pPr>
          </w:p>
        </w:tc>
        <w:tc>
          <w:tcPr>
            <w:tcW w:w="1320" w:type="dxa"/>
            <w:vAlign w:val="bottom"/>
            <w:tcBorders>
              <w:bottom w:val="single" w:sz="8" w:color="939598"/>
            </w:tcBorders>
          </w:tcPr>
          <w:p>
            <w:pPr>
              <w:spacing w:after="0"/>
              <w:rPr>
                <w:sz w:val="12"/>
                <w:szCs w:val="12"/>
                <w:color w:val="auto"/>
              </w:rPr>
            </w:pPr>
          </w:p>
        </w:tc>
        <w:tc>
          <w:tcPr>
            <w:tcW w:w="1380" w:type="dxa"/>
            <w:vAlign w:val="bottom"/>
            <w:tcBorders>
              <w:bottom w:val="single" w:sz="8" w:color="939598"/>
            </w:tcBorders>
          </w:tcPr>
          <w:p>
            <w:pPr>
              <w:spacing w:after="0"/>
              <w:rPr>
                <w:sz w:val="12"/>
                <w:szCs w:val="12"/>
                <w:color w:val="auto"/>
              </w:rPr>
            </w:pPr>
          </w:p>
        </w:tc>
        <w:tc>
          <w:tcPr>
            <w:tcW w:w="800" w:type="dxa"/>
            <w:vAlign w:val="bottom"/>
            <w:tcBorders>
              <w:bottom w:val="single" w:sz="8" w:color="939598"/>
            </w:tcBorders>
          </w:tcPr>
          <w:p>
            <w:pPr>
              <w:spacing w:after="0"/>
              <w:rPr>
                <w:sz w:val="12"/>
                <w:szCs w:val="12"/>
                <w:color w:val="auto"/>
              </w:rPr>
            </w:pPr>
          </w:p>
        </w:tc>
        <w:tc>
          <w:tcPr>
            <w:tcW w:w="1360" w:type="dxa"/>
            <w:vAlign w:val="bottom"/>
            <w:tcBorders>
              <w:bottom w:val="single" w:sz="8" w:color="939598"/>
            </w:tcBorders>
          </w:tcPr>
          <w:p>
            <w:pPr>
              <w:spacing w:after="0"/>
              <w:rPr>
                <w:sz w:val="12"/>
                <w:szCs w:val="12"/>
                <w:color w:val="auto"/>
              </w:rPr>
            </w:pPr>
          </w:p>
        </w:tc>
      </w:tr>
      <w:tr>
        <w:trPr>
          <w:trHeight w:val="110"/>
        </w:trPr>
        <w:tc>
          <w:tcPr>
            <w:tcW w:w="1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320" w:type="dxa"/>
            <w:vAlign w:val="bottom"/>
          </w:tcPr>
          <w:p>
            <w:pPr>
              <w:ind w:left="740"/>
              <w:spacing w:after="0"/>
              <w:rPr>
                <w:sz w:val="20"/>
                <w:szCs w:val="20"/>
                <w:color w:val="auto"/>
              </w:rPr>
            </w:pPr>
            <w:r>
              <w:rPr>
                <w:rFonts w:ascii="Arial" w:cs="Arial" w:eastAsia="Arial" w:hAnsi="Arial"/>
                <w:sz w:val="7"/>
                <w:szCs w:val="7"/>
                <w:color w:val="auto"/>
              </w:rPr>
              <w:t>(21)</w:t>
            </w:r>
          </w:p>
        </w:tc>
        <w:tc>
          <w:tcPr>
            <w:tcW w:w="1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60" w:type="dxa"/>
            <w:vAlign w:val="bottom"/>
          </w:tcPr>
          <w:p>
            <w:pPr>
              <w:spacing w:after="0"/>
              <w:rPr>
                <w:sz w:val="9"/>
                <w:szCs w:val="9"/>
                <w:color w:val="auto"/>
              </w:rPr>
            </w:pPr>
          </w:p>
        </w:tc>
      </w:tr>
      <w:tr>
        <w:trPr>
          <w:trHeight w:val="147"/>
        </w:trPr>
        <w:tc>
          <w:tcPr>
            <w:tcW w:w="1700" w:type="dxa"/>
            <w:vAlign w:val="bottom"/>
          </w:tcPr>
          <w:p>
            <w:pPr>
              <w:spacing w:after="0"/>
              <w:rPr>
                <w:sz w:val="12"/>
                <w:szCs w:val="12"/>
                <w:color w:val="auto"/>
              </w:rPr>
            </w:pPr>
          </w:p>
        </w:tc>
        <w:tc>
          <w:tcPr>
            <w:tcW w:w="780" w:type="dxa"/>
            <w:vAlign w:val="bottom"/>
          </w:tcPr>
          <w:p>
            <w:pPr>
              <w:ind w:left="160"/>
              <w:spacing w:after="0"/>
              <w:rPr>
                <w:sz w:val="20"/>
                <w:szCs w:val="20"/>
                <w:color w:val="auto"/>
              </w:rPr>
            </w:pPr>
            <w:r>
              <w:rPr>
                <w:rFonts w:ascii="Arial" w:cs="Arial" w:eastAsia="Arial" w:hAnsi="Arial"/>
                <w:sz w:val="11"/>
                <w:szCs w:val="11"/>
                <w:color w:val="auto"/>
              </w:rPr>
              <w:t>2020</w:t>
            </w: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20" w:type="dxa"/>
            <w:vAlign w:val="bottom"/>
          </w:tcPr>
          <w:p>
            <w:pPr>
              <w:jc w:val="right"/>
              <w:ind w:right="614"/>
              <w:spacing w:after="0"/>
              <w:rPr>
                <w:sz w:val="20"/>
                <w:szCs w:val="20"/>
                <w:color w:val="auto"/>
              </w:rPr>
            </w:pPr>
            <w:r>
              <w:rPr>
                <w:rFonts w:ascii="Arial" w:cs="Arial" w:eastAsia="Arial" w:hAnsi="Arial"/>
                <w:sz w:val="11"/>
                <w:szCs w:val="11"/>
                <w:color w:val="auto"/>
              </w:rPr>
              <w:t>798</w:t>
            </w:r>
          </w:p>
        </w:tc>
        <w:tc>
          <w:tcPr>
            <w:tcW w:w="1380" w:type="dxa"/>
            <w:vAlign w:val="bottom"/>
          </w:tcPr>
          <w:p>
            <w:pPr>
              <w:jc w:val="right"/>
              <w:ind w:right="386"/>
              <w:spacing w:after="0"/>
              <w:rPr>
                <w:sz w:val="20"/>
                <w:szCs w:val="20"/>
                <w:color w:val="auto"/>
              </w:rPr>
            </w:pPr>
            <w:r>
              <w:rPr>
                <w:rFonts w:ascii="Arial" w:cs="Arial" w:eastAsia="Arial" w:hAnsi="Arial"/>
                <w:sz w:val="11"/>
                <w:szCs w:val="11"/>
                <w:color w:val="auto"/>
              </w:rPr>
              <w:t>155,688</w:t>
            </w:r>
          </w:p>
        </w:tc>
        <w:tc>
          <w:tcPr>
            <w:tcW w:w="80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42"/>
        </w:trPr>
        <w:tc>
          <w:tcPr>
            <w:tcW w:w="1700" w:type="dxa"/>
            <w:vAlign w:val="bottom"/>
          </w:tcPr>
          <w:p>
            <w:pPr>
              <w:spacing w:after="0"/>
              <w:rPr>
                <w:sz w:val="12"/>
                <w:szCs w:val="12"/>
                <w:color w:val="auto"/>
              </w:rPr>
            </w:pPr>
          </w:p>
        </w:tc>
        <w:tc>
          <w:tcPr>
            <w:tcW w:w="780" w:type="dxa"/>
            <w:vAlign w:val="bottom"/>
            <w:tcBorders>
              <w:bottom w:val="single" w:sz="8" w:color="939598"/>
            </w:tcBorders>
          </w:tcPr>
          <w:p>
            <w:pPr>
              <w:spacing w:after="0"/>
              <w:rPr>
                <w:sz w:val="12"/>
                <w:szCs w:val="12"/>
                <w:color w:val="auto"/>
              </w:rPr>
            </w:pPr>
          </w:p>
        </w:tc>
        <w:tc>
          <w:tcPr>
            <w:tcW w:w="1080" w:type="dxa"/>
            <w:vAlign w:val="bottom"/>
            <w:tcBorders>
              <w:bottom w:val="single" w:sz="8" w:color="939598"/>
            </w:tcBorders>
          </w:tcPr>
          <w:p>
            <w:pPr>
              <w:spacing w:after="0"/>
              <w:rPr>
                <w:sz w:val="12"/>
                <w:szCs w:val="12"/>
                <w:color w:val="auto"/>
              </w:rPr>
            </w:pPr>
          </w:p>
        </w:tc>
        <w:tc>
          <w:tcPr>
            <w:tcW w:w="1060" w:type="dxa"/>
            <w:vAlign w:val="bottom"/>
            <w:tcBorders>
              <w:bottom w:val="single" w:sz="8" w:color="939598"/>
            </w:tcBorders>
          </w:tcPr>
          <w:p>
            <w:pPr>
              <w:spacing w:after="0"/>
              <w:rPr>
                <w:sz w:val="12"/>
                <w:szCs w:val="12"/>
                <w:color w:val="auto"/>
              </w:rPr>
            </w:pPr>
          </w:p>
        </w:tc>
        <w:tc>
          <w:tcPr>
            <w:tcW w:w="760" w:type="dxa"/>
            <w:vAlign w:val="bottom"/>
            <w:tcBorders>
              <w:bottom w:val="single" w:sz="8" w:color="939598"/>
            </w:tcBorders>
          </w:tcPr>
          <w:p>
            <w:pPr>
              <w:spacing w:after="0"/>
              <w:rPr>
                <w:sz w:val="12"/>
                <w:szCs w:val="12"/>
                <w:color w:val="auto"/>
              </w:rPr>
            </w:pPr>
          </w:p>
        </w:tc>
        <w:tc>
          <w:tcPr>
            <w:tcW w:w="980" w:type="dxa"/>
            <w:vAlign w:val="bottom"/>
            <w:tcBorders>
              <w:bottom w:val="single" w:sz="8" w:color="939598"/>
            </w:tcBorders>
          </w:tcPr>
          <w:p>
            <w:pPr>
              <w:spacing w:after="0"/>
              <w:rPr>
                <w:sz w:val="12"/>
                <w:szCs w:val="12"/>
                <w:color w:val="auto"/>
              </w:rPr>
            </w:pPr>
          </w:p>
        </w:tc>
        <w:tc>
          <w:tcPr>
            <w:tcW w:w="1320" w:type="dxa"/>
            <w:vAlign w:val="bottom"/>
            <w:tcBorders>
              <w:bottom w:val="single" w:sz="8" w:color="939598"/>
            </w:tcBorders>
          </w:tcPr>
          <w:p>
            <w:pPr>
              <w:spacing w:after="0"/>
              <w:rPr>
                <w:sz w:val="12"/>
                <w:szCs w:val="12"/>
                <w:color w:val="auto"/>
              </w:rPr>
            </w:pPr>
          </w:p>
        </w:tc>
        <w:tc>
          <w:tcPr>
            <w:tcW w:w="1380" w:type="dxa"/>
            <w:vAlign w:val="bottom"/>
            <w:tcBorders>
              <w:bottom w:val="single" w:sz="8" w:color="939598"/>
            </w:tcBorders>
          </w:tcPr>
          <w:p>
            <w:pPr>
              <w:spacing w:after="0"/>
              <w:rPr>
                <w:sz w:val="12"/>
                <w:szCs w:val="12"/>
                <w:color w:val="auto"/>
              </w:rPr>
            </w:pPr>
          </w:p>
        </w:tc>
        <w:tc>
          <w:tcPr>
            <w:tcW w:w="800" w:type="dxa"/>
            <w:vAlign w:val="bottom"/>
            <w:tcBorders>
              <w:bottom w:val="single" w:sz="8" w:color="939598"/>
            </w:tcBorders>
          </w:tcPr>
          <w:p>
            <w:pPr>
              <w:spacing w:after="0"/>
              <w:rPr>
                <w:sz w:val="12"/>
                <w:szCs w:val="12"/>
                <w:color w:val="auto"/>
              </w:rPr>
            </w:pPr>
          </w:p>
        </w:tc>
        <w:tc>
          <w:tcPr>
            <w:tcW w:w="1360" w:type="dxa"/>
            <w:vAlign w:val="bottom"/>
            <w:tcBorders>
              <w:bottom w:val="single" w:sz="8" w:color="939598"/>
            </w:tcBorders>
          </w:tcPr>
          <w:p>
            <w:pPr>
              <w:spacing w:after="0"/>
              <w:rPr>
                <w:sz w:val="12"/>
                <w:szCs w:val="12"/>
                <w:color w:val="auto"/>
              </w:rPr>
            </w:pPr>
          </w:p>
        </w:tc>
      </w:tr>
      <w:tr>
        <w:trPr>
          <w:trHeight w:val="257"/>
        </w:trPr>
        <w:tc>
          <w:tcPr>
            <w:tcW w:w="170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Arial" w:cs="Arial" w:eastAsia="Arial" w:hAnsi="Arial"/>
                <w:sz w:val="11"/>
                <w:szCs w:val="11"/>
                <w:color w:val="auto"/>
              </w:rPr>
              <w:t>2020</w:t>
            </w:r>
          </w:p>
        </w:tc>
        <w:tc>
          <w:tcPr>
            <w:tcW w:w="1080" w:type="dxa"/>
            <w:vAlign w:val="bottom"/>
          </w:tcPr>
          <w:p>
            <w:pPr>
              <w:jc w:val="right"/>
              <w:ind w:right="306"/>
              <w:spacing w:after="0"/>
              <w:rPr>
                <w:sz w:val="20"/>
                <w:szCs w:val="20"/>
                <w:color w:val="auto"/>
              </w:rPr>
            </w:pPr>
            <w:r>
              <w:rPr>
                <w:rFonts w:ascii="Arial" w:cs="Arial" w:eastAsia="Arial" w:hAnsi="Arial"/>
                <w:sz w:val="11"/>
                <w:szCs w:val="11"/>
                <w:color w:val="auto"/>
              </w:rPr>
              <w:t>4,106</w:t>
            </w:r>
          </w:p>
        </w:tc>
        <w:tc>
          <w:tcPr>
            <w:tcW w:w="1060" w:type="dxa"/>
            <w:vAlign w:val="bottom"/>
          </w:tcPr>
          <w:p>
            <w:pPr>
              <w:jc w:val="right"/>
              <w:ind w:right="307"/>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26"/>
              <w:spacing w:after="0"/>
              <w:rPr>
                <w:sz w:val="20"/>
                <w:szCs w:val="20"/>
                <w:color w:val="auto"/>
              </w:rPr>
            </w:pPr>
            <w:r>
              <w:rPr>
                <w:rFonts w:ascii="Arial" w:cs="Arial" w:eastAsia="Arial" w:hAnsi="Arial"/>
                <w:sz w:val="11"/>
                <w:szCs w:val="11"/>
                <w:color w:val="auto"/>
              </w:rPr>
              <w:t>171.50</w:t>
            </w:r>
          </w:p>
        </w:tc>
        <w:tc>
          <w:tcPr>
            <w:tcW w:w="980" w:type="dxa"/>
            <w:vAlign w:val="bottom"/>
          </w:tcPr>
          <w:p>
            <w:pPr>
              <w:jc w:val="right"/>
              <w:ind w:right="286"/>
              <w:spacing w:after="0"/>
              <w:rPr>
                <w:sz w:val="20"/>
                <w:szCs w:val="20"/>
                <w:color w:val="auto"/>
              </w:rPr>
            </w:pPr>
            <w:r>
              <w:rPr>
                <w:rFonts w:ascii="Arial" w:cs="Arial" w:eastAsia="Arial" w:hAnsi="Arial"/>
                <w:sz w:val="11"/>
                <w:szCs w:val="11"/>
                <w:color w:val="auto"/>
              </w:rPr>
              <w:t>2/13/2030</w:t>
            </w:r>
          </w:p>
        </w:tc>
        <w:tc>
          <w:tcPr>
            <w:tcW w:w="13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141"/>
        </w:trPr>
        <w:tc>
          <w:tcPr>
            <w:tcW w:w="1700" w:type="dxa"/>
            <w:vAlign w:val="bottom"/>
          </w:tcPr>
          <w:p>
            <w:pPr>
              <w:spacing w:after="0"/>
              <w:rPr>
                <w:sz w:val="12"/>
                <w:szCs w:val="12"/>
                <w:color w:val="auto"/>
              </w:rPr>
            </w:pPr>
          </w:p>
        </w:tc>
        <w:tc>
          <w:tcPr>
            <w:tcW w:w="780" w:type="dxa"/>
            <w:vAlign w:val="bottom"/>
            <w:tcBorders>
              <w:bottom w:val="single" w:sz="8" w:color="939598"/>
            </w:tcBorders>
          </w:tcPr>
          <w:p>
            <w:pPr>
              <w:spacing w:after="0"/>
              <w:rPr>
                <w:sz w:val="12"/>
                <w:szCs w:val="12"/>
                <w:color w:val="auto"/>
              </w:rPr>
            </w:pPr>
          </w:p>
        </w:tc>
        <w:tc>
          <w:tcPr>
            <w:tcW w:w="1080" w:type="dxa"/>
            <w:vAlign w:val="bottom"/>
            <w:tcBorders>
              <w:bottom w:val="single" w:sz="8" w:color="939598"/>
            </w:tcBorders>
          </w:tcPr>
          <w:p>
            <w:pPr>
              <w:spacing w:after="0"/>
              <w:rPr>
                <w:sz w:val="12"/>
                <w:szCs w:val="12"/>
                <w:color w:val="auto"/>
              </w:rPr>
            </w:pPr>
          </w:p>
        </w:tc>
        <w:tc>
          <w:tcPr>
            <w:tcW w:w="1060" w:type="dxa"/>
            <w:vAlign w:val="bottom"/>
            <w:tcBorders>
              <w:bottom w:val="single" w:sz="8" w:color="939598"/>
            </w:tcBorders>
          </w:tcPr>
          <w:p>
            <w:pPr>
              <w:spacing w:after="0"/>
              <w:rPr>
                <w:sz w:val="12"/>
                <w:szCs w:val="12"/>
                <w:color w:val="auto"/>
              </w:rPr>
            </w:pPr>
          </w:p>
        </w:tc>
        <w:tc>
          <w:tcPr>
            <w:tcW w:w="760" w:type="dxa"/>
            <w:vAlign w:val="bottom"/>
            <w:tcBorders>
              <w:bottom w:val="single" w:sz="8" w:color="939598"/>
            </w:tcBorders>
          </w:tcPr>
          <w:p>
            <w:pPr>
              <w:spacing w:after="0"/>
              <w:rPr>
                <w:sz w:val="12"/>
                <w:szCs w:val="12"/>
                <w:color w:val="auto"/>
              </w:rPr>
            </w:pPr>
          </w:p>
        </w:tc>
        <w:tc>
          <w:tcPr>
            <w:tcW w:w="980" w:type="dxa"/>
            <w:vAlign w:val="bottom"/>
            <w:tcBorders>
              <w:bottom w:val="single" w:sz="8" w:color="939598"/>
            </w:tcBorders>
          </w:tcPr>
          <w:p>
            <w:pPr>
              <w:spacing w:after="0"/>
              <w:rPr>
                <w:sz w:val="12"/>
                <w:szCs w:val="12"/>
                <w:color w:val="auto"/>
              </w:rPr>
            </w:pPr>
          </w:p>
        </w:tc>
        <w:tc>
          <w:tcPr>
            <w:tcW w:w="1320" w:type="dxa"/>
            <w:vAlign w:val="bottom"/>
            <w:tcBorders>
              <w:bottom w:val="single" w:sz="8" w:color="939598"/>
            </w:tcBorders>
          </w:tcPr>
          <w:p>
            <w:pPr>
              <w:spacing w:after="0"/>
              <w:rPr>
                <w:sz w:val="12"/>
                <w:szCs w:val="12"/>
                <w:color w:val="auto"/>
              </w:rPr>
            </w:pPr>
          </w:p>
        </w:tc>
        <w:tc>
          <w:tcPr>
            <w:tcW w:w="1380" w:type="dxa"/>
            <w:vAlign w:val="bottom"/>
            <w:tcBorders>
              <w:bottom w:val="single" w:sz="8" w:color="939598"/>
            </w:tcBorders>
          </w:tcPr>
          <w:p>
            <w:pPr>
              <w:spacing w:after="0"/>
              <w:rPr>
                <w:sz w:val="12"/>
                <w:szCs w:val="12"/>
                <w:color w:val="auto"/>
              </w:rPr>
            </w:pPr>
          </w:p>
        </w:tc>
        <w:tc>
          <w:tcPr>
            <w:tcW w:w="800" w:type="dxa"/>
            <w:vAlign w:val="bottom"/>
            <w:tcBorders>
              <w:bottom w:val="single" w:sz="8" w:color="939598"/>
            </w:tcBorders>
          </w:tcPr>
          <w:p>
            <w:pPr>
              <w:spacing w:after="0"/>
              <w:rPr>
                <w:sz w:val="12"/>
                <w:szCs w:val="12"/>
                <w:color w:val="auto"/>
              </w:rPr>
            </w:pPr>
          </w:p>
        </w:tc>
        <w:tc>
          <w:tcPr>
            <w:tcW w:w="1360" w:type="dxa"/>
            <w:vAlign w:val="bottom"/>
            <w:tcBorders>
              <w:bottom w:val="single" w:sz="8" w:color="939598"/>
            </w:tcBorders>
          </w:tcPr>
          <w:p>
            <w:pPr>
              <w:spacing w:after="0"/>
              <w:rPr>
                <w:sz w:val="12"/>
                <w:szCs w:val="12"/>
                <w:color w:val="auto"/>
              </w:rPr>
            </w:pPr>
          </w:p>
        </w:tc>
      </w:tr>
      <w:tr>
        <w:trPr>
          <w:trHeight w:val="257"/>
        </w:trPr>
        <w:tc>
          <w:tcPr>
            <w:tcW w:w="170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Arial" w:cs="Arial" w:eastAsia="Arial" w:hAnsi="Arial"/>
                <w:sz w:val="11"/>
                <w:szCs w:val="11"/>
                <w:color w:val="auto"/>
              </w:rPr>
              <w:t>2019</w:t>
            </w:r>
          </w:p>
        </w:tc>
        <w:tc>
          <w:tcPr>
            <w:tcW w:w="1080" w:type="dxa"/>
            <w:vAlign w:val="bottom"/>
          </w:tcPr>
          <w:p>
            <w:pPr>
              <w:jc w:val="right"/>
              <w:ind w:right="306"/>
              <w:spacing w:after="0"/>
              <w:rPr>
                <w:sz w:val="20"/>
                <w:szCs w:val="20"/>
                <w:color w:val="auto"/>
              </w:rPr>
            </w:pPr>
            <w:r>
              <w:rPr>
                <w:rFonts w:ascii="Arial" w:cs="Arial" w:eastAsia="Arial" w:hAnsi="Arial"/>
                <w:sz w:val="11"/>
                <w:szCs w:val="11"/>
                <w:color w:val="auto"/>
              </w:rPr>
              <w:t>2,658</w:t>
            </w:r>
          </w:p>
        </w:tc>
        <w:tc>
          <w:tcPr>
            <w:tcW w:w="1060" w:type="dxa"/>
            <w:vAlign w:val="bottom"/>
          </w:tcPr>
          <w:p>
            <w:pPr>
              <w:jc w:val="right"/>
              <w:ind w:right="307"/>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26"/>
              <w:spacing w:after="0"/>
              <w:rPr>
                <w:sz w:val="20"/>
                <w:szCs w:val="20"/>
                <w:color w:val="auto"/>
              </w:rPr>
            </w:pPr>
            <w:r>
              <w:rPr>
                <w:rFonts w:ascii="Arial" w:cs="Arial" w:eastAsia="Arial" w:hAnsi="Arial"/>
                <w:sz w:val="11"/>
                <w:szCs w:val="11"/>
                <w:color w:val="auto"/>
              </w:rPr>
              <w:t>146.19</w:t>
            </w:r>
          </w:p>
        </w:tc>
        <w:tc>
          <w:tcPr>
            <w:tcW w:w="980" w:type="dxa"/>
            <w:vAlign w:val="bottom"/>
          </w:tcPr>
          <w:p>
            <w:pPr>
              <w:jc w:val="right"/>
              <w:ind w:right="286"/>
              <w:spacing w:after="0"/>
              <w:rPr>
                <w:sz w:val="20"/>
                <w:szCs w:val="20"/>
                <w:color w:val="auto"/>
              </w:rPr>
            </w:pPr>
            <w:r>
              <w:rPr>
                <w:rFonts w:ascii="Arial" w:cs="Arial" w:eastAsia="Arial" w:hAnsi="Arial"/>
                <w:sz w:val="11"/>
                <w:szCs w:val="11"/>
                <w:color w:val="auto"/>
              </w:rPr>
              <w:t>2/25/2029</w:t>
            </w:r>
          </w:p>
        </w:tc>
        <w:tc>
          <w:tcPr>
            <w:tcW w:w="13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141"/>
        </w:trPr>
        <w:tc>
          <w:tcPr>
            <w:tcW w:w="1700" w:type="dxa"/>
            <w:vAlign w:val="bottom"/>
          </w:tcPr>
          <w:p>
            <w:pPr>
              <w:spacing w:after="0"/>
              <w:rPr>
                <w:sz w:val="12"/>
                <w:szCs w:val="12"/>
                <w:color w:val="auto"/>
              </w:rPr>
            </w:pPr>
          </w:p>
        </w:tc>
        <w:tc>
          <w:tcPr>
            <w:tcW w:w="780" w:type="dxa"/>
            <w:vAlign w:val="bottom"/>
            <w:tcBorders>
              <w:bottom w:val="single" w:sz="8" w:color="939598"/>
            </w:tcBorders>
          </w:tcPr>
          <w:p>
            <w:pPr>
              <w:spacing w:after="0"/>
              <w:rPr>
                <w:sz w:val="12"/>
                <w:szCs w:val="12"/>
                <w:color w:val="auto"/>
              </w:rPr>
            </w:pPr>
          </w:p>
        </w:tc>
        <w:tc>
          <w:tcPr>
            <w:tcW w:w="1080" w:type="dxa"/>
            <w:vAlign w:val="bottom"/>
            <w:tcBorders>
              <w:bottom w:val="single" w:sz="8" w:color="939598"/>
            </w:tcBorders>
          </w:tcPr>
          <w:p>
            <w:pPr>
              <w:spacing w:after="0"/>
              <w:rPr>
                <w:sz w:val="12"/>
                <w:szCs w:val="12"/>
                <w:color w:val="auto"/>
              </w:rPr>
            </w:pPr>
          </w:p>
        </w:tc>
        <w:tc>
          <w:tcPr>
            <w:tcW w:w="1060" w:type="dxa"/>
            <w:vAlign w:val="bottom"/>
            <w:tcBorders>
              <w:bottom w:val="single" w:sz="8" w:color="939598"/>
            </w:tcBorders>
          </w:tcPr>
          <w:p>
            <w:pPr>
              <w:spacing w:after="0"/>
              <w:rPr>
                <w:sz w:val="12"/>
                <w:szCs w:val="12"/>
                <w:color w:val="auto"/>
              </w:rPr>
            </w:pPr>
          </w:p>
        </w:tc>
        <w:tc>
          <w:tcPr>
            <w:tcW w:w="760" w:type="dxa"/>
            <w:vAlign w:val="bottom"/>
            <w:tcBorders>
              <w:bottom w:val="single" w:sz="8" w:color="939598"/>
            </w:tcBorders>
          </w:tcPr>
          <w:p>
            <w:pPr>
              <w:spacing w:after="0"/>
              <w:rPr>
                <w:sz w:val="12"/>
                <w:szCs w:val="12"/>
                <w:color w:val="auto"/>
              </w:rPr>
            </w:pPr>
          </w:p>
        </w:tc>
        <w:tc>
          <w:tcPr>
            <w:tcW w:w="980" w:type="dxa"/>
            <w:vAlign w:val="bottom"/>
            <w:tcBorders>
              <w:bottom w:val="single" w:sz="8" w:color="939598"/>
            </w:tcBorders>
          </w:tcPr>
          <w:p>
            <w:pPr>
              <w:spacing w:after="0"/>
              <w:rPr>
                <w:sz w:val="12"/>
                <w:szCs w:val="12"/>
                <w:color w:val="auto"/>
              </w:rPr>
            </w:pPr>
          </w:p>
        </w:tc>
        <w:tc>
          <w:tcPr>
            <w:tcW w:w="1320" w:type="dxa"/>
            <w:vAlign w:val="bottom"/>
            <w:tcBorders>
              <w:bottom w:val="single" w:sz="8" w:color="939598"/>
            </w:tcBorders>
          </w:tcPr>
          <w:p>
            <w:pPr>
              <w:spacing w:after="0"/>
              <w:rPr>
                <w:sz w:val="12"/>
                <w:szCs w:val="12"/>
                <w:color w:val="auto"/>
              </w:rPr>
            </w:pPr>
          </w:p>
        </w:tc>
        <w:tc>
          <w:tcPr>
            <w:tcW w:w="1380" w:type="dxa"/>
            <w:vAlign w:val="bottom"/>
            <w:tcBorders>
              <w:bottom w:val="single" w:sz="8" w:color="939598"/>
            </w:tcBorders>
          </w:tcPr>
          <w:p>
            <w:pPr>
              <w:spacing w:after="0"/>
              <w:rPr>
                <w:sz w:val="12"/>
                <w:szCs w:val="12"/>
                <w:color w:val="auto"/>
              </w:rPr>
            </w:pPr>
          </w:p>
        </w:tc>
        <w:tc>
          <w:tcPr>
            <w:tcW w:w="800" w:type="dxa"/>
            <w:vAlign w:val="bottom"/>
            <w:tcBorders>
              <w:bottom w:val="single" w:sz="8" w:color="939598"/>
            </w:tcBorders>
          </w:tcPr>
          <w:p>
            <w:pPr>
              <w:spacing w:after="0"/>
              <w:rPr>
                <w:sz w:val="12"/>
                <w:szCs w:val="12"/>
                <w:color w:val="auto"/>
              </w:rPr>
            </w:pPr>
          </w:p>
        </w:tc>
        <w:tc>
          <w:tcPr>
            <w:tcW w:w="1360" w:type="dxa"/>
            <w:vAlign w:val="bottom"/>
            <w:tcBorders>
              <w:bottom w:val="single" w:sz="8" w:color="939598"/>
            </w:tcBorders>
          </w:tcPr>
          <w:p>
            <w:pPr>
              <w:spacing w:after="0"/>
              <w:rPr>
                <w:sz w:val="12"/>
                <w:szCs w:val="12"/>
                <w:color w:val="auto"/>
              </w:rPr>
            </w:pPr>
          </w:p>
        </w:tc>
      </w:tr>
      <w:tr>
        <w:trPr>
          <w:trHeight w:val="257"/>
        </w:trPr>
        <w:tc>
          <w:tcPr>
            <w:tcW w:w="170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Arial" w:cs="Arial" w:eastAsia="Arial" w:hAnsi="Arial"/>
                <w:sz w:val="11"/>
                <w:szCs w:val="11"/>
                <w:color w:val="auto"/>
              </w:rPr>
              <w:t>2018</w:t>
            </w:r>
          </w:p>
        </w:tc>
        <w:tc>
          <w:tcPr>
            <w:tcW w:w="1080" w:type="dxa"/>
            <w:vAlign w:val="bottom"/>
          </w:tcPr>
          <w:p>
            <w:pPr>
              <w:jc w:val="right"/>
              <w:ind w:right="306"/>
              <w:spacing w:after="0"/>
              <w:rPr>
                <w:sz w:val="20"/>
                <w:szCs w:val="20"/>
                <w:color w:val="auto"/>
              </w:rPr>
            </w:pPr>
            <w:r>
              <w:rPr>
                <w:rFonts w:ascii="Arial" w:cs="Arial" w:eastAsia="Arial" w:hAnsi="Arial"/>
                <w:sz w:val="11"/>
                <w:szCs w:val="11"/>
                <w:color w:val="auto"/>
              </w:rPr>
              <w:t>1,762</w:t>
            </w:r>
          </w:p>
        </w:tc>
        <w:tc>
          <w:tcPr>
            <w:tcW w:w="1060" w:type="dxa"/>
            <w:vAlign w:val="bottom"/>
          </w:tcPr>
          <w:p>
            <w:pPr>
              <w:jc w:val="right"/>
              <w:ind w:right="307"/>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26"/>
              <w:spacing w:after="0"/>
              <w:rPr>
                <w:sz w:val="20"/>
                <w:szCs w:val="20"/>
                <w:color w:val="auto"/>
              </w:rPr>
            </w:pPr>
            <w:r>
              <w:rPr>
                <w:rFonts w:ascii="Arial" w:cs="Arial" w:eastAsia="Arial" w:hAnsi="Arial"/>
                <w:sz w:val="11"/>
                <w:szCs w:val="11"/>
                <w:color w:val="auto"/>
              </w:rPr>
              <w:t>141.04</w:t>
            </w:r>
          </w:p>
        </w:tc>
        <w:tc>
          <w:tcPr>
            <w:tcW w:w="980" w:type="dxa"/>
            <w:vAlign w:val="bottom"/>
          </w:tcPr>
          <w:p>
            <w:pPr>
              <w:jc w:val="right"/>
              <w:ind w:right="286"/>
              <w:spacing w:after="0"/>
              <w:rPr>
                <w:sz w:val="20"/>
                <w:szCs w:val="20"/>
                <w:color w:val="auto"/>
              </w:rPr>
            </w:pPr>
            <w:r>
              <w:rPr>
                <w:rFonts w:ascii="Arial" w:cs="Arial" w:eastAsia="Arial" w:hAnsi="Arial"/>
                <w:sz w:val="11"/>
                <w:szCs w:val="11"/>
                <w:color w:val="auto"/>
              </w:rPr>
              <w:t>2/26/2028</w:t>
            </w:r>
          </w:p>
        </w:tc>
        <w:tc>
          <w:tcPr>
            <w:tcW w:w="13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141"/>
        </w:trPr>
        <w:tc>
          <w:tcPr>
            <w:tcW w:w="1700" w:type="dxa"/>
            <w:vAlign w:val="bottom"/>
          </w:tcPr>
          <w:p>
            <w:pPr>
              <w:spacing w:after="0"/>
              <w:rPr>
                <w:sz w:val="12"/>
                <w:szCs w:val="12"/>
                <w:color w:val="auto"/>
              </w:rPr>
            </w:pPr>
          </w:p>
        </w:tc>
        <w:tc>
          <w:tcPr>
            <w:tcW w:w="780" w:type="dxa"/>
            <w:vAlign w:val="bottom"/>
            <w:tcBorders>
              <w:bottom w:val="single" w:sz="8" w:color="939598"/>
            </w:tcBorders>
          </w:tcPr>
          <w:p>
            <w:pPr>
              <w:spacing w:after="0"/>
              <w:rPr>
                <w:sz w:val="12"/>
                <w:szCs w:val="12"/>
                <w:color w:val="auto"/>
              </w:rPr>
            </w:pPr>
          </w:p>
        </w:tc>
        <w:tc>
          <w:tcPr>
            <w:tcW w:w="1080" w:type="dxa"/>
            <w:vAlign w:val="bottom"/>
            <w:tcBorders>
              <w:bottom w:val="single" w:sz="8" w:color="939598"/>
            </w:tcBorders>
          </w:tcPr>
          <w:p>
            <w:pPr>
              <w:spacing w:after="0"/>
              <w:rPr>
                <w:sz w:val="12"/>
                <w:szCs w:val="12"/>
                <w:color w:val="auto"/>
              </w:rPr>
            </w:pPr>
          </w:p>
        </w:tc>
        <w:tc>
          <w:tcPr>
            <w:tcW w:w="1060" w:type="dxa"/>
            <w:vAlign w:val="bottom"/>
            <w:tcBorders>
              <w:bottom w:val="single" w:sz="8" w:color="939598"/>
            </w:tcBorders>
          </w:tcPr>
          <w:p>
            <w:pPr>
              <w:spacing w:after="0"/>
              <w:rPr>
                <w:sz w:val="12"/>
                <w:szCs w:val="12"/>
                <w:color w:val="auto"/>
              </w:rPr>
            </w:pPr>
          </w:p>
        </w:tc>
        <w:tc>
          <w:tcPr>
            <w:tcW w:w="760" w:type="dxa"/>
            <w:vAlign w:val="bottom"/>
            <w:tcBorders>
              <w:bottom w:val="single" w:sz="8" w:color="939598"/>
            </w:tcBorders>
          </w:tcPr>
          <w:p>
            <w:pPr>
              <w:spacing w:after="0"/>
              <w:rPr>
                <w:sz w:val="12"/>
                <w:szCs w:val="12"/>
                <w:color w:val="auto"/>
              </w:rPr>
            </w:pPr>
          </w:p>
        </w:tc>
        <w:tc>
          <w:tcPr>
            <w:tcW w:w="980" w:type="dxa"/>
            <w:vAlign w:val="bottom"/>
            <w:tcBorders>
              <w:bottom w:val="single" w:sz="8" w:color="939598"/>
            </w:tcBorders>
          </w:tcPr>
          <w:p>
            <w:pPr>
              <w:spacing w:after="0"/>
              <w:rPr>
                <w:sz w:val="12"/>
                <w:szCs w:val="12"/>
                <w:color w:val="auto"/>
              </w:rPr>
            </w:pPr>
          </w:p>
        </w:tc>
        <w:tc>
          <w:tcPr>
            <w:tcW w:w="1320" w:type="dxa"/>
            <w:vAlign w:val="bottom"/>
            <w:tcBorders>
              <w:bottom w:val="single" w:sz="8" w:color="939598"/>
            </w:tcBorders>
          </w:tcPr>
          <w:p>
            <w:pPr>
              <w:spacing w:after="0"/>
              <w:rPr>
                <w:sz w:val="12"/>
                <w:szCs w:val="12"/>
                <w:color w:val="auto"/>
              </w:rPr>
            </w:pPr>
          </w:p>
        </w:tc>
        <w:tc>
          <w:tcPr>
            <w:tcW w:w="1380" w:type="dxa"/>
            <w:vAlign w:val="bottom"/>
            <w:tcBorders>
              <w:bottom w:val="single" w:sz="8" w:color="939598"/>
            </w:tcBorders>
          </w:tcPr>
          <w:p>
            <w:pPr>
              <w:spacing w:after="0"/>
              <w:rPr>
                <w:sz w:val="12"/>
                <w:szCs w:val="12"/>
                <w:color w:val="auto"/>
              </w:rPr>
            </w:pPr>
          </w:p>
        </w:tc>
        <w:tc>
          <w:tcPr>
            <w:tcW w:w="800" w:type="dxa"/>
            <w:vAlign w:val="bottom"/>
            <w:tcBorders>
              <w:bottom w:val="single" w:sz="8" w:color="939598"/>
            </w:tcBorders>
          </w:tcPr>
          <w:p>
            <w:pPr>
              <w:spacing w:after="0"/>
              <w:rPr>
                <w:sz w:val="12"/>
                <w:szCs w:val="12"/>
                <w:color w:val="auto"/>
              </w:rPr>
            </w:pPr>
          </w:p>
        </w:tc>
        <w:tc>
          <w:tcPr>
            <w:tcW w:w="1360" w:type="dxa"/>
            <w:vAlign w:val="bottom"/>
            <w:tcBorders>
              <w:bottom w:val="single" w:sz="8" w:color="939598"/>
            </w:tcBorders>
          </w:tcPr>
          <w:p>
            <w:pPr>
              <w:spacing w:after="0"/>
              <w:rPr>
                <w:sz w:val="12"/>
                <w:szCs w:val="12"/>
                <w:color w:val="auto"/>
              </w:rPr>
            </w:pPr>
          </w:p>
        </w:tc>
      </w:tr>
      <w:tr>
        <w:trPr>
          <w:trHeight w:val="263"/>
        </w:trPr>
        <w:tc>
          <w:tcPr>
            <w:tcW w:w="170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Arial" w:cs="Arial" w:eastAsia="Arial" w:hAnsi="Arial"/>
                <w:sz w:val="11"/>
                <w:szCs w:val="11"/>
                <w:b w:val="1"/>
                <w:bCs w:val="1"/>
                <w:color w:val="auto"/>
              </w:rPr>
              <w:t>Total</w:t>
            </w:r>
          </w:p>
        </w:tc>
        <w:tc>
          <w:tcPr>
            <w:tcW w:w="1080" w:type="dxa"/>
            <w:vAlign w:val="bottom"/>
          </w:tcPr>
          <w:p>
            <w:pPr>
              <w:jc w:val="right"/>
              <w:ind w:right="306"/>
              <w:spacing w:after="0"/>
              <w:rPr>
                <w:sz w:val="20"/>
                <w:szCs w:val="20"/>
                <w:color w:val="auto"/>
              </w:rPr>
            </w:pPr>
            <w:r>
              <w:rPr>
                <w:rFonts w:ascii="Arial" w:cs="Arial" w:eastAsia="Arial" w:hAnsi="Arial"/>
                <w:sz w:val="11"/>
                <w:szCs w:val="11"/>
                <w:b w:val="1"/>
                <w:bCs w:val="1"/>
                <w:color w:val="auto"/>
              </w:rPr>
              <w:t>33,701</w:t>
            </w:r>
          </w:p>
        </w:tc>
        <w:tc>
          <w:tcPr>
            <w:tcW w:w="1060" w:type="dxa"/>
            <w:vAlign w:val="bottom"/>
          </w:tcPr>
          <w:p>
            <w:pPr>
              <w:jc w:val="right"/>
              <w:ind w:right="307"/>
              <w:spacing w:after="0"/>
              <w:rPr>
                <w:sz w:val="20"/>
                <w:szCs w:val="20"/>
                <w:color w:val="auto"/>
              </w:rPr>
            </w:pPr>
            <w:r>
              <w:rPr>
                <w:rFonts w:ascii="Arial" w:cs="Arial" w:eastAsia="Arial" w:hAnsi="Arial"/>
                <w:sz w:val="11"/>
                <w:szCs w:val="11"/>
                <w:b w:val="1"/>
                <w:bCs w:val="1"/>
                <w:color w:val="auto"/>
              </w:rPr>
              <w:t>98,986</w:t>
            </w:r>
          </w:p>
        </w:tc>
        <w:tc>
          <w:tcPr>
            <w:tcW w:w="7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320" w:type="dxa"/>
            <w:vAlign w:val="bottom"/>
          </w:tcPr>
          <w:p>
            <w:pPr>
              <w:jc w:val="right"/>
              <w:ind w:right="614"/>
              <w:spacing w:after="0"/>
              <w:rPr>
                <w:sz w:val="20"/>
                <w:szCs w:val="20"/>
                <w:color w:val="auto"/>
              </w:rPr>
            </w:pPr>
            <w:r>
              <w:rPr>
                <w:rFonts w:ascii="Arial" w:cs="Arial" w:eastAsia="Arial" w:hAnsi="Arial"/>
                <w:sz w:val="11"/>
                <w:szCs w:val="11"/>
                <w:b w:val="1"/>
                <w:bCs w:val="1"/>
                <w:color w:val="auto"/>
              </w:rPr>
              <w:t>24,899</w:t>
            </w:r>
          </w:p>
        </w:tc>
        <w:tc>
          <w:tcPr>
            <w:tcW w:w="1380" w:type="dxa"/>
            <w:vAlign w:val="bottom"/>
          </w:tcPr>
          <w:p>
            <w:pPr>
              <w:jc w:val="right"/>
              <w:ind w:right="386"/>
              <w:spacing w:after="0"/>
              <w:rPr>
                <w:sz w:val="20"/>
                <w:szCs w:val="20"/>
                <w:color w:val="auto"/>
              </w:rPr>
            </w:pPr>
            <w:r>
              <w:rPr>
                <w:rFonts w:ascii="Arial" w:cs="Arial" w:eastAsia="Arial" w:hAnsi="Arial"/>
                <w:sz w:val="11"/>
                <w:szCs w:val="11"/>
                <w:b w:val="1"/>
                <w:bCs w:val="1"/>
                <w:color w:val="auto"/>
              </w:rPr>
              <w:t>4,857,306</w:t>
            </w:r>
          </w:p>
        </w:tc>
        <w:tc>
          <w:tcPr>
            <w:tcW w:w="800" w:type="dxa"/>
            <w:vAlign w:val="bottom"/>
          </w:tcPr>
          <w:p>
            <w:pPr>
              <w:jc w:val="right"/>
              <w:spacing w:after="0"/>
              <w:rPr>
                <w:sz w:val="20"/>
                <w:szCs w:val="20"/>
                <w:color w:val="auto"/>
              </w:rPr>
            </w:pPr>
            <w:r>
              <w:rPr>
                <w:rFonts w:ascii="Arial" w:cs="Arial" w:eastAsia="Arial" w:hAnsi="Arial"/>
                <w:sz w:val="11"/>
                <w:szCs w:val="11"/>
                <w:b w:val="1"/>
                <w:bCs w:val="1"/>
                <w:color w:val="auto"/>
              </w:rPr>
              <w:t>25,660</w:t>
            </w:r>
          </w:p>
        </w:tc>
        <w:tc>
          <w:tcPr>
            <w:tcW w:w="1360" w:type="dxa"/>
            <w:vAlign w:val="bottom"/>
          </w:tcPr>
          <w:p>
            <w:pPr>
              <w:jc w:val="right"/>
              <w:ind w:right="13"/>
              <w:spacing w:after="0"/>
              <w:rPr>
                <w:sz w:val="20"/>
                <w:szCs w:val="20"/>
                <w:color w:val="auto"/>
              </w:rPr>
            </w:pPr>
            <w:r>
              <w:rPr>
                <w:rFonts w:ascii="Arial" w:cs="Arial" w:eastAsia="Arial" w:hAnsi="Arial"/>
                <w:sz w:val="11"/>
                <w:szCs w:val="11"/>
                <w:b w:val="1"/>
                <w:bCs w:val="1"/>
                <w:color w:val="auto"/>
              </w:rPr>
              <w:t>5,005,999</w:t>
            </w:r>
          </w:p>
        </w:tc>
      </w:tr>
      <w:tr>
        <w:trPr>
          <w:trHeight w:val="136"/>
        </w:trPr>
        <w:tc>
          <w:tcPr>
            <w:tcW w:w="1700" w:type="dxa"/>
            <w:vAlign w:val="bottom"/>
            <w:tcBorders>
              <w:bottom w:val="single" w:sz="8" w:color="939598"/>
            </w:tcBorders>
          </w:tcPr>
          <w:p>
            <w:pPr>
              <w:spacing w:after="0"/>
              <w:rPr>
                <w:sz w:val="11"/>
                <w:szCs w:val="11"/>
                <w:color w:val="auto"/>
              </w:rPr>
            </w:pPr>
          </w:p>
        </w:tc>
        <w:tc>
          <w:tcPr>
            <w:tcW w:w="780" w:type="dxa"/>
            <w:vAlign w:val="bottom"/>
            <w:tcBorders>
              <w:bottom w:val="single" w:sz="8" w:color="939598"/>
            </w:tcBorders>
          </w:tcPr>
          <w:p>
            <w:pPr>
              <w:spacing w:after="0"/>
              <w:rPr>
                <w:sz w:val="11"/>
                <w:szCs w:val="11"/>
                <w:color w:val="auto"/>
              </w:rPr>
            </w:pPr>
          </w:p>
        </w:tc>
        <w:tc>
          <w:tcPr>
            <w:tcW w:w="1080" w:type="dxa"/>
            <w:vAlign w:val="bottom"/>
            <w:tcBorders>
              <w:bottom w:val="single" w:sz="8" w:color="939598"/>
            </w:tcBorders>
          </w:tcPr>
          <w:p>
            <w:pPr>
              <w:spacing w:after="0"/>
              <w:rPr>
                <w:sz w:val="11"/>
                <w:szCs w:val="11"/>
                <w:color w:val="auto"/>
              </w:rPr>
            </w:pPr>
          </w:p>
        </w:tc>
        <w:tc>
          <w:tcPr>
            <w:tcW w:w="1060" w:type="dxa"/>
            <w:vAlign w:val="bottom"/>
            <w:tcBorders>
              <w:bottom w:val="single" w:sz="8" w:color="939598"/>
            </w:tcBorders>
          </w:tcPr>
          <w:p>
            <w:pPr>
              <w:spacing w:after="0"/>
              <w:rPr>
                <w:sz w:val="11"/>
                <w:szCs w:val="11"/>
                <w:color w:val="auto"/>
              </w:rPr>
            </w:pPr>
          </w:p>
        </w:tc>
        <w:tc>
          <w:tcPr>
            <w:tcW w:w="760" w:type="dxa"/>
            <w:vAlign w:val="bottom"/>
            <w:tcBorders>
              <w:bottom w:val="single" w:sz="8" w:color="939598"/>
            </w:tcBorders>
          </w:tcPr>
          <w:p>
            <w:pPr>
              <w:spacing w:after="0"/>
              <w:rPr>
                <w:sz w:val="11"/>
                <w:szCs w:val="11"/>
                <w:color w:val="auto"/>
              </w:rPr>
            </w:pPr>
          </w:p>
        </w:tc>
        <w:tc>
          <w:tcPr>
            <w:tcW w:w="980" w:type="dxa"/>
            <w:vAlign w:val="bottom"/>
            <w:tcBorders>
              <w:bottom w:val="single" w:sz="8" w:color="939598"/>
            </w:tcBorders>
          </w:tcPr>
          <w:p>
            <w:pPr>
              <w:spacing w:after="0"/>
              <w:rPr>
                <w:sz w:val="11"/>
                <w:szCs w:val="11"/>
                <w:color w:val="auto"/>
              </w:rPr>
            </w:pPr>
          </w:p>
        </w:tc>
        <w:tc>
          <w:tcPr>
            <w:tcW w:w="1320" w:type="dxa"/>
            <w:vAlign w:val="bottom"/>
            <w:tcBorders>
              <w:bottom w:val="single" w:sz="8" w:color="939598"/>
            </w:tcBorders>
          </w:tcPr>
          <w:p>
            <w:pPr>
              <w:spacing w:after="0"/>
              <w:rPr>
                <w:sz w:val="11"/>
                <w:szCs w:val="11"/>
                <w:color w:val="auto"/>
              </w:rPr>
            </w:pPr>
          </w:p>
        </w:tc>
        <w:tc>
          <w:tcPr>
            <w:tcW w:w="1380" w:type="dxa"/>
            <w:vAlign w:val="bottom"/>
            <w:tcBorders>
              <w:bottom w:val="single" w:sz="8" w:color="939598"/>
            </w:tcBorders>
          </w:tcPr>
          <w:p>
            <w:pPr>
              <w:spacing w:after="0"/>
              <w:rPr>
                <w:sz w:val="11"/>
                <w:szCs w:val="11"/>
                <w:color w:val="auto"/>
              </w:rPr>
            </w:pPr>
          </w:p>
        </w:tc>
        <w:tc>
          <w:tcPr>
            <w:tcW w:w="800" w:type="dxa"/>
            <w:vAlign w:val="bottom"/>
            <w:tcBorders>
              <w:bottom w:val="single" w:sz="8" w:color="939598"/>
            </w:tcBorders>
          </w:tcPr>
          <w:p>
            <w:pPr>
              <w:spacing w:after="0"/>
              <w:rPr>
                <w:sz w:val="11"/>
                <w:szCs w:val="11"/>
                <w:color w:val="auto"/>
              </w:rPr>
            </w:pPr>
          </w:p>
        </w:tc>
        <w:tc>
          <w:tcPr>
            <w:tcW w:w="1360" w:type="dxa"/>
            <w:vAlign w:val="bottom"/>
            <w:tcBorders>
              <w:bottom w:val="single" w:sz="8" w:color="939598"/>
            </w:tcBorders>
          </w:tcPr>
          <w:p>
            <w:pPr>
              <w:spacing w:after="0"/>
              <w:rPr>
                <w:sz w:val="11"/>
                <w:szCs w:val="11"/>
                <w:color w:val="auto"/>
              </w:rPr>
            </w:pPr>
          </w:p>
        </w:tc>
      </w:tr>
      <w:tr>
        <w:trPr>
          <w:trHeight w:val="110"/>
        </w:trPr>
        <w:tc>
          <w:tcPr>
            <w:tcW w:w="1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320" w:type="dxa"/>
            <w:vAlign w:val="bottom"/>
          </w:tcPr>
          <w:p>
            <w:pPr>
              <w:ind w:left="740"/>
              <w:spacing w:after="0"/>
              <w:rPr>
                <w:sz w:val="20"/>
                <w:szCs w:val="20"/>
                <w:color w:val="auto"/>
              </w:rPr>
            </w:pPr>
            <w:r>
              <w:rPr>
                <w:rFonts w:ascii="Arial" w:cs="Arial" w:eastAsia="Arial" w:hAnsi="Arial"/>
                <w:sz w:val="7"/>
                <w:szCs w:val="7"/>
                <w:color w:val="auto"/>
              </w:rPr>
              <w:t>(22)</w:t>
            </w:r>
          </w:p>
        </w:tc>
        <w:tc>
          <w:tcPr>
            <w:tcW w:w="1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60" w:type="dxa"/>
            <w:vAlign w:val="bottom"/>
          </w:tcPr>
          <w:p>
            <w:pPr>
              <w:jc w:val="right"/>
              <w:ind w:right="1193"/>
              <w:spacing w:after="0"/>
              <w:rPr>
                <w:sz w:val="20"/>
                <w:szCs w:val="20"/>
                <w:color w:val="auto"/>
              </w:rPr>
            </w:pPr>
            <w:r>
              <w:rPr>
                <w:rFonts w:ascii="Arial" w:cs="Arial" w:eastAsia="Arial" w:hAnsi="Arial"/>
                <w:sz w:val="7"/>
                <w:szCs w:val="7"/>
                <w:color w:val="auto"/>
              </w:rPr>
              <w:t>(6)</w:t>
            </w:r>
          </w:p>
        </w:tc>
      </w:tr>
      <w:tr>
        <w:trPr>
          <w:trHeight w:val="153"/>
        </w:trPr>
        <w:tc>
          <w:tcPr>
            <w:tcW w:w="1700" w:type="dxa"/>
            <w:vAlign w:val="bottom"/>
          </w:tcPr>
          <w:p>
            <w:pPr>
              <w:ind w:left="20"/>
              <w:spacing w:after="0"/>
              <w:rPr>
                <w:sz w:val="20"/>
                <w:szCs w:val="20"/>
                <w:color w:val="auto"/>
              </w:rPr>
            </w:pPr>
            <w:r>
              <w:rPr>
                <w:rFonts w:ascii="Arial" w:cs="Arial" w:eastAsia="Arial" w:hAnsi="Arial"/>
                <w:sz w:val="11"/>
                <w:szCs w:val="11"/>
                <w:b w:val="1"/>
                <w:bCs w:val="1"/>
                <w:color w:val="auto"/>
              </w:rPr>
              <w:t>James Masso</w:t>
            </w:r>
          </w:p>
        </w:tc>
        <w:tc>
          <w:tcPr>
            <w:tcW w:w="780" w:type="dxa"/>
            <w:vAlign w:val="bottom"/>
          </w:tcPr>
          <w:p>
            <w:pPr>
              <w:ind w:left="160"/>
              <w:spacing w:after="0"/>
              <w:rPr>
                <w:sz w:val="20"/>
                <w:szCs w:val="20"/>
                <w:color w:val="auto"/>
              </w:rPr>
            </w:pPr>
            <w:r>
              <w:rPr>
                <w:rFonts w:ascii="Arial" w:cs="Arial" w:eastAsia="Arial" w:hAnsi="Arial"/>
                <w:sz w:val="11"/>
                <w:szCs w:val="11"/>
                <w:color w:val="auto"/>
              </w:rPr>
              <w:t>2025</w:t>
            </w:r>
          </w:p>
        </w:tc>
        <w:tc>
          <w:tcPr>
            <w:tcW w:w="1080" w:type="dxa"/>
            <w:vAlign w:val="bottom"/>
          </w:tcPr>
          <w:p>
            <w:pPr>
              <w:jc w:val="right"/>
              <w:ind w:right="306"/>
              <w:spacing w:after="0"/>
              <w:rPr>
                <w:sz w:val="20"/>
                <w:szCs w:val="20"/>
                <w:color w:val="auto"/>
              </w:rPr>
            </w:pPr>
            <w:r>
              <w:rPr>
                <w:rFonts w:ascii="Arial" w:cs="Arial" w:eastAsia="Arial" w:hAnsi="Arial"/>
                <w:sz w:val="11"/>
                <w:szCs w:val="11"/>
                <w:color w:val="auto"/>
              </w:rPr>
              <w:t>—</w:t>
            </w:r>
          </w:p>
        </w:tc>
        <w:tc>
          <w:tcPr>
            <w:tcW w:w="1060" w:type="dxa"/>
            <w:vAlign w:val="bottom"/>
          </w:tcPr>
          <w:p>
            <w:pPr>
              <w:jc w:val="right"/>
              <w:ind w:right="307"/>
              <w:spacing w:after="0"/>
              <w:rPr>
                <w:sz w:val="20"/>
                <w:szCs w:val="20"/>
                <w:color w:val="auto"/>
              </w:rPr>
            </w:pPr>
            <w:r>
              <w:rPr>
                <w:rFonts w:ascii="Arial" w:cs="Arial" w:eastAsia="Arial" w:hAnsi="Arial"/>
                <w:sz w:val="11"/>
                <w:szCs w:val="11"/>
                <w:color w:val="auto"/>
              </w:rPr>
              <w:t>9,711</w:t>
            </w:r>
          </w:p>
        </w:tc>
        <w:tc>
          <w:tcPr>
            <w:tcW w:w="760" w:type="dxa"/>
            <w:vAlign w:val="bottom"/>
          </w:tcPr>
          <w:p>
            <w:pPr>
              <w:jc w:val="right"/>
              <w:ind w:right="126"/>
              <w:spacing w:after="0"/>
              <w:rPr>
                <w:sz w:val="20"/>
                <w:szCs w:val="20"/>
                <w:color w:val="auto"/>
              </w:rPr>
            </w:pPr>
            <w:r>
              <w:rPr>
                <w:rFonts w:ascii="Arial" w:cs="Arial" w:eastAsia="Arial" w:hAnsi="Arial"/>
                <w:sz w:val="11"/>
                <w:szCs w:val="11"/>
                <w:color w:val="auto"/>
              </w:rPr>
              <w:t>$224.38</w:t>
            </w:r>
          </w:p>
        </w:tc>
        <w:tc>
          <w:tcPr>
            <w:tcW w:w="980" w:type="dxa"/>
            <w:vAlign w:val="bottom"/>
          </w:tcPr>
          <w:p>
            <w:pPr>
              <w:jc w:val="right"/>
              <w:ind w:right="286"/>
              <w:spacing w:after="0"/>
              <w:rPr>
                <w:sz w:val="20"/>
                <w:szCs w:val="20"/>
                <w:color w:val="auto"/>
              </w:rPr>
            </w:pPr>
            <w:r>
              <w:rPr>
                <w:rFonts w:ascii="Arial" w:cs="Arial" w:eastAsia="Arial" w:hAnsi="Arial"/>
                <w:sz w:val="11"/>
                <w:szCs w:val="11"/>
                <w:color w:val="auto"/>
              </w:rPr>
              <w:t>7/13/2035</w:t>
            </w:r>
          </w:p>
        </w:tc>
        <w:tc>
          <w:tcPr>
            <w:tcW w:w="1320" w:type="dxa"/>
            <w:vAlign w:val="bottom"/>
          </w:tcPr>
          <w:p>
            <w:pPr>
              <w:jc w:val="right"/>
              <w:ind w:right="614"/>
              <w:spacing w:after="0"/>
              <w:rPr>
                <w:sz w:val="20"/>
                <w:szCs w:val="20"/>
                <w:color w:val="auto"/>
              </w:rPr>
            </w:pPr>
            <w:r>
              <w:rPr>
                <w:rFonts w:ascii="Arial" w:cs="Arial" w:eastAsia="Arial" w:hAnsi="Arial"/>
                <w:sz w:val="11"/>
                <w:szCs w:val="11"/>
                <w:color w:val="auto"/>
              </w:rPr>
              <w:t>2,029</w:t>
            </w:r>
          </w:p>
        </w:tc>
        <w:tc>
          <w:tcPr>
            <w:tcW w:w="1380" w:type="dxa"/>
            <w:vAlign w:val="bottom"/>
          </w:tcPr>
          <w:p>
            <w:pPr>
              <w:jc w:val="right"/>
              <w:ind w:right="386"/>
              <w:spacing w:after="0"/>
              <w:rPr>
                <w:sz w:val="20"/>
                <w:szCs w:val="20"/>
                <w:color w:val="auto"/>
              </w:rPr>
            </w:pPr>
            <w:r>
              <w:rPr>
                <w:rFonts w:ascii="Arial" w:cs="Arial" w:eastAsia="Arial" w:hAnsi="Arial"/>
                <w:sz w:val="11"/>
                <w:szCs w:val="11"/>
                <w:color w:val="auto"/>
              </w:rPr>
              <w:t>$395,847</w:t>
            </w:r>
          </w:p>
        </w:tc>
        <w:tc>
          <w:tcPr>
            <w:tcW w:w="800" w:type="dxa"/>
            <w:vAlign w:val="bottom"/>
          </w:tcPr>
          <w:p>
            <w:pPr>
              <w:jc w:val="right"/>
              <w:spacing w:after="0"/>
              <w:rPr>
                <w:sz w:val="20"/>
                <w:szCs w:val="20"/>
                <w:color w:val="auto"/>
              </w:rPr>
            </w:pPr>
            <w:r>
              <w:rPr>
                <w:rFonts w:ascii="Arial" w:cs="Arial" w:eastAsia="Arial" w:hAnsi="Arial"/>
                <w:sz w:val="11"/>
                <w:szCs w:val="11"/>
                <w:color w:val="auto"/>
              </w:rPr>
              <w:t>3,908</w:t>
            </w:r>
          </w:p>
        </w:tc>
        <w:tc>
          <w:tcPr>
            <w:tcW w:w="1360" w:type="dxa"/>
            <w:vAlign w:val="bottom"/>
          </w:tcPr>
          <w:p>
            <w:pPr>
              <w:jc w:val="right"/>
              <w:ind w:right="13"/>
              <w:spacing w:after="0"/>
              <w:rPr>
                <w:sz w:val="20"/>
                <w:szCs w:val="20"/>
                <w:color w:val="auto"/>
              </w:rPr>
            </w:pPr>
            <w:r>
              <w:rPr>
                <w:rFonts w:ascii="Arial" w:cs="Arial" w:eastAsia="Arial" w:hAnsi="Arial"/>
                <w:sz w:val="11"/>
                <w:szCs w:val="11"/>
                <w:color w:val="auto"/>
              </w:rPr>
              <w:t>$762,490</w:t>
            </w:r>
          </w:p>
        </w:tc>
      </w:tr>
      <w:tr>
        <w:trPr>
          <w:trHeight w:val="136"/>
        </w:trPr>
        <w:tc>
          <w:tcPr>
            <w:tcW w:w="1700" w:type="dxa"/>
            <w:vAlign w:val="bottom"/>
          </w:tcPr>
          <w:p>
            <w:pPr>
              <w:spacing w:after="0"/>
              <w:rPr>
                <w:sz w:val="11"/>
                <w:szCs w:val="11"/>
                <w:color w:val="auto"/>
              </w:rPr>
            </w:pPr>
          </w:p>
        </w:tc>
        <w:tc>
          <w:tcPr>
            <w:tcW w:w="780" w:type="dxa"/>
            <w:vAlign w:val="bottom"/>
            <w:tcBorders>
              <w:bottom w:val="single" w:sz="8" w:color="939598"/>
            </w:tcBorders>
          </w:tcPr>
          <w:p>
            <w:pPr>
              <w:spacing w:after="0"/>
              <w:rPr>
                <w:sz w:val="11"/>
                <w:szCs w:val="11"/>
                <w:color w:val="auto"/>
              </w:rPr>
            </w:pPr>
          </w:p>
        </w:tc>
        <w:tc>
          <w:tcPr>
            <w:tcW w:w="1080" w:type="dxa"/>
            <w:vAlign w:val="bottom"/>
            <w:tcBorders>
              <w:bottom w:val="single" w:sz="8" w:color="939598"/>
            </w:tcBorders>
          </w:tcPr>
          <w:p>
            <w:pPr>
              <w:spacing w:after="0"/>
              <w:rPr>
                <w:sz w:val="11"/>
                <w:szCs w:val="11"/>
                <w:color w:val="auto"/>
              </w:rPr>
            </w:pPr>
          </w:p>
        </w:tc>
        <w:tc>
          <w:tcPr>
            <w:tcW w:w="1060" w:type="dxa"/>
            <w:vAlign w:val="bottom"/>
            <w:tcBorders>
              <w:bottom w:val="single" w:sz="8" w:color="939598"/>
            </w:tcBorders>
          </w:tcPr>
          <w:p>
            <w:pPr>
              <w:spacing w:after="0"/>
              <w:rPr>
                <w:sz w:val="11"/>
                <w:szCs w:val="11"/>
                <w:color w:val="auto"/>
              </w:rPr>
            </w:pPr>
          </w:p>
        </w:tc>
        <w:tc>
          <w:tcPr>
            <w:tcW w:w="760" w:type="dxa"/>
            <w:vAlign w:val="bottom"/>
            <w:tcBorders>
              <w:bottom w:val="single" w:sz="8" w:color="939598"/>
            </w:tcBorders>
          </w:tcPr>
          <w:p>
            <w:pPr>
              <w:spacing w:after="0"/>
              <w:rPr>
                <w:sz w:val="11"/>
                <w:szCs w:val="11"/>
                <w:color w:val="auto"/>
              </w:rPr>
            </w:pPr>
          </w:p>
        </w:tc>
        <w:tc>
          <w:tcPr>
            <w:tcW w:w="980" w:type="dxa"/>
            <w:vAlign w:val="bottom"/>
            <w:tcBorders>
              <w:bottom w:val="single" w:sz="8" w:color="939598"/>
            </w:tcBorders>
          </w:tcPr>
          <w:p>
            <w:pPr>
              <w:spacing w:after="0"/>
              <w:rPr>
                <w:sz w:val="11"/>
                <w:szCs w:val="11"/>
                <w:color w:val="auto"/>
              </w:rPr>
            </w:pPr>
          </w:p>
        </w:tc>
        <w:tc>
          <w:tcPr>
            <w:tcW w:w="1320" w:type="dxa"/>
            <w:vAlign w:val="bottom"/>
            <w:tcBorders>
              <w:bottom w:val="single" w:sz="8" w:color="939598"/>
            </w:tcBorders>
          </w:tcPr>
          <w:p>
            <w:pPr>
              <w:spacing w:after="0"/>
              <w:rPr>
                <w:sz w:val="11"/>
                <w:szCs w:val="11"/>
                <w:color w:val="auto"/>
              </w:rPr>
            </w:pPr>
          </w:p>
        </w:tc>
        <w:tc>
          <w:tcPr>
            <w:tcW w:w="1380" w:type="dxa"/>
            <w:vAlign w:val="bottom"/>
            <w:tcBorders>
              <w:bottom w:val="single" w:sz="8" w:color="939598"/>
            </w:tcBorders>
          </w:tcPr>
          <w:p>
            <w:pPr>
              <w:spacing w:after="0"/>
              <w:rPr>
                <w:sz w:val="11"/>
                <w:szCs w:val="11"/>
                <w:color w:val="auto"/>
              </w:rPr>
            </w:pPr>
          </w:p>
        </w:tc>
        <w:tc>
          <w:tcPr>
            <w:tcW w:w="800" w:type="dxa"/>
            <w:vAlign w:val="bottom"/>
            <w:tcBorders>
              <w:bottom w:val="single" w:sz="8" w:color="939598"/>
            </w:tcBorders>
          </w:tcPr>
          <w:p>
            <w:pPr>
              <w:spacing w:after="0"/>
              <w:rPr>
                <w:sz w:val="11"/>
                <w:szCs w:val="11"/>
                <w:color w:val="auto"/>
              </w:rPr>
            </w:pPr>
          </w:p>
        </w:tc>
        <w:tc>
          <w:tcPr>
            <w:tcW w:w="1360" w:type="dxa"/>
            <w:vAlign w:val="bottom"/>
            <w:tcBorders>
              <w:bottom w:val="single" w:sz="8" w:color="939598"/>
            </w:tcBorders>
          </w:tcPr>
          <w:p>
            <w:pPr>
              <w:spacing w:after="0"/>
              <w:rPr>
                <w:sz w:val="11"/>
                <w:szCs w:val="11"/>
                <w:color w:val="auto"/>
              </w:rPr>
            </w:pPr>
          </w:p>
        </w:tc>
      </w:tr>
      <w:tr>
        <w:trPr>
          <w:trHeight w:val="110"/>
        </w:trPr>
        <w:tc>
          <w:tcPr>
            <w:tcW w:w="1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320" w:type="dxa"/>
            <w:vAlign w:val="bottom"/>
          </w:tcPr>
          <w:p>
            <w:pPr>
              <w:ind w:left="740"/>
              <w:spacing w:after="0"/>
              <w:rPr>
                <w:sz w:val="20"/>
                <w:szCs w:val="20"/>
                <w:color w:val="auto"/>
              </w:rPr>
            </w:pPr>
            <w:r>
              <w:rPr>
                <w:rFonts w:ascii="Arial" w:cs="Arial" w:eastAsia="Arial" w:hAnsi="Arial"/>
                <w:sz w:val="7"/>
                <w:szCs w:val="7"/>
                <w:color w:val="auto"/>
              </w:rPr>
              <w:t>(23)</w:t>
            </w:r>
          </w:p>
        </w:tc>
        <w:tc>
          <w:tcPr>
            <w:tcW w:w="1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60" w:type="dxa"/>
            <w:vAlign w:val="bottom"/>
          </w:tcPr>
          <w:p>
            <w:pPr>
              <w:spacing w:after="0"/>
              <w:rPr>
                <w:sz w:val="9"/>
                <w:szCs w:val="9"/>
                <w:color w:val="auto"/>
              </w:rPr>
            </w:pPr>
          </w:p>
        </w:tc>
      </w:tr>
      <w:tr>
        <w:trPr>
          <w:trHeight w:val="147"/>
        </w:trPr>
        <w:tc>
          <w:tcPr>
            <w:tcW w:w="1700" w:type="dxa"/>
            <w:vAlign w:val="bottom"/>
          </w:tcPr>
          <w:p>
            <w:pPr>
              <w:spacing w:after="0"/>
              <w:rPr>
                <w:sz w:val="12"/>
                <w:szCs w:val="12"/>
                <w:color w:val="auto"/>
              </w:rPr>
            </w:pPr>
          </w:p>
        </w:tc>
        <w:tc>
          <w:tcPr>
            <w:tcW w:w="780" w:type="dxa"/>
            <w:vAlign w:val="bottom"/>
          </w:tcPr>
          <w:p>
            <w:pPr>
              <w:ind w:left="160"/>
              <w:spacing w:after="0"/>
              <w:rPr>
                <w:sz w:val="20"/>
                <w:szCs w:val="20"/>
                <w:color w:val="auto"/>
              </w:rPr>
            </w:pPr>
            <w:r>
              <w:rPr>
                <w:rFonts w:ascii="Arial" w:cs="Arial" w:eastAsia="Arial" w:hAnsi="Arial"/>
                <w:sz w:val="11"/>
                <w:szCs w:val="11"/>
                <w:color w:val="auto"/>
              </w:rPr>
              <w:t>2025</w:t>
            </w:r>
          </w:p>
        </w:tc>
        <w:tc>
          <w:tcPr>
            <w:tcW w:w="1080" w:type="dxa"/>
            <w:vAlign w:val="bottom"/>
          </w:tcPr>
          <w:p>
            <w:pPr>
              <w:jc w:val="right"/>
              <w:ind w:right="306"/>
              <w:spacing w:after="0"/>
              <w:rPr>
                <w:sz w:val="20"/>
                <w:szCs w:val="20"/>
                <w:color w:val="auto"/>
              </w:rPr>
            </w:pPr>
            <w:r>
              <w:rPr>
                <w:rFonts w:ascii="Arial" w:cs="Arial" w:eastAsia="Arial" w:hAnsi="Arial"/>
                <w:sz w:val="11"/>
                <w:szCs w:val="11"/>
                <w:color w:val="auto"/>
              </w:rPr>
              <w:t>—</w:t>
            </w:r>
          </w:p>
        </w:tc>
        <w:tc>
          <w:tcPr>
            <w:tcW w:w="1060" w:type="dxa"/>
            <w:vAlign w:val="bottom"/>
          </w:tcPr>
          <w:p>
            <w:pPr>
              <w:jc w:val="right"/>
              <w:ind w:right="307"/>
              <w:spacing w:after="0"/>
              <w:rPr>
                <w:sz w:val="20"/>
                <w:szCs w:val="20"/>
                <w:color w:val="auto"/>
              </w:rPr>
            </w:pPr>
            <w:r>
              <w:rPr>
                <w:rFonts w:ascii="Arial" w:cs="Arial" w:eastAsia="Arial" w:hAnsi="Arial"/>
                <w:sz w:val="11"/>
                <w:szCs w:val="11"/>
                <w:color w:val="auto"/>
              </w:rPr>
              <w:t>—</w:t>
            </w: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20" w:type="dxa"/>
            <w:vAlign w:val="bottom"/>
          </w:tcPr>
          <w:p>
            <w:pPr>
              <w:jc w:val="right"/>
              <w:ind w:right="614"/>
              <w:spacing w:after="0"/>
              <w:rPr>
                <w:sz w:val="20"/>
                <w:szCs w:val="20"/>
                <w:color w:val="auto"/>
              </w:rPr>
            </w:pPr>
            <w:r>
              <w:rPr>
                <w:rFonts w:ascii="Arial" w:cs="Arial" w:eastAsia="Arial" w:hAnsi="Arial"/>
                <w:sz w:val="11"/>
                <w:szCs w:val="11"/>
                <w:color w:val="auto"/>
              </w:rPr>
              <w:t>11,271</w:t>
            </w:r>
          </w:p>
        </w:tc>
        <w:tc>
          <w:tcPr>
            <w:tcW w:w="1380" w:type="dxa"/>
            <w:vAlign w:val="bottom"/>
          </w:tcPr>
          <w:p>
            <w:pPr>
              <w:jc w:val="right"/>
              <w:ind w:right="386"/>
              <w:spacing w:after="0"/>
              <w:rPr>
                <w:sz w:val="20"/>
                <w:szCs w:val="20"/>
                <w:color w:val="auto"/>
              </w:rPr>
            </w:pPr>
            <w:r>
              <w:rPr>
                <w:rFonts w:ascii="Arial" w:cs="Arial" w:eastAsia="Arial" w:hAnsi="Arial"/>
                <w:sz w:val="11"/>
                <w:szCs w:val="11"/>
                <w:color w:val="auto"/>
              </w:rPr>
              <w:t>2,198,867</w:t>
            </w:r>
          </w:p>
        </w:tc>
        <w:tc>
          <w:tcPr>
            <w:tcW w:w="80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42"/>
        </w:trPr>
        <w:tc>
          <w:tcPr>
            <w:tcW w:w="1700" w:type="dxa"/>
            <w:vAlign w:val="bottom"/>
          </w:tcPr>
          <w:p>
            <w:pPr>
              <w:spacing w:after="0"/>
              <w:rPr>
                <w:sz w:val="12"/>
                <w:szCs w:val="12"/>
                <w:color w:val="auto"/>
              </w:rPr>
            </w:pPr>
          </w:p>
        </w:tc>
        <w:tc>
          <w:tcPr>
            <w:tcW w:w="780" w:type="dxa"/>
            <w:vAlign w:val="bottom"/>
            <w:tcBorders>
              <w:bottom w:val="single" w:sz="8" w:color="939598"/>
            </w:tcBorders>
          </w:tcPr>
          <w:p>
            <w:pPr>
              <w:spacing w:after="0"/>
              <w:rPr>
                <w:sz w:val="12"/>
                <w:szCs w:val="12"/>
                <w:color w:val="auto"/>
              </w:rPr>
            </w:pPr>
          </w:p>
        </w:tc>
        <w:tc>
          <w:tcPr>
            <w:tcW w:w="1080" w:type="dxa"/>
            <w:vAlign w:val="bottom"/>
            <w:tcBorders>
              <w:bottom w:val="single" w:sz="8" w:color="939598"/>
            </w:tcBorders>
          </w:tcPr>
          <w:p>
            <w:pPr>
              <w:spacing w:after="0"/>
              <w:rPr>
                <w:sz w:val="12"/>
                <w:szCs w:val="12"/>
                <w:color w:val="auto"/>
              </w:rPr>
            </w:pPr>
          </w:p>
        </w:tc>
        <w:tc>
          <w:tcPr>
            <w:tcW w:w="1060" w:type="dxa"/>
            <w:vAlign w:val="bottom"/>
            <w:tcBorders>
              <w:bottom w:val="single" w:sz="8" w:color="939598"/>
            </w:tcBorders>
          </w:tcPr>
          <w:p>
            <w:pPr>
              <w:spacing w:after="0"/>
              <w:rPr>
                <w:sz w:val="12"/>
                <w:szCs w:val="12"/>
                <w:color w:val="auto"/>
              </w:rPr>
            </w:pPr>
          </w:p>
        </w:tc>
        <w:tc>
          <w:tcPr>
            <w:tcW w:w="760" w:type="dxa"/>
            <w:vAlign w:val="bottom"/>
            <w:tcBorders>
              <w:bottom w:val="single" w:sz="8" w:color="939598"/>
            </w:tcBorders>
          </w:tcPr>
          <w:p>
            <w:pPr>
              <w:spacing w:after="0"/>
              <w:rPr>
                <w:sz w:val="12"/>
                <w:szCs w:val="12"/>
                <w:color w:val="auto"/>
              </w:rPr>
            </w:pPr>
          </w:p>
        </w:tc>
        <w:tc>
          <w:tcPr>
            <w:tcW w:w="980" w:type="dxa"/>
            <w:vAlign w:val="bottom"/>
            <w:tcBorders>
              <w:bottom w:val="single" w:sz="8" w:color="939598"/>
            </w:tcBorders>
          </w:tcPr>
          <w:p>
            <w:pPr>
              <w:spacing w:after="0"/>
              <w:rPr>
                <w:sz w:val="12"/>
                <w:szCs w:val="12"/>
                <w:color w:val="auto"/>
              </w:rPr>
            </w:pPr>
          </w:p>
        </w:tc>
        <w:tc>
          <w:tcPr>
            <w:tcW w:w="1320" w:type="dxa"/>
            <w:vAlign w:val="bottom"/>
            <w:tcBorders>
              <w:bottom w:val="single" w:sz="8" w:color="939598"/>
            </w:tcBorders>
          </w:tcPr>
          <w:p>
            <w:pPr>
              <w:spacing w:after="0"/>
              <w:rPr>
                <w:sz w:val="12"/>
                <w:szCs w:val="12"/>
                <w:color w:val="auto"/>
              </w:rPr>
            </w:pPr>
          </w:p>
        </w:tc>
        <w:tc>
          <w:tcPr>
            <w:tcW w:w="1380" w:type="dxa"/>
            <w:vAlign w:val="bottom"/>
            <w:tcBorders>
              <w:bottom w:val="single" w:sz="8" w:color="939598"/>
            </w:tcBorders>
          </w:tcPr>
          <w:p>
            <w:pPr>
              <w:spacing w:after="0"/>
              <w:rPr>
                <w:sz w:val="12"/>
                <w:szCs w:val="12"/>
                <w:color w:val="auto"/>
              </w:rPr>
            </w:pPr>
          </w:p>
        </w:tc>
        <w:tc>
          <w:tcPr>
            <w:tcW w:w="800" w:type="dxa"/>
            <w:vAlign w:val="bottom"/>
            <w:tcBorders>
              <w:bottom w:val="single" w:sz="8" w:color="939598"/>
            </w:tcBorders>
          </w:tcPr>
          <w:p>
            <w:pPr>
              <w:spacing w:after="0"/>
              <w:rPr>
                <w:sz w:val="12"/>
                <w:szCs w:val="12"/>
                <w:color w:val="auto"/>
              </w:rPr>
            </w:pPr>
          </w:p>
        </w:tc>
        <w:tc>
          <w:tcPr>
            <w:tcW w:w="1360" w:type="dxa"/>
            <w:vAlign w:val="bottom"/>
            <w:tcBorders>
              <w:bottom w:val="single" w:sz="8" w:color="939598"/>
            </w:tcBorders>
          </w:tcPr>
          <w:p>
            <w:pPr>
              <w:spacing w:after="0"/>
              <w:rPr>
                <w:sz w:val="12"/>
                <w:szCs w:val="12"/>
                <w:color w:val="auto"/>
              </w:rPr>
            </w:pPr>
          </w:p>
        </w:tc>
      </w:tr>
      <w:tr>
        <w:trPr>
          <w:trHeight w:val="263"/>
        </w:trPr>
        <w:tc>
          <w:tcPr>
            <w:tcW w:w="170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Arial" w:cs="Arial" w:eastAsia="Arial" w:hAnsi="Arial"/>
                <w:sz w:val="11"/>
                <w:szCs w:val="11"/>
                <w:b w:val="1"/>
                <w:bCs w:val="1"/>
                <w:color w:val="auto"/>
              </w:rPr>
              <w:t>Total</w:t>
            </w:r>
          </w:p>
        </w:tc>
        <w:tc>
          <w:tcPr>
            <w:tcW w:w="1080" w:type="dxa"/>
            <w:vAlign w:val="bottom"/>
          </w:tcPr>
          <w:p>
            <w:pPr>
              <w:jc w:val="right"/>
              <w:ind w:right="306"/>
              <w:spacing w:after="0"/>
              <w:rPr>
                <w:sz w:val="20"/>
                <w:szCs w:val="20"/>
                <w:color w:val="auto"/>
              </w:rPr>
            </w:pPr>
            <w:r>
              <w:rPr>
                <w:rFonts w:ascii="Arial" w:cs="Arial" w:eastAsia="Arial" w:hAnsi="Arial"/>
                <w:sz w:val="11"/>
                <w:szCs w:val="11"/>
                <w:b w:val="1"/>
                <w:bCs w:val="1"/>
                <w:color w:val="auto"/>
              </w:rPr>
              <w:t>—</w:t>
            </w:r>
          </w:p>
        </w:tc>
        <w:tc>
          <w:tcPr>
            <w:tcW w:w="1060" w:type="dxa"/>
            <w:vAlign w:val="bottom"/>
          </w:tcPr>
          <w:p>
            <w:pPr>
              <w:jc w:val="right"/>
              <w:ind w:right="307"/>
              <w:spacing w:after="0"/>
              <w:rPr>
                <w:sz w:val="20"/>
                <w:szCs w:val="20"/>
                <w:color w:val="auto"/>
              </w:rPr>
            </w:pPr>
            <w:r>
              <w:rPr>
                <w:rFonts w:ascii="Arial" w:cs="Arial" w:eastAsia="Arial" w:hAnsi="Arial"/>
                <w:sz w:val="11"/>
                <w:szCs w:val="11"/>
                <w:b w:val="1"/>
                <w:bCs w:val="1"/>
                <w:color w:val="auto"/>
              </w:rPr>
              <w:t>9,711</w:t>
            </w:r>
          </w:p>
        </w:tc>
        <w:tc>
          <w:tcPr>
            <w:tcW w:w="7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320" w:type="dxa"/>
            <w:vAlign w:val="bottom"/>
          </w:tcPr>
          <w:p>
            <w:pPr>
              <w:jc w:val="right"/>
              <w:ind w:right="614"/>
              <w:spacing w:after="0"/>
              <w:rPr>
                <w:sz w:val="20"/>
                <w:szCs w:val="20"/>
                <w:color w:val="auto"/>
              </w:rPr>
            </w:pPr>
            <w:r>
              <w:rPr>
                <w:rFonts w:ascii="Arial" w:cs="Arial" w:eastAsia="Arial" w:hAnsi="Arial"/>
                <w:sz w:val="11"/>
                <w:szCs w:val="11"/>
                <w:b w:val="1"/>
                <w:bCs w:val="1"/>
                <w:color w:val="auto"/>
              </w:rPr>
              <w:t>13,300</w:t>
            </w:r>
          </w:p>
        </w:tc>
        <w:tc>
          <w:tcPr>
            <w:tcW w:w="1380" w:type="dxa"/>
            <w:vAlign w:val="bottom"/>
          </w:tcPr>
          <w:p>
            <w:pPr>
              <w:jc w:val="right"/>
              <w:ind w:right="386"/>
              <w:spacing w:after="0"/>
              <w:rPr>
                <w:sz w:val="20"/>
                <w:szCs w:val="20"/>
                <w:color w:val="auto"/>
              </w:rPr>
            </w:pPr>
            <w:r>
              <w:rPr>
                <w:rFonts w:ascii="Arial" w:cs="Arial" w:eastAsia="Arial" w:hAnsi="Arial"/>
                <w:sz w:val="11"/>
                <w:szCs w:val="11"/>
                <w:b w:val="1"/>
                <w:bCs w:val="1"/>
                <w:color w:val="auto"/>
              </w:rPr>
              <w:t>2,594,714</w:t>
            </w:r>
          </w:p>
        </w:tc>
        <w:tc>
          <w:tcPr>
            <w:tcW w:w="800" w:type="dxa"/>
            <w:vAlign w:val="bottom"/>
          </w:tcPr>
          <w:p>
            <w:pPr>
              <w:jc w:val="right"/>
              <w:spacing w:after="0"/>
              <w:rPr>
                <w:sz w:val="20"/>
                <w:szCs w:val="20"/>
                <w:color w:val="auto"/>
              </w:rPr>
            </w:pPr>
            <w:r>
              <w:rPr>
                <w:rFonts w:ascii="Arial" w:cs="Arial" w:eastAsia="Arial" w:hAnsi="Arial"/>
                <w:sz w:val="11"/>
                <w:szCs w:val="11"/>
                <w:b w:val="1"/>
                <w:bCs w:val="1"/>
                <w:color w:val="auto"/>
              </w:rPr>
              <w:t>3,908</w:t>
            </w:r>
          </w:p>
        </w:tc>
        <w:tc>
          <w:tcPr>
            <w:tcW w:w="1360" w:type="dxa"/>
            <w:vAlign w:val="bottom"/>
          </w:tcPr>
          <w:p>
            <w:pPr>
              <w:jc w:val="right"/>
              <w:ind w:right="13"/>
              <w:spacing w:after="0"/>
              <w:rPr>
                <w:sz w:val="20"/>
                <w:szCs w:val="20"/>
                <w:color w:val="auto"/>
              </w:rPr>
            </w:pPr>
            <w:r>
              <w:rPr>
                <w:rFonts w:ascii="Arial" w:cs="Arial" w:eastAsia="Arial" w:hAnsi="Arial"/>
                <w:sz w:val="11"/>
                <w:szCs w:val="11"/>
                <w:b w:val="1"/>
                <w:bCs w:val="1"/>
                <w:color w:val="auto"/>
              </w:rPr>
              <w:t>762,490</w:t>
            </w:r>
          </w:p>
        </w:tc>
      </w:tr>
      <w:tr>
        <w:trPr>
          <w:trHeight w:val="135"/>
        </w:trPr>
        <w:tc>
          <w:tcPr>
            <w:tcW w:w="1700" w:type="dxa"/>
            <w:vAlign w:val="bottom"/>
            <w:tcBorders>
              <w:bottom w:val="single" w:sz="8" w:color="939598"/>
            </w:tcBorders>
          </w:tcPr>
          <w:p>
            <w:pPr>
              <w:spacing w:after="0"/>
              <w:rPr>
                <w:sz w:val="11"/>
                <w:szCs w:val="11"/>
                <w:color w:val="auto"/>
              </w:rPr>
            </w:pPr>
          </w:p>
        </w:tc>
        <w:tc>
          <w:tcPr>
            <w:tcW w:w="780" w:type="dxa"/>
            <w:vAlign w:val="bottom"/>
            <w:tcBorders>
              <w:bottom w:val="single" w:sz="8" w:color="939598"/>
            </w:tcBorders>
          </w:tcPr>
          <w:p>
            <w:pPr>
              <w:spacing w:after="0"/>
              <w:rPr>
                <w:sz w:val="11"/>
                <w:szCs w:val="11"/>
                <w:color w:val="auto"/>
              </w:rPr>
            </w:pPr>
          </w:p>
        </w:tc>
        <w:tc>
          <w:tcPr>
            <w:tcW w:w="1080" w:type="dxa"/>
            <w:vAlign w:val="bottom"/>
            <w:tcBorders>
              <w:bottom w:val="single" w:sz="8" w:color="939598"/>
            </w:tcBorders>
          </w:tcPr>
          <w:p>
            <w:pPr>
              <w:spacing w:after="0"/>
              <w:rPr>
                <w:sz w:val="11"/>
                <w:szCs w:val="11"/>
                <w:color w:val="auto"/>
              </w:rPr>
            </w:pPr>
          </w:p>
        </w:tc>
        <w:tc>
          <w:tcPr>
            <w:tcW w:w="1060" w:type="dxa"/>
            <w:vAlign w:val="bottom"/>
            <w:tcBorders>
              <w:bottom w:val="single" w:sz="8" w:color="939598"/>
            </w:tcBorders>
          </w:tcPr>
          <w:p>
            <w:pPr>
              <w:spacing w:after="0"/>
              <w:rPr>
                <w:sz w:val="11"/>
                <w:szCs w:val="11"/>
                <w:color w:val="auto"/>
              </w:rPr>
            </w:pPr>
          </w:p>
        </w:tc>
        <w:tc>
          <w:tcPr>
            <w:tcW w:w="760" w:type="dxa"/>
            <w:vAlign w:val="bottom"/>
            <w:tcBorders>
              <w:bottom w:val="single" w:sz="8" w:color="939598"/>
            </w:tcBorders>
          </w:tcPr>
          <w:p>
            <w:pPr>
              <w:spacing w:after="0"/>
              <w:rPr>
                <w:sz w:val="11"/>
                <w:szCs w:val="11"/>
                <w:color w:val="auto"/>
              </w:rPr>
            </w:pPr>
          </w:p>
        </w:tc>
        <w:tc>
          <w:tcPr>
            <w:tcW w:w="980" w:type="dxa"/>
            <w:vAlign w:val="bottom"/>
            <w:tcBorders>
              <w:bottom w:val="single" w:sz="8" w:color="939598"/>
            </w:tcBorders>
          </w:tcPr>
          <w:p>
            <w:pPr>
              <w:spacing w:after="0"/>
              <w:rPr>
                <w:sz w:val="11"/>
                <w:szCs w:val="11"/>
                <w:color w:val="auto"/>
              </w:rPr>
            </w:pPr>
          </w:p>
        </w:tc>
        <w:tc>
          <w:tcPr>
            <w:tcW w:w="1320" w:type="dxa"/>
            <w:vAlign w:val="bottom"/>
            <w:tcBorders>
              <w:bottom w:val="single" w:sz="8" w:color="939598"/>
            </w:tcBorders>
          </w:tcPr>
          <w:p>
            <w:pPr>
              <w:spacing w:after="0"/>
              <w:rPr>
                <w:sz w:val="11"/>
                <w:szCs w:val="11"/>
                <w:color w:val="auto"/>
              </w:rPr>
            </w:pPr>
          </w:p>
        </w:tc>
        <w:tc>
          <w:tcPr>
            <w:tcW w:w="1380" w:type="dxa"/>
            <w:vAlign w:val="bottom"/>
            <w:tcBorders>
              <w:bottom w:val="single" w:sz="8" w:color="939598"/>
            </w:tcBorders>
          </w:tcPr>
          <w:p>
            <w:pPr>
              <w:spacing w:after="0"/>
              <w:rPr>
                <w:sz w:val="11"/>
                <w:szCs w:val="11"/>
                <w:color w:val="auto"/>
              </w:rPr>
            </w:pPr>
          </w:p>
        </w:tc>
        <w:tc>
          <w:tcPr>
            <w:tcW w:w="800" w:type="dxa"/>
            <w:vAlign w:val="bottom"/>
            <w:tcBorders>
              <w:bottom w:val="single" w:sz="8" w:color="939598"/>
            </w:tcBorders>
          </w:tcPr>
          <w:p>
            <w:pPr>
              <w:spacing w:after="0"/>
              <w:rPr>
                <w:sz w:val="11"/>
                <w:szCs w:val="11"/>
                <w:color w:val="auto"/>
              </w:rPr>
            </w:pPr>
          </w:p>
        </w:tc>
        <w:tc>
          <w:tcPr>
            <w:tcW w:w="1360" w:type="dxa"/>
            <w:vAlign w:val="bottom"/>
            <w:tcBorders>
              <w:bottom w:val="single" w:sz="8" w:color="939598"/>
            </w:tcBorders>
          </w:tcPr>
          <w:p>
            <w:pPr>
              <w:spacing w:after="0"/>
              <w:rPr>
                <w:sz w:val="11"/>
                <w:szCs w:val="11"/>
                <w:color w:val="auto"/>
              </w:rPr>
            </w:pPr>
          </w:p>
        </w:tc>
      </w:tr>
      <w:tr>
        <w:trPr>
          <w:trHeight w:val="110"/>
        </w:trPr>
        <w:tc>
          <w:tcPr>
            <w:tcW w:w="1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320" w:type="dxa"/>
            <w:vAlign w:val="bottom"/>
          </w:tcPr>
          <w:p>
            <w:pPr>
              <w:ind w:left="740"/>
              <w:spacing w:after="0"/>
              <w:rPr>
                <w:sz w:val="20"/>
                <w:szCs w:val="20"/>
                <w:color w:val="auto"/>
              </w:rPr>
            </w:pPr>
            <w:r>
              <w:rPr>
                <w:rFonts w:ascii="Arial" w:cs="Arial" w:eastAsia="Arial" w:hAnsi="Arial"/>
                <w:sz w:val="7"/>
                <w:szCs w:val="7"/>
                <w:color w:val="auto"/>
              </w:rPr>
              <w:t>(24)</w:t>
            </w:r>
          </w:p>
        </w:tc>
        <w:tc>
          <w:tcPr>
            <w:tcW w:w="1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60" w:type="dxa"/>
            <w:vAlign w:val="bottom"/>
          </w:tcPr>
          <w:p>
            <w:pPr>
              <w:spacing w:after="0"/>
              <w:rPr>
                <w:sz w:val="9"/>
                <w:szCs w:val="9"/>
                <w:color w:val="auto"/>
              </w:rPr>
            </w:pPr>
          </w:p>
        </w:tc>
      </w:tr>
      <w:tr>
        <w:trPr>
          <w:trHeight w:val="153"/>
        </w:trPr>
        <w:tc>
          <w:tcPr>
            <w:tcW w:w="1700" w:type="dxa"/>
            <w:vAlign w:val="bottom"/>
          </w:tcPr>
          <w:p>
            <w:pPr>
              <w:ind w:left="20"/>
              <w:spacing w:after="0"/>
              <w:rPr>
                <w:sz w:val="20"/>
                <w:szCs w:val="20"/>
                <w:color w:val="auto"/>
              </w:rPr>
            </w:pPr>
            <w:r>
              <w:rPr>
                <w:rFonts w:ascii="Arial" w:cs="Arial" w:eastAsia="Arial" w:hAnsi="Arial"/>
                <w:sz w:val="11"/>
                <w:szCs w:val="11"/>
                <w:b w:val="1"/>
                <w:bCs w:val="1"/>
                <w:color w:val="auto"/>
              </w:rPr>
              <w:t>Billal Hammoud</w:t>
            </w:r>
          </w:p>
        </w:tc>
        <w:tc>
          <w:tcPr>
            <w:tcW w:w="780" w:type="dxa"/>
            <w:vAlign w:val="bottom"/>
          </w:tcPr>
          <w:p>
            <w:pPr>
              <w:ind w:left="160"/>
              <w:spacing w:after="0"/>
              <w:rPr>
                <w:sz w:val="20"/>
                <w:szCs w:val="20"/>
                <w:color w:val="auto"/>
              </w:rPr>
            </w:pPr>
            <w:r>
              <w:rPr>
                <w:rFonts w:ascii="Arial" w:cs="Arial" w:eastAsia="Arial" w:hAnsi="Arial"/>
                <w:sz w:val="11"/>
                <w:szCs w:val="11"/>
                <w:color w:val="auto"/>
              </w:rPr>
              <w:t>2025</w:t>
            </w: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20" w:type="dxa"/>
            <w:vAlign w:val="bottom"/>
          </w:tcPr>
          <w:p>
            <w:pPr>
              <w:jc w:val="right"/>
              <w:ind w:right="614"/>
              <w:spacing w:after="0"/>
              <w:rPr>
                <w:sz w:val="20"/>
                <w:szCs w:val="20"/>
                <w:color w:val="auto"/>
              </w:rPr>
            </w:pPr>
            <w:r>
              <w:rPr>
                <w:rFonts w:ascii="Arial" w:cs="Arial" w:eastAsia="Arial" w:hAnsi="Arial"/>
                <w:sz w:val="11"/>
                <w:szCs w:val="11"/>
                <w:color w:val="auto"/>
              </w:rPr>
              <w:t>4,993</w:t>
            </w:r>
          </w:p>
        </w:tc>
        <w:tc>
          <w:tcPr>
            <w:tcW w:w="1380" w:type="dxa"/>
            <w:vAlign w:val="bottom"/>
          </w:tcPr>
          <w:p>
            <w:pPr>
              <w:jc w:val="right"/>
              <w:ind w:right="386"/>
              <w:spacing w:after="0"/>
              <w:rPr>
                <w:sz w:val="20"/>
                <w:szCs w:val="20"/>
                <w:color w:val="auto"/>
              </w:rPr>
            </w:pPr>
            <w:r>
              <w:rPr>
                <w:rFonts w:ascii="Arial" w:cs="Arial" w:eastAsia="Arial" w:hAnsi="Arial"/>
                <w:sz w:val="11"/>
                <w:szCs w:val="11"/>
                <w:color w:val="auto"/>
              </w:rPr>
              <w:t>$974,084</w:t>
            </w:r>
          </w:p>
        </w:tc>
        <w:tc>
          <w:tcPr>
            <w:tcW w:w="8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35"/>
        </w:trPr>
        <w:tc>
          <w:tcPr>
            <w:tcW w:w="1700" w:type="dxa"/>
            <w:vAlign w:val="bottom"/>
          </w:tcPr>
          <w:p>
            <w:pPr>
              <w:spacing w:after="0"/>
              <w:rPr>
                <w:sz w:val="11"/>
                <w:szCs w:val="11"/>
                <w:color w:val="auto"/>
              </w:rPr>
            </w:pPr>
          </w:p>
        </w:tc>
        <w:tc>
          <w:tcPr>
            <w:tcW w:w="780" w:type="dxa"/>
            <w:vAlign w:val="bottom"/>
            <w:tcBorders>
              <w:bottom w:val="single" w:sz="8" w:color="939598"/>
            </w:tcBorders>
          </w:tcPr>
          <w:p>
            <w:pPr>
              <w:spacing w:after="0"/>
              <w:rPr>
                <w:sz w:val="11"/>
                <w:szCs w:val="11"/>
                <w:color w:val="auto"/>
              </w:rPr>
            </w:pPr>
          </w:p>
        </w:tc>
        <w:tc>
          <w:tcPr>
            <w:tcW w:w="1080" w:type="dxa"/>
            <w:vAlign w:val="bottom"/>
            <w:tcBorders>
              <w:bottom w:val="single" w:sz="8" w:color="939598"/>
            </w:tcBorders>
          </w:tcPr>
          <w:p>
            <w:pPr>
              <w:spacing w:after="0"/>
              <w:rPr>
                <w:sz w:val="11"/>
                <w:szCs w:val="11"/>
                <w:color w:val="auto"/>
              </w:rPr>
            </w:pPr>
          </w:p>
        </w:tc>
        <w:tc>
          <w:tcPr>
            <w:tcW w:w="1060" w:type="dxa"/>
            <w:vAlign w:val="bottom"/>
            <w:tcBorders>
              <w:bottom w:val="single" w:sz="8" w:color="939598"/>
            </w:tcBorders>
          </w:tcPr>
          <w:p>
            <w:pPr>
              <w:spacing w:after="0"/>
              <w:rPr>
                <w:sz w:val="11"/>
                <w:szCs w:val="11"/>
                <w:color w:val="auto"/>
              </w:rPr>
            </w:pPr>
          </w:p>
        </w:tc>
        <w:tc>
          <w:tcPr>
            <w:tcW w:w="760" w:type="dxa"/>
            <w:vAlign w:val="bottom"/>
            <w:tcBorders>
              <w:bottom w:val="single" w:sz="8" w:color="939598"/>
            </w:tcBorders>
          </w:tcPr>
          <w:p>
            <w:pPr>
              <w:spacing w:after="0"/>
              <w:rPr>
                <w:sz w:val="11"/>
                <w:szCs w:val="11"/>
                <w:color w:val="auto"/>
              </w:rPr>
            </w:pPr>
          </w:p>
        </w:tc>
        <w:tc>
          <w:tcPr>
            <w:tcW w:w="980" w:type="dxa"/>
            <w:vAlign w:val="bottom"/>
            <w:tcBorders>
              <w:bottom w:val="single" w:sz="8" w:color="939598"/>
            </w:tcBorders>
          </w:tcPr>
          <w:p>
            <w:pPr>
              <w:spacing w:after="0"/>
              <w:rPr>
                <w:sz w:val="11"/>
                <w:szCs w:val="11"/>
                <w:color w:val="auto"/>
              </w:rPr>
            </w:pPr>
          </w:p>
        </w:tc>
        <w:tc>
          <w:tcPr>
            <w:tcW w:w="1320" w:type="dxa"/>
            <w:vAlign w:val="bottom"/>
            <w:tcBorders>
              <w:bottom w:val="single" w:sz="8" w:color="939598"/>
            </w:tcBorders>
          </w:tcPr>
          <w:p>
            <w:pPr>
              <w:spacing w:after="0"/>
              <w:rPr>
                <w:sz w:val="11"/>
                <w:szCs w:val="11"/>
                <w:color w:val="auto"/>
              </w:rPr>
            </w:pPr>
          </w:p>
        </w:tc>
        <w:tc>
          <w:tcPr>
            <w:tcW w:w="1380" w:type="dxa"/>
            <w:vAlign w:val="bottom"/>
            <w:tcBorders>
              <w:bottom w:val="single" w:sz="8" w:color="939598"/>
            </w:tcBorders>
          </w:tcPr>
          <w:p>
            <w:pPr>
              <w:spacing w:after="0"/>
              <w:rPr>
                <w:sz w:val="11"/>
                <w:szCs w:val="11"/>
                <w:color w:val="auto"/>
              </w:rPr>
            </w:pPr>
          </w:p>
        </w:tc>
        <w:tc>
          <w:tcPr>
            <w:tcW w:w="800" w:type="dxa"/>
            <w:vAlign w:val="bottom"/>
            <w:tcBorders>
              <w:bottom w:val="single" w:sz="8" w:color="939598"/>
            </w:tcBorders>
          </w:tcPr>
          <w:p>
            <w:pPr>
              <w:spacing w:after="0"/>
              <w:rPr>
                <w:sz w:val="11"/>
                <w:szCs w:val="11"/>
                <w:color w:val="auto"/>
              </w:rPr>
            </w:pPr>
          </w:p>
        </w:tc>
        <w:tc>
          <w:tcPr>
            <w:tcW w:w="1360" w:type="dxa"/>
            <w:vAlign w:val="bottom"/>
            <w:tcBorders>
              <w:bottom w:val="single" w:sz="8" w:color="939598"/>
            </w:tcBorders>
          </w:tcPr>
          <w:p>
            <w:pPr>
              <w:spacing w:after="0"/>
              <w:rPr>
                <w:sz w:val="11"/>
                <w:szCs w:val="11"/>
                <w:color w:val="auto"/>
              </w:rPr>
            </w:pPr>
          </w:p>
        </w:tc>
      </w:tr>
      <w:tr>
        <w:trPr>
          <w:trHeight w:val="110"/>
        </w:trPr>
        <w:tc>
          <w:tcPr>
            <w:tcW w:w="1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60" w:type="dxa"/>
            <w:vAlign w:val="bottom"/>
          </w:tcPr>
          <w:p>
            <w:pPr>
              <w:jc w:val="right"/>
              <w:ind w:right="147"/>
              <w:spacing w:after="0"/>
              <w:rPr>
                <w:sz w:val="20"/>
                <w:szCs w:val="20"/>
                <w:color w:val="auto"/>
              </w:rPr>
            </w:pPr>
            <w:r>
              <w:rPr>
                <w:rFonts w:ascii="Arial" w:cs="Arial" w:eastAsia="Arial" w:hAnsi="Arial"/>
                <w:sz w:val="7"/>
                <w:szCs w:val="7"/>
                <w:color w:val="auto"/>
              </w:rPr>
              <w:t>(3)</w:t>
            </w:r>
          </w:p>
        </w:tc>
        <w:tc>
          <w:tcPr>
            <w:tcW w:w="7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60" w:type="dxa"/>
            <w:vAlign w:val="bottom"/>
          </w:tcPr>
          <w:p>
            <w:pPr>
              <w:jc w:val="right"/>
              <w:ind w:right="1193"/>
              <w:spacing w:after="0"/>
              <w:rPr>
                <w:sz w:val="20"/>
                <w:szCs w:val="20"/>
                <w:color w:val="auto"/>
              </w:rPr>
            </w:pPr>
            <w:r>
              <w:rPr>
                <w:rFonts w:ascii="Arial" w:cs="Arial" w:eastAsia="Arial" w:hAnsi="Arial"/>
                <w:sz w:val="7"/>
                <w:szCs w:val="7"/>
                <w:color w:val="auto"/>
              </w:rPr>
              <w:t>(4)</w:t>
            </w:r>
          </w:p>
        </w:tc>
      </w:tr>
      <w:tr>
        <w:trPr>
          <w:trHeight w:val="147"/>
        </w:trPr>
        <w:tc>
          <w:tcPr>
            <w:tcW w:w="1700" w:type="dxa"/>
            <w:vAlign w:val="bottom"/>
          </w:tcPr>
          <w:p>
            <w:pPr>
              <w:spacing w:after="0"/>
              <w:rPr>
                <w:sz w:val="12"/>
                <w:szCs w:val="12"/>
                <w:color w:val="auto"/>
              </w:rPr>
            </w:pPr>
          </w:p>
        </w:tc>
        <w:tc>
          <w:tcPr>
            <w:tcW w:w="780" w:type="dxa"/>
            <w:vAlign w:val="bottom"/>
          </w:tcPr>
          <w:p>
            <w:pPr>
              <w:ind w:left="160"/>
              <w:spacing w:after="0"/>
              <w:rPr>
                <w:sz w:val="20"/>
                <w:szCs w:val="20"/>
                <w:color w:val="auto"/>
              </w:rPr>
            </w:pPr>
            <w:r>
              <w:rPr>
                <w:rFonts w:ascii="Arial" w:cs="Arial" w:eastAsia="Arial" w:hAnsi="Arial"/>
                <w:sz w:val="11"/>
                <w:szCs w:val="11"/>
                <w:color w:val="auto"/>
              </w:rPr>
              <w:t>2025</w:t>
            </w:r>
          </w:p>
        </w:tc>
        <w:tc>
          <w:tcPr>
            <w:tcW w:w="1080" w:type="dxa"/>
            <w:vAlign w:val="bottom"/>
          </w:tcPr>
          <w:p>
            <w:pPr>
              <w:jc w:val="right"/>
              <w:ind w:right="306"/>
              <w:spacing w:after="0"/>
              <w:rPr>
                <w:sz w:val="20"/>
                <w:szCs w:val="20"/>
                <w:color w:val="auto"/>
              </w:rPr>
            </w:pPr>
            <w:r>
              <w:rPr>
                <w:rFonts w:ascii="Arial" w:cs="Arial" w:eastAsia="Arial" w:hAnsi="Arial"/>
                <w:sz w:val="11"/>
                <w:szCs w:val="11"/>
                <w:color w:val="auto"/>
              </w:rPr>
              <w:t>—</w:t>
            </w:r>
          </w:p>
        </w:tc>
        <w:tc>
          <w:tcPr>
            <w:tcW w:w="1060" w:type="dxa"/>
            <w:vAlign w:val="bottom"/>
          </w:tcPr>
          <w:p>
            <w:pPr>
              <w:jc w:val="right"/>
              <w:ind w:right="307"/>
              <w:spacing w:after="0"/>
              <w:rPr>
                <w:sz w:val="20"/>
                <w:szCs w:val="20"/>
                <w:color w:val="auto"/>
              </w:rPr>
            </w:pPr>
            <w:r>
              <w:rPr>
                <w:rFonts w:ascii="Arial" w:cs="Arial" w:eastAsia="Arial" w:hAnsi="Arial"/>
                <w:sz w:val="11"/>
                <w:szCs w:val="11"/>
                <w:color w:val="auto"/>
              </w:rPr>
              <w:t>14,445</w:t>
            </w:r>
          </w:p>
        </w:tc>
        <w:tc>
          <w:tcPr>
            <w:tcW w:w="760" w:type="dxa"/>
            <w:vAlign w:val="bottom"/>
          </w:tcPr>
          <w:p>
            <w:pPr>
              <w:jc w:val="right"/>
              <w:ind w:right="126"/>
              <w:spacing w:after="0"/>
              <w:rPr>
                <w:sz w:val="20"/>
                <w:szCs w:val="20"/>
                <w:color w:val="auto"/>
              </w:rPr>
            </w:pPr>
            <w:r>
              <w:rPr>
                <w:rFonts w:ascii="Arial" w:cs="Arial" w:eastAsia="Arial" w:hAnsi="Arial"/>
                <w:sz w:val="11"/>
                <w:szCs w:val="11"/>
                <w:color w:val="auto"/>
              </w:rPr>
              <w:t>$198.89</w:t>
            </w:r>
          </w:p>
        </w:tc>
        <w:tc>
          <w:tcPr>
            <w:tcW w:w="980" w:type="dxa"/>
            <w:vAlign w:val="bottom"/>
          </w:tcPr>
          <w:p>
            <w:pPr>
              <w:jc w:val="right"/>
              <w:ind w:right="286"/>
              <w:spacing w:after="0"/>
              <w:rPr>
                <w:sz w:val="20"/>
                <w:szCs w:val="20"/>
                <w:color w:val="auto"/>
              </w:rPr>
            </w:pPr>
            <w:r>
              <w:rPr>
                <w:rFonts w:ascii="Arial" w:cs="Arial" w:eastAsia="Arial" w:hAnsi="Arial"/>
                <w:sz w:val="11"/>
                <w:szCs w:val="11"/>
                <w:color w:val="auto"/>
              </w:rPr>
              <w:t>2/18/2035</w:t>
            </w:r>
          </w:p>
        </w:tc>
        <w:tc>
          <w:tcPr>
            <w:tcW w:w="1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2,056</w:t>
            </w:r>
          </w:p>
        </w:tc>
        <w:tc>
          <w:tcPr>
            <w:tcW w:w="1360" w:type="dxa"/>
            <w:vAlign w:val="bottom"/>
          </w:tcPr>
          <w:p>
            <w:pPr>
              <w:jc w:val="right"/>
              <w:ind w:right="13"/>
              <w:spacing w:after="0"/>
              <w:rPr>
                <w:sz w:val="20"/>
                <w:szCs w:val="20"/>
                <w:color w:val="auto"/>
              </w:rPr>
            </w:pPr>
            <w:r>
              <w:rPr>
                <w:rFonts w:ascii="Arial" w:cs="Arial" w:eastAsia="Arial" w:hAnsi="Arial"/>
                <w:sz w:val="11"/>
                <w:szCs w:val="11"/>
                <w:color w:val="auto"/>
              </w:rPr>
              <w:t>$401,140</w:t>
            </w:r>
          </w:p>
        </w:tc>
      </w:tr>
      <w:tr>
        <w:trPr>
          <w:trHeight w:val="141"/>
        </w:trPr>
        <w:tc>
          <w:tcPr>
            <w:tcW w:w="1700" w:type="dxa"/>
            <w:vAlign w:val="bottom"/>
          </w:tcPr>
          <w:p>
            <w:pPr>
              <w:spacing w:after="0"/>
              <w:rPr>
                <w:sz w:val="12"/>
                <w:szCs w:val="12"/>
                <w:color w:val="auto"/>
              </w:rPr>
            </w:pPr>
          </w:p>
        </w:tc>
        <w:tc>
          <w:tcPr>
            <w:tcW w:w="780" w:type="dxa"/>
            <w:vAlign w:val="bottom"/>
            <w:tcBorders>
              <w:bottom w:val="single" w:sz="8" w:color="939598"/>
            </w:tcBorders>
          </w:tcPr>
          <w:p>
            <w:pPr>
              <w:spacing w:after="0"/>
              <w:rPr>
                <w:sz w:val="12"/>
                <w:szCs w:val="12"/>
                <w:color w:val="auto"/>
              </w:rPr>
            </w:pPr>
          </w:p>
        </w:tc>
        <w:tc>
          <w:tcPr>
            <w:tcW w:w="1080" w:type="dxa"/>
            <w:vAlign w:val="bottom"/>
            <w:tcBorders>
              <w:bottom w:val="single" w:sz="8" w:color="939598"/>
            </w:tcBorders>
          </w:tcPr>
          <w:p>
            <w:pPr>
              <w:spacing w:after="0"/>
              <w:rPr>
                <w:sz w:val="12"/>
                <w:szCs w:val="12"/>
                <w:color w:val="auto"/>
              </w:rPr>
            </w:pPr>
          </w:p>
        </w:tc>
        <w:tc>
          <w:tcPr>
            <w:tcW w:w="1060" w:type="dxa"/>
            <w:vAlign w:val="bottom"/>
            <w:tcBorders>
              <w:bottom w:val="single" w:sz="8" w:color="939598"/>
            </w:tcBorders>
          </w:tcPr>
          <w:p>
            <w:pPr>
              <w:spacing w:after="0"/>
              <w:rPr>
                <w:sz w:val="12"/>
                <w:szCs w:val="12"/>
                <w:color w:val="auto"/>
              </w:rPr>
            </w:pPr>
          </w:p>
        </w:tc>
        <w:tc>
          <w:tcPr>
            <w:tcW w:w="760" w:type="dxa"/>
            <w:vAlign w:val="bottom"/>
            <w:tcBorders>
              <w:bottom w:val="single" w:sz="8" w:color="939598"/>
            </w:tcBorders>
          </w:tcPr>
          <w:p>
            <w:pPr>
              <w:spacing w:after="0"/>
              <w:rPr>
                <w:sz w:val="12"/>
                <w:szCs w:val="12"/>
                <w:color w:val="auto"/>
              </w:rPr>
            </w:pPr>
          </w:p>
        </w:tc>
        <w:tc>
          <w:tcPr>
            <w:tcW w:w="980" w:type="dxa"/>
            <w:vAlign w:val="bottom"/>
            <w:tcBorders>
              <w:bottom w:val="single" w:sz="8" w:color="939598"/>
            </w:tcBorders>
          </w:tcPr>
          <w:p>
            <w:pPr>
              <w:spacing w:after="0"/>
              <w:rPr>
                <w:sz w:val="12"/>
                <w:szCs w:val="12"/>
                <w:color w:val="auto"/>
              </w:rPr>
            </w:pPr>
          </w:p>
        </w:tc>
        <w:tc>
          <w:tcPr>
            <w:tcW w:w="1320" w:type="dxa"/>
            <w:vAlign w:val="bottom"/>
            <w:tcBorders>
              <w:bottom w:val="single" w:sz="8" w:color="939598"/>
            </w:tcBorders>
          </w:tcPr>
          <w:p>
            <w:pPr>
              <w:spacing w:after="0"/>
              <w:rPr>
                <w:sz w:val="12"/>
                <w:szCs w:val="12"/>
                <w:color w:val="auto"/>
              </w:rPr>
            </w:pPr>
          </w:p>
        </w:tc>
        <w:tc>
          <w:tcPr>
            <w:tcW w:w="1380" w:type="dxa"/>
            <w:vAlign w:val="bottom"/>
            <w:tcBorders>
              <w:bottom w:val="single" w:sz="8" w:color="939598"/>
            </w:tcBorders>
          </w:tcPr>
          <w:p>
            <w:pPr>
              <w:spacing w:after="0"/>
              <w:rPr>
                <w:sz w:val="12"/>
                <w:szCs w:val="12"/>
                <w:color w:val="auto"/>
              </w:rPr>
            </w:pPr>
          </w:p>
        </w:tc>
        <w:tc>
          <w:tcPr>
            <w:tcW w:w="800" w:type="dxa"/>
            <w:vAlign w:val="bottom"/>
            <w:tcBorders>
              <w:bottom w:val="single" w:sz="8" w:color="939598"/>
            </w:tcBorders>
          </w:tcPr>
          <w:p>
            <w:pPr>
              <w:spacing w:after="0"/>
              <w:rPr>
                <w:sz w:val="12"/>
                <w:szCs w:val="12"/>
                <w:color w:val="auto"/>
              </w:rPr>
            </w:pPr>
          </w:p>
        </w:tc>
        <w:tc>
          <w:tcPr>
            <w:tcW w:w="1360" w:type="dxa"/>
            <w:vAlign w:val="bottom"/>
            <w:tcBorders>
              <w:bottom w:val="single" w:sz="8" w:color="939598"/>
            </w:tcBorders>
          </w:tcPr>
          <w:p>
            <w:pPr>
              <w:spacing w:after="0"/>
              <w:rPr>
                <w:sz w:val="12"/>
                <w:szCs w:val="12"/>
                <w:color w:val="auto"/>
              </w:rPr>
            </w:pPr>
          </w:p>
        </w:tc>
      </w:tr>
      <w:tr>
        <w:trPr>
          <w:trHeight w:val="110"/>
        </w:trPr>
        <w:tc>
          <w:tcPr>
            <w:tcW w:w="1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320" w:type="dxa"/>
            <w:vAlign w:val="bottom"/>
          </w:tcPr>
          <w:p>
            <w:pPr>
              <w:ind w:left="740"/>
              <w:spacing w:after="0"/>
              <w:rPr>
                <w:sz w:val="20"/>
                <w:szCs w:val="20"/>
                <w:color w:val="auto"/>
              </w:rPr>
            </w:pPr>
            <w:r>
              <w:rPr>
                <w:rFonts w:ascii="Arial" w:cs="Arial" w:eastAsia="Arial" w:hAnsi="Arial"/>
                <w:sz w:val="7"/>
                <w:szCs w:val="7"/>
                <w:color w:val="auto"/>
              </w:rPr>
              <w:t>(5)</w:t>
            </w:r>
          </w:p>
        </w:tc>
        <w:tc>
          <w:tcPr>
            <w:tcW w:w="1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60" w:type="dxa"/>
            <w:vAlign w:val="bottom"/>
          </w:tcPr>
          <w:p>
            <w:pPr>
              <w:jc w:val="right"/>
              <w:ind w:right="1193"/>
              <w:spacing w:after="0"/>
              <w:rPr>
                <w:sz w:val="20"/>
                <w:szCs w:val="20"/>
                <w:color w:val="auto"/>
              </w:rPr>
            </w:pPr>
            <w:r>
              <w:rPr>
                <w:rFonts w:ascii="Arial" w:cs="Arial" w:eastAsia="Arial" w:hAnsi="Arial"/>
                <w:sz w:val="7"/>
                <w:szCs w:val="7"/>
                <w:color w:val="auto"/>
              </w:rPr>
              <w:t>(6)</w:t>
            </w:r>
          </w:p>
        </w:tc>
      </w:tr>
      <w:tr>
        <w:trPr>
          <w:trHeight w:val="147"/>
        </w:trPr>
        <w:tc>
          <w:tcPr>
            <w:tcW w:w="1700" w:type="dxa"/>
            <w:vAlign w:val="bottom"/>
          </w:tcPr>
          <w:p>
            <w:pPr>
              <w:spacing w:after="0"/>
              <w:rPr>
                <w:sz w:val="12"/>
                <w:szCs w:val="12"/>
                <w:color w:val="auto"/>
              </w:rPr>
            </w:pPr>
          </w:p>
        </w:tc>
        <w:tc>
          <w:tcPr>
            <w:tcW w:w="780" w:type="dxa"/>
            <w:vAlign w:val="bottom"/>
          </w:tcPr>
          <w:p>
            <w:pPr>
              <w:ind w:left="160"/>
              <w:spacing w:after="0"/>
              <w:rPr>
                <w:sz w:val="20"/>
                <w:szCs w:val="20"/>
                <w:color w:val="auto"/>
              </w:rPr>
            </w:pPr>
            <w:r>
              <w:rPr>
                <w:rFonts w:ascii="Arial" w:cs="Arial" w:eastAsia="Arial" w:hAnsi="Arial"/>
                <w:sz w:val="11"/>
                <w:szCs w:val="11"/>
                <w:color w:val="auto"/>
              </w:rPr>
              <w:t>2025</w:t>
            </w:r>
          </w:p>
        </w:tc>
        <w:tc>
          <w:tcPr>
            <w:tcW w:w="1080" w:type="dxa"/>
            <w:vAlign w:val="bottom"/>
          </w:tcPr>
          <w:p>
            <w:pPr>
              <w:jc w:val="right"/>
              <w:ind w:right="306"/>
              <w:spacing w:after="0"/>
              <w:rPr>
                <w:sz w:val="20"/>
                <w:szCs w:val="20"/>
                <w:color w:val="auto"/>
              </w:rPr>
            </w:pPr>
            <w:r>
              <w:rPr>
                <w:rFonts w:ascii="Arial" w:cs="Arial" w:eastAsia="Arial" w:hAnsi="Arial"/>
                <w:sz w:val="11"/>
                <w:szCs w:val="11"/>
                <w:color w:val="auto"/>
              </w:rPr>
              <w:t>—</w:t>
            </w:r>
          </w:p>
        </w:tc>
        <w:tc>
          <w:tcPr>
            <w:tcW w:w="1060" w:type="dxa"/>
            <w:vAlign w:val="bottom"/>
          </w:tcPr>
          <w:p>
            <w:pPr>
              <w:jc w:val="right"/>
              <w:ind w:right="307"/>
              <w:spacing w:after="0"/>
              <w:rPr>
                <w:sz w:val="20"/>
                <w:szCs w:val="20"/>
                <w:color w:val="auto"/>
              </w:rPr>
            </w:pPr>
            <w:r>
              <w:rPr>
                <w:rFonts w:ascii="Arial" w:cs="Arial" w:eastAsia="Arial" w:hAnsi="Arial"/>
                <w:sz w:val="11"/>
                <w:szCs w:val="11"/>
                <w:color w:val="auto"/>
              </w:rPr>
              <w:t>11,710</w:t>
            </w:r>
          </w:p>
        </w:tc>
        <w:tc>
          <w:tcPr>
            <w:tcW w:w="760" w:type="dxa"/>
            <w:vAlign w:val="bottom"/>
          </w:tcPr>
          <w:p>
            <w:pPr>
              <w:jc w:val="right"/>
              <w:ind w:right="126"/>
              <w:spacing w:after="0"/>
              <w:rPr>
                <w:sz w:val="20"/>
                <w:szCs w:val="20"/>
                <w:color w:val="auto"/>
              </w:rPr>
            </w:pPr>
            <w:r>
              <w:rPr>
                <w:rFonts w:ascii="Arial" w:cs="Arial" w:eastAsia="Arial" w:hAnsi="Arial"/>
                <w:sz w:val="11"/>
                <w:szCs w:val="11"/>
                <w:color w:val="auto"/>
              </w:rPr>
              <w:t>198.89</w:t>
            </w:r>
          </w:p>
        </w:tc>
        <w:tc>
          <w:tcPr>
            <w:tcW w:w="980" w:type="dxa"/>
            <w:vAlign w:val="bottom"/>
          </w:tcPr>
          <w:p>
            <w:pPr>
              <w:jc w:val="right"/>
              <w:ind w:right="286"/>
              <w:spacing w:after="0"/>
              <w:rPr>
                <w:sz w:val="20"/>
                <w:szCs w:val="20"/>
                <w:color w:val="auto"/>
              </w:rPr>
            </w:pPr>
            <w:r>
              <w:rPr>
                <w:rFonts w:ascii="Arial" w:cs="Arial" w:eastAsia="Arial" w:hAnsi="Arial"/>
                <w:sz w:val="11"/>
                <w:szCs w:val="11"/>
                <w:color w:val="auto"/>
              </w:rPr>
              <w:t>2/18/2035</w:t>
            </w:r>
          </w:p>
        </w:tc>
        <w:tc>
          <w:tcPr>
            <w:tcW w:w="1320" w:type="dxa"/>
            <w:vAlign w:val="bottom"/>
          </w:tcPr>
          <w:p>
            <w:pPr>
              <w:jc w:val="right"/>
              <w:ind w:right="614"/>
              <w:spacing w:after="0"/>
              <w:rPr>
                <w:sz w:val="20"/>
                <w:szCs w:val="20"/>
                <w:color w:val="auto"/>
              </w:rPr>
            </w:pPr>
            <w:r>
              <w:rPr>
                <w:rFonts w:ascii="Arial" w:cs="Arial" w:eastAsia="Arial" w:hAnsi="Arial"/>
                <w:sz w:val="11"/>
                <w:szCs w:val="11"/>
                <w:color w:val="auto"/>
              </w:rPr>
              <w:t>2,480</w:t>
            </w:r>
          </w:p>
        </w:tc>
        <w:tc>
          <w:tcPr>
            <w:tcW w:w="1380" w:type="dxa"/>
            <w:vAlign w:val="bottom"/>
          </w:tcPr>
          <w:p>
            <w:pPr>
              <w:jc w:val="right"/>
              <w:ind w:right="386"/>
              <w:spacing w:after="0"/>
              <w:rPr>
                <w:sz w:val="20"/>
                <w:szCs w:val="20"/>
                <w:color w:val="auto"/>
              </w:rPr>
            </w:pPr>
            <w:r>
              <w:rPr>
                <w:rFonts w:ascii="Arial" w:cs="Arial" w:eastAsia="Arial" w:hAnsi="Arial"/>
                <w:sz w:val="11"/>
                <w:szCs w:val="11"/>
                <w:color w:val="auto"/>
              </w:rPr>
              <w:t>483,880</w:t>
            </w:r>
          </w:p>
        </w:tc>
        <w:tc>
          <w:tcPr>
            <w:tcW w:w="800" w:type="dxa"/>
            <w:vAlign w:val="bottom"/>
          </w:tcPr>
          <w:p>
            <w:pPr>
              <w:jc w:val="right"/>
              <w:spacing w:after="0"/>
              <w:rPr>
                <w:sz w:val="20"/>
                <w:szCs w:val="20"/>
                <w:color w:val="auto"/>
              </w:rPr>
            </w:pPr>
            <w:r>
              <w:rPr>
                <w:rFonts w:ascii="Arial" w:cs="Arial" w:eastAsia="Arial" w:hAnsi="Arial"/>
                <w:sz w:val="11"/>
                <w:szCs w:val="11"/>
                <w:color w:val="auto"/>
              </w:rPr>
              <w:t>5,068</w:t>
            </w:r>
          </w:p>
        </w:tc>
        <w:tc>
          <w:tcPr>
            <w:tcW w:w="1360" w:type="dxa"/>
            <w:vAlign w:val="bottom"/>
          </w:tcPr>
          <w:p>
            <w:pPr>
              <w:jc w:val="right"/>
              <w:ind w:right="13"/>
              <w:spacing w:after="0"/>
              <w:rPr>
                <w:sz w:val="20"/>
                <w:szCs w:val="20"/>
                <w:color w:val="auto"/>
              </w:rPr>
            </w:pPr>
            <w:r>
              <w:rPr>
                <w:rFonts w:ascii="Arial" w:cs="Arial" w:eastAsia="Arial" w:hAnsi="Arial"/>
                <w:sz w:val="11"/>
                <w:szCs w:val="11"/>
                <w:color w:val="auto"/>
              </w:rPr>
              <w:t>988,694</w:t>
            </w:r>
          </w:p>
        </w:tc>
      </w:tr>
      <w:tr>
        <w:trPr>
          <w:trHeight w:val="142"/>
        </w:trPr>
        <w:tc>
          <w:tcPr>
            <w:tcW w:w="1700" w:type="dxa"/>
            <w:vAlign w:val="bottom"/>
          </w:tcPr>
          <w:p>
            <w:pPr>
              <w:spacing w:after="0"/>
              <w:rPr>
                <w:sz w:val="12"/>
                <w:szCs w:val="12"/>
                <w:color w:val="auto"/>
              </w:rPr>
            </w:pPr>
          </w:p>
        </w:tc>
        <w:tc>
          <w:tcPr>
            <w:tcW w:w="780" w:type="dxa"/>
            <w:vAlign w:val="bottom"/>
            <w:tcBorders>
              <w:bottom w:val="single" w:sz="8" w:color="939598"/>
            </w:tcBorders>
          </w:tcPr>
          <w:p>
            <w:pPr>
              <w:spacing w:after="0"/>
              <w:rPr>
                <w:sz w:val="12"/>
                <w:szCs w:val="12"/>
                <w:color w:val="auto"/>
              </w:rPr>
            </w:pPr>
          </w:p>
        </w:tc>
        <w:tc>
          <w:tcPr>
            <w:tcW w:w="1080" w:type="dxa"/>
            <w:vAlign w:val="bottom"/>
            <w:tcBorders>
              <w:bottom w:val="single" w:sz="8" w:color="939598"/>
            </w:tcBorders>
          </w:tcPr>
          <w:p>
            <w:pPr>
              <w:spacing w:after="0"/>
              <w:rPr>
                <w:sz w:val="12"/>
                <w:szCs w:val="12"/>
                <w:color w:val="auto"/>
              </w:rPr>
            </w:pPr>
          </w:p>
        </w:tc>
        <w:tc>
          <w:tcPr>
            <w:tcW w:w="1060" w:type="dxa"/>
            <w:vAlign w:val="bottom"/>
            <w:tcBorders>
              <w:bottom w:val="single" w:sz="8" w:color="939598"/>
            </w:tcBorders>
          </w:tcPr>
          <w:p>
            <w:pPr>
              <w:spacing w:after="0"/>
              <w:rPr>
                <w:sz w:val="12"/>
                <w:szCs w:val="12"/>
                <w:color w:val="auto"/>
              </w:rPr>
            </w:pPr>
          </w:p>
        </w:tc>
        <w:tc>
          <w:tcPr>
            <w:tcW w:w="760" w:type="dxa"/>
            <w:vAlign w:val="bottom"/>
            <w:tcBorders>
              <w:bottom w:val="single" w:sz="8" w:color="939598"/>
            </w:tcBorders>
          </w:tcPr>
          <w:p>
            <w:pPr>
              <w:spacing w:after="0"/>
              <w:rPr>
                <w:sz w:val="12"/>
                <w:szCs w:val="12"/>
                <w:color w:val="auto"/>
              </w:rPr>
            </w:pPr>
          </w:p>
        </w:tc>
        <w:tc>
          <w:tcPr>
            <w:tcW w:w="980" w:type="dxa"/>
            <w:vAlign w:val="bottom"/>
            <w:tcBorders>
              <w:bottom w:val="single" w:sz="8" w:color="939598"/>
            </w:tcBorders>
          </w:tcPr>
          <w:p>
            <w:pPr>
              <w:spacing w:after="0"/>
              <w:rPr>
                <w:sz w:val="12"/>
                <w:szCs w:val="12"/>
                <w:color w:val="auto"/>
              </w:rPr>
            </w:pPr>
          </w:p>
        </w:tc>
        <w:tc>
          <w:tcPr>
            <w:tcW w:w="1320" w:type="dxa"/>
            <w:vAlign w:val="bottom"/>
            <w:tcBorders>
              <w:bottom w:val="single" w:sz="8" w:color="939598"/>
            </w:tcBorders>
          </w:tcPr>
          <w:p>
            <w:pPr>
              <w:spacing w:after="0"/>
              <w:rPr>
                <w:sz w:val="12"/>
                <w:szCs w:val="12"/>
                <w:color w:val="auto"/>
              </w:rPr>
            </w:pPr>
          </w:p>
        </w:tc>
        <w:tc>
          <w:tcPr>
            <w:tcW w:w="1380" w:type="dxa"/>
            <w:vAlign w:val="bottom"/>
            <w:tcBorders>
              <w:bottom w:val="single" w:sz="8" w:color="939598"/>
            </w:tcBorders>
          </w:tcPr>
          <w:p>
            <w:pPr>
              <w:spacing w:after="0"/>
              <w:rPr>
                <w:sz w:val="12"/>
                <w:szCs w:val="12"/>
                <w:color w:val="auto"/>
              </w:rPr>
            </w:pPr>
          </w:p>
        </w:tc>
        <w:tc>
          <w:tcPr>
            <w:tcW w:w="800" w:type="dxa"/>
            <w:vAlign w:val="bottom"/>
            <w:tcBorders>
              <w:bottom w:val="single" w:sz="8" w:color="939598"/>
            </w:tcBorders>
          </w:tcPr>
          <w:p>
            <w:pPr>
              <w:spacing w:after="0"/>
              <w:rPr>
                <w:sz w:val="12"/>
                <w:szCs w:val="12"/>
                <w:color w:val="auto"/>
              </w:rPr>
            </w:pPr>
          </w:p>
        </w:tc>
        <w:tc>
          <w:tcPr>
            <w:tcW w:w="1360" w:type="dxa"/>
            <w:vAlign w:val="bottom"/>
            <w:tcBorders>
              <w:bottom w:val="single" w:sz="8" w:color="939598"/>
            </w:tcBorders>
          </w:tcPr>
          <w:p>
            <w:pPr>
              <w:spacing w:after="0"/>
              <w:rPr>
                <w:sz w:val="12"/>
                <w:szCs w:val="12"/>
                <w:color w:val="auto"/>
              </w:rPr>
            </w:pPr>
          </w:p>
        </w:tc>
      </w:tr>
      <w:tr>
        <w:trPr>
          <w:trHeight w:val="110"/>
        </w:trPr>
        <w:tc>
          <w:tcPr>
            <w:tcW w:w="1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320" w:type="dxa"/>
            <w:vAlign w:val="bottom"/>
          </w:tcPr>
          <w:p>
            <w:pPr>
              <w:ind w:left="740"/>
              <w:spacing w:after="0"/>
              <w:rPr>
                <w:sz w:val="20"/>
                <w:szCs w:val="20"/>
                <w:color w:val="auto"/>
              </w:rPr>
            </w:pPr>
            <w:r>
              <w:rPr>
                <w:rFonts w:ascii="Arial" w:cs="Arial" w:eastAsia="Arial" w:hAnsi="Arial"/>
                <w:sz w:val="7"/>
                <w:szCs w:val="7"/>
                <w:color w:val="auto"/>
              </w:rPr>
              <w:t>(7)</w:t>
            </w:r>
          </w:p>
        </w:tc>
        <w:tc>
          <w:tcPr>
            <w:tcW w:w="1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60" w:type="dxa"/>
            <w:vAlign w:val="bottom"/>
          </w:tcPr>
          <w:p>
            <w:pPr>
              <w:jc w:val="right"/>
              <w:ind w:right="1193"/>
              <w:spacing w:after="0"/>
              <w:rPr>
                <w:sz w:val="20"/>
                <w:szCs w:val="20"/>
                <w:color w:val="auto"/>
              </w:rPr>
            </w:pPr>
            <w:r>
              <w:rPr>
                <w:rFonts w:ascii="Arial" w:cs="Arial" w:eastAsia="Arial" w:hAnsi="Arial"/>
                <w:sz w:val="7"/>
                <w:szCs w:val="7"/>
                <w:color w:val="auto"/>
              </w:rPr>
              <w:t>(8)</w:t>
            </w:r>
          </w:p>
        </w:tc>
      </w:tr>
      <w:tr>
        <w:trPr>
          <w:trHeight w:val="147"/>
        </w:trPr>
        <w:tc>
          <w:tcPr>
            <w:tcW w:w="1700" w:type="dxa"/>
            <w:vAlign w:val="bottom"/>
          </w:tcPr>
          <w:p>
            <w:pPr>
              <w:spacing w:after="0"/>
              <w:rPr>
                <w:sz w:val="12"/>
                <w:szCs w:val="12"/>
                <w:color w:val="auto"/>
              </w:rPr>
            </w:pPr>
          </w:p>
        </w:tc>
        <w:tc>
          <w:tcPr>
            <w:tcW w:w="780" w:type="dxa"/>
            <w:vAlign w:val="bottom"/>
          </w:tcPr>
          <w:p>
            <w:pPr>
              <w:ind w:left="160"/>
              <w:spacing w:after="0"/>
              <w:rPr>
                <w:sz w:val="20"/>
                <w:szCs w:val="20"/>
                <w:color w:val="auto"/>
              </w:rPr>
            </w:pPr>
            <w:r>
              <w:rPr>
                <w:rFonts w:ascii="Arial" w:cs="Arial" w:eastAsia="Arial" w:hAnsi="Arial"/>
                <w:sz w:val="11"/>
                <w:szCs w:val="11"/>
                <w:color w:val="auto"/>
              </w:rPr>
              <w:t>2024</w:t>
            </w:r>
          </w:p>
        </w:tc>
        <w:tc>
          <w:tcPr>
            <w:tcW w:w="1080" w:type="dxa"/>
            <w:vAlign w:val="bottom"/>
          </w:tcPr>
          <w:p>
            <w:pPr>
              <w:jc w:val="right"/>
              <w:ind w:right="306"/>
              <w:spacing w:after="0"/>
              <w:rPr>
                <w:sz w:val="20"/>
                <w:szCs w:val="20"/>
                <w:color w:val="auto"/>
              </w:rPr>
            </w:pPr>
            <w:r>
              <w:rPr>
                <w:rFonts w:ascii="Arial" w:cs="Arial" w:eastAsia="Arial" w:hAnsi="Arial"/>
                <w:sz w:val="11"/>
                <w:szCs w:val="11"/>
                <w:color w:val="auto"/>
              </w:rPr>
              <w:t>2,622</w:t>
            </w:r>
          </w:p>
        </w:tc>
        <w:tc>
          <w:tcPr>
            <w:tcW w:w="1060" w:type="dxa"/>
            <w:vAlign w:val="bottom"/>
          </w:tcPr>
          <w:p>
            <w:pPr>
              <w:jc w:val="right"/>
              <w:ind w:right="307"/>
              <w:spacing w:after="0"/>
              <w:rPr>
                <w:sz w:val="20"/>
                <w:szCs w:val="20"/>
                <w:color w:val="auto"/>
              </w:rPr>
            </w:pPr>
            <w:r>
              <w:rPr>
                <w:rFonts w:ascii="Arial" w:cs="Arial" w:eastAsia="Arial" w:hAnsi="Arial"/>
                <w:sz w:val="11"/>
                <w:szCs w:val="11"/>
                <w:color w:val="auto"/>
              </w:rPr>
              <w:t>7,871</w:t>
            </w:r>
          </w:p>
        </w:tc>
        <w:tc>
          <w:tcPr>
            <w:tcW w:w="760" w:type="dxa"/>
            <w:vAlign w:val="bottom"/>
          </w:tcPr>
          <w:p>
            <w:pPr>
              <w:jc w:val="right"/>
              <w:ind w:right="126"/>
              <w:spacing w:after="0"/>
              <w:rPr>
                <w:sz w:val="20"/>
                <w:szCs w:val="20"/>
                <w:color w:val="auto"/>
              </w:rPr>
            </w:pPr>
            <w:r>
              <w:rPr>
                <w:rFonts w:ascii="Arial" w:cs="Arial" w:eastAsia="Arial" w:hAnsi="Arial"/>
                <w:sz w:val="11"/>
                <w:szCs w:val="11"/>
                <w:color w:val="auto"/>
              </w:rPr>
              <w:t>187.39</w:t>
            </w:r>
          </w:p>
        </w:tc>
        <w:tc>
          <w:tcPr>
            <w:tcW w:w="980" w:type="dxa"/>
            <w:vAlign w:val="bottom"/>
          </w:tcPr>
          <w:p>
            <w:pPr>
              <w:jc w:val="right"/>
              <w:ind w:right="286"/>
              <w:spacing w:after="0"/>
              <w:rPr>
                <w:sz w:val="20"/>
                <w:szCs w:val="20"/>
                <w:color w:val="auto"/>
              </w:rPr>
            </w:pPr>
            <w:r>
              <w:rPr>
                <w:rFonts w:ascii="Arial" w:cs="Arial" w:eastAsia="Arial" w:hAnsi="Arial"/>
                <w:sz w:val="11"/>
                <w:szCs w:val="11"/>
                <w:color w:val="auto"/>
              </w:rPr>
              <w:t>2/15/2034</w:t>
            </w:r>
          </w:p>
        </w:tc>
        <w:tc>
          <w:tcPr>
            <w:tcW w:w="1320" w:type="dxa"/>
            <w:vAlign w:val="bottom"/>
          </w:tcPr>
          <w:p>
            <w:pPr>
              <w:jc w:val="right"/>
              <w:ind w:right="614"/>
              <w:spacing w:after="0"/>
              <w:rPr>
                <w:sz w:val="20"/>
                <w:szCs w:val="20"/>
                <w:color w:val="auto"/>
              </w:rPr>
            </w:pPr>
            <w:r>
              <w:rPr>
                <w:rFonts w:ascii="Arial" w:cs="Arial" w:eastAsia="Arial" w:hAnsi="Arial"/>
                <w:sz w:val="11"/>
                <w:szCs w:val="11"/>
                <w:color w:val="auto"/>
              </w:rPr>
              <w:t>2,116</w:t>
            </w:r>
          </w:p>
        </w:tc>
        <w:tc>
          <w:tcPr>
            <w:tcW w:w="1380" w:type="dxa"/>
            <w:vAlign w:val="bottom"/>
          </w:tcPr>
          <w:p>
            <w:pPr>
              <w:jc w:val="right"/>
              <w:ind w:right="386"/>
              <w:spacing w:after="0"/>
              <w:rPr>
                <w:sz w:val="20"/>
                <w:szCs w:val="20"/>
                <w:color w:val="auto"/>
              </w:rPr>
            </w:pPr>
            <w:r>
              <w:rPr>
                <w:rFonts w:ascii="Arial" w:cs="Arial" w:eastAsia="Arial" w:hAnsi="Arial"/>
                <w:sz w:val="11"/>
                <w:szCs w:val="11"/>
                <w:color w:val="auto"/>
              </w:rPr>
              <w:t>412,889</w:t>
            </w:r>
          </w:p>
        </w:tc>
        <w:tc>
          <w:tcPr>
            <w:tcW w:w="800" w:type="dxa"/>
            <w:vAlign w:val="bottom"/>
          </w:tcPr>
          <w:p>
            <w:pPr>
              <w:jc w:val="right"/>
              <w:spacing w:after="0"/>
              <w:rPr>
                <w:sz w:val="20"/>
                <w:szCs w:val="20"/>
                <w:color w:val="auto"/>
              </w:rPr>
            </w:pPr>
            <w:r>
              <w:rPr>
                <w:rFonts w:ascii="Arial" w:cs="Arial" w:eastAsia="Arial" w:hAnsi="Arial"/>
                <w:sz w:val="11"/>
                <w:szCs w:val="11"/>
                <w:color w:val="auto"/>
              </w:rPr>
              <w:t>4,123</w:t>
            </w:r>
          </w:p>
        </w:tc>
        <w:tc>
          <w:tcPr>
            <w:tcW w:w="1360" w:type="dxa"/>
            <w:vAlign w:val="bottom"/>
          </w:tcPr>
          <w:p>
            <w:pPr>
              <w:jc w:val="right"/>
              <w:ind w:right="13"/>
              <w:spacing w:after="0"/>
              <w:rPr>
                <w:sz w:val="20"/>
                <w:szCs w:val="20"/>
                <w:color w:val="auto"/>
              </w:rPr>
            </w:pPr>
            <w:r>
              <w:rPr>
                <w:rFonts w:ascii="Arial" w:cs="Arial" w:eastAsia="Arial" w:hAnsi="Arial"/>
                <w:sz w:val="11"/>
                <w:szCs w:val="11"/>
                <w:color w:val="auto"/>
              </w:rPr>
              <w:t>804,401</w:t>
            </w:r>
          </w:p>
        </w:tc>
      </w:tr>
      <w:tr>
        <w:trPr>
          <w:trHeight w:val="142"/>
        </w:trPr>
        <w:tc>
          <w:tcPr>
            <w:tcW w:w="1700" w:type="dxa"/>
            <w:vAlign w:val="bottom"/>
          </w:tcPr>
          <w:p>
            <w:pPr>
              <w:spacing w:after="0"/>
              <w:rPr>
                <w:sz w:val="12"/>
                <w:szCs w:val="12"/>
                <w:color w:val="auto"/>
              </w:rPr>
            </w:pPr>
          </w:p>
        </w:tc>
        <w:tc>
          <w:tcPr>
            <w:tcW w:w="780" w:type="dxa"/>
            <w:vAlign w:val="bottom"/>
            <w:tcBorders>
              <w:bottom w:val="single" w:sz="8" w:color="939598"/>
            </w:tcBorders>
          </w:tcPr>
          <w:p>
            <w:pPr>
              <w:spacing w:after="0"/>
              <w:rPr>
                <w:sz w:val="12"/>
                <w:szCs w:val="12"/>
                <w:color w:val="auto"/>
              </w:rPr>
            </w:pPr>
          </w:p>
        </w:tc>
        <w:tc>
          <w:tcPr>
            <w:tcW w:w="1080" w:type="dxa"/>
            <w:vAlign w:val="bottom"/>
            <w:tcBorders>
              <w:bottom w:val="single" w:sz="8" w:color="939598"/>
            </w:tcBorders>
          </w:tcPr>
          <w:p>
            <w:pPr>
              <w:spacing w:after="0"/>
              <w:rPr>
                <w:sz w:val="12"/>
                <w:szCs w:val="12"/>
                <w:color w:val="auto"/>
              </w:rPr>
            </w:pPr>
          </w:p>
        </w:tc>
        <w:tc>
          <w:tcPr>
            <w:tcW w:w="1060" w:type="dxa"/>
            <w:vAlign w:val="bottom"/>
            <w:tcBorders>
              <w:bottom w:val="single" w:sz="8" w:color="939598"/>
            </w:tcBorders>
          </w:tcPr>
          <w:p>
            <w:pPr>
              <w:spacing w:after="0"/>
              <w:rPr>
                <w:sz w:val="12"/>
                <w:szCs w:val="12"/>
                <w:color w:val="auto"/>
              </w:rPr>
            </w:pPr>
          </w:p>
        </w:tc>
        <w:tc>
          <w:tcPr>
            <w:tcW w:w="760" w:type="dxa"/>
            <w:vAlign w:val="bottom"/>
            <w:tcBorders>
              <w:bottom w:val="single" w:sz="8" w:color="939598"/>
            </w:tcBorders>
          </w:tcPr>
          <w:p>
            <w:pPr>
              <w:spacing w:after="0"/>
              <w:rPr>
                <w:sz w:val="12"/>
                <w:szCs w:val="12"/>
                <w:color w:val="auto"/>
              </w:rPr>
            </w:pPr>
          </w:p>
        </w:tc>
        <w:tc>
          <w:tcPr>
            <w:tcW w:w="980" w:type="dxa"/>
            <w:vAlign w:val="bottom"/>
            <w:tcBorders>
              <w:bottom w:val="single" w:sz="8" w:color="939598"/>
            </w:tcBorders>
          </w:tcPr>
          <w:p>
            <w:pPr>
              <w:spacing w:after="0"/>
              <w:rPr>
                <w:sz w:val="12"/>
                <w:szCs w:val="12"/>
                <w:color w:val="auto"/>
              </w:rPr>
            </w:pPr>
          </w:p>
        </w:tc>
        <w:tc>
          <w:tcPr>
            <w:tcW w:w="1320" w:type="dxa"/>
            <w:vAlign w:val="bottom"/>
            <w:tcBorders>
              <w:bottom w:val="single" w:sz="8" w:color="939598"/>
            </w:tcBorders>
          </w:tcPr>
          <w:p>
            <w:pPr>
              <w:spacing w:after="0"/>
              <w:rPr>
                <w:sz w:val="12"/>
                <w:szCs w:val="12"/>
                <w:color w:val="auto"/>
              </w:rPr>
            </w:pPr>
          </w:p>
        </w:tc>
        <w:tc>
          <w:tcPr>
            <w:tcW w:w="1380" w:type="dxa"/>
            <w:vAlign w:val="bottom"/>
            <w:tcBorders>
              <w:bottom w:val="single" w:sz="8" w:color="939598"/>
            </w:tcBorders>
          </w:tcPr>
          <w:p>
            <w:pPr>
              <w:spacing w:after="0"/>
              <w:rPr>
                <w:sz w:val="12"/>
                <w:szCs w:val="12"/>
                <w:color w:val="auto"/>
              </w:rPr>
            </w:pPr>
          </w:p>
        </w:tc>
        <w:tc>
          <w:tcPr>
            <w:tcW w:w="800" w:type="dxa"/>
            <w:vAlign w:val="bottom"/>
            <w:tcBorders>
              <w:bottom w:val="single" w:sz="8" w:color="939598"/>
            </w:tcBorders>
          </w:tcPr>
          <w:p>
            <w:pPr>
              <w:spacing w:after="0"/>
              <w:rPr>
                <w:sz w:val="12"/>
                <w:szCs w:val="12"/>
                <w:color w:val="auto"/>
              </w:rPr>
            </w:pPr>
          </w:p>
        </w:tc>
        <w:tc>
          <w:tcPr>
            <w:tcW w:w="1360" w:type="dxa"/>
            <w:vAlign w:val="bottom"/>
            <w:tcBorders>
              <w:bottom w:val="single" w:sz="8" w:color="939598"/>
            </w:tcBorders>
          </w:tcPr>
          <w:p>
            <w:pPr>
              <w:spacing w:after="0"/>
              <w:rPr>
                <w:sz w:val="12"/>
                <w:szCs w:val="12"/>
                <w:color w:val="auto"/>
              </w:rPr>
            </w:pPr>
          </w:p>
        </w:tc>
      </w:tr>
      <w:tr>
        <w:trPr>
          <w:trHeight w:val="110"/>
        </w:trPr>
        <w:tc>
          <w:tcPr>
            <w:tcW w:w="1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320" w:type="dxa"/>
            <w:vAlign w:val="bottom"/>
          </w:tcPr>
          <w:p>
            <w:pPr>
              <w:ind w:left="740"/>
              <w:spacing w:after="0"/>
              <w:rPr>
                <w:sz w:val="20"/>
                <w:szCs w:val="20"/>
                <w:color w:val="auto"/>
              </w:rPr>
            </w:pPr>
            <w:r>
              <w:rPr>
                <w:rFonts w:ascii="Arial" w:cs="Arial" w:eastAsia="Arial" w:hAnsi="Arial"/>
                <w:sz w:val="7"/>
                <w:szCs w:val="7"/>
                <w:color w:val="auto"/>
              </w:rPr>
              <w:t>(25)</w:t>
            </w:r>
          </w:p>
        </w:tc>
        <w:tc>
          <w:tcPr>
            <w:tcW w:w="1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60" w:type="dxa"/>
            <w:vAlign w:val="bottom"/>
          </w:tcPr>
          <w:p>
            <w:pPr>
              <w:spacing w:after="0"/>
              <w:rPr>
                <w:sz w:val="9"/>
                <w:szCs w:val="9"/>
                <w:color w:val="auto"/>
              </w:rPr>
            </w:pPr>
          </w:p>
        </w:tc>
      </w:tr>
      <w:tr>
        <w:trPr>
          <w:trHeight w:val="147"/>
        </w:trPr>
        <w:tc>
          <w:tcPr>
            <w:tcW w:w="1700" w:type="dxa"/>
            <w:vAlign w:val="bottom"/>
          </w:tcPr>
          <w:p>
            <w:pPr>
              <w:spacing w:after="0"/>
              <w:rPr>
                <w:sz w:val="12"/>
                <w:szCs w:val="12"/>
                <w:color w:val="auto"/>
              </w:rPr>
            </w:pPr>
          </w:p>
        </w:tc>
        <w:tc>
          <w:tcPr>
            <w:tcW w:w="780" w:type="dxa"/>
            <w:vAlign w:val="bottom"/>
          </w:tcPr>
          <w:p>
            <w:pPr>
              <w:ind w:left="160"/>
              <w:spacing w:after="0"/>
              <w:rPr>
                <w:sz w:val="20"/>
                <w:szCs w:val="20"/>
                <w:color w:val="auto"/>
              </w:rPr>
            </w:pPr>
            <w:r>
              <w:rPr>
                <w:rFonts w:ascii="Arial" w:cs="Arial" w:eastAsia="Arial" w:hAnsi="Arial"/>
                <w:sz w:val="11"/>
                <w:szCs w:val="11"/>
                <w:color w:val="auto"/>
              </w:rPr>
              <w:t>2023</w:t>
            </w:r>
          </w:p>
        </w:tc>
        <w:tc>
          <w:tcPr>
            <w:tcW w:w="1080" w:type="dxa"/>
            <w:vAlign w:val="bottom"/>
          </w:tcPr>
          <w:p>
            <w:pPr>
              <w:jc w:val="right"/>
              <w:ind w:right="306"/>
              <w:spacing w:after="0"/>
              <w:rPr>
                <w:sz w:val="20"/>
                <w:szCs w:val="20"/>
                <w:color w:val="auto"/>
              </w:rPr>
            </w:pPr>
            <w:r>
              <w:rPr>
                <w:rFonts w:ascii="Arial" w:cs="Arial" w:eastAsia="Arial" w:hAnsi="Arial"/>
                <w:sz w:val="11"/>
                <w:szCs w:val="11"/>
                <w:color w:val="auto"/>
              </w:rPr>
              <w:t>3,518</w:t>
            </w:r>
          </w:p>
        </w:tc>
        <w:tc>
          <w:tcPr>
            <w:tcW w:w="1060" w:type="dxa"/>
            <w:vAlign w:val="bottom"/>
          </w:tcPr>
          <w:p>
            <w:pPr>
              <w:jc w:val="right"/>
              <w:ind w:right="307"/>
              <w:spacing w:after="0"/>
              <w:rPr>
                <w:sz w:val="20"/>
                <w:szCs w:val="20"/>
                <w:color w:val="auto"/>
              </w:rPr>
            </w:pPr>
            <w:r>
              <w:rPr>
                <w:rFonts w:ascii="Arial" w:cs="Arial" w:eastAsia="Arial" w:hAnsi="Arial"/>
                <w:sz w:val="11"/>
                <w:szCs w:val="11"/>
                <w:color w:val="auto"/>
              </w:rPr>
              <w:t>3,519</w:t>
            </w:r>
          </w:p>
        </w:tc>
        <w:tc>
          <w:tcPr>
            <w:tcW w:w="760" w:type="dxa"/>
            <w:vAlign w:val="bottom"/>
          </w:tcPr>
          <w:p>
            <w:pPr>
              <w:jc w:val="right"/>
              <w:ind w:right="126"/>
              <w:spacing w:after="0"/>
              <w:rPr>
                <w:sz w:val="20"/>
                <w:szCs w:val="20"/>
                <w:color w:val="auto"/>
              </w:rPr>
            </w:pPr>
            <w:r>
              <w:rPr>
                <w:rFonts w:ascii="Arial" w:cs="Arial" w:eastAsia="Arial" w:hAnsi="Arial"/>
                <w:sz w:val="11"/>
                <w:szCs w:val="11"/>
                <w:color w:val="auto"/>
              </w:rPr>
              <w:t>186.91</w:t>
            </w:r>
          </w:p>
        </w:tc>
        <w:tc>
          <w:tcPr>
            <w:tcW w:w="980" w:type="dxa"/>
            <w:vAlign w:val="bottom"/>
          </w:tcPr>
          <w:p>
            <w:pPr>
              <w:jc w:val="right"/>
              <w:ind w:right="286"/>
              <w:spacing w:after="0"/>
              <w:rPr>
                <w:sz w:val="20"/>
                <w:szCs w:val="20"/>
                <w:color w:val="auto"/>
              </w:rPr>
            </w:pPr>
            <w:r>
              <w:rPr>
                <w:rFonts w:ascii="Arial" w:cs="Arial" w:eastAsia="Arial" w:hAnsi="Arial"/>
                <w:sz w:val="11"/>
                <w:szCs w:val="11"/>
                <w:color w:val="auto"/>
              </w:rPr>
              <w:t>4/23/2033</w:t>
            </w:r>
          </w:p>
        </w:tc>
        <w:tc>
          <w:tcPr>
            <w:tcW w:w="1320" w:type="dxa"/>
            <w:vAlign w:val="bottom"/>
          </w:tcPr>
          <w:p>
            <w:pPr>
              <w:jc w:val="right"/>
              <w:ind w:right="614"/>
              <w:spacing w:after="0"/>
              <w:rPr>
                <w:sz w:val="20"/>
                <w:szCs w:val="20"/>
                <w:color w:val="auto"/>
              </w:rPr>
            </w:pPr>
            <w:r>
              <w:rPr>
                <w:rFonts w:ascii="Arial" w:cs="Arial" w:eastAsia="Arial" w:hAnsi="Arial"/>
                <w:sz w:val="11"/>
                <w:szCs w:val="11"/>
                <w:color w:val="auto"/>
              </w:rPr>
              <w:t>951</w:t>
            </w:r>
          </w:p>
        </w:tc>
        <w:tc>
          <w:tcPr>
            <w:tcW w:w="1380" w:type="dxa"/>
            <w:vAlign w:val="bottom"/>
          </w:tcPr>
          <w:p>
            <w:pPr>
              <w:jc w:val="right"/>
              <w:ind w:right="386"/>
              <w:spacing w:after="0"/>
              <w:rPr>
                <w:sz w:val="20"/>
                <w:szCs w:val="20"/>
                <w:color w:val="auto"/>
              </w:rPr>
            </w:pPr>
            <w:r>
              <w:rPr>
                <w:rFonts w:ascii="Arial" w:cs="Arial" w:eastAsia="Arial" w:hAnsi="Arial"/>
                <w:sz w:val="11"/>
                <w:szCs w:val="11"/>
                <w:color w:val="auto"/>
              </w:rPr>
              <w:t>185,592</w:t>
            </w:r>
          </w:p>
        </w:tc>
        <w:tc>
          <w:tcPr>
            <w:tcW w:w="80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42"/>
        </w:trPr>
        <w:tc>
          <w:tcPr>
            <w:tcW w:w="1700" w:type="dxa"/>
            <w:vAlign w:val="bottom"/>
          </w:tcPr>
          <w:p>
            <w:pPr>
              <w:spacing w:after="0"/>
              <w:rPr>
                <w:sz w:val="12"/>
                <w:szCs w:val="12"/>
                <w:color w:val="auto"/>
              </w:rPr>
            </w:pPr>
          </w:p>
        </w:tc>
        <w:tc>
          <w:tcPr>
            <w:tcW w:w="780" w:type="dxa"/>
            <w:vAlign w:val="bottom"/>
            <w:tcBorders>
              <w:bottom w:val="single" w:sz="8" w:color="939598"/>
            </w:tcBorders>
          </w:tcPr>
          <w:p>
            <w:pPr>
              <w:spacing w:after="0"/>
              <w:rPr>
                <w:sz w:val="12"/>
                <w:szCs w:val="12"/>
                <w:color w:val="auto"/>
              </w:rPr>
            </w:pPr>
          </w:p>
        </w:tc>
        <w:tc>
          <w:tcPr>
            <w:tcW w:w="1080" w:type="dxa"/>
            <w:vAlign w:val="bottom"/>
            <w:tcBorders>
              <w:bottom w:val="single" w:sz="8" w:color="939598"/>
            </w:tcBorders>
          </w:tcPr>
          <w:p>
            <w:pPr>
              <w:spacing w:after="0"/>
              <w:rPr>
                <w:sz w:val="12"/>
                <w:szCs w:val="12"/>
                <w:color w:val="auto"/>
              </w:rPr>
            </w:pPr>
          </w:p>
        </w:tc>
        <w:tc>
          <w:tcPr>
            <w:tcW w:w="1060" w:type="dxa"/>
            <w:vAlign w:val="bottom"/>
            <w:tcBorders>
              <w:bottom w:val="single" w:sz="8" w:color="939598"/>
            </w:tcBorders>
          </w:tcPr>
          <w:p>
            <w:pPr>
              <w:spacing w:after="0"/>
              <w:rPr>
                <w:sz w:val="12"/>
                <w:szCs w:val="12"/>
                <w:color w:val="auto"/>
              </w:rPr>
            </w:pPr>
          </w:p>
        </w:tc>
        <w:tc>
          <w:tcPr>
            <w:tcW w:w="760" w:type="dxa"/>
            <w:vAlign w:val="bottom"/>
            <w:tcBorders>
              <w:bottom w:val="single" w:sz="8" w:color="939598"/>
            </w:tcBorders>
          </w:tcPr>
          <w:p>
            <w:pPr>
              <w:spacing w:after="0"/>
              <w:rPr>
                <w:sz w:val="12"/>
                <w:szCs w:val="12"/>
                <w:color w:val="auto"/>
              </w:rPr>
            </w:pPr>
          </w:p>
        </w:tc>
        <w:tc>
          <w:tcPr>
            <w:tcW w:w="980" w:type="dxa"/>
            <w:vAlign w:val="bottom"/>
            <w:tcBorders>
              <w:bottom w:val="single" w:sz="8" w:color="939598"/>
            </w:tcBorders>
          </w:tcPr>
          <w:p>
            <w:pPr>
              <w:spacing w:after="0"/>
              <w:rPr>
                <w:sz w:val="12"/>
                <w:szCs w:val="12"/>
                <w:color w:val="auto"/>
              </w:rPr>
            </w:pPr>
          </w:p>
        </w:tc>
        <w:tc>
          <w:tcPr>
            <w:tcW w:w="1320" w:type="dxa"/>
            <w:vAlign w:val="bottom"/>
            <w:tcBorders>
              <w:bottom w:val="single" w:sz="8" w:color="939598"/>
            </w:tcBorders>
          </w:tcPr>
          <w:p>
            <w:pPr>
              <w:spacing w:after="0"/>
              <w:rPr>
                <w:sz w:val="12"/>
                <w:szCs w:val="12"/>
                <w:color w:val="auto"/>
              </w:rPr>
            </w:pPr>
          </w:p>
        </w:tc>
        <w:tc>
          <w:tcPr>
            <w:tcW w:w="1380" w:type="dxa"/>
            <w:vAlign w:val="bottom"/>
            <w:tcBorders>
              <w:bottom w:val="single" w:sz="8" w:color="939598"/>
            </w:tcBorders>
          </w:tcPr>
          <w:p>
            <w:pPr>
              <w:spacing w:after="0"/>
              <w:rPr>
                <w:sz w:val="12"/>
                <w:szCs w:val="12"/>
                <w:color w:val="auto"/>
              </w:rPr>
            </w:pPr>
          </w:p>
        </w:tc>
        <w:tc>
          <w:tcPr>
            <w:tcW w:w="800" w:type="dxa"/>
            <w:vAlign w:val="bottom"/>
            <w:tcBorders>
              <w:bottom w:val="single" w:sz="8" w:color="939598"/>
            </w:tcBorders>
          </w:tcPr>
          <w:p>
            <w:pPr>
              <w:spacing w:after="0"/>
              <w:rPr>
                <w:sz w:val="12"/>
                <w:szCs w:val="12"/>
                <w:color w:val="auto"/>
              </w:rPr>
            </w:pPr>
          </w:p>
        </w:tc>
        <w:tc>
          <w:tcPr>
            <w:tcW w:w="1360" w:type="dxa"/>
            <w:vAlign w:val="bottom"/>
            <w:tcBorders>
              <w:bottom w:val="single" w:sz="8" w:color="939598"/>
            </w:tcBorders>
          </w:tcPr>
          <w:p>
            <w:pPr>
              <w:spacing w:after="0"/>
              <w:rPr>
                <w:sz w:val="12"/>
                <w:szCs w:val="12"/>
                <w:color w:val="auto"/>
              </w:rPr>
            </w:pPr>
          </w:p>
        </w:tc>
      </w:tr>
      <w:tr>
        <w:trPr>
          <w:trHeight w:val="110"/>
        </w:trPr>
        <w:tc>
          <w:tcPr>
            <w:tcW w:w="1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320" w:type="dxa"/>
            <w:vAlign w:val="bottom"/>
          </w:tcPr>
          <w:p>
            <w:pPr>
              <w:ind w:left="740"/>
              <w:spacing w:after="0"/>
              <w:rPr>
                <w:sz w:val="20"/>
                <w:szCs w:val="20"/>
                <w:color w:val="auto"/>
              </w:rPr>
            </w:pPr>
            <w:r>
              <w:rPr>
                <w:rFonts w:ascii="Arial" w:cs="Arial" w:eastAsia="Arial" w:hAnsi="Arial"/>
                <w:sz w:val="7"/>
                <w:szCs w:val="7"/>
                <w:color w:val="auto"/>
              </w:rPr>
              <w:t>(18)</w:t>
            </w:r>
          </w:p>
        </w:tc>
        <w:tc>
          <w:tcPr>
            <w:tcW w:w="1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60" w:type="dxa"/>
            <w:vAlign w:val="bottom"/>
          </w:tcPr>
          <w:p>
            <w:pPr>
              <w:spacing w:after="0"/>
              <w:rPr>
                <w:sz w:val="9"/>
                <w:szCs w:val="9"/>
                <w:color w:val="auto"/>
              </w:rPr>
            </w:pPr>
          </w:p>
        </w:tc>
      </w:tr>
      <w:tr>
        <w:trPr>
          <w:trHeight w:val="147"/>
        </w:trPr>
        <w:tc>
          <w:tcPr>
            <w:tcW w:w="1700" w:type="dxa"/>
            <w:vAlign w:val="bottom"/>
          </w:tcPr>
          <w:p>
            <w:pPr>
              <w:spacing w:after="0"/>
              <w:rPr>
                <w:sz w:val="12"/>
                <w:szCs w:val="12"/>
                <w:color w:val="auto"/>
              </w:rPr>
            </w:pPr>
          </w:p>
        </w:tc>
        <w:tc>
          <w:tcPr>
            <w:tcW w:w="780" w:type="dxa"/>
            <w:vAlign w:val="bottom"/>
          </w:tcPr>
          <w:p>
            <w:pPr>
              <w:ind w:left="160"/>
              <w:spacing w:after="0"/>
              <w:rPr>
                <w:sz w:val="20"/>
                <w:szCs w:val="20"/>
                <w:color w:val="auto"/>
              </w:rPr>
            </w:pPr>
            <w:r>
              <w:rPr>
                <w:rFonts w:ascii="Arial" w:cs="Arial" w:eastAsia="Arial" w:hAnsi="Arial"/>
                <w:sz w:val="11"/>
                <w:szCs w:val="11"/>
                <w:color w:val="auto"/>
              </w:rPr>
              <w:t>2023</w:t>
            </w:r>
          </w:p>
        </w:tc>
        <w:tc>
          <w:tcPr>
            <w:tcW w:w="1080" w:type="dxa"/>
            <w:vAlign w:val="bottom"/>
          </w:tcPr>
          <w:p>
            <w:pPr>
              <w:jc w:val="right"/>
              <w:ind w:right="306"/>
              <w:spacing w:after="0"/>
              <w:rPr>
                <w:sz w:val="20"/>
                <w:szCs w:val="20"/>
                <w:color w:val="auto"/>
              </w:rPr>
            </w:pPr>
            <w:r>
              <w:rPr>
                <w:rFonts w:ascii="Arial" w:cs="Arial" w:eastAsia="Arial" w:hAnsi="Arial"/>
                <w:sz w:val="11"/>
                <w:szCs w:val="11"/>
                <w:color w:val="auto"/>
              </w:rPr>
              <w:t>2,361</w:t>
            </w:r>
          </w:p>
        </w:tc>
        <w:tc>
          <w:tcPr>
            <w:tcW w:w="1060" w:type="dxa"/>
            <w:vAlign w:val="bottom"/>
          </w:tcPr>
          <w:p>
            <w:pPr>
              <w:jc w:val="right"/>
              <w:ind w:right="307"/>
              <w:spacing w:after="0"/>
              <w:rPr>
                <w:sz w:val="20"/>
                <w:szCs w:val="20"/>
                <w:color w:val="auto"/>
              </w:rPr>
            </w:pPr>
            <w:r>
              <w:rPr>
                <w:rFonts w:ascii="Arial" w:cs="Arial" w:eastAsia="Arial" w:hAnsi="Arial"/>
                <w:sz w:val="11"/>
                <w:szCs w:val="11"/>
                <w:color w:val="auto"/>
              </w:rPr>
              <w:t>2,360</w:t>
            </w:r>
          </w:p>
        </w:tc>
        <w:tc>
          <w:tcPr>
            <w:tcW w:w="760" w:type="dxa"/>
            <w:vAlign w:val="bottom"/>
          </w:tcPr>
          <w:p>
            <w:pPr>
              <w:jc w:val="right"/>
              <w:ind w:right="126"/>
              <w:spacing w:after="0"/>
              <w:rPr>
                <w:sz w:val="20"/>
                <w:szCs w:val="20"/>
                <w:color w:val="auto"/>
              </w:rPr>
            </w:pPr>
            <w:r>
              <w:rPr>
                <w:rFonts w:ascii="Arial" w:cs="Arial" w:eastAsia="Arial" w:hAnsi="Arial"/>
                <w:sz w:val="11"/>
                <w:szCs w:val="11"/>
                <w:color w:val="auto"/>
              </w:rPr>
              <w:t>184.19</w:t>
            </w:r>
          </w:p>
        </w:tc>
        <w:tc>
          <w:tcPr>
            <w:tcW w:w="980" w:type="dxa"/>
            <w:vAlign w:val="bottom"/>
          </w:tcPr>
          <w:p>
            <w:pPr>
              <w:jc w:val="right"/>
              <w:ind w:right="286"/>
              <w:spacing w:after="0"/>
              <w:rPr>
                <w:sz w:val="20"/>
                <w:szCs w:val="20"/>
                <w:color w:val="auto"/>
              </w:rPr>
            </w:pPr>
            <w:r>
              <w:rPr>
                <w:rFonts w:ascii="Arial" w:cs="Arial" w:eastAsia="Arial" w:hAnsi="Arial"/>
                <w:sz w:val="11"/>
                <w:szCs w:val="11"/>
                <w:color w:val="auto"/>
              </w:rPr>
              <w:t>2/22/2033</w:t>
            </w:r>
          </w:p>
        </w:tc>
        <w:tc>
          <w:tcPr>
            <w:tcW w:w="1320" w:type="dxa"/>
            <w:vAlign w:val="bottom"/>
          </w:tcPr>
          <w:p>
            <w:pPr>
              <w:jc w:val="right"/>
              <w:ind w:right="614"/>
              <w:spacing w:after="0"/>
              <w:rPr>
                <w:sz w:val="20"/>
                <w:szCs w:val="20"/>
                <w:color w:val="auto"/>
              </w:rPr>
            </w:pPr>
            <w:r>
              <w:rPr>
                <w:rFonts w:ascii="Arial" w:cs="Arial" w:eastAsia="Arial" w:hAnsi="Arial"/>
                <w:sz w:val="11"/>
                <w:szCs w:val="11"/>
                <w:color w:val="auto"/>
              </w:rPr>
              <w:t>1,005</w:t>
            </w:r>
          </w:p>
        </w:tc>
        <w:tc>
          <w:tcPr>
            <w:tcW w:w="1380" w:type="dxa"/>
            <w:vAlign w:val="bottom"/>
          </w:tcPr>
          <w:p>
            <w:pPr>
              <w:jc w:val="right"/>
              <w:ind w:right="386"/>
              <w:spacing w:after="0"/>
              <w:rPr>
                <w:sz w:val="20"/>
                <w:szCs w:val="20"/>
                <w:color w:val="auto"/>
              </w:rPr>
            </w:pPr>
            <w:r>
              <w:rPr>
                <w:rFonts w:ascii="Arial" w:cs="Arial" w:eastAsia="Arial" w:hAnsi="Arial"/>
                <w:sz w:val="11"/>
                <w:szCs w:val="11"/>
                <w:color w:val="auto"/>
              </w:rPr>
              <w:t>196,144</w:t>
            </w:r>
          </w:p>
        </w:tc>
        <w:tc>
          <w:tcPr>
            <w:tcW w:w="80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42"/>
        </w:trPr>
        <w:tc>
          <w:tcPr>
            <w:tcW w:w="1700" w:type="dxa"/>
            <w:vAlign w:val="bottom"/>
          </w:tcPr>
          <w:p>
            <w:pPr>
              <w:spacing w:after="0"/>
              <w:rPr>
                <w:sz w:val="12"/>
                <w:szCs w:val="12"/>
                <w:color w:val="auto"/>
              </w:rPr>
            </w:pPr>
          </w:p>
        </w:tc>
        <w:tc>
          <w:tcPr>
            <w:tcW w:w="780" w:type="dxa"/>
            <w:vAlign w:val="bottom"/>
            <w:tcBorders>
              <w:bottom w:val="single" w:sz="8" w:color="939598"/>
            </w:tcBorders>
          </w:tcPr>
          <w:p>
            <w:pPr>
              <w:spacing w:after="0"/>
              <w:rPr>
                <w:sz w:val="12"/>
                <w:szCs w:val="12"/>
                <w:color w:val="auto"/>
              </w:rPr>
            </w:pPr>
          </w:p>
        </w:tc>
        <w:tc>
          <w:tcPr>
            <w:tcW w:w="1080" w:type="dxa"/>
            <w:vAlign w:val="bottom"/>
            <w:tcBorders>
              <w:bottom w:val="single" w:sz="8" w:color="939598"/>
            </w:tcBorders>
          </w:tcPr>
          <w:p>
            <w:pPr>
              <w:spacing w:after="0"/>
              <w:rPr>
                <w:sz w:val="12"/>
                <w:szCs w:val="12"/>
                <w:color w:val="auto"/>
              </w:rPr>
            </w:pPr>
          </w:p>
        </w:tc>
        <w:tc>
          <w:tcPr>
            <w:tcW w:w="1060" w:type="dxa"/>
            <w:vAlign w:val="bottom"/>
            <w:tcBorders>
              <w:bottom w:val="single" w:sz="8" w:color="939598"/>
            </w:tcBorders>
          </w:tcPr>
          <w:p>
            <w:pPr>
              <w:spacing w:after="0"/>
              <w:rPr>
                <w:sz w:val="12"/>
                <w:szCs w:val="12"/>
                <w:color w:val="auto"/>
              </w:rPr>
            </w:pPr>
          </w:p>
        </w:tc>
        <w:tc>
          <w:tcPr>
            <w:tcW w:w="760" w:type="dxa"/>
            <w:vAlign w:val="bottom"/>
            <w:tcBorders>
              <w:bottom w:val="single" w:sz="8" w:color="939598"/>
            </w:tcBorders>
          </w:tcPr>
          <w:p>
            <w:pPr>
              <w:spacing w:after="0"/>
              <w:rPr>
                <w:sz w:val="12"/>
                <w:szCs w:val="12"/>
                <w:color w:val="auto"/>
              </w:rPr>
            </w:pPr>
          </w:p>
        </w:tc>
        <w:tc>
          <w:tcPr>
            <w:tcW w:w="980" w:type="dxa"/>
            <w:vAlign w:val="bottom"/>
            <w:tcBorders>
              <w:bottom w:val="single" w:sz="8" w:color="939598"/>
            </w:tcBorders>
          </w:tcPr>
          <w:p>
            <w:pPr>
              <w:spacing w:after="0"/>
              <w:rPr>
                <w:sz w:val="12"/>
                <w:szCs w:val="12"/>
                <w:color w:val="auto"/>
              </w:rPr>
            </w:pPr>
          </w:p>
        </w:tc>
        <w:tc>
          <w:tcPr>
            <w:tcW w:w="1320" w:type="dxa"/>
            <w:vAlign w:val="bottom"/>
            <w:tcBorders>
              <w:bottom w:val="single" w:sz="8" w:color="939598"/>
            </w:tcBorders>
          </w:tcPr>
          <w:p>
            <w:pPr>
              <w:spacing w:after="0"/>
              <w:rPr>
                <w:sz w:val="12"/>
                <w:szCs w:val="12"/>
                <w:color w:val="auto"/>
              </w:rPr>
            </w:pPr>
          </w:p>
        </w:tc>
        <w:tc>
          <w:tcPr>
            <w:tcW w:w="1380" w:type="dxa"/>
            <w:vAlign w:val="bottom"/>
            <w:tcBorders>
              <w:bottom w:val="single" w:sz="8" w:color="939598"/>
            </w:tcBorders>
          </w:tcPr>
          <w:p>
            <w:pPr>
              <w:spacing w:after="0"/>
              <w:rPr>
                <w:sz w:val="12"/>
                <w:szCs w:val="12"/>
                <w:color w:val="auto"/>
              </w:rPr>
            </w:pPr>
          </w:p>
        </w:tc>
        <w:tc>
          <w:tcPr>
            <w:tcW w:w="800" w:type="dxa"/>
            <w:vAlign w:val="bottom"/>
            <w:tcBorders>
              <w:bottom w:val="single" w:sz="8" w:color="939598"/>
            </w:tcBorders>
          </w:tcPr>
          <w:p>
            <w:pPr>
              <w:spacing w:after="0"/>
              <w:rPr>
                <w:sz w:val="12"/>
                <w:szCs w:val="12"/>
                <w:color w:val="auto"/>
              </w:rPr>
            </w:pPr>
          </w:p>
        </w:tc>
        <w:tc>
          <w:tcPr>
            <w:tcW w:w="1360" w:type="dxa"/>
            <w:vAlign w:val="bottom"/>
            <w:tcBorders>
              <w:bottom w:val="single" w:sz="8" w:color="939598"/>
            </w:tcBorders>
          </w:tcPr>
          <w:p>
            <w:pPr>
              <w:spacing w:after="0"/>
              <w:rPr>
                <w:sz w:val="12"/>
                <w:szCs w:val="12"/>
                <w:color w:val="auto"/>
              </w:rPr>
            </w:pPr>
          </w:p>
        </w:tc>
      </w:tr>
      <w:tr>
        <w:trPr>
          <w:trHeight w:val="110"/>
        </w:trPr>
        <w:tc>
          <w:tcPr>
            <w:tcW w:w="1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320" w:type="dxa"/>
            <w:vAlign w:val="bottom"/>
          </w:tcPr>
          <w:p>
            <w:pPr>
              <w:ind w:left="740"/>
              <w:spacing w:after="0"/>
              <w:rPr>
                <w:sz w:val="20"/>
                <w:szCs w:val="20"/>
                <w:color w:val="auto"/>
              </w:rPr>
            </w:pPr>
            <w:r>
              <w:rPr>
                <w:rFonts w:ascii="Arial" w:cs="Arial" w:eastAsia="Arial" w:hAnsi="Arial"/>
                <w:sz w:val="7"/>
                <w:szCs w:val="7"/>
                <w:color w:val="auto"/>
              </w:rPr>
              <w:t>(11)</w:t>
            </w:r>
          </w:p>
        </w:tc>
        <w:tc>
          <w:tcPr>
            <w:tcW w:w="1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60" w:type="dxa"/>
            <w:vAlign w:val="bottom"/>
          </w:tcPr>
          <w:p>
            <w:pPr>
              <w:spacing w:after="0"/>
              <w:rPr>
                <w:sz w:val="9"/>
                <w:szCs w:val="9"/>
                <w:color w:val="auto"/>
              </w:rPr>
            </w:pPr>
          </w:p>
        </w:tc>
      </w:tr>
      <w:tr>
        <w:trPr>
          <w:trHeight w:val="147"/>
        </w:trPr>
        <w:tc>
          <w:tcPr>
            <w:tcW w:w="1700" w:type="dxa"/>
            <w:vAlign w:val="bottom"/>
          </w:tcPr>
          <w:p>
            <w:pPr>
              <w:spacing w:after="0"/>
              <w:rPr>
                <w:sz w:val="12"/>
                <w:szCs w:val="12"/>
                <w:color w:val="auto"/>
              </w:rPr>
            </w:pPr>
          </w:p>
        </w:tc>
        <w:tc>
          <w:tcPr>
            <w:tcW w:w="780" w:type="dxa"/>
            <w:vAlign w:val="bottom"/>
          </w:tcPr>
          <w:p>
            <w:pPr>
              <w:ind w:left="160"/>
              <w:spacing w:after="0"/>
              <w:rPr>
                <w:sz w:val="20"/>
                <w:szCs w:val="20"/>
                <w:color w:val="auto"/>
              </w:rPr>
            </w:pPr>
            <w:r>
              <w:rPr>
                <w:rFonts w:ascii="Arial" w:cs="Arial" w:eastAsia="Arial" w:hAnsi="Arial"/>
                <w:sz w:val="11"/>
                <w:szCs w:val="11"/>
                <w:color w:val="auto"/>
              </w:rPr>
              <w:t>2023</w:t>
            </w: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20" w:type="dxa"/>
            <w:vAlign w:val="bottom"/>
          </w:tcPr>
          <w:p>
            <w:pPr>
              <w:jc w:val="right"/>
              <w:ind w:right="614"/>
              <w:spacing w:after="0"/>
              <w:rPr>
                <w:sz w:val="20"/>
                <w:szCs w:val="20"/>
                <w:color w:val="auto"/>
              </w:rPr>
            </w:pPr>
            <w:r>
              <w:rPr>
                <w:rFonts w:ascii="Arial" w:cs="Arial" w:eastAsia="Arial" w:hAnsi="Arial"/>
                <w:sz w:val="11"/>
                <w:szCs w:val="11"/>
                <w:color w:val="auto"/>
              </w:rPr>
              <w:t>2,766</w:t>
            </w:r>
          </w:p>
        </w:tc>
        <w:tc>
          <w:tcPr>
            <w:tcW w:w="1380" w:type="dxa"/>
            <w:vAlign w:val="bottom"/>
          </w:tcPr>
          <w:p>
            <w:pPr>
              <w:jc w:val="right"/>
              <w:ind w:right="386"/>
              <w:spacing w:after="0"/>
              <w:rPr>
                <w:sz w:val="20"/>
                <w:szCs w:val="20"/>
                <w:color w:val="auto"/>
              </w:rPr>
            </w:pPr>
            <w:r>
              <w:rPr>
                <w:rFonts w:ascii="Arial" w:cs="Arial" w:eastAsia="Arial" w:hAnsi="Arial"/>
                <w:sz w:val="11"/>
                <w:szCs w:val="11"/>
                <w:color w:val="auto"/>
              </w:rPr>
              <w:t>539,602</w:t>
            </w:r>
          </w:p>
        </w:tc>
        <w:tc>
          <w:tcPr>
            <w:tcW w:w="80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41"/>
        </w:trPr>
        <w:tc>
          <w:tcPr>
            <w:tcW w:w="1700" w:type="dxa"/>
            <w:vAlign w:val="bottom"/>
          </w:tcPr>
          <w:p>
            <w:pPr>
              <w:spacing w:after="0"/>
              <w:rPr>
                <w:sz w:val="12"/>
                <w:szCs w:val="12"/>
                <w:color w:val="auto"/>
              </w:rPr>
            </w:pPr>
          </w:p>
        </w:tc>
        <w:tc>
          <w:tcPr>
            <w:tcW w:w="780" w:type="dxa"/>
            <w:vAlign w:val="bottom"/>
            <w:tcBorders>
              <w:bottom w:val="single" w:sz="8" w:color="939598"/>
            </w:tcBorders>
          </w:tcPr>
          <w:p>
            <w:pPr>
              <w:spacing w:after="0"/>
              <w:rPr>
                <w:sz w:val="12"/>
                <w:szCs w:val="12"/>
                <w:color w:val="auto"/>
              </w:rPr>
            </w:pPr>
          </w:p>
        </w:tc>
        <w:tc>
          <w:tcPr>
            <w:tcW w:w="1080" w:type="dxa"/>
            <w:vAlign w:val="bottom"/>
            <w:tcBorders>
              <w:bottom w:val="single" w:sz="8" w:color="939598"/>
            </w:tcBorders>
          </w:tcPr>
          <w:p>
            <w:pPr>
              <w:spacing w:after="0"/>
              <w:rPr>
                <w:sz w:val="12"/>
                <w:szCs w:val="12"/>
                <w:color w:val="auto"/>
              </w:rPr>
            </w:pPr>
          </w:p>
        </w:tc>
        <w:tc>
          <w:tcPr>
            <w:tcW w:w="1060" w:type="dxa"/>
            <w:vAlign w:val="bottom"/>
            <w:tcBorders>
              <w:bottom w:val="single" w:sz="8" w:color="939598"/>
            </w:tcBorders>
          </w:tcPr>
          <w:p>
            <w:pPr>
              <w:spacing w:after="0"/>
              <w:rPr>
                <w:sz w:val="12"/>
                <w:szCs w:val="12"/>
                <w:color w:val="auto"/>
              </w:rPr>
            </w:pPr>
          </w:p>
        </w:tc>
        <w:tc>
          <w:tcPr>
            <w:tcW w:w="760" w:type="dxa"/>
            <w:vAlign w:val="bottom"/>
            <w:tcBorders>
              <w:bottom w:val="single" w:sz="8" w:color="939598"/>
            </w:tcBorders>
          </w:tcPr>
          <w:p>
            <w:pPr>
              <w:spacing w:after="0"/>
              <w:rPr>
                <w:sz w:val="12"/>
                <w:szCs w:val="12"/>
                <w:color w:val="auto"/>
              </w:rPr>
            </w:pPr>
          </w:p>
        </w:tc>
        <w:tc>
          <w:tcPr>
            <w:tcW w:w="980" w:type="dxa"/>
            <w:vAlign w:val="bottom"/>
            <w:tcBorders>
              <w:bottom w:val="single" w:sz="8" w:color="939598"/>
            </w:tcBorders>
          </w:tcPr>
          <w:p>
            <w:pPr>
              <w:spacing w:after="0"/>
              <w:rPr>
                <w:sz w:val="12"/>
                <w:szCs w:val="12"/>
                <w:color w:val="auto"/>
              </w:rPr>
            </w:pPr>
          </w:p>
        </w:tc>
        <w:tc>
          <w:tcPr>
            <w:tcW w:w="1320" w:type="dxa"/>
            <w:vAlign w:val="bottom"/>
            <w:tcBorders>
              <w:bottom w:val="single" w:sz="8" w:color="939598"/>
            </w:tcBorders>
          </w:tcPr>
          <w:p>
            <w:pPr>
              <w:spacing w:after="0"/>
              <w:rPr>
                <w:sz w:val="12"/>
                <w:szCs w:val="12"/>
                <w:color w:val="auto"/>
              </w:rPr>
            </w:pPr>
          </w:p>
        </w:tc>
        <w:tc>
          <w:tcPr>
            <w:tcW w:w="1380" w:type="dxa"/>
            <w:vAlign w:val="bottom"/>
            <w:tcBorders>
              <w:bottom w:val="single" w:sz="8" w:color="939598"/>
            </w:tcBorders>
          </w:tcPr>
          <w:p>
            <w:pPr>
              <w:spacing w:after="0"/>
              <w:rPr>
                <w:sz w:val="12"/>
                <w:szCs w:val="12"/>
                <w:color w:val="auto"/>
              </w:rPr>
            </w:pPr>
          </w:p>
        </w:tc>
        <w:tc>
          <w:tcPr>
            <w:tcW w:w="800" w:type="dxa"/>
            <w:vAlign w:val="bottom"/>
            <w:tcBorders>
              <w:bottom w:val="single" w:sz="8" w:color="939598"/>
            </w:tcBorders>
          </w:tcPr>
          <w:p>
            <w:pPr>
              <w:spacing w:after="0"/>
              <w:rPr>
                <w:sz w:val="12"/>
                <w:szCs w:val="12"/>
                <w:color w:val="auto"/>
              </w:rPr>
            </w:pPr>
          </w:p>
        </w:tc>
        <w:tc>
          <w:tcPr>
            <w:tcW w:w="1360" w:type="dxa"/>
            <w:vAlign w:val="bottom"/>
            <w:tcBorders>
              <w:bottom w:val="single" w:sz="8" w:color="939598"/>
            </w:tcBorders>
          </w:tcPr>
          <w:p>
            <w:pPr>
              <w:spacing w:after="0"/>
              <w:rPr>
                <w:sz w:val="12"/>
                <w:szCs w:val="12"/>
                <w:color w:val="auto"/>
              </w:rPr>
            </w:pPr>
          </w:p>
        </w:tc>
      </w:tr>
      <w:tr>
        <w:trPr>
          <w:trHeight w:val="110"/>
        </w:trPr>
        <w:tc>
          <w:tcPr>
            <w:tcW w:w="1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320" w:type="dxa"/>
            <w:vAlign w:val="bottom"/>
          </w:tcPr>
          <w:p>
            <w:pPr>
              <w:ind w:left="740"/>
              <w:spacing w:after="0"/>
              <w:rPr>
                <w:sz w:val="20"/>
                <w:szCs w:val="20"/>
                <w:color w:val="auto"/>
              </w:rPr>
            </w:pPr>
            <w:r>
              <w:rPr>
                <w:rFonts w:ascii="Arial" w:cs="Arial" w:eastAsia="Arial" w:hAnsi="Arial"/>
                <w:sz w:val="7"/>
                <w:szCs w:val="7"/>
                <w:color w:val="auto"/>
              </w:rPr>
              <w:t>(26)</w:t>
            </w:r>
          </w:p>
        </w:tc>
        <w:tc>
          <w:tcPr>
            <w:tcW w:w="1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60" w:type="dxa"/>
            <w:vAlign w:val="bottom"/>
          </w:tcPr>
          <w:p>
            <w:pPr>
              <w:spacing w:after="0"/>
              <w:rPr>
                <w:sz w:val="9"/>
                <w:szCs w:val="9"/>
                <w:color w:val="auto"/>
              </w:rPr>
            </w:pPr>
          </w:p>
        </w:tc>
      </w:tr>
      <w:tr>
        <w:trPr>
          <w:trHeight w:val="147"/>
        </w:trPr>
        <w:tc>
          <w:tcPr>
            <w:tcW w:w="1700" w:type="dxa"/>
            <w:vAlign w:val="bottom"/>
          </w:tcPr>
          <w:p>
            <w:pPr>
              <w:spacing w:after="0"/>
              <w:rPr>
                <w:sz w:val="12"/>
                <w:szCs w:val="12"/>
                <w:color w:val="auto"/>
              </w:rPr>
            </w:pPr>
          </w:p>
        </w:tc>
        <w:tc>
          <w:tcPr>
            <w:tcW w:w="780" w:type="dxa"/>
            <w:vAlign w:val="bottom"/>
          </w:tcPr>
          <w:p>
            <w:pPr>
              <w:ind w:left="160"/>
              <w:spacing w:after="0"/>
              <w:rPr>
                <w:sz w:val="20"/>
                <w:szCs w:val="20"/>
                <w:color w:val="auto"/>
              </w:rPr>
            </w:pPr>
            <w:r>
              <w:rPr>
                <w:rFonts w:ascii="Arial" w:cs="Arial" w:eastAsia="Arial" w:hAnsi="Arial"/>
                <w:sz w:val="11"/>
                <w:szCs w:val="11"/>
                <w:color w:val="auto"/>
              </w:rPr>
              <w:t>2022</w:t>
            </w: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20" w:type="dxa"/>
            <w:vAlign w:val="bottom"/>
          </w:tcPr>
          <w:p>
            <w:pPr>
              <w:jc w:val="right"/>
              <w:ind w:right="614"/>
              <w:spacing w:after="0"/>
              <w:rPr>
                <w:sz w:val="20"/>
                <w:szCs w:val="20"/>
                <w:color w:val="auto"/>
              </w:rPr>
            </w:pPr>
            <w:r>
              <w:rPr>
                <w:rFonts w:ascii="Arial" w:cs="Arial" w:eastAsia="Arial" w:hAnsi="Arial"/>
                <w:sz w:val="11"/>
                <w:szCs w:val="11"/>
                <w:color w:val="auto"/>
              </w:rPr>
              <w:t>690</w:t>
            </w:r>
          </w:p>
        </w:tc>
        <w:tc>
          <w:tcPr>
            <w:tcW w:w="1380" w:type="dxa"/>
            <w:vAlign w:val="bottom"/>
          </w:tcPr>
          <w:p>
            <w:pPr>
              <w:jc w:val="right"/>
              <w:ind w:right="386"/>
              <w:spacing w:after="0"/>
              <w:rPr>
                <w:sz w:val="20"/>
                <w:szCs w:val="20"/>
                <w:color w:val="auto"/>
              </w:rPr>
            </w:pPr>
            <w:r>
              <w:rPr>
                <w:rFonts w:ascii="Arial" w:cs="Arial" w:eastAsia="Arial" w:hAnsi="Arial"/>
                <w:sz w:val="11"/>
                <w:szCs w:val="11"/>
                <w:color w:val="auto"/>
              </w:rPr>
              <w:t>134,651</w:t>
            </w:r>
          </w:p>
        </w:tc>
        <w:tc>
          <w:tcPr>
            <w:tcW w:w="80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41"/>
        </w:trPr>
        <w:tc>
          <w:tcPr>
            <w:tcW w:w="1700" w:type="dxa"/>
            <w:vAlign w:val="bottom"/>
          </w:tcPr>
          <w:p>
            <w:pPr>
              <w:spacing w:after="0"/>
              <w:rPr>
                <w:sz w:val="12"/>
                <w:szCs w:val="12"/>
                <w:color w:val="auto"/>
              </w:rPr>
            </w:pPr>
          </w:p>
        </w:tc>
        <w:tc>
          <w:tcPr>
            <w:tcW w:w="780" w:type="dxa"/>
            <w:vAlign w:val="bottom"/>
            <w:tcBorders>
              <w:bottom w:val="single" w:sz="8" w:color="939598"/>
            </w:tcBorders>
          </w:tcPr>
          <w:p>
            <w:pPr>
              <w:spacing w:after="0"/>
              <w:rPr>
                <w:sz w:val="12"/>
                <w:szCs w:val="12"/>
                <w:color w:val="auto"/>
              </w:rPr>
            </w:pPr>
          </w:p>
        </w:tc>
        <w:tc>
          <w:tcPr>
            <w:tcW w:w="1080" w:type="dxa"/>
            <w:vAlign w:val="bottom"/>
            <w:tcBorders>
              <w:bottom w:val="single" w:sz="8" w:color="939598"/>
            </w:tcBorders>
          </w:tcPr>
          <w:p>
            <w:pPr>
              <w:spacing w:after="0"/>
              <w:rPr>
                <w:sz w:val="12"/>
                <w:szCs w:val="12"/>
                <w:color w:val="auto"/>
              </w:rPr>
            </w:pPr>
          </w:p>
        </w:tc>
        <w:tc>
          <w:tcPr>
            <w:tcW w:w="1060" w:type="dxa"/>
            <w:vAlign w:val="bottom"/>
            <w:tcBorders>
              <w:bottom w:val="single" w:sz="8" w:color="939598"/>
            </w:tcBorders>
          </w:tcPr>
          <w:p>
            <w:pPr>
              <w:spacing w:after="0"/>
              <w:rPr>
                <w:sz w:val="12"/>
                <w:szCs w:val="12"/>
                <w:color w:val="auto"/>
              </w:rPr>
            </w:pPr>
          </w:p>
        </w:tc>
        <w:tc>
          <w:tcPr>
            <w:tcW w:w="760" w:type="dxa"/>
            <w:vAlign w:val="bottom"/>
            <w:tcBorders>
              <w:bottom w:val="single" w:sz="8" w:color="939598"/>
            </w:tcBorders>
          </w:tcPr>
          <w:p>
            <w:pPr>
              <w:spacing w:after="0"/>
              <w:rPr>
                <w:sz w:val="12"/>
                <w:szCs w:val="12"/>
                <w:color w:val="auto"/>
              </w:rPr>
            </w:pPr>
          </w:p>
        </w:tc>
        <w:tc>
          <w:tcPr>
            <w:tcW w:w="980" w:type="dxa"/>
            <w:vAlign w:val="bottom"/>
            <w:tcBorders>
              <w:bottom w:val="single" w:sz="8" w:color="939598"/>
            </w:tcBorders>
          </w:tcPr>
          <w:p>
            <w:pPr>
              <w:spacing w:after="0"/>
              <w:rPr>
                <w:sz w:val="12"/>
                <w:szCs w:val="12"/>
                <w:color w:val="auto"/>
              </w:rPr>
            </w:pPr>
          </w:p>
        </w:tc>
        <w:tc>
          <w:tcPr>
            <w:tcW w:w="1320" w:type="dxa"/>
            <w:vAlign w:val="bottom"/>
            <w:tcBorders>
              <w:bottom w:val="single" w:sz="8" w:color="939598"/>
            </w:tcBorders>
          </w:tcPr>
          <w:p>
            <w:pPr>
              <w:spacing w:after="0"/>
              <w:rPr>
                <w:sz w:val="12"/>
                <w:szCs w:val="12"/>
                <w:color w:val="auto"/>
              </w:rPr>
            </w:pPr>
          </w:p>
        </w:tc>
        <w:tc>
          <w:tcPr>
            <w:tcW w:w="1380" w:type="dxa"/>
            <w:vAlign w:val="bottom"/>
            <w:tcBorders>
              <w:bottom w:val="single" w:sz="8" w:color="939598"/>
            </w:tcBorders>
          </w:tcPr>
          <w:p>
            <w:pPr>
              <w:spacing w:after="0"/>
              <w:rPr>
                <w:sz w:val="12"/>
                <w:szCs w:val="12"/>
                <w:color w:val="auto"/>
              </w:rPr>
            </w:pPr>
          </w:p>
        </w:tc>
        <w:tc>
          <w:tcPr>
            <w:tcW w:w="800" w:type="dxa"/>
            <w:vAlign w:val="bottom"/>
            <w:tcBorders>
              <w:bottom w:val="single" w:sz="8" w:color="939598"/>
            </w:tcBorders>
          </w:tcPr>
          <w:p>
            <w:pPr>
              <w:spacing w:after="0"/>
              <w:rPr>
                <w:sz w:val="12"/>
                <w:szCs w:val="12"/>
                <w:color w:val="auto"/>
              </w:rPr>
            </w:pPr>
          </w:p>
        </w:tc>
        <w:tc>
          <w:tcPr>
            <w:tcW w:w="1360" w:type="dxa"/>
            <w:vAlign w:val="bottom"/>
            <w:tcBorders>
              <w:bottom w:val="single" w:sz="8" w:color="939598"/>
            </w:tcBorders>
          </w:tcPr>
          <w:p>
            <w:pPr>
              <w:spacing w:after="0"/>
              <w:rPr>
                <w:sz w:val="12"/>
                <w:szCs w:val="12"/>
                <w:color w:val="auto"/>
              </w:rPr>
            </w:pPr>
          </w:p>
        </w:tc>
      </w:tr>
      <w:tr>
        <w:trPr>
          <w:trHeight w:val="257"/>
        </w:trPr>
        <w:tc>
          <w:tcPr>
            <w:tcW w:w="170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Arial" w:cs="Arial" w:eastAsia="Arial" w:hAnsi="Arial"/>
                <w:sz w:val="11"/>
                <w:szCs w:val="11"/>
                <w:color w:val="auto"/>
              </w:rPr>
              <w:t>2022</w:t>
            </w:r>
          </w:p>
        </w:tc>
        <w:tc>
          <w:tcPr>
            <w:tcW w:w="1080" w:type="dxa"/>
            <w:vAlign w:val="bottom"/>
          </w:tcPr>
          <w:p>
            <w:pPr>
              <w:jc w:val="right"/>
              <w:ind w:right="306"/>
              <w:spacing w:after="0"/>
              <w:rPr>
                <w:sz w:val="20"/>
                <w:szCs w:val="20"/>
                <w:color w:val="auto"/>
              </w:rPr>
            </w:pPr>
            <w:r>
              <w:rPr>
                <w:rFonts w:ascii="Arial" w:cs="Arial" w:eastAsia="Arial" w:hAnsi="Arial"/>
                <w:sz w:val="11"/>
                <w:szCs w:val="11"/>
                <w:color w:val="auto"/>
              </w:rPr>
              <w:t>4,233</w:t>
            </w:r>
          </w:p>
        </w:tc>
        <w:tc>
          <w:tcPr>
            <w:tcW w:w="1060" w:type="dxa"/>
            <w:vAlign w:val="bottom"/>
          </w:tcPr>
          <w:p>
            <w:pPr>
              <w:jc w:val="right"/>
              <w:ind w:right="307"/>
              <w:spacing w:after="0"/>
              <w:rPr>
                <w:sz w:val="20"/>
                <w:szCs w:val="20"/>
                <w:color w:val="auto"/>
              </w:rPr>
            </w:pPr>
            <w:r>
              <w:rPr>
                <w:rFonts w:ascii="Arial" w:cs="Arial" w:eastAsia="Arial" w:hAnsi="Arial"/>
                <w:sz w:val="11"/>
                <w:szCs w:val="11"/>
                <w:color w:val="auto"/>
              </w:rPr>
              <w:t>1,412</w:t>
            </w:r>
          </w:p>
        </w:tc>
        <w:tc>
          <w:tcPr>
            <w:tcW w:w="760" w:type="dxa"/>
            <w:vAlign w:val="bottom"/>
          </w:tcPr>
          <w:p>
            <w:pPr>
              <w:jc w:val="right"/>
              <w:ind w:right="126"/>
              <w:spacing w:after="0"/>
              <w:rPr>
                <w:sz w:val="20"/>
                <w:szCs w:val="20"/>
                <w:color w:val="auto"/>
              </w:rPr>
            </w:pPr>
            <w:r>
              <w:rPr>
                <w:rFonts w:ascii="Arial" w:cs="Arial" w:eastAsia="Arial" w:hAnsi="Arial"/>
                <w:sz w:val="11"/>
                <w:szCs w:val="11"/>
                <w:color w:val="auto"/>
              </w:rPr>
              <w:t>179.84</w:t>
            </w:r>
          </w:p>
        </w:tc>
        <w:tc>
          <w:tcPr>
            <w:tcW w:w="980" w:type="dxa"/>
            <w:vAlign w:val="bottom"/>
          </w:tcPr>
          <w:p>
            <w:pPr>
              <w:jc w:val="right"/>
              <w:ind w:right="286"/>
              <w:spacing w:after="0"/>
              <w:rPr>
                <w:sz w:val="20"/>
                <w:szCs w:val="20"/>
                <w:color w:val="auto"/>
              </w:rPr>
            </w:pPr>
            <w:r>
              <w:rPr>
                <w:rFonts w:ascii="Arial" w:cs="Arial" w:eastAsia="Arial" w:hAnsi="Arial"/>
                <w:sz w:val="11"/>
                <w:szCs w:val="11"/>
                <w:color w:val="auto"/>
              </w:rPr>
              <w:t>2/10/2032</w:t>
            </w:r>
          </w:p>
        </w:tc>
        <w:tc>
          <w:tcPr>
            <w:tcW w:w="13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141"/>
        </w:trPr>
        <w:tc>
          <w:tcPr>
            <w:tcW w:w="1700" w:type="dxa"/>
            <w:vAlign w:val="bottom"/>
          </w:tcPr>
          <w:p>
            <w:pPr>
              <w:spacing w:after="0"/>
              <w:rPr>
                <w:sz w:val="12"/>
                <w:szCs w:val="12"/>
                <w:color w:val="auto"/>
              </w:rPr>
            </w:pPr>
          </w:p>
        </w:tc>
        <w:tc>
          <w:tcPr>
            <w:tcW w:w="780" w:type="dxa"/>
            <w:vAlign w:val="bottom"/>
            <w:tcBorders>
              <w:bottom w:val="single" w:sz="8" w:color="939598"/>
            </w:tcBorders>
          </w:tcPr>
          <w:p>
            <w:pPr>
              <w:spacing w:after="0"/>
              <w:rPr>
                <w:sz w:val="12"/>
                <w:szCs w:val="12"/>
                <w:color w:val="auto"/>
              </w:rPr>
            </w:pPr>
          </w:p>
        </w:tc>
        <w:tc>
          <w:tcPr>
            <w:tcW w:w="1080" w:type="dxa"/>
            <w:vAlign w:val="bottom"/>
            <w:tcBorders>
              <w:bottom w:val="single" w:sz="8" w:color="939598"/>
            </w:tcBorders>
          </w:tcPr>
          <w:p>
            <w:pPr>
              <w:spacing w:after="0"/>
              <w:rPr>
                <w:sz w:val="12"/>
                <w:szCs w:val="12"/>
                <w:color w:val="auto"/>
              </w:rPr>
            </w:pPr>
          </w:p>
        </w:tc>
        <w:tc>
          <w:tcPr>
            <w:tcW w:w="1060" w:type="dxa"/>
            <w:vAlign w:val="bottom"/>
            <w:tcBorders>
              <w:bottom w:val="single" w:sz="8" w:color="939598"/>
            </w:tcBorders>
          </w:tcPr>
          <w:p>
            <w:pPr>
              <w:spacing w:after="0"/>
              <w:rPr>
                <w:sz w:val="12"/>
                <w:szCs w:val="12"/>
                <w:color w:val="auto"/>
              </w:rPr>
            </w:pPr>
          </w:p>
        </w:tc>
        <w:tc>
          <w:tcPr>
            <w:tcW w:w="760" w:type="dxa"/>
            <w:vAlign w:val="bottom"/>
            <w:tcBorders>
              <w:bottom w:val="single" w:sz="8" w:color="939598"/>
            </w:tcBorders>
          </w:tcPr>
          <w:p>
            <w:pPr>
              <w:spacing w:after="0"/>
              <w:rPr>
                <w:sz w:val="12"/>
                <w:szCs w:val="12"/>
                <w:color w:val="auto"/>
              </w:rPr>
            </w:pPr>
          </w:p>
        </w:tc>
        <w:tc>
          <w:tcPr>
            <w:tcW w:w="980" w:type="dxa"/>
            <w:vAlign w:val="bottom"/>
            <w:tcBorders>
              <w:bottom w:val="single" w:sz="8" w:color="939598"/>
            </w:tcBorders>
          </w:tcPr>
          <w:p>
            <w:pPr>
              <w:spacing w:after="0"/>
              <w:rPr>
                <w:sz w:val="12"/>
                <w:szCs w:val="12"/>
                <w:color w:val="auto"/>
              </w:rPr>
            </w:pPr>
          </w:p>
        </w:tc>
        <w:tc>
          <w:tcPr>
            <w:tcW w:w="1320" w:type="dxa"/>
            <w:vAlign w:val="bottom"/>
            <w:tcBorders>
              <w:bottom w:val="single" w:sz="8" w:color="939598"/>
            </w:tcBorders>
          </w:tcPr>
          <w:p>
            <w:pPr>
              <w:spacing w:after="0"/>
              <w:rPr>
                <w:sz w:val="12"/>
                <w:szCs w:val="12"/>
                <w:color w:val="auto"/>
              </w:rPr>
            </w:pPr>
          </w:p>
        </w:tc>
        <w:tc>
          <w:tcPr>
            <w:tcW w:w="1380" w:type="dxa"/>
            <w:vAlign w:val="bottom"/>
            <w:tcBorders>
              <w:bottom w:val="single" w:sz="8" w:color="939598"/>
            </w:tcBorders>
          </w:tcPr>
          <w:p>
            <w:pPr>
              <w:spacing w:after="0"/>
              <w:rPr>
                <w:sz w:val="12"/>
                <w:szCs w:val="12"/>
                <w:color w:val="auto"/>
              </w:rPr>
            </w:pPr>
          </w:p>
        </w:tc>
        <w:tc>
          <w:tcPr>
            <w:tcW w:w="800" w:type="dxa"/>
            <w:vAlign w:val="bottom"/>
            <w:tcBorders>
              <w:bottom w:val="single" w:sz="8" w:color="939598"/>
            </w:tcBorders>
          </w:tcPr>
          <w:p>
            <w:pPr>
              <w:spacing w:after="0"/>
              <w:rPr>
                <w:sz w:val="12"/>
                <w:szCs w:val="12"/>
                <w:color w:val="auto"/>
              </w:rPr>
            </w:pPr>
          </w:p>
        </w:tc>
        <w:tc>
          <w:tcPr>
            <w:tcW w:w="1360" w:type="dxa"/>
            <w:vAlign w:val="bottom"/>
            <w:tcBorders>
              <w:bottom w:val="single" w:sz="8" w:color="939598"/>
            </w:tcBorders>
          </w:tcPr>
          <w:p>
            <w:pPr>
              <w:spacing w:after="0"/>
              <w:rPr>
                <w:sz w:val="12"/>
                <w:szCs w:val="12"/>
                <w:color w:val="auto"/>
              </w:rPr>
            </w:pPr>
          </w:p>
        </w:tc>
      </w:tr>
      <w:tr>
        <w:trPr>
          <w:trHeight w:val="257"/>
        </w:trPr>
        <w:tc>
          <w:tcPr>
            <w:tcW w:w="170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Arial" w:cs="Arial" w:eastAsia="Arial" w:hAnsi="Arial"/>
                <w:sz w:val="11"/>
                <w:szCs w:val="11"/>
                <w:color w:val="auto"/>
              </w:rPr>
              <w:t>2021</w:t>
            </w:r>
          </w:p>
        </w:tc>
        <w:tc>
          <w:tcPr>
            <w:tcW w:w="1080" w:type="dxa"/>
            <w:vAlign w:val="bottom"/>
          </w:tcPr>
          <w:p>
            <w:pPr>
              <w:jc w:val="right"/>
              <w:ind w:right="306"/>
              <w:spacing w:after="0"/>
              <w:rPr>
                <w:sz w:val="20"/>
                <w:szCs w:val="20"/>
                <w:color w:val="auto"/>
              </w:rPr>
            </w:pPr>
            <w:r>
              <w:rPr>
                <w:rFonts w:ascii="Arial" w:cs="Arial" w:eastAsia="Arial" w:hAnsi="Arial"/>
                <w:sz w:val="11"/>
                <w:szCs w:val="11"/>
                <w:color w:val="auto"/>
              </w:rPr>
              <w:t>5,060</w:t>
            </w:r>
          </w:p>
        </w:tc>
        <w:tc>
          <w:tcPr>
            <w:tcW w:w="1060" w:type="dxa"/>
            <w:vAlign w:val="bottom"/>
          </w:tcPr>
          <w:p>
            <w:pPr>
              <w:jc w:val="right"/>
              <w:ind w:right="307"/>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26"/>
              <w:spacing w:after="0"/>
              <w:rPr>
                <w:sz w:val="20"/>
                <w:szCs w:val="20"/>
                <w:color w:val="auto"/>
              </w:rPr>
            </w:pPr>
            <w:r>
              <w:rPr>
                <w:rFonts w:ascii="Arial" w:cs="Arial" w:eastAsia="Arial" w:hAnsi="Arial"/>
                <w:sz w:val="11"/>
                <w:szCs w:val="11"/>
                <w:color w:val="auto"/>
              </w:rPr>
              <w:t>214.53</w:t>
            </w:r>
          </w:p>
        </w:tc>
        <w:tc>
          <w:tcPr>
            <w:tcW w:w="980" w:type="dxa"/>
            <w:vAlign w:val="bottom"/>
          </w:tcPr>
          <w:p>
            <w:pPr>
              <w:jc w:val="right"/>
              <w:ind w:right="286"/>
              <w:spacing w:after="0"/>
              <w:rPr>
                <w:sz w:val="20"/>
                <w:szCs w:val="20"/>
                <w:color w:val="auto"/>
              </w:rPr>
            </w:pPr>
            <w:r>
              <w:rPr>
                <w:rFonts w:ascii="Arial" w:cs="Arial" w:eastAsia="Arial" w:hAnsi="Arial"/>
                <w:sz w:val="11"/>
                <w:szCs w:val="11"/>
                <w:color w:val="auto"/>
              </w:rPr>
              <w:t>11/7/2031</w:t>
            </w:r>
          </w:p>
        </w:tc>
        <w:tc>
          <w:tcPr>
            <w:tcW w:w="13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141"/>
        </w:trPr>
        <w:tc>
          <w:tcPr>
            <w:tcW w:w="1700" w:type="dxa"/>
            <w:vAlign w:val="bottom"/>
          </w:tcPr>
          <w:p>
            <w:pPr>
              <w:spacing w:after="0"/>
              <w:rPr>
                <w:sz w:val="12"/>
                <w:szCs w:val="12"/>
                <w:color w:val="auto"/>
              </w:rPr>
            </w:pPr>
          </w:p>
        </w:tc>
        <w:tc>
          <w:tcPr>
            <w:tcW w:w="780" w:type="dxa"/>
            <w:vAlign w:val="bottom"/>
            <w:tcBorders>
              <w:bottom w:val="single" w:sz="8" w:color="939598"/>
            </w:tcBorders>
          </w:tcPr>
          <w:p>
            <w:pPr>
              <w:spacing w:after="0"/>
              <w:rPr>
                <w:sz w:val="12"/>
                <w:szCs w:val="12"/>
                <w:color w:val="auto"/>
              </w:rPr>
            </w:pPr>
          </w:p>
        </w:tc>
        <w:tc>
          <w:tcPr>
            <w:tcW w:w="1080" w:type="dxa"/>
            <w:vAlign w:val="bottom"/>
            <w:tcBorders>
              <w:bottom w:val="single" w:sz="8" w:color="939598"/>
            </w:tcBorders>
          </w:tcPr>
          <w:p>
            <w:pPr>
              <w:spacing w:after="0"/>
              <w:rPr>
                <w:sz w:val="12"/>
                <w:szCs w:val="12"/>
                <w:color w:val="auto"/>
              </w:rPr>
            </w:pPr>
          </w:p>
        </w:tc>
        <w:tc>
          <w:tcPr>
            <w:tcW w:w="1060" w:type="dxa"/>
            <w:vAlign w:val="bottom"/>
            <w:tcBorders>
              <w:bottom w:val="single" w:sz="8" w:color="939598"/>
            </w:tcBorders>
          </w:tcPr>
          <w:p>
            <w:pPr>
              <w:spacing w:after="0"/>
              <w:rPr>
                <w:sz w:val="12"/>
                <w:szCs w:val="12"/>
                <w:color w:val="auto"/>
              </w:rPr>
            </w:pPr>
          </w:p>
        </w:tc>
        <w:tc>
          <w:tcPr>
            <w:tcW w:w="760" w:type="dxa"/>
            <w:vAlign w:val="bottom"/>
            <w:tcBorders>
              <w:bottom w:val="single" w:sz="8" w:color="939598"/>
            </w:tcBorders>
          </w:tcPr>
          <w:p>
            <w:pPr>
              <w:spacing w:after="0"/>
              <w:rPr>
                <w:sz w:val="12"/>
                <w:szCs w:val="12"/>
                <w:color w:val="auto"/>
              </w:rPr>
            </w:pPr>
          </w:p>
        </w:tc>
        <w:tc>
          <w:tcPr>
            <w:tcW w:w="980" w:type="dxa"/>
            <w:vAlign w:val="bottom"/>
            <w:tcBorders>
              <w:bottom w:val="single" w:sz="8" w:color="939598"/>
            </w:tcBorders>
          </w:tcPr>
          <w:p>
            <w:pPr>
              <w:spacing w:after="0"/>
              <w:rPr>
                <w:sz w:val="12"/>
                <w:szCs w:val="12"/>
                <w:color w:val="auto"/>
              </w:rPr>
            </w:pPr>
          </w:p>
        </w:tc>
        <w:tc>
          <w:tcPr>
            <w:tcW w:w="1320" w:type="dxa"/>
            <w:vAlign w:val="bottom"/>
            <w:tcBorders>
              <w:bottom w:val="single" w:sz="8" w:color="939598"/>
            </w:tcBorders>
          </w:tcPr>
          <w:p>
            <w:pPr>
              <w:spacing w:after="0"/>
              <w:rPr>
                <w:sz w:val="12"/>
                <w:szCs w:val="12"/>
                <w:color w:val="auto"/>
              </w:rPr>
            </w:pPr>
          </w:p>
        </w:tc>
        <w:tc>
          <w:tcPr>
            <w:tcW w:w="1380" w:type="dxa"/>
            <w:vAlign w:val="bottom"/>
            <w:tcBorders>
              <w:bottom w:val="single" w:sz="8" w:color="939598"/>
            </w:tcBorders>
          </w:tcPr>
          <w:p>
            <w:pPr>
              <w:spacing w:after="0"/>
              <w:rPr>
                <w:sz w:val="12"/>
                <w:szCs w:val="12"/>
                <w:color w:val="auto"/>
              </w:rPr>
            </w:pPr>
          </w:p>
        </w:tc>
        <w:tc>
          <w:tcPr>
            <w:tcW w:w="800" w:type="dxa"/>
            <w:vAlign w:val="bottom"/>
            <w:tcBorders>
              <w:bottom w:val="single" w:sz="8" w:color="939598"/>
            </w:tcBorders>
          </w:tcPr>
          <w:p>
            <w:pPr>
              <w:spacing w:after="0"/>
              <w:rPr>
                <w:sz w:val="12"/>
                <w:szCs w:val="12"/>
                <w:color w:val="auto"/>
              </w:rPr>
            </w:pPr>
          </w:p>
        </w:tc>
        <w:tc>
          <w:tcPr>
            <w:tcW w:w="1360" w:type="dxa"/>
            <w:vAlign w:val="bottom"/>
            <w:tcBorders>
              <w:bottom w:val="single" w:sz="8" w:color="939598"/>
            </w:tcBorders>
          </w:tcPr>
          <w:p>
            <w:pPr>
              <w:spacing w:after="0"/>
              <w:rPr>
                <w:sz w:val="12"/>
                <w:szCs w:val="12"/>
                <w:color w:val="auto"/>
              </w:rPr>
            </w:pPr>
          </w:p>
        </w:tc>
      </w:tr>
      <w:tr>
        <w:trPr>
          <w:trHeight w:val="263"/>
        </w:trPr>
        <w:tc>
          <w:tcPr>
            <w:tcW w:w="170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Arial" w:cs="Arial" w:eastAsia="Arial" w:hAnsi="Arial"/>
                <w:sz w:val="11"/>
                <w:szCs w:val="11"/>
                <w:b w:val="1"/>
                <w:bCs w:val="1"/>
                <w:color w:val="auto"/>
              </w:rPr>
              <w:t>Total</w:t>
            </w:r>
          </w:p>
        </w:tc>
        <w:tc>
          <w:tcPr>
            <w:tcW w:w="1080" w:type="dxa"/>
            <w:vAlign w:val="bottom"/>
          </w:tcPr>
          <w:p>
            <w:pPr>
              <w:jc w:val="right"/>
              <w:ind w:right="306"/>
              <w:spacing w:after="0"/>
              <w:rPr>
                <w:sz w:val="20"/>
                <w:szCs w:val="20"/>
                <w:color w:val="auto"/>
              </w:rPr>
            </w:pPr>
            <w:r>
              <w:rPr>
                <w:rFonts w:ascii="Arial" w:cs="Arial" w:eastAsia="Arial" w:hAnsi="Arial"/>
                <w:sz w:val="11"/>
                <w:szCs w:val="11"/>
                <w:b w:val="1"/>
                <w:bCs w:val="1"/>
                <w:color w:val="auto"/>
              </w:rPr>
              <w:t>17,794</w:t>
            </w:r>
          </w:p>
        </w:tc>
        <w:tc>
          <w:tcPr>
            <w:tcW w:w="1060" w:type="dxa"/>
            <w:vAlign w:val="bottom"/>
          </w:tcPr>
          <w:p>
            <w:pPr>
              <w:jc w:val="right"/>
              <w:ind w:right="307"/>
              <w:spacing w:after="0"/>
              <w:rPr>
                <w:sz w:val="20"/>
                <w:szCs w:val="20"/>
                <w:color w:val="auto"/>
              </w:rPr>
            </w:pPr>
            <w:r>
              <w:rPr>
                <w:rFonts w:ascii="Arial" w:cs="Arial" w:eastAsia="Arial" w:hAnsi="Arial"/>
                <w:sz w:val="11"/>
                <w:szCs w:val="11"/>
                <w:b w:val="1"/>
                <w:bCs w:val="1"/>
                <w:color w:val="auto"/>
              </w:rPr>
              <w:t>41,317</w:t>
            </w:r>
          </w:p>
        </w:tc>
        <w:tc>
          <w:tcPr>
            <w:tcW w:w="7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320" w:type="dxa"/>
            <w:vAlign w:val="bottom"/>
          </w:tcPr>
          <w:p>
            <w:pPr>
              <w:jc w:val="right"/>
              <w:ind w:right="614"/>
              <w:spacing w:after="0"/>
              <w:rPr>
                <w:sz w:val="20"/>
                <w:szCs w:val="20"/>
                <w:color w:val="auto"/>
              </w:rPr>
            </w:pPr>
            <w:r>
              <w:rPr>
                <w:rFonts w:ascii="Arial" w:cs="Arial" w:eastAsia="Arial" w:hAnsi="Arial"/>
                <w:sz w:val="11"/>
                <w:szCs w:val="11"/>
                <w:b w:val="1"/>
                <w:bCs w:val="1"/>
                <w:color w:val="auto"/>
              </w:rPr>
              <w:t>15,001</w:t>
            </w:r>
          </w:p>
        </w:tc>
        <w:tc>
          <w:tcPr>
            <w:tcW w:w="1380" w:type="dxa"/>
            <w:vAlign w:val="bottom"/>
          </w:tcPr>
          <w:p>
            <w:pPr>
              <w:jc w:val="right"/>
              <w:ind w:right="386"/>
              <w:spacing w:after="0"/>
              <w:rPr>
                <w:sz w:val="20"/>
                <w:szCs w:val="20"/>
                <w:color w:val="auto"/>
              </w:rPr>
            </w:pPr>
            <w:r>
              <w:rPr>
                <w:rFonts w:ascii="Arial" w:cs="Arial" w:eastAsia="Arial" w:hAnsi="Arial"/>
                <w:sz w:val="11"/>
                <w:szCs w:val="11"/>
                <w:b w:val="1"/>
                <w:bCs w:val="1"/>
                <w:color w:val="auto"/>
              </w:rPr>
              <w:t>2,926,842</w:t>
            </w:r>
          </w:p>
        </w:tc>
        <w:tc>
          <w:tcPr>
            <w:tcW w:w="800" w:type="dxa"/>
            <w:vAlign w:val="bottom"/>
          </w:tcPr>
          <w:p>
            <w:pPr>
              <w:jc w:val="right"/>
              <w:spacing w:after="0"/>
              <w:rPr>
                <w:sz w:val="20"/>
                <w:szCs w:val="20"/>
                <w:color w:val="auto"/>
              </w:rPr>
            </w:pPr>
            <w:r>
              <w:rPr>
                <w:rFonts w:ascii="Arial" w:cs="Arial" w:eastAsia="Arial" w:hAnsi="Arial"/>
                <w:sz w:val="11"/>
                <w:szCs w:val="11"/>
                <w:b w:val="1"/>
                <w:bCs w:val="1"/>
                <w:color w:val="auto"/>
              </w:rPr>
              <w:t>11,247</w:t>
            </w:r>
          </w:p>
        </w:tc>
        <w:tc>
          <w:tcPr>
            <w:tcW w:w="1360" w:type="dxa"/>
            <w:vAlign w:val="bottom"/>
          </w:tcPr>
          <w:p>
            <w:pPr>
              <w:jc w:val="right"/>
              <w:ind w:right="13"/>
              <w:spacing w:after="0"/>
              <w:rPr>
                <w:sz w:val="20"/>
                <w:szCs w:val="20"/>
                <w:color w:val="auto"/>
              </w:rPr>
            </w:pPr>
            <w:r>
              <w:rPr>
                <w:rFonts w:ascii="Arial" w:cs="Arial" w:eastAsia="Arial" w:hAnsi="Arial"/>
                <w:sz w:val="11"/>
                <w:szCs w:val="11"/>
                <w:b w:val="1"/>
                <w:bCs w:val="1"/>
                <w:color w:val="auto"/>
              </w:rPr>
              <w:t>2,194,235</w:t>
            </w:r>
          </w:p>
        </w:tc>
      </w:tr>
      <w:tr>
        <w:trPr>
          <w:trHeight w:val="135"/>
        </w:trPr>
        <w:tc>
          <w:tcPr>
            <w:tcW w:w="1700" w:type="dxa"/>
            <w:vAlign w:val="bottom"/>
            <w:tcBorders>
              <w:bottom w:val="single" w:sz="8" w:color="D7282F"/>
            </w:tcBorders>
          </w:tcPr>
          <w:p>
            <w:pPr>
              <w:spacing w:after="0"/>
              <w:rPr>
                <w:sz w:val="11"/>
                <w:szCs w:val="11"/>
                <w:color w:val="auto"/>
              </w:rPr>
            </w:pPr>
          </w:p>
        </w:tc>
        <w:tc>
          <w:tcPr>
            <w:tcW w:w="780" w:type="dxa"/>
            <w:vAlign w:val="bottom"/>
            <w:tcBorders>
              <w:bottom w:val="single" w:sz="8" w:color="D7282F"/>
            </w:tcBorders>
          </w:tcPr>
          <w:p>
            <w:pPr>
              <w:spacing w:after="0"/>
              <w:rPr>
                <w:sz w:val="11"/>
                <w:szCs w:val="11"/>
                <w:color w:val="auto"/>
              </w:rPr>
            </w:pPr>
          </w:p>
        </w:tc>
        <w:tc>
          <w:tcPr>
            <w:tcW w:w="1080" w:type="dxa"/>
            <w:vAlign w:val="bottom"/>
            <w:tcBorders>
              <w:bottom w:val="single" w:sz="8" w:color="D7282F"/>
            </w:tcBorders>
          </w:tcPr>
          <w:p>
            <w:pPr>
              <w:spacing w:after="0"/>
              <w:rPr>
                <w:sz w:val="11"/>
                <w:szCs w:val="11"/>
                <w:color w:val="auto"/>
              </w:rPr>
            </w:pPr>
          </w:p>
        </w:tc>
        <w:tc>
          <w:tcPr>
            <w:tcW w:w="1060" w:type="dxa"/>
            <w:vAlign w:val="bottom"/>
            <w:tcBorders>
              <w:bottom w:val="single" w:sz="8" w:color="D7282F"/>
            </w:tcBorders>
          </w:tcPr>
          <w:p>
            <w:pPr>
              <w:spacing w:after="0"/>
              <w:rPr>
                <w:sz w:val="11"/>
                <w:szCs w:val="11"/>
                <w:color w:val="auto"/>
              </w:rPr>
            </w:pPr>
          </w:p>
        </w:tc>
        <w:tc>
          <w:tcPr>
            <w:tcW w:w="760" w:type="dxa"/>
            <w:vAlign w:val="bottom"/>
            <w:tcBorders>
              <w:bottom w:val="single" w:sz="8" w:color="D7282F"/>
            </w:tcBorders>
          </w:tcPr>
          <w:p>
            <w:pPr>
              <w:spacing w:after="0"/>
              <w:rPr>
                <w:sz w:val="11"/>
                <w:szCs w:val="11"/>
                <w:color w:val="auto"/>
              </w:rPr>
            </w:pPr>
          </w:p>
        </w:tc>
        <w:tc>
          <w:tcPr>
            <w:tcW w:w="980" w:type="dxa"/>
            <w:vAlign w:val="bottom"/>
            <w:tcBorders>
              <w:bottom w:val="single" w:sz="8" w:color="D7282F"/>
            </w:tcBorders>
          </w:tcPr>
          <w:p>
            <w:pPr>
              <w:spacing w:after="0"/>
              <w:rPr>
                <w:sz w:val="11"/>
                <w:szCs w:val="11"/>
                <w:color w:val="auto"/>
              </w:rPr>
            </w:pPr>
          </w:p>
        </w:tc>
        <w:tc>
          <w:tcPr>
            <w:tcW w:w="1320" w:type="dxa"/>
            <w:vAlign w:val="bottom"/>
            <w:tcBorders>
              <w:bottom w:val="single" w:sz="8" w:color="D7282F"/>
            </w:tcBorders>
          </w:tcPr>
          <w:p>
            <w:pPr>
              <w:spacing w:after="0"/>
              <w:rPr>
                <w:sz w:val="11"/>
                <w:szCs w:val="11"/>
                <w:color w:val="auto"/>
              </w:rPr>
            </w:pPr>
          </w:p>
        </w:tc>
        <w:tc>
          <w:tcPr>
            <w:tcW w:w="1380" w:type="dxa"/>
            <w:vAlign w:val="bottom"/>
            <w:tcBorders>
              <w:bottom w:val="single" w:sz="8" w:color="D7282F"/>
            </w:tcBorders>
          </w:tcPr>
          <w:p>
            <w:pPr>
              <w:spacing w:after="0"/>
              <w:rPr>
                <w:sz w:val="11"/>
                <w:szCs w:val="11"/>
                <w:color w:val="auto"/>
              </w:rPr>
            </w:pPr>
          </w:p>
        </w:tc>
        <w:tc>
          <w:tcPr>
            <w:tcW w:w="800" w:type="dxa"/>
            <w:vAlign w:val="bottom"/>
            <w:tcBorders>
              <w:bottom w:val="single" w:sz="8" w:color="D7282F"/>
            </w:tcBorders>
          </w:tcPr>
          <w:p>
            <w:pPr>
              <w:spacing w:after="0"/>
              <w:rPr>
                <w:sz w:val="11"/>
                <w:szCs w:val="11"/>
                <w:color w:val="auto"/>
              </w:rPr>
            </w:pPr>
          </w:p>
        </w:tc>
        <w:tc>
          <w:tcPr>
            <w:tcW w:w="1360" w:type="dxa"/>
            <w:vAlign w:val="bottom"/>
            <w:tcBorders>
              <w:bottom w:val="single" w:sz="8" w:color="D7282F"/>
            </w:tcBorders>
          </w:tcPr>
          <w:p>
            <w:pPr>
              <w:spacing w:after="0"/>
              <w:rPr>
                <w:sz w:val="11"/>
                <w:szCs w:val="11"/>
                <w:color w:val="auto"/>
              </w:rPr>
            </w:pPr>
          </w:p>
        </w:tc>
      </w:tr>
    </w:tbl>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2026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91</w:t>
            </w:r>
          </w:p>
        </w:tc>
      </w:tr>
      <w:tr>
        <w:trPr>
          <w:trHeight w:val="373"/>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102" w:name="page103"/>
    <w:bookmarkEnd w:id="102"/>
    <w:p>
      <w:pPr>
        <w:spacing w:after="0"/>
        <w:rPr>
          <w:sz w:val="20"/>
          <w:szCs w:val="20"/>
          <w:color w:val="auto"/>
        </w:rPr>
      </w:pPr>
      <w:r>
        <w:rPr>
          <w:rFonts w:ascii="Arial" w:cs="Arial" w:eastAsia="Arial" w:hAnsi="Arial"/>
          <w:sz w:val="13"/>
          <w:szCs w:val="13"/>
          <w:b w:val="1"/>
          <w:bCs w:val="1"/>
          <w:color w:val="6D6E71"/>
        </w:rPr>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80" w:type="dxa"/>
            <w:vAlign w:val="bottom"/>
          </w:tcPr>
          <w:p>
            <w:pPr>
              <w:jc w:val="right"/>
              <w:ind w:right="46"/>
              <w:spacing w:after="0"/>
              <w:rPr>
                <w:sz w:val="20"/>
                <w:szCs w:val="20"/>
                <w:color w:val="auto"/>
              </w:rPr>
            </w:pPr>
            <w:r>
              <w:rPr>
                <w:rFonts w:ascii="Arial" w:cs="Arial" w:eastAsia="Arial" w:hAnsi="Arial"/>
                <w:sz w:val="11"/>
                <w:szCs w:val="11"/>
                <w:b w:val="1"/>
                <w:bCs w:val="1"/>
                <w:color w:val="auto"/>
              </w:rPr>
              <w:t>Option Awards</w:t>
            </w:r>
            <w:r>
              <w:rPr>
                <w:rFonts w:ascii="Arial" w:cs="Arial" w:eastAsia="Arial" w:hAnsi="Arial"/>
                <w:sz w:val="14"/>
                <w:szCs w:val="14"/>
                <w:b w:val="1"/>
                <w:bCs w:val="1"/>
                <w:color w:val="auto"/>
                <w:vertAlign w:val="superscript"/>
              </w:rPr>
              <w:t>(1)</w:t>
            </w: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60" w:type="dxa"/>
            <w:vAlign w:val="bottom"/>
          </w:tcPr>
          <w:p>
            <w:pPr>
              <w:jc w:val="right"/>
              <w:ind w:right="46"/>
              <w:spacing w:after="0"/>
              <w:rPr>
                <w:sz w:val="20"/>
                <w:szCs w:val="20"/>
                <w:color w:val="auto"/>
              </w:rPr>
            </w:pPr>
            <w:r>
              <w:rPr>
                <w:rFonts w:ascii="Arial" w:cs="Arial" w:eastAsia="Arial" w:hAnsi="Arial"/>
                <w:sz w:val="11"/>
                <w:szCs w:val="11"/>
                <w:b w:val="1"/>
                <w:bCs w:val="1"/>
                <w:color w:val="auto"/>
              </w:rPr>
              <w:t>Stock Awards</w:t>
            </w: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60" w:type="dxa"/>
            <w:vAlign w:val="bottom"/>
            <w:tcBorders>
              <w:bottom w:val="single" w:sz="8" w:color="D7282F"/>
            </w:tcBorders>
          </w:tcPr>
          <w:p>
            <w:pPr>
              <w:spacing w:after="0"/>
              <w:rPr>
                <w:sz w:val="8"/>
                <w:szCs w:val="8"/>
                <w:color w:val="auto"/>
              </w:rPr>
            </w:pPr>
          </w:p>
        </w:tc>
        <w:tc>
          <w:tcPr>
            <w:tcW w:w="1280" w:type="dxa"/>
            <w:vAlign w:val="bottom"/>
            <w:tcBorders>
              <w:bottom w:val="single" w:sz="8" w:color="D7282F"/>
            </w:tcBorders>
          </w:tcPr>
          <w:p>
            <w:pPr>
              <w:spacing w:after="0"/>
              <w:rPr>
                <w:sz w:val="8"/>
                <w:szCs w:val="8"/>
                <w:color w:val="auto"/>
              </w:rPr>
            </w:pPr>
          </w:p>
        </w:tc>
        <w:tc>
          <w:tcPr>
            <w:tcW w:w="680" w:type="dxa"/>
            <w:vAlign w:val="bottom"/>
            <w:tcBorders>
              <w:bottom w:val="single" w:sz="8" w:color="D7282F"/>
            </w:tcBorders>
          </w:tcPr>
          <w:p>
            <w:pPr>
              <w:spacing w:after="0"/>
              <w:rPr>
                <w:sz w:val="8"/>
                <w:szCs w:val="8"/>
                <w:color w:val="auto"/>
              </w:rPr>
            </w:pPr>
          </w:p>
        </w:tc>
        <w:tc>
          <w:tcPr>
            <w:tcW w:w="680" w:type="dxa"/>
            <w:vAlign w:val="bottom"/>
            <w:tcBorders>
              <w:bottom w:val="single" w:sz="8" w:color="D7282F"/>
            </w:tcBorders>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Borders>
              <w:bottom w:val="single" w:sz="8" w:color="D7282F"/>
            </w:tcBorders>
          </w:tcPr>
          <w:p>
            <w:pPr>
              <w:spacing w:after="0"/>
              <w:rPr>
                <w:sz w:val="8"/>
                <w:szCs w:val="8"/>
                <w:color w:val="auto"/>
              </w:rPr>
            </w:pPr>
          </w:p>
        </w:tc>
        <w:tc>
          <w:tcPr>
            <w:tcW w:w="1660" w:type="dxa"/>
            <w:vAlign w:val="bottom"/>
            <w:tcBorders>
              <w:bottom w:val="single" w:sz="8" w:color="D7282F"/>
            </w:tcBorders>
          </w:tcPr>
          <w:p>
            <w:pPr>
              <w:spacing w:after="0"/>
              <w:rPr>
                <w:sz w:val="8"/>
                <w:szCs w:val="8"/>
                <w:color w:val="auto"/>
              </w:rPr>
            </w:pPr>
          </w:p>
        </w:tc>
        <w:tc>
          <w:tcPr>
            <w:tcW w:w="680" w:type="dxa"/>
            <w:vAlign w:val="bottom"/>
            <w:tcBorders>
              <w:bottom w:val="single" w:sz="8" w:color="D7282F"/>
            </w:tcBorders>
          </w:tcPr>
          <w:p>
            <w:pPr>
              <w:spacing w:after="0"/>
              <w:rPr>
                <w:sz w:val="8"/>
                <w:szCs w:val="8"/>
                <w:color w:val="auto"/>
              </w:rPr>
            </w:pPr>
          </w:p>
        </w:tc>
        <w:tc>
          <w:tcPr>
            <w:tcW w:w="1340" w:type="dxa"/>
            <w:vAlign w:val="bottom"/>
            <w:tcBorders>
              <w:bottom w:val="single" w:sz="8" w:color="D7282F"/>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6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Number of</w:t>
            </w:r>
          </w:p>
        </w:tc>
        <w:tc>
          <w:tcPr>
            <w:tcW w:w="1280" w:type="dxa"/>
            <w:vAlign w:val="bottom"/>
            <w:vMerge w:val="restart"/>
          </w:tcPr>
          <w:p>
            <w:pPr>
              <w:jc w:val="right"/>
              <w:ind w:right="326"/>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vMerge w:val="restart"/>
          </w:tcPr>
          <w:p>
            <w:pPr>
              <w:jc w:val="right"/>
              <w:ind w:right="432"/>
              <w:spacing w:after="0"/>
              <w:rPr>
                <w:sz w:val="20"/>
                <w:szCs w:val="20"/>
                <w:color w:val="auto"/>
              </w:rPr>
            </w:pPr>
            <w:r>
              <w:rPr>
                <w:rFonts w:ascii="Arial" w:cs="Arial" w:eastAsia="Arial" w:hAnsi="Arial"/>
                <w:sz w:val="11"/>
                <w:szCs w:val="11"/>
                <w:b w:val="1"/>
                <w:bCs w:val="1"/>
                <w:color w:val="auto"/>
              </w:rPr>
              <w:t>Number of</w:t>
            </w:r>
          </w:p>
        </w:tc>
        <w:tc>
          <w:tcPr>
            <w:tcW w:w="16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Number of</w:t>
            </w:r>
          </w:p>
        </w:tc>
        <w:tc>
          <w:tcPr>
            <w:tcW w:w="13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Market Value</w:t>
            </w: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6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Unearned</w:t>
            </w: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60" w:type="dxa"/>
            <w:vAlign w:val="bottom"/>
          </w:tcPr>
          <w:p>
            <w:pPr>
              <w:jc w:val="right"/>
              <w:ind w:right="106"/>
              <w:spacing w:after="0" w:line="122" w:lineRule="exact"/>
              <w:rPr>
                <w:sz w:val="20"/>
                <w:szCs w:val="20"/>
                <w:color w:val="auto"/>
              </w:rPr>
            </w:pPr>
            <w:r>
              <w:rPr>
                <w:rFonts w:ascii="Arial" w:cs="Arial" w:eastAsia="Arial" w:hAnsi="Arial"/>
                <w:sz w:val="11"/>
                <w:szCs w:val="11"/>
                <w:b w:val="1"/>
                <w:bCs w:val="1"/>
                <w:color w:val="auto"/>
              </w:rPr>
              <w:t>Securities</w:t>
            </w:r>
          </w:p>
        </w:tc>
        <w:tc>
          <w:tcPr>
            <w:tcW w:w="1280" w:type="dxa"/>
            <w:vAlign w:val="bottom"/>
          </w:tcPr>
          <w:p>
            <w:pPr>
              <w:jc w:val="right"/>
              <w:ind w:right="326"/>
              <w:spacing w:after="0" w:line="122" w:lineRule="exact"/>
              <w:rPr>
                <w:sz w:val="20"/>
                <w:szCs w:val="20"/>
                <w:color w:val="auto"/>
              </w:rPr>
            </w:pPr>
            <w:r>
              <w:rPr>
                <w:rFonts w:ascii="Arial" w:cs="Arial" w:eastAsia="Arial" w:hAnsi="Arial"/>
                <w:sz w:val="11"/>
                <w:szCs w:val="11"/>
                <w:b w:val="1"/>
                <w:bCs w:val="1"/>
                <w:color w:val="auto"/>
              </w:rPr>
              <w:t>Securities</w:t>
            </w: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Pr>
          <w:p>
            <w:pPr>
              <w:jc w:val="right"/>
              <w:ind w:right="432"/>
              <w:spacing w:after="0" w:line="122" w:lineRule="exact"/>
              <w:rPr>
                <w:sz w:val="20"/>
                <w:szCs w:val="20"/>
                <w:color w:val="auto"/>
              </w:rPr>
            </w:pPr>
            <w:r>
              <w:rPr>
                <w:rFonts w:ascii="Arial" w:cs="Arial" w:eastAsia="Arial" w:hAnsi="Arial"/>
                <w:sz w:val="11"/>
                <w:szCs w:val="11"/>
                <w:b w:val="1"/>
                <w:bCs w:val="1"/>
                <w:color w:val="auto"/>
              </w:rPr>
              <w:t>Shares or</w:t>
            </w:r>
          </w:p>
        </w:tc>
        <w:tc>
          <w:tcPr>
            <w:tcW w:w="1660" w:type="dxa"/>
            <w:vAlign w:val="bottom"/>
          </w:tcPr>
          <w:p>
            <w:pPr>
              <w:jc w:val="right"/>
              <w:ind w:right="486"/>
              <w:spacing w:after="0" w:line="122" w:lineRule="exact"/>
              <w:rPr>
                <w:sz w:val="20"/>
                <w:szCs w:val="20"/>
                <w:color w:val="auto"/>
              </w:rPr>
            </w:pPr>
            <w:r>
              <w:rPr>
                <w:rFonts w:ascii="Arial" w:cs="Arial" w:eastAsia="Arial" w:hAnsi="Arial"/>
                <w:sz w:val="11"/>
                <w:szCs w:val="11"/>
                <w:b w:val="1"/>
                <w:bCs w:val="1"/>
                <w:color w:val="auto"/>
              </w:rPr>
              <w:t>Market Value of</w:t>
            </w:r>
          </w:p>
        </w:tc>
        <w:tc>
          <w:tcPr>
            <w:tcW w:w="6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Shares or</w:t>
            </w:r>
          </w:p>
        </w:tc>
        <w:tc>
          <w:tcPr>
            <w:tcW w:w="134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of Shares or</w:t>
            </w:r>
          </w:p>
        </w:tc>
        <w:tc>
          <w:tcPr>
            <w:tcW w:w="0" w:type="dxa"/>
            <w:vAlign w:val="bottom"/>
          </w:tcPr>
          <w:p>
            <w:pPr>
              <w:spacing w:after="0"/>
              <w:rPr>
                <w:sz w:val="1"/>
                <w:szCs w:val="1"/>
                <w:color w:val="auto"/>
              </w:rPr>
            </w:pPr>
          </w:p>
        </w:tc>
      </w:tr>
      <w:tr>
        <w:trPr>
          <w:trHeight w:val="135"/>
        </w:trPr>
        <w:tc>
          <w:tcPr>
            <w:tcW w:w="1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tcPr>
          <w:p>
            <w:pPr>
              <w:jc w:val="right"/>
              <w:ind w:right="106"/>
              <w:spacing w:after="0"/>
              <w:rPr>
                <w:sz w:val="20"/>
                <w:szCs w:val="20"/>
                <w:color w:val="auto"/>
              </w:rPr>
            </w:pPr>
            <w:r>
              <w:rPr>
                <w:rFonts w:ascii="Arial" w:cs="Arial" w:eastAsia="Arial" w:hAnsi="Arial"/>
                <w:sz w:val="11"/>
                <w:szCs w:val="11"/>
                <w:b w:val="1"/>
                <w:bCs w:val="1"/>
                <w:color w:val="auto"/>
              </w:rPr>
              <w:t>Underlying</w:t>
            </w:r>
          </w:p>
        </w:tc>
        <w:tc>
          <w:tcPr>
            <w:tcW w:w="1280" w:type="dxa"/>
            <w:vAlign w:val="bottom"/>
          </w:tcPr>
          <w:p>
            <w:pPr>
              <w:jc w:val="right"/>
              <w:ind w:right="326"/>
              <w:spacing w:after="0"/>
              <w:rPr>
                <w:sz w:val="20"/>
                <w:szCs w:val="20"/>
                <w:color w:val="auto"/>
              </w:rPr>
            </w:pPr>
            <w:r>
              <w:rPr>
                <w:rFonts w:ascii="Arial" w:cs="Arial" w:eastAsia="Arial" w:hAnsi="Arial"/>
                <w:sz w:val="11"/>
                <w:szCs w:val="11"/>
                <w:b w:val="1"/>
                <w:bCs w:val="1"/>
                <w:color w:val="auto"/>
              </w:rPr>
              <w:t>Underlying</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jc w:val="right"/>
              <w:ind w:right="432"/>
              <w:spacing w:after="0"/>
              <w:rPr>
                <w:sz w:val="20"/>
                <w:szCs w:val="20"/>
                <w:color w:val="auto"/>
              </w:rPr>
            </w:pPr>
            <w:r>
              <w:rPr>
                <w:rFonts w:ascii="Arial" w:cs="Arial" w:eastAsia="Arial" w:hAnsi="Arial"/>
                <w:sz w:val="11"/>
                <w:szCs w:val="11"/>
                <w:b w:val="1"/>
                <w:bCs w:val="1"/>
                <w:color w:val="auto"/>
              </w:rPr>
              <w:t>Units of</w:t>
            </w:r>
          </w:p>
        </w:tc>
        <w:tc>
          <w:tcPr>
            <w:tcW w:w="1660" w:type="dxa"/>
            <w:vAlign w:val="bottom"/>
          </w:tcPr>
          <w:p>
            <w:pPr>
              <w:jc w:val="right"/>
              <w:ind w:right="486"/>
              <w:spacing w:after="0"/>
              <w:rPr>
                <w:sz w:val="20"/>
                <w:szCs w:val="20"/>
                <w:color w:val="auto"/>
              </w:rPr>
            </w:pPr>
            <w:r>
              <w:rPr>
                <w:rFonts w:ascii="Arial" w:cs="Arial" w:eastAsia="Arial" w:hAnsi="Arial"/>
                <w:sz w:val="11"/>
                <w:szCs w:val="11"/>
                <w:b w:val="1"/>
                <w:bCs w:val="1"/>
                <w:color w:val="auto"/>
              </w:rPr>
              <w:t>Shares or Units</w:t>
            </w: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Units of</w:t>
            </w:r>
          </w:p>
        </w:tc>
        <w:tc>
          <w:tcPr>
            <w:tcW w:w="1340" w:type="dxa"/>
            <w:vAlign w:val="bottom"/>
          </w:tcPr>
          <w:p>
            <w:pPr>
              <w:jc w:val="right"/>
              <w:spacing w:after="0"/>
              <w:rPr>
                <w:sz w:val="20"/>
                <w:szCs w:val="20"/>
                <w:color w:val="auto"/>
              </w:rPr>
            </w:pPr>
            <w:r>
              <w:rPr>
                <w:rFonts w:ascii="Arial" w:cs="Arial" w:eastAsia="Arial" w:hAnsi="Arial"/>
                <w:sz w:val="11"/>
                <w:szCs w:val="11"/>
                <w:b w:val="1"/>
                <w:bCs w:val="1"/>
                <w:color w:val="auto"/>
              </w:rPr>
              <w:t>Units of</w:t>
            </w:r>
          </w:p>
        </w:tc>
        <w:tc>
          <w:tcPr>
            <w:tcW w:w="0" w:type="dxa"/>
            <w:vAlign w:val="bottom"/>
          </w:tcPr>
          <w:p>
            <w:pPr>
              <w:spacing w:after="0"/>
              <w:rPr>
                <w:sz w:val="1"/>
                <w:szCs w:val="1"/>
                <w:color w:val="auto"/>
              </w:rPr>
            </w:pPr>
          </w:p>
        </w:tc>
      </w:tr>
      <w:tr>
        <w:trPr>
          <w:trHeight w:val="122"/>
        </w:trPr>
        <w:tc>
          <w:tcPr>
            <w:tcW w:w="1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60" w:type="dxa"/>
            <w:vAlign w:val="bottom"/>
          </w:tcPr>
          <w:p>
            <w:pPr>
              <w:jc w:val="right"/>
              <w:ind w:right="106"/>
              <w:spacing w:after="0" w:line="122" w:lineRule="exact"/>
              <w:rPr>
                <w:sz w:val="20"/>
                <w:szCs w:val="20"/>
                <w:color w:val="auto"/>
              </w:rPr>
            </w:pPr>
            <w:r>
              <w:rPr>
                <w:rFonts w:ascii="Arial" w:cs="Arial" w:eastAsia="Arial" w:hAnsi="Arial"/>
                <w:sz w:val="11"/>
                <w:szCs w:val="11"/>
                <w:b w:val="1"/>
                <w:bCs w:val="1"/>
                <w:color w:val="auto"/>
              </w:rPr>
              <w:t>Unexercised</w:t>
            </w:r>
          </w:p>
        </w:tc>
        <w:tc>
          <w:tcPr>
            <w:tcW w:w="1280" w:type="dxa"/>
            <w:vAlign w:val="bottom"/>
          </w:tcPr>
          <w:p>
            <w:pPr>
              <w:jc w:val="right"/>
              <w:ind w:right="326"/>
              <w:spacing w:after="0" w:line="122" w:lineRule="exact"/>
              <w:rPr>
                <w:sz w:val="20"/>
                <w:szCs w:val="20"/>
                <w:color w:val="auto"/>
              </w:rPr>
            </w:pPr>
            <w:r>
              <w:rPr>
                <w:rFonts w:ascii="Arial" w:cs="Arial" w:eastAsia="Arial" w:hAnsi="Arial"/>
                <w:sz w:val="11"/>
                <w:szCs w:val="11"/>
                <w:b w:val="1"/>
                <w:bCs w:val="1"/>
                <w:color w:val="auto"/>
              </w:rPr>
              <w:t>Unexercised</w:t>
            </w:r>
          </w:p>
        </w:tc>
        <w:tc>
          <w:tcPr>
            <w:tcW w:w="680" w:type="dxa"/>
            <w:vAlign w:val="bottom"/>
          </w:tcPr>
          <w:p>
            <w:pPr>
              <w:jc w:val="right"/>
              <w:ind w:right="86"/>
              <w:spacing w:after="0" w:line="122" w:lineRule="exact"/>
              <w:rPr>
                <w:sz w:val="20"/>
                <w:szCs w:val="20"/>
                <w:color w:val="auto"/>
              </w:rPr>
            </w:pPr>
            <w:r>
              <w:rPr>
                <w:rFonts w:ascii="Arial" w:cs="Arial" w:eastAsia="Arial" w:hAnsi="Arial"/>
                <w:sz w:val="11"/>
                <w:szCs w:val="11"/>
                <w:b w:val="1"/>
                <w:bCs w:val="1"/>
                <w:color w:val="auto"/>
              </w:rPr>
              <w:t>Option</w:t>
            </w:r>
          </w:p>
        </w:tc>
        <w:tc>
          <w:tcPr>
            <w:tcW w:w="900" w:type="dxa"/>
            <w:vAlign w:val="bottom"/>
            <w:gridSpan w:val="2"/>
          </w:tcPr>
          <w:p>
            <w:pPr>
              <w:jc w:val="right"/>
              <w:ind w:right="240"/>
              <w:spacing w:after="0" w:line="122" w:lineRule="exact"/>
              <w:rPr>
                <w:sz w:val="20"/>
                <w:szCs w:val="20"/>
                <w:color w:val="auto"/>
              </w:rPr>
            </w:pPr>
            <w:r>
              <w:rPr>
                <w:rFonts w:ascii="Arial" w:cs="Arial" w:eastAsia="Arial" w:hAnsi="Arial"/>
                <w:sz w:val="11"/>
                <w:szCs w:val="11"/>
                <w:b w:val="1"/>
                <w:bCs w:val="1"/>
                <w:color w:val="auto"/>
              </w:rPr>
              <w:t>Option</w:t>
            </w:r>
          </w:p>
        </w:tc>
        <w:tc>
          <w:tcPr>
            <w:tcW w:w="1280" w:type="dxa"/>
            <w:vAlign w:val="bottom"/>
          </w:tcPr>
          <w:p>
            <w:pPr>
              <w:jc w:val="right"/>
              <w:ind w:right="432"/>
              <w:spacing w:after="0" w:line="122" w:lineRule="exact"/>
              <w:rPr>
                <w:sz w:val="20"/>
                <w:szCs w:val="20"/>
                <w:color w:val="auto"/>
              </w:rPr>
            </w:pPr>
            <w:r>
              <w:rPr>
                <w:rFonts w:ascii="Arial" w:cs="Arial" w:eastAsia="Arial" w:hAnsi="Arial"/>
                <w:sz w:val="11"/>
                <w:szCs w:val="11"/>
                <w:b w:val="1"/>
                <w:bCs w:val="1"/>
                <w:color w:val="auto"/>
              </w:rPr>
              <w:t>Stock That</w:t>
            </w:r>
          </w:p>
        </w:tc>
        <w:tc>
          <w:tcPr>
            <w:tcW w:w="1660" w:type="dxa"/>
            <w:vAlign w:val="bottom"/>
          </w:tcPr>
          <w:p>
            <w:pPr>
              <w:jc w:val="right"/>
              <w:ind w:right="486"/>
              <w:spacing w:after="0" w:line="122" w:lineRule="exact"/>
              <w:rPr>
                <w:sz w:val="20"/>
                <w:szCs w:val="20"/>
                <w:color w:val="auto"/>
              </w:rPr>
            </w:pPr>
            <w:r>
              <w:rPr>
                <w:rFonts w:ascii="Arial" w:cs="Arial" w:eastAsia="Arial" w:hAnsi="Arial"/>
                <w:sz w:val="11"/>
                <w:szCs w:val="11"/>
                <w:b w:val="1"/>
                <w:bCs w:val="1"/>
                <w:color w:val="auto"/>
              </w:rPr>
              <w:t>of Stock That</w:t>
            </w:r>
          </w:p>
        </w:tc>
        <w:tc>
          <w:tcPr>
            <w:tcW w:w="6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Stock That</w:t>
            </w:r>
          </w:p>
        </w:tc>
        <w:tc>
          <w:tcPr>
            <w:tcW w:w="134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Stock That</w:t>
            </w:r>
          </w:p>
        </w:tc>
        <w:tc>
          <w:tcPr>
            <w:tcW w:w="0" w:type="dxa"/>
            <w:vAlign w:val="bottom"/>
          </w:tcPr>
          <w:p>
            <w:pPr>
              <w:spacing w:after="0"/>
              <w:rPr>
                <w:sz w:val="1"/>
                <w:szCs w:val="1"/>
                <w:color w:val="auto"/>
              </w:rPr>
            </w:pPr>
          </w:p>
        </w:tc>
      </w:tr>
      <w:tr>
        <w:trPr>
          <w:trHeight w:val="135"/>
        </w:trPr>
        <w:tc>
          <w:tcPr>
            <w:tcW w:w="1680" w:type="dxa"/>
            <w:vAlign w:val="bottom"/>
          </w:tcPr>
          <w:p>
            <w:pPr>
              <w:ind w:left="20"/>
              <w:spacing w:after="0"/>
              <w:rPr>
                <w:sz w:val="20"/>
                <w:szCs w:val="20"/>
                <w:color w:val="auto"/>
              </w:rPr>
            </w:pPr>
            <w:r>
              <w:rPr>
                <w:rFonts w:ascii="Arial" w:cs="Arial" w:eastAsia="Arial" w:hAnsi="Arial"/>
                <w:sz w:val="11"/>
                <w:szCs w:val="11"/>
                <w:b w:val="1"/>
                <w:bCs w:val="1"/>
                <w:color w:val="auto"/>
              </w:rPr>
              <w:t>Name</w:t>
            </w: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95"/>
              </w:rPr>
              <w:t>Grant</w:t>
            </w:r>
          </w:p>
        </w:tc>
        <w:tc>
          <w:tcPr>
            <w:tcW w:w="1160" w:type="dxa"/>
            <w:vAlign w:val="bottom"/>
          </w:tcPr>
          <w:p>
            <w:pPr>
              <w:jc w:val="right"/>
              <w:ind w:right="106"/>
              <w:spacing w:after="0"/>
              <w:rPr>
                <w:sz w:val="20"/>
                <w:szCs w:val="20"/>
                <w:color w:val="auto"/>
              </w:rPr>
            </w:pPr>
            <w:r>
              <w:rPr>
                <w:rFonts w:ascii="Arial" w:cs="Arial" w:eastAsia="Arial" w:hAnsi="Arial"/>
                <w:sz w:val="11"/>
                <w:szCs w:val="11"/>
                <w:b w:val="1"/>
                <w:bCs w:val="1"/>
                <w:color w:val="auto"/>
              </w:rPr>
              <w:t>Options</w:t>
            </w:r>
          </w:p>
        </w:tc>
        <w:tc>
          <w:tcPr>
            <w:tcW w:w="1280" w:type="dxa"/>
            <w:vAlign w:val="bottom"/>
          </w:tcPr>
          <w:p>
            <w:pPr>
              <w:jc w:val="right"/>
              <w:ind w:right="326"/>
              <w:spacing w:after="0"/>
              <w:rPr>
                <w:sz w:val="20"/>
                <w:szCs w:val="20"/>
                <w:color w:val="auto"/>
              </w:rPr>
            </w:pPr>
            <w:r>
              <w:rPr>
                <w:rFonts w:ascii="Arial" w:cs="Arial" w:eastAsia="Arial" w:hAnsi="Arial"/>
                <w:sz w:val="11"/>
                <w:szCs w:val="11"/>
                <w:b w:val="1"/>
                <w:bCs w:val="1"/>
                <w:color w:val="auto"/>
              </w:rPr>
              <w:t>Options</w:t>
            </w:r>
          </w:p>
        </w:tc>
        <w:tc>
          <w:tcPr>
            <w:tcW w:w="680" w:type="dxa"/>
            <w:vAlign w:val="bottom"/>
          </w:tcPr>
          <w:p>
            <w:pPr>
              <w:jc w:val="right"/>
              <w:ind w:right="86"/>
              <w:spacing w:after="0"/>
              <w:rPr>
                <w:sz w:val="20"/>
                <w:szCs w:val="20"/>
                <w:color w:val="auto"/>
              </w:rPr>
            </w:pPr>
            <w:r>
              <w:rPr>
                <w:rFonts w:ascii="Arial" w:cs="Arial" w:eastAsia="Arial" w:hAnsi="Arial"/>
                <w:sz w:val="11"/>
                <w:szCs w:val="11"/>
                <w:b w:val="1"/>
                <w:bCs w:val="1"/>
                <w:color w:val="auto"/>
              </w:rPr>
              <w:t>Exercise</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Expiration</w:t>
            </w:r>
          </w:p>
        </w:tc>
        <w:tc>
          <w:tcPr>
            <w:tcW w:w="1280" w:type="dxa"/>
            <w:vAlign w:val="bottom"/>
          </w:tcPr>
          <w:p>
            <w:pPr>
              <w:jc w:val="right"/>
              <w:ind w:right="432"/>
              <w:spacing w:after="0"/>
              <w:rPr>
                <w:sz w:val="20"/>
                <w:szCs w:val="20"/>
                <w:color w:val="auto"/>
              </w:rPr>
            </w:pPr>
            <w:r>
              <w:rPr>
                <w:rFonts w:ascii="Arial" w:cs="Arial" w:eastAsia="Arial" w:hAnsi="Arial"/>
                <w:sz w:val="11"/>
                <w:szCs w:val="11"/>
                <w:b w:val="1"/>
                <w:bCs w:val="1"/>
                <w:color w:val="auto"/>
              </w:rPr>
              <w:t>Have Not</w:t>
            </w:r>
          </w:p>
        </w:tc>
        <w:tc>
          <w:tcPr>
            <w:tcW w:w="1660" w:type="dxa"/>
            <w:vAlign w:val="bottom"/>
          </w:tcPr>
          <w:p>
            <w:pPr>
              <w:jc w:val="right"/>
              <w:ind w:right="486"/>
              <w:spacing w:after="0"/>
              <w:rPr>
                <w:sz w:val="20"/>
                <w:szCs w:val="20"/>
                <w:color w:val="auto"/>
              </w:rPr>
            </w:pPr>
            <w:r>
              <w:rPr>
                <w:rFonts w:ascii="Arial" w:cs="Arial" w:eastAsia="Arial" w:hAnsi="Arial"/>
                <w:sz w:val="11"/>
                <w:szCs w:val="11"/>
                <w:b w:val="1"/>
                <w:bCs w:val="1"/>
                <w:color w:val="auto"/>
              </w:rPr>
              <w:t>Have Not</w:t>
            </w: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Have Not</w:t>
            </w:r>
          </w:p>
        </w:tc>
        <w:tc>
          <w:tcPr>
            <w:tcW w:w="1340" w:type="dxa"/>
            <w:vAlign w:val="bottom"/>
          </w:tcPr>
          <w:p>
            <w:pPr>
              <w:jc w:val="right"/>
              <w:spacing w:after="0"/>
              <w:rPr>
                <w:sz w:val="20"/>
                <w:szCs w:val="20"/>
                <w:color w:val="auto"/>
              </w:rPr>
            </w:pPr>
            <w:r>
              <w:rPr>
                <w:rFonts w:ascii="Arial" w:cs="Arial" w:eastAsia="Arial" w:hAnsi="Arial"/>
                <w:sz w:val="11"/>
                <w:szCs w:val="11"/>
                <w:b w:val="1"/>
                <w:bCs w:val="1"/>
                <w:color w:val="auto"/>
              </w:rPr>
              <w:t>Have Not</w:t>
            </w:r>
          </w:p>
        </w:tc>
        <w:tc>
          <w:tcPr>
            <w:tcW w:w="0" w:type="dxa"/>
            <w:vAlign w:val="bottom"/>
          </w:tcPr>
          <w:p>
            <w:pPr>
              <w:spacing w:after="0"/>
              <w:rPr>
                <w:sz w:val="1"/>
                <w:szCs w:val="1"/>
                <w:color w:val="auto"/>
              </w:rPr>
            </w:pPr>
          </w:p>
        </w:tc>
      </w:tr>
      <w:tr>
        <w:trPr>
          <w:trHeight w:val="175"/>
        </w:trPr>
        <w:tc>
          <w:tcPr>
            <w:tcW w:w="1680" w:type="dxa"/>
            <w:vAlign w:val="bottom"/>
            <w:tcBorders>
              <w:bottom w:val="single" w:sz="8" w:color="D7282F"/>
            </w:tcBorders>
          </w:tcPr>
          <w:p>
            <w:pPr>
              <w:spacing w:after="0"/>
              <w:rPr>
                <w:sz w:val="15"/>
                <w:szCs w:val="15"/>
                <w:color w:val="auto"/>
              </w:rPr>
            </w:pPr>
          </w:p>
        </w:tc>
        <w:tc>
          <w:tcPr>
            <w:tcW w:w="560" w:type="dxa"/>
            <w:vAlign w:val="bottom"/>
            <w:tcBorders>
              <w:bottom w:val="single" w:sz="8" w:color="D7282F"/>
            </w:tcBorders>
          </w:tcPr>
          <w:p>
            <w:pPr>
              <w:jc w:val="center"/>
              <w:spacing w:after="0"/>
              <w:rPr>
                <w:sz w:val="20"/>
                <w:szCs w:val="20"/>
                <w:color w:val="auto"/>
              </w:rPr>
            </w:pPr>
            <w:r>
              <w:rPr>
                <w:rFonts w:ascii="Arial" w:cs="Arial" w:eastAsia="Arial" w:hAnsi="Arial"/>
                <w:sz w:val="11"/>
                <w:szCs w:val="11"/>
                <w:b w:val="1"/>
                <w:bCs w:val="1"/>
                <w:color w:val="auto"/>
                <w:w w:val="92"/>
              </w:rPr>
              <w:t>Year</w:t>
            </w:r>
          </w:p>
        </w:tc>
        <w:tc>
          <w:tcPr>
            <w:tcW w:w="1160" w:type="dxa"/>
            <w:vAlign w:val="bottom"/>
            <w:tcBorders>
              <w:bottom w:val="single" w:sz="8" w:color="D7282F"/>
            </w:tcBorders>
          </w:tcPr>
          <w:p>
            <w:pPr>
              <w:jc w:val="right"/>
              <w:ind w:right="106"/>
              <w:spacing w:after="0"/>
              <w:rPr>
                <w:sz w:val="20"/>
                <w:szCs w:val="20"/>
                <w:color w:val="auto"/>
              </w:rPr>
            </w:pPr>
            <w:r>
              <w:rPr>
                <w:rFonts w:ascii="Arial" w:cs="Arial" w:eastAsia="Arial" w:hAnsi="Arial"/>
                <w:sz w:val="11"/>
                <w:szCs w:val="11"/>
                <w:b w:val="1"/>
                <w:bCs w:val="1"/>
                <w:color w:val="auto"/>
              </w:rPr>
              <w:t>Exercisable</w:t>
            </w:r>
          </w:p>
        </w:tc>
        <w:tc>
          <w:tcPr>
            <w:tcW w:w="1280" w:type="dxa"/>
            <w:vAlign w:val="bottom"/>
            <w:tcBorders>
              <w:bottom w:val="single" w:sz="8" w:color="D7282F"/>
            </w:tcBorders>
          </w:tcPr>
          <w:p>
            <w:pPr>
              <w:jc w:val="right"/>
              <w:ind w:right="326"/>
              <w:spacing w:after="0"/>
              <w:rPr>
                <w:sz w:val="20"/>
                <w:szCs w:val="20"/>
                <w:color w:val="auto"/>
              </w:rPr>
            </w:pPr>
            <w:r>
              <w:rPr>
                <w:rFonts w:ascii="Arial" w:cs="Arial" w:eastAsia="Arial" w:hAnsi="Arial"/>
                <w:sz w:val="11"/>
                <w:szCs w:val="11"/>
                <w:b w:val="1"/>
                <w:bCs w:val="1"/>
                <w:color w:val="auto"/>
              </w:rPr>
              <w:t>Unexercisable</w:t>
            </w:r>
          </w:p>
        </w:tc>
        <w:tc>
          <w:tcPr>
            <w:tcW w:w="680" w:type="dxa"/>
            <w:vAlign w:val="bottom"/>
            <w:tcBorders>
              <w:bottom w:val="single" w:sz="8" w:color="D7282F"/>
            </w:tcBorders>
          </w:tcPr>
          <w:p>
            <w:pPr>
              <w:jc w:val="right"/>
              <w:ind w:right="86"/>
              <w:spacing w:after="0"/>
              <w:rPr>
                <w:sz w:val="20"/>
                <w:szCs w:val="20"/>
                <w:color w:val="auto"/>
              </w:rPr>
            </w:pPr>
            <w:r>
              <w:rPr>
                <w:rFonts w:ascii="Arial" w:cs="Arial" w:eastAsia="Arial" w:hAnsi="Arial"/>
                <w:sz w:val="11"/>
                <w:szCs w:val="11"/>
                <w:b w:val="1"/>
                <w:bCs w:val="1"/>
                <w:color w:val="auto"/>
              </w:rPr>
              <w:t>Price</w:t>
            </w:r>
          </w:p>
        </w:tc>
        <w:tc>
          <w:tcPr>
            <w:tcW w:w="900" w:type="dxa"/>
            <w:vAlign w:val="bottom"/>
            <w:tcBorders>
              <w:bottom w:val="single" w:sz="8" w:color="D7282F"/>
            </w:tcBorders>
            <w:gridSpan w:val="2"/>
          </w:tcPr>
          <w:p>
            <w:pPr>
              <w:jc w:val="right"/>
              <w:ind w:right="240"/>
              <w:spacing w:after="0"/>
              <w:rPr>
                <w:sz w:val="20"/>
                <w:szCs w:val="20"/>
                <w:color w:val="auto"/>
              </w:rPr>
            </w:pPr>
            <w:r>
              <w:rPr>
                <w:rFonts w:ascii="Arial" w:cs="Arial" w:eastAsia="Arial" w:hAnsi="Arial"/>
                <w:sz w:val="11"/>
                <w:szCs w:val="11"/>
                <w:b w:val="1"/>
                <w:bCs w:val="1"/>
                <w:color w:val="auto"/>
              </w:rPr>
              <w:t>Date</w:t>
            </w:r>
          </w:p>
        </w:tc>
        <w:tc>
          <w:tcPr>
            <w:tcW w:w="1280" w:type="dxa"/>
            <w:vAlign w:val="bottom"/>
            <w:tcBorders>
              <w:bottom w:val="single" w:sz="8" w:color="D7282F"/>
            </w:tcBorders>
          </w:tcPr>
          <w:p>
            <w:pPr>
              <w:jc w:val="right"/>
              <w:ind w:right="432"/>
              <w:spacing w:after="0"/>
              <w:rPr>
                <w:sz w:val="20"/>
                <w:szCs w:val="20"/>
                <w:color w:val="auto"/>
              </w:rPr>
            </w:pPr>
            <w:r>
              <w:rPr>
                <w:rFonts w:ascii="Arial" w:cs="Arial" w:eastAsia="Arial" w:hAnsi="Arial"/>
                <w:sz w:val="11"/>
                <w:szCs w:val="11"/>
                <w:b w:val="1"/>
                <w:bCs w:val="1"/>
                <w:color w:val="auto"/>
              </w:rPr>
              <w:t>Vested</w:t>
            </w:r>
          </w:p>
        </w:tc>
        <w:tc>
          <w:tcPr>
            <w:tcW w:w="1660" w:type="dxa"/>
            <w:vAlign w:val="bottom"/>
            <w:tcBorders>
              <w:bottom w:val="single" w:sz="8" w:color="D7282F"/>
            </w:tcBorders>
          </w:tcPr>
          <w:p>
            <w:pPr>
              <w:jc w:val="right"/>
              <w:ind w:right="486"/>
              <w:spacing w:after="0"/>
              <w:rPr>
                <w:sz w:val="20"/>
                <w:szCs w:val="20"/>
                <w:color w:val="auto"/>
              </w:rPr>
            </w:pPr>
            <w:r>
              <w:rPr>
                <w:rFonts w:ascii="Arial" w:cs="Arial" w:eastAsia="Arial" w:hAnsi="Arial"/>
                <w:sz w:val="11"/>
                <w:szCs w:val="11"/>
                <w:b w:val="1"/>
                <w:bCs w:val="1"/>
                <w:color w:val="auto"/>
              </w:rPr>
              <w:t>Vested</w:t>
            </w:r>
            <w:r>
              <w:rPr>
                <w:rFonts w:ascii="Arial" w:cs="Arial" w:eastAsia="Arial" w:hAnsi="Arial"/>
                <w:sz w:val="7"/>
                <w:szCs w:val="7"/>
                <w:b w:val="1"/>
                <w:bCs w:val="1"/>
                <w:color w:val="auto"/>
              </w:rPr>
              <w:t>(2)</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1"/>
                <w:szCs w:val="11"/>
                <w:b w:val="1"/>
                <w:bCs w:val="1"/>
                <w:color w:val="auto"/>
              </w:rPr>
              <w:t>Vested</w:t>
            </w:r>
          </w:p>
        </w:tc>
        <w:tc>
          <w:tcPr>
            <w:tcW w:w="1340" w:type="dxa"/>
            <w:vAlign w:val="bottom"/>
            <w:tcBorders>
              <w:bottom w:val="single" w:sz="8" w:color="D7282F"/>
            </w:tcBorders>
          </w:tcPr>
          <w:p>
            <w:pPr>
              <w:jc w:val="right"/>
              <w:spacing w:after="0"/>
              <w:rPr>
                <w:sz w:val="20"/>
                <w:szCs w:val="20"/>
                <w:color w:val="auto"/>
              </w:rPr>
            </w:pPr>
            <w:r>
              <w:rPr>
                <w:rFonts w:ascii="Arial" w:cs="Arial" w:eastAsia="Arial" w:hAnsi="Arial"/>
                <w:sz w:val="11"/>
                <w:szCs w:val="11"/>
                <w:b w:val="1"/>
                <w:bCs w:val="1"/>
                <w:color w:val="auto"/>
              </w:rPr>
              <w:t>Vested</w:t>
            </w:r>
            <w:r>
              <w:rPr>
                <w:rFonts w:ascii="Arial" w:cs="Arial" w:eastAsia="Arial" w:hAnsi="Arial"/>
                <w:sz w:val="14"/>
                <w:szCs w:val="14"/>
                <w:b w:val="1"/>
                <w:bCs w:val="1"/>
                <w:color w:val="auto"/>
                <w:vertAlign w:val="superscript"/>
              </w:rPr>
              <w:t>(2)</w:t>
            </w:r>
          </w:p>
        </w:tc>
        <w:tc>
          <w:tcPr>
            <w:tcW w:w="0" w:type="dxa"/>
            <w:vAlign w:val="bottom"/>
          </w:tcPr>
          <w:p>
            <w:pPr>
              <w:spacing w:after="0"/>
              <w:rPr>
                <w:sz w:val="1"/>
                <w:szCs w:val="1"/>
                <w:color w:val="auto"/>
              </w:rPr>
            </w:pPr>
          </w:p>
        </w:tc>
      </w:tr>
      <w:tr>
        <w:trPr>
          <w:trHeight w:val="110"/>
        </w:trPr>
        <w:tc>
          <w:tcPr>
            <w:tcW w:w="1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ind w:left="840"/>
              <w:spacing w:after="0"/>
              <w:rPr>
                <w:sz w:val="20"/>
                <w:szCs w:val="20"/>
                <w:color w:val="auto"/>
              </w:rPr>
            </w:pPr>
            <w:r>
              <w:rPr>
                <w:rFonts w:ascii="Arial" w:cs="Arial" w:eastAsia="Arial" w:hAnsi="Arial"/>
                <w:sz w:val="7"/>
                <w:szCs w:val="7"/>
                <w:color w:val="auto"/>
              </w:rPr>
              <w:t>(5)</w:t>
            </w:r>
          </w:p>
        </w:tc>
        <w:tc>
          <w:tcPr>
            <w:tcW w:w="1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40" w:type="dxa"/>
            <w:vAlign w:val="bottom"/>
          </w:tcPr>
          <w:p>
            <w:pPr>
              <w:jc w:val="right"/>
              <w:ind w:right="1189"/>
              <w:spacing w:after="0"/>
              <w:rPr>
                <w:sz w:val="20"/>
                <w:szCs w:val="20"/>
                <w:color w:val="auto"/>
              </w:rPr>
            </w:pPr>
            <w:r>
              <w:rPr>
                <w:rFonts w:ascii="Arial" w:cs="Arial" w:eastAsia="Arial" w:hAnsi="Arial"/>
                <w:sz w:val="7"/>
                <w:szCs w:val="7"/>
                <w:color w:val="auto"/>
                <w:w w:val="92"/>
              </w:rPr>
              <w:t>(6)</w:t>
            </w:r>
          </w:p>
        </w:tc>
        <w:tc>
          <w:tcPr>
            <w:tcW w:w="0" w:type="dxa"/>
            <w:vAlign w:val="bottom"/>
          </w:tcPr>
          <w:p>
            <w:pPr>
              <w:spacing w:after="0"/>
              <w:rPr>
                <w:sz w:val="1"/>
                <w:szCs w:val="1"/>
                <w:color w:val="auto"/>
              </w:rPr>
            </w:pPr>
          </w:p>
        </w:tc>
      </w:tr>
      <w:tr>
        <w:trPr>
          <w:trHeight w:val="153"/>
        </w:trPr>
        <w:tc>
          <w:tcPr>
            <w:tcW w:w="1680" w:type="dxa"/>
            <w:vAlign w:val="bottom"/>
          </w:tcPr>
          <w:p>
            <w:pPr>
              <w:ind w:left="20"/>
              <w:spacing w:after="0"/>
              <w:rPr>
                <w:sz w:val="20"/>
                <w:szCs w:val="20"/>
                <w:color w:val="auto"/>
              </w:rPr>
            </w:pPr>
            <w:r>
              <w:rPr>
                <w:rFonts w:ascii="Arial" w:cs="Arial" w:eastAsia="Arial" w:hAnsi="Arial"/>
                <w:sz w:val="11"/>
                <w:szCs w:val="11"/>
                <w:b w:val="1"/>
                <w:bCs w:val="1"/>
                <w:color w:val="auto"/>
              </w:rPr>
              <w:t>Gregory P. Lewis</w:t>
            </w:r>
          </w:p>
        </w:tc>
        <w:tc>
          <w:tcPr>
            <w:tcW w:w="560" w:type="dxa"/>
            <w:vAlign w:val="bottom"/>
          </w:tcPr>
          <w:p>
            <w:pPr>
              <w:jc w:val="center"/>
              <w:spacing w:after="0"/>
              <w:rPr>
                <w:sz w:val="20"/>
                <w:szCs w:val="20"/>
                <w:color w:val="auto"/>
              </w:rPr>
            </w:pPr>
            <w:r>
              <w:rPr>
                <w:rFonts w:ascii="Arial" w:cs="Arial" w:eastAsia="Arial" w:hAnsi="Arial"/>
                <w:sz w:val="11"/>
                <w:szCs w:val="11"/>
                <w:color w:val="auto"/>
                <w:w w:val="97"/>
              </w:rPr>
              <w:t>2025</w:t>
            </w:r>
          </w:p>
        </w:tc>
        <w:tc>
          <w:tcPr>
            <w:tcW w:w="116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1280" w:type="dxa"/>
            <w:vAlign w:val="bottom"/>
          </w:tcPr>
          <w:p>
            <w:pPr>
              <w:jc w:val="right"/>
              <w:ind w:right="366"/>
              <w:spacing w:after="0"/>
              <w:rPr>
                <w:sz w:val="20"/>
                <w:szCs w:val="20"/>
                <w:color w:val="auto"/>
              </w:rPr>
            </w:pPr>
            <w:r>
              <w:rPr>
                <w:rFonts w:ascii="Arial" w:cs="Arial" w:eastAsia="Arial" w:hAnsi="Arial"/>
                <w:sz w:val="11"/>
                <w:szCs w:val="11"/>
                <w:color w:val="auto"/>
              </w:rPr>
              <w:t>6,013</w:t>
            </w: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198.89</w:t>
            </w:r>
          </w:p>
        </w:tc>
        <w:tc>
          <w:tcPr>
            <w:tcW w:w="680" w:type="dxa"/>
            <w:vAlign w:val="bottom"/>
          </w:tcPr>
          <w:p>
            <w:pPr>
              <w:jc w:val="right"/>
              <w:spacing w:after="0"/>
              <w:rPr>
                <w:sz w:val="20"/>
                <w:szCs w:val="20"/>
                <w:color w:val="auto"/>
              </w:rPr>
            </w:pPr>
            <w:r>
              <w:rPr>
                <w:rFonts w:ascii="Arial" w:cs="Arial" w:eastAsia="Arial" w:hAnsi="Arial"/>
                <w:sz w:val="11"/>
                <w:szCs w:val="11"/>
                <w:color w:val="auto"/>
              </w:rPr>
              <w:t>2/18/2035</w:t>
            </w:r>
          </w:p>
        </w:tc>
        <w:tc>
          <w:tcPr>
            <w:tcW w:w="220" w:type="dxa"/>
            <w:vAlign w:val="bottom"/>
          </w:tcPr>
          <w:p>
            <w:pPr>
              <w:spacing w:after="0"/>
              <w:rPr>
                <w:sz w:val="13"/>
                <w:szCs w:val="13"/>
                <w:color w:val="auto"/>
              </w:rPr>
            </w:pPr>
          </w:p>
        </w:tc>
        <w:tc>
          <w:tcPr>
            <w:tcW w:w="1280" w:type="dxa"/>
            <w:vAlign w:val="bottom"/>
          </w:tcPr>
          <w:p>
            <w:pPr>
              <w:jc w:val="right"/>
              <w:ind w:right="472"/>
              <w:spacing w:after="0"/>
              <w:rPr>
                <w:sz w:val="20"/>
                <w:szCs w:val="20"/>
                <w:color w:val="auto"/>
              </w:rPr>
            </w:pPr>
            <w:r>
              <w:rPr>
                <w:rFonts w:ascii="Arial" w:cs="Arial" w:eastAsia="Arial" w:hAnsi="Arial"/>
                <w:sz w:val="11"/>
                <w:szCs w:val="11"/>
                <w:color w:val="auto"/>
              </w:rPr>
              <w:t>1,186</w:t>
            </w:r>
          </w:p>
        </w:tc>
        <w:tc>
          <w:tcPr>
            <w:tcW w:w="1660" w:type="dxa"/>
            <w:vAlign w:val="bottom"/>
          </w:tcPr>
          <w:p>
            <w:pPr>
              <w:jc w:val="right"/>
              <w:ind w:right="526"/>
              <w:spacing w:after="0"/>
              <w:rPr>
                <w:sz w:val="20"/>
                <w:szCs w:val="20"/>
                <w:color w:val="auto"/>
              </w:rPr>
            </w:pPr>
            <w:r>
              <w:rPr>
                <w:rFonts w:ascii="Arial" w:cs="Arial" w:eastAsia="Arial" w:hAnsi="Arial"/>
                <w:sz w:val="11"/>
                <w:szCs w:val="11"/>
                <w:color w:val="auto"/>
              </w:rPr>
              <w:t>231,473</w:t>
            </w: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2,588</w:t>
            </w:r>
          </w:p>
        </w:tc>
        <w:tc>
          <w:tcPr>
            <w:tcW w:w="1340" w:type="dxa"/>
            <w:vAlign w:val="bottom"/>
          </w:tcPr>
          <w:p>
            <w:pPr>
              <w:jc w:val="right"/>
              <w:ind w:right="9"/>
              <w:spacing w:after="0"/>
              <w:rPr>
                <w:sz w:val="20"/>
                <w:szCs w:val="20"/>
                <w:color w:val="auto"/>
              </w:rPr>
            </w:pPr>
            <w:r>
              <w:rPr>
                <w:rFonts w:ascii="Arial" w:cs="Arial" w:eastAsia="Arial" w:hAnsi="Arial"/>
                <w:sz w:val="11"/>
                <w:szCs w:val="11"/>
                <w:color w:val="auto"/>
              </w:rPr>
              <w:t>504,814</w:t>
            </w:r>
          </w:p>
        </w:tc>
        <w:tc>
          <w:tcPr>
            <w:tcW w:w="0" w:type="dxa"/>
            <w:vAlign w:val="bottom"/>
          </w:tcPr>
          <w:p>
            <w:pPr>
              <w:spacing w:after="0"/>
              <w:rPr>
                <w:sz w:val="1"/>
                <w:szCs w:val="1"/>
                <w:color w:val="auto"/>
              </w:rPr>
            </w:pPr>
          </w:p>
        </w:tc>
      </w:tr>
      <w:tr>
        <w:trPr>
          <w:trHeight w:val="136"/>
        </w:trPr>
        <w:tc>
          <w:tcPr>
            <w:tcW w:w="1680" w:type="dxa"/>
            <w:vAlign w:val="bottom"/>
          </w:tcPr>
          <w:p>
            <w:pPr>
              <w:spacing w:after="0"/>
              <w:rPr>
                <w:sz w:val="11"/>
                <w:szCs w:val="11"/>
                <w:color w:val="auto"/>
              </w:rPr>
            </w:pPr>
          </w:p>
        </w:tc>
        <w:tc>
          <w:tcPr>
            <w:tcW w:w="560" w:type="dxa"/>
            <w:vAlign w:val="bottom"/>
            <w:tcBorders>
              <w:bottom w:val="single" w:sz="8" w:color="939598"/>
            </w:tcBorders>
          </w:tcPr>
          <w:p>
            <w:pPr>
              <w:spacing w:after="0"/>
              <w:rPr>
                <w:sz w:val="11"/>
                <w:szCs w:val="11"/>
                <w:color w:val="auto"/>
              </w:rPr>
            </w:pPr>
          </w:p>
        </w:tc>
        <w:tc>
          <w:tcPr>
            <w:tcW w:w="1160" w:type="dxa"/>
            <w:vAlign w:val="bottom"/>
            <w:tcBorders>
              <w:bottom w:val="single" w:sz="8" w:color="939598"/>
            </w:tcBorders>
          </w:tcPr>
          <w:p>
            <w:pPr>
              <w:spacing w:after="0"/>
              <w:rPr>
                <w:sz w:val="11"/>
                <w:szCs w:val="11"/>
                <w:color w:val="auto"/>
              </w:rPr>
            </w:pPr>
          </w:p>
        </w:tc>
        <w:tc>
          <w:tcPr>
            <w:tcW w:w="1280" w:type="dxa"/>
            <w:vAlign w:val="bottom"/>
            <w:tcBorders>
              <w:bottom w:val="single" w:sz="8" w:color="939598"/>
            </w:tcBorders>
          </w:tcPr>
          <w:p>
            <w:pPr>
              <w:spacing w:after="0"/>
              <w:rPr>
                <w:sz w:val="11"/>
                <w:szCs w:val="11"/>
                <w:color w:val="auto"/>
              </w:rPr>
            </w:pPr>
          </w:p>
        </w:tc>
        <w:tc>
          <w:tcPr>
            <w:tcW w:w="680" w:type="dxa"/>
            <w:vAlign w:val="bottom"/>
            <w:tcBorders>
              <w:bottom w:val="single" w:sz="8" w:color="939598"/>
            </w:tcBorders>
          </w:tcPr>
          <w:p>
            <w:pPr>
              <w:spacing w:after="0"/>
              <w:rPr>
                <w:sz w:val="11"/>
                <w:szCs w:val="11"/>
                <w:color w:val="auto"/>
              </w:rPr>
            </w:pPr>
          </w:p>
        </w:tc>
        <w:tc>
          <w:tcPr>
            <w:tcW w:w="680" w:type="dxa"/>
            <w:vAlign w:val="bottom"/>
            <w:tcBorders>
              <w:bottom w:val="single" w:sz="8" w:color="939598"/>
            </w:tcBorders>
          </w:tcPr>
          <w:p>
            <w:pPr>
              <w:spacing w:after="0"/>
              <w:rPr>
                <w:sz w:val="11"/>
                <w:szCs w:val="11"/>
                <w:color w:val="auto"/>
              </w:rPr>
            </w:pPr>
          </w:p>
        </w:tc>
        <w:tc>
          <w:tcPr>
            <w:tcW w:w="220" w:type="dxa"/>
            <w:vAlign w:val="bottom"/>
            <w:tcBorders>
              <w:bottom w:val="single" w:sz="8" w:color="939598"/>
            </w:tcBorders>
          </w:tcPr>
          <w:p>
            <w:pPr>
              <w:spacing w:after="0"/>
              <w:rPr>
                <w:sz w:val="11"/>
                <w:szCs w:val="11"/>
                <w:color w:val="auto"/>
              </w:rPr>
            </w:pPr>
          </w:p>
        </w:tc>
        <w:tc>
          <w:tcPr>
            <w:tcW w:w="1280" w:type="dxa"/>
            <w:vAlign w:val="bottom"/>
            <w:tcBorders>
              <w:bottom w:val="single" w:sz="8" w:color="939598"/>
            </w:tcBorders>
          </w:tcPr>
          <w:p>
            <w:pPr>
              <w:spacing w:after="0"/>
              <w:rPr>
                <w:sz w:val="11"/>
                <w:szCs w:val="11"/>
                <w:color w:val="auto"/>
              </w:rPr>
            </w:pPr>
          </w:p>
        </w:tc>
        <w:tc>
          <w:tcPr>
            <w:tcW w:w="1660" w:type="dxa"/>
            <w:vAlign w:val="bottom"/>
            <w:tcBorders>
              <w:bottom w:val="single" w:sz="8" w:color="939598"/>
            </w:tcBorders>
          </w:tcPr>
          <w:p>
            <w:pPr>
              <w:spacing w:after="0"/>
              <w:rPr>
                <w:sz w:val="11"/>
                <w:szCs w:val="11"/>
                <w:color w:val="auto"/>
              </w:rPr>
            </w:pPr>
          </w:p>
        </w:tc>
        <w:tc>
          <w:tcPr>
            <w:tcW w:w="680" w:type="dxa"/>
            <w:vAlign w:val="bottom"/>
            <w:tcBorders>
              <w:bottom w:val="single" w:sz="8" w:color="939598"/>
            </w:tcBorders>
          </w:tcPr>
          <w:p>
            <w:pPr>
              <w:spacing w:after="0"/>
              <w:rPr>
                <w:sz w:val="11"/>
                <w:szCs w:val="11"/>
                <w:color w:val="auto"/>
              </w:rPr>
            </w:pPr>
          </w:p>
        </w:tc>
        <w:tc>
          <w:tcPr>
            <w:tcW w:w="134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1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ind w:left="840"/>
              <w:spacing w:after="0"/>
              <w:rPr>
                <w:sz w:val="20"/>
                <w:szCs w:val="20"/>
                <w:color w:val="auto"/>
              </w:rPr>
            </w:pPr>
            <w:r>
              <w:rPr>
                <w:rFonts w:ascii="Arial" w:cs="Arial" w:eastAsia="Arial" w:hAnsi="Arial"/>
                <w:sz w:val="7"/>
                <w:szCs w:val="7"/>
                <w:color w:val="auto"/>
              </w:rPr>
              <w:t>(7)</w:t>
            </w:r>
          </w:p>
        </w:tc>
        <w:tc>
          <w:tcPr>
            <w:tcW w:w="1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40" w:type="dxa"/>
            <w:vAlign w:val="bottom"/>
          </w:tcPr>
          <w:p>
            <w:pPr>
              <w:jc w:val="right"/>
              <w:ind w:right="1189"/>
              <w:spacing w:after="0"/>
              <w:rPr>
                <w:sz w:val="20"/>
                <w:szCs w:val="20"/>
                <w:color w:val="auto"/>
              </w:rPr>
            </w:pPr>
            <w:r>
              <w:rPr>
                <w:rFonts w:ascii="Arial" w:cs="Arial" w:eastAsia="Arial" w:hAnsi="Arial"/>
                <w:sz w:val="7"/>
                <w:szCs w:val="7"/>
                <w:color w:val="auto"/>
                <w:w w:val="92"/>
              </w:rPr>
              <w:t>(8)</w:t>
            </w:r>
          </w:p>
        </w:tc>
        <w:tc>
          <w:tcPr>
            <w:tcW w:w="0" w:type="dxa"/>
            <w:vAlign w:val="bottom"/>
          </w:tcPr>
          <w:p>
            <w:pPr>
              <w:spacing w:after="0"/>
              <w:rPr>
                <w:sz w:val="1"/>
                <w:szCs w:val="1"/>
                <w:color w:val="auto"/>
              </w:rPr>
            </w:pPr>
          </w:p>
        </w:tc>
      </w:tr>
      <w:tr>
        <w:trPr>
          <w:trHeight w:val="147"/>
        </w:trPr>
        <w:tc>
          <w:tcPr>
            <w:tcW w:w="168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auto"/>
                <w:w w:val="97"/>
              </w:rPr>
              <w:t>2024</w:t>
            </w:r>
          </w:p>
        </w:tc>
        <w:tc>
          <w:tcPr>
            <w:tcW w:w="1160" w:type="dxa"/>
            <w:vAlign w:val="bottom"/>
          </w:tcPr>
          <w:p>
            <w:pPr>
              <w:jc w:val="right"/>
              <w:ind w:right="146"/>
              <w:spacing w:after="0"/>
              <w:rPr>
                <w:sz w:val="20"/>
                <w:szCs w:val="20"/>
                <w:color w:val="auto"/>
              </w:rPr>
            </w:pPr>
            <w:r>
              <w:rPr>
                <w:rFonts w:ascii="Arial" w:cs="Arial" w:eastAsia="Arial" w:hAnsi="Arial"/>
                <w:sz w:val="11"/>
                <w:szCs w:val="11"/>
                <w:color w:val="auto"/>
              </w:rPr>
              <w:t>10,357</w:t>
            </w:r>
          </w:p>
        </w:tc>
        <w:tc>
          <w:tcPr>
            <w:tcW w:w="1280" w:type="dxa"/>
            <w:vAlign w:val="bottom"/>
          </w:tcPr>
          <w:p>
            <w:pPr>
              <w:jc w:val="right"/>
              <w:ind w:right="366"/>
              <w:spacing w:after="0"/>
              <w:rPr>
                <w:sz w:val="20"/>
                <w:szCs w:val="20"/>
                <w:color w:val="auto"/>
              </w:rPr>
            </w:pPr>
            <w:r>
              <w:rPr>
                <w:rFonts w:ascii="Arial" w:cs="Arial" w:eastAsia="Arial" w:hAnsi="Arial"/>
                <w:sz w:val="11"/>
                <w:szCs w:val="11"/>
                <w:color w:val="auto"/>
              </w:rPr>
              <w:t>31,607</w:t>
            </w: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187.39</w:t>
            </w:r>
          </w:p>
        </w:tc>
        <w:tc>
          <w:tcPr>
            <w:tcW w:w="680" w:type="dxa"/>
            <w:vAlign w:val="bottom"/>
          </w:tcPr>
          <w:p>
            <w:pPr>
              <w:jc w:val="right"/>
              <w:spacing w:after="0"/>
              <w:rPr>
                <w:sz w:val="20"/>
                <w:szCs w:val="20"/>
                <w:color w:val="auto"/>
              </w:rPr>
            </w:pPr>
            <w:r>
              <w:rPr>
                <w:rFonts w:ascii="Arial" w:cs="Arial" w:eastAsia="Arial" w:hAnsi="Arial"/>
                <w:sz w:val="11"/>
                <w:szCs w:val="11"/>
                <w:color w:val="auto"/>
              </w:rPr>
              <w:t>2/15/2034</w:t>
            </w:r>
          </w:p>
        </w:tc>
        <w:tc>
          <w:tcPr>
            <w:tcW w:w="220" w:type="dxa"/>
            <w:vAlign w:val="bottom"/>
          </w:tcPr>
          <w:p>
            <w:pPr>
              <w:spacing w:after="0"/>
              <w:rPr>
                <w:sz w:val="12"/>
                <w:szCs w:val="12"/>
                <w:color w:val="auto"/>
              </w:rPr>
            </w:pPr>
          </w:p>
        </w:tc>
        <w:tc>
          <w:tcPr>
            <w:tcW w:w="1280" w:type="dxa"/>
            <w:vAlign w:val="bottom"/>
          </w:tcPr>
          <w:p>
            <w:pPr>
              <w:jc w:val="right"/>
              <w:ind w:right="472"/>
              <w:spacing w:after="0"/>
              <w:rPr>
                <w:sz w:val="20"/>
                <w:szCs w:val="20"/>
                <w:color w:val="auto"/>
              </w:rPr>
            </w:pPr>
            <w:r>
              <w:rPr>
                <w:rFonts w:ascii="Arial" w:cs="Arial" w:eastAsia="Arial" w:hAnsi="Arial"/>
                <w:sz w:val="11"/>
                <w:szCs w:val="11"/>
                <w:color w:val="auto"/>
              </w:rPr>
              <w:t>8,355</w:t>
            </w:r>
          </w:p>
        </w:tc>
        <w:tc>
          <w:tcPr>
            <w:tcW w:w="1660" w:type="dxa"/>
            <w:vAlign w:val="bottom"/>
          </w:tcPr>
          <w:p>
            <w:pPr>
              <w:jc w:val="right"/>
              <w:ind w:right="526"/>
              <w:spacing w:after="0"/>
              <w:rPr>
                <w:sz w:val="20"/>
                <w:szCs w:val="20"/>
                <w:color w:val="auto"/>
              </w:rPr>
            </w:pPr>
            <w:r>
              <w:rPr>
                <w:rFonts w:ascii="Arial" w:cs="Arial" w:eastAsia="Arial" w:hAnsi="Arial"/>
                <w:sz w:val="11"/>
                <w:szCs w:val="11"/>
                <w:color w:val="auto"/>
              </w:rPr>
              <w:t>1,629,976</w:t>
            </w: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16,275</w:t>
            </w:r>
          </w:p>
        </w:tc>
        <w:tc>
          <w:tcPr>
            <w:tcW w:w="1340" w:type="dxa"/>
            <w:vAlign w:val="bottom"/>
          </w:tcPr>
          <w:p>
            <w:pPr>
              <w:jc w:val="right"/>
              <w:ind w:right="9"/>
              <w:spacing w:after="0"/>
              <w:rPr>
                <w:sz w:val="20"/>
                <w:szCs w:val="20"/>
                <w:color w:val="auto"/>
              </w:rPr>
            </w:pPr>
            <w:r>
              <w:rPr>
                <w:rFonts w:ascii="Arial" w:cs="Arial" w:eastAsia="Arial" w:hAnsi="Arial"/>
                <w:sz w:val="11"/>
                <w:szCs w:val="11"/>
                <w:color w:val="auto"/>
              </w:rPr>
              <w:t>3,175,054</w:t>
            </w:r>
          </w:p>
        </w:tc>
        <w:tc>
          <w:tcPr>
            <w:tcW w:w="0" w:type="dxa"/>
            <w:vAlign w:val="bottom"/>
          </w:tcPr>
          <w:p>
            <w:pPr>
              <w:spacing w:after="0"/>
              <w:rPr>
                <w:sz w:val="1"/>
                <w:szCs w:val="1"/>
                <w:color w:val="auto"/>
              </w:rPr>
            </w:pPr>
          </w:p>
        </w:tc>
      </w:tr>
      <w:tr>
        <w:trPr>
          <w:trHeight w:val="142"/>
        </w:trPr>
        <w:tc>
          <w:tcPr>
            <w:tcW w:w="1680" w:type="dxa"/>
            <w:vAlign w:val="bottom"/>
          </w:tcPr>
          <w:p>
            <w:pPr>
              <w:spacing w:after="0"/>
              <w:rPr>
                <w:sz w:val="12"/>
                <w:szCs w:val="12"/>
                <w:color w:val="auto"/>
              </w:rPr>
            </w:pPr>
          </w:p>
        </w:tc>
        <w:tc>
          <w:tcPr>
            <w:tcW w:w="560" w:type="dxa"/>
            <w:vAlign w:val="bottom"/>
            <w:tcBorders>
              <w:bottom w:val="single" w:sz="8" w:color="939598"/>
            </w:tcBorders>
          </w:tcPr>
          <w:p>
            <w:pPr>
              <w:spacing w:after="0"/>
              <w:rPr>
                <w:sz w:val="12"/>
                <w:szCs w:val="12"/>
                <w:color w:val="auto"/>
              </w:rPr>
            </w:pPr>
          </w:p>
        </w:tc>
        <w:tc>
          <w:tcPr>
            <w:tcW w:w="1160" w:type="dxa"/>
            <w:vAlign w:val="bottom"/>
            <w:tcBorders>
              <w:bottom w:val="single" w:sz="8" w:color="939598"/>
            </w:tcBorders>
          </w:tcPr>
          <w:p>
            <w:pPr>
              <w:spacing w:after="0"/>
              <w:rPr>
                <w:sz w:val="12"/>
                <w:szCs w:val="12"/>
                <w:color w:val="auto"/>
              </w:rPr>
            </w:pPr>
          </w:p>
        </w:tc>
        <w:tc>
          <w:tcPr>
            <w:tcW w:w="12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220" w:type="dxa"/>
            <w:vAlign w:val="bottom"/>
            <w:tcBorders>
              <w:bottom w:val="single" w:sz="8" w:color="939598"/>
            </w:tcBorders>
          </w:tcPr>
          <w:p>
            <w:pPr>
              <w:spacing w:after="0"/>
              <w:rPr>
                <w:sz w:val="12"/>
                <w:szCs w:val="12"/>
                <w:color w:val="auto"/>
              </w:rPr>
            </w:pPr>
          </w:p>
        </w:tc>
        <w:tc>
          <w:tcPr>
            <w:tcW w:w="1280" w:type="dxa"/>
            <w:vAlign w:val="bottom"/>
            <w:tcBorders>
              <w:bottom w:val="single" w:sz="8" w:color="939598"/>
            </w:tcBorders>
          </w:tcPr>
          <w:p>
            <w:pPr>
              <w:spacing w:after="0"/>
              <w:rPr>
                <w:sz w:val="12"/>
                <w:szCs w:val="12"/>
                <w:color w:val="auto"/>
              </w:rPr>
            </w:pPr>
          </w:p>
        </w:tc>
        <w:tc>
          <w:tcPr>
            <w:tcW w:w="166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1340" w:type="dxa"/>
            <w:vAlign w:val="bottom"/>
            <w:tcBorders>
              <w:bottom w:val="single" w:sz="8" w:color="939598"/>
            </w:tcBorders>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ind w:left="840"/>
              <w:spacing w:after="0"/>
              <w:rPr>
                <w:sz w:val="20"/>
                <w:szCs w:val="20"/>
                <w:color w:val="auto"/>
              </w:rPr>
            </w:pPr>
            <w:r>
              <w:rPr>
                <w:rFonts w:ascii="Arial" w:cs="Arial" w:eastAsia="Arial" w:hAnsi="Arial"/>
                <w:sz w:val="7"/>
                <w:szCs w:val="7"/>
                <w:color w:val="auto"/>
              </w:rPr>
              <w:t>(10)</w:t>
            </w:r>
          </w:p>
        </w:tc>
        <w:tc>
          <w:tcPr>
            <w:tcW w:w="1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68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auto"/>
                <w:w w:val="97"/>
              </w:rPr>
              <w:t>2023</w:t>
            </w:r>
          </w:p>
        </w:tc>
        <w:tc>
          <w:tcPr>
            <w:tcW w:w="1160" w:type="dxa"/>
            <w:vAlign w:val="bottom"/>
          </w:tcPr>
          <w:p>
            <w:pPr>
              <w:jc w:val="right"/>
              <w:ind w:right="146"/>
              <w:spacing w:after="0"/>
              <w:rPr>
                <w:sz w:val="20"/>
                <w:szCs w:val="20"/>
                <w:color w:val="auto"/>
              </w:rPr>
            </w:pPr>
            <w:r>
              <w:rPr>
                <w:rFonts w:ascii="Arial" w:cs="Arial" w:eastAsia="Arial" w:hAnsi="Arial"/>
                <w:sz w:val="11"/>
                <w:szCs w:val="11"/>
                <w:color w:val="auto"/>
              </w:rPr>
              <w:t>18,076</w:t>
            </w:r>
          </w:p>
        </w:tc>
        <w:tc>
          <w:tcPr>
            <w:tcW w:w="1280" w:type="dxa"/>
            <w:vAlign w:val="bottom"/>
          </w:tcPr>
          <w:p>
            <w:pPr>
              <w:jc w:val="right"/>
              <w:ind w:right="366"/>
              <w:spacing w:after="0"/>
              <w:rPr>
                <w:sz w:val="20"/>
                <w:szCs w:val="20"/>
                <w:color w:val="auto"/>
              </w:rPr>
            </w:pPr>
            <w:r>
              <w:rPr>
                <w:rFonts w:ascii="Arial" w:cs="Arial" w:eastAsia="Arial" w:hAnsi="Arial"/>
                <w:sz w:val="11"/>
                <w:szCs w:val="11"/>
                <w:color w:val="auto"/>
              </w:rPr>
              <w:t>18,077</w:t>
            </w: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189.21</w:t>
            </w:r>
          </w:p>
        </w:tc>
        <w:tc>
          <w:tcPr>
            <w:tcW w:w="680" w:type="dxa"/>
            <w:vAlign w:val="bottom"/>
          </w:tcPr>
          <w:p>
            <w:pPr>
              <w:jc w:val="right"/>
              <w:spacing w:after="0"/>
              <w:rPr>
                <w:sz w:val="20"/>
                <w:szCs w:val="20"/>
                <w:color w:val="auto"/>
              </w:rPr>
            </w:pPr>
            <w:r>
              <w:rPr>
                <w:rFonts w:ascii="Arial" w:cs="Arial" w:eastAsia="Arial" w:hAnsi="Arial"/>
                <w:sz w:val="11"/>
                <w:szCs w:val="11"/>
                <w:color w:val="auto"/>
              </w:rPr>
              <w:t>2/9/2033</w:t>
            </w:r>
          </w:p>
        </w:tc>
        <w:tc>
          <w:tcPr>
            <w:tcW w:w="220" w:type="dxa"/>
            <w:vAlign w:val="bottom"/>
          </w:tcPr>
          <w:p>
            <w:pPr>
              <w:spacing w:after="0"/>
              <w:rPr>
                <w:sz w:val="12"/>
                <w:szCs w:val="12"/>
                <w:color w:val="auto"/>
              </w:rPr>
            </w:pPr>
          </w:p>
        </w:tc>
        <w:tc>
          <w:tcPr>
            <w:tcW w:w="1280" w:type="dxa"/>
            <w:vAlign w:val="bottom"/>
          </w:tcPr>
          <w:p>
            <w:pPr>
              <w:jc w:val="right"/>
              <w:ind w:right="472"/>
              <w:spacing w:after="0"/>
              <w:rPr>
                <w:sz w:val="20"/>
                <w:szCs w:val="20"/>
                <w:color w:val="auto"/>
              </w:rPr>
            </w:pPr>
            <w:r>
              <w:rPr>
                <w:rFonts w:ascii="Arial" w:cs="Arial" w:eastAsia="Arial" w:hAnsi="Arial"/>
                <w:sz w:val="11"/>
                <w:szCs w:val="11"/>
                <w:color w:val="auto"/>
              </w:rPr>
              <w:t>5,162</w:t>
            </w:r>
          </w:p>
        </w:tc>
        <w:tc>
          <w:tcPr>
            <w:tcW w:w="1660" w:type="dxa"/>
            <w:vAlign w:val="bottom"/>
          </w:tcPr>
          <w:p>
            <w:pPr>
              <w:jc w:val="right"/>
              <w:ind w:right="526"/>
              <w:spacing w:after="0"/>
              <w:rPr>
                <w:sz w:val="20"/>
                <w:szCs w:val="20"/>
                <w:color w:val="auto"/>
              </w:rPr>
            </w:pPr>
            <w:r>
              <w:rPr>
                <w:rFonts w:ascii="Arial" w:cs="Arial" w:eastAsia="Arial" w:hAnsi="Arial"/>
                <w:sz w:val="11"/>
                <w:szCs w:val="11"/>
                <w:color w:val="auto"/>
              </w:rPr>
              <w:t>1,007,134</w:t>
            </w:r>
          </w:p>
        </w:tc>
        <w:tc>
          <w:tcPr>
            <w:tcW w:w="6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680" w:type="dxa"/>
            <w:vAlign w:val="bottom"/>
          </w:tcPr>
          <w:p>
            <w:pPr>
              <w:spacing w:after="0"/>
              <w:rPr>
                <w:sz w:val="12"/>
                <w:szCs w:val="12"/>
                <w:color w:val="auto"/>
              </w:rPr>
            </w:pPr>
          </w:p>
        </w:tc>
        <w:tc>
          <w:tcPr>
            <w:tcW w:w="560" w:type="dxa"/>
            <w:vAlign w:val="bottom"/>
            <w:tcBorders>
              <w:bottom w:val="single" w:sz="8" w:color="939598"/>
            </w:tcBorders>
          </w:tcPr>
          <w:p>
            <w:pPr>
              <w:spacing w:after="0"/>
              <w:rPr>
                <w:sz w:val="12"/>
                <w:szCs w:val="12"/>
                <w:color w:val="auto"/>
              </w:rPr>
            </w:pPr>
          </w:p>
        </w:tc>
        <w:tc>
          <w:tcPr>
            <w:tcW w:w="1160" w:type="dxa"/>
            <w:vAlign w:val="bottom"/>
            <w:tcBorders>
              <w:bottom w:val="single" w:sz="8" w:color="939598"/>
            </w:tcBorders>
          </w:tcPr>
          <w:p>
            <w:pPr>
              <w:spacing w:after="0"/>
              <w:rPr>
                <w:sz w:val="12"/>
                <w:szCs w:val="12"/>
                <w:color w:val="auto"/>
              </w:rPr>
            </w:pPr>
          </w:p>
        </w:tc>
        <w:tc>
          <w:tcPr>
            <w:tcW w:w="12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220" w:type="dxa"/>
            <w:vAlign w:val="bottom"/>
            <w:tcBorders>
              <w:bottom w:val="single" w:sz="8" w:color="939598"/>
            </w:tcBorders>
          </w:tcPr>
          <w:p>
            <w:pPr>
              <w:spacing w:after="0"/>
              <w:rPr>
                <w:sz w:val="12"/>
                <w:szCs w:val="12"/>
                <w:color w:val="auto"/>
              </w:rPr>
            </w:pPr>
          </w:p>
        </w:tc>
        <w:tc>
          <w:tcPr>
            <w:tcW w:w="1280" w:type="dxa"/>
            <w:vAlign w:val="bottom"/>
            <w:tcBorders>
              <w:bottom w:val="single" w:sz="8" w:color="939598"/>
            </w:tcBorders>
          </w:tcPr>
          <w:p>
            <w:pPr>
              <w:spacing w:after="0"/>
              <w:rPr>
                <w:sz w:val="12"/>
                <w:szCs w:val="12"/>
                <w:color w:val="auto"/>
              </w:rPr>
            </w:pPr>
          </w:p>
        </w:tc>
        <w:tc>
          <w:tcPr>
            <w:tcW w:w="166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1340" w:type="dxa"/>
            <w:vAlign w:val="bottom"/>
            <w:tcBorders>
              <w:bottom w:val="single" w:sz="8" w:color="939598"/>
            </w:tcBorders>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ind w:left="840"/>
              <w:spacing w:after="0"/>
              <w:rPr>
                <w:sz w:val="20"/>
                <w:szCs w:val="20"/>
                <w:color w:val="auto"/>
              </w:rPr>
            </w:pPr>
            <w:r>
              <w:rPr>
                <w:rFonts w:ascii="Arial" w:cs="Arial" w:eastAsia="Arial" w:hAnsi="Arial"/>
                <w:sz w:val="7"/>
                <w:szCs w:val="7"/>
                <w:color w:val="auto"/>
              </w:rPr>
              <w:t>(11)</w:t>
            </w:r>
          </w:p>
        </w:tc>
        <w:tc>
          <w:tcPr>
            <w:tcW w:w="1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68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auto"/>
                <w:w w:val="97"/>
              </w:rPr>
              <w:t>2023</w:t>
            </w:r>
          </w:p>
        </w:tc>
        <w:tc>
          <w:tcPr>
            <w:tcW w:w="1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right"/>
              <w:ind w:right="472"/>
              <w:spacing w:after="0"/>
              <w:rPr>
                <w:sz w:val="20"/>
                <w:szCs w:val="20"/>
                <w:color w:val="auto"/>
              </w:rPr>
            </w:pPr>
            <w:r>
              <w:rPr>
                <w:rFonts w:ascii="Arial" w:cs="Arial" w:eastAsia="Arial" w:hAnsi="Arial"/>
                <w:sz w:val="11"/>
                <w:szCs w:val="11"/>
                <w:color w:val="auto"/>
              </w:rPr>
              <w:t>15,150</w:t>
            </w:r>
          </w:p>
        </w:tc>
        <w:tc>
          <w:tcPr>
            <w:tcW w:w="1660" w:type="dxa"/>
            <w:vAlign w:val="bottom"/>
          </w:tcPr>
          <w:p>
            <w:pPr>
              <w:jc w:val="right"/>
              <w:ind w:right="526"/>
              <w:spacing w:after="0"/>
              <w:rPr>
                <w:sz w:val="20"/>
                <w:szCs w:val="20"/>
                <w:color w:val="auto"/>
              </w:rPr>
            </w:pPr>
            <w:r>
              <w:rPr>
                <w:rFonts w:ascii="Arial" w:cs="Arial" w:eastAsia="Arial" w:hAnsi="Arial"/>
                <w:sz w:val="11"/>
                <w:szCs w:val="11"/>
                <w:color w:val="auto"/>
              </w:rPr>
              <w:t>2,955,674</w:t>
            </w:r>
          </w:p>
        </w:tc>
        <w:tc>
          <w:tcPr>
            <w:tcW w:w="6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680" w:type="dxa"/>
            <w:vAlign w:val="bottom"/>
          </w:tcPr>
          <w:p>
            <w:pPr>
              <w:spacing w:after="0"/>
              <w:rPr>
                <w:sz w:val="12"/>
                <w:szCs w:val="12"/>
                <w:color w:val="auto"/>
              </w:rPr>
            </w:pPr>
          </w:p>
        </w:tc>
        <w:tc>
          <w:tcPr>
            <w:tcW w:w="560" w:type="dxa"/>
            <w:vAlign w:val="bottom"/>
            <w:tcBorders>
              <w:bottom w:val="single" w:sz="8" w:color="939598"/>
            </w:tcBorders>
          </w:tcPr>
          <w:p>
            <w:pPr>
              <w:spacing w:after="0"/>
              <w:rPr>
                <w:sz w:val="12"/>
                <w:szCs w:val="12"/>
                <w:color w:val="auto"/>
              </w:rPr>
            </w:pPr>
          </w:p>
        </w:tc>
        <w:tc>
          <w:tcPr>
            <w:tcW w:w="1160" w:type="dxa"/>
            <w:vAlign w:val="bottom"/>
            <w:tcBorders>
              <w:bottom w:val="single" w:sz="8" w:color="939598"/>
            </w:tcBorders>
          </w:tcPr>
          <w:p>
            <w:pPr>
              <w:spacing w:after="0"/>
              <w:rPr>
                <w:sz w:val="12"/>
                <w:szCs w:val="12"/>
                <w:color w:val="auto"/>
              </w:rPr>
            </w:pPr>
          </w:p>
        </w:tc>
        <w:tc>
          <w:tcPr>
            <w:tcW w:w="12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220" w:type="dxa"/>
            <w:vAlign w:val="bottom"/>
            <w:tcBorders>
              <w:bottom w:val="single" w:sz="8" w:color="939598"/>
            </w:tcBorders>
          </w:tcPr>
          <w:p>
            <w:pPr>
              <w:spacing w:after="0"/>
              <w:rPr>
                <w:sz w:val="12"/>
                <w:szCs w:val="12"/>
                <w:color w:val="auto"/>
              </w:rPr>
            </w:pPr>
          </w:p>
        </w:tc>
        <w:tc>
          <w:tcPr>
            <w:tcW w:w="1280" w:type="dxa"/>
            <w:vAlign w:val="bottom"/>
            <w:tcBorders>
              <w:bottom w:val="single" w:sz="8" w:color="939598"/>
            </w:tcBorders>
          </w:tcPr>
          <w:p>
            <w:pPr>
              <w:spacing w:after="0"/>
              <w:rPr>
                <w:sz w:val="12"/>
                <w:szCs w:val="12"/>
                <w:color w:val="auto"/>
              </w:rPr>
            </w:pPr>
          </w:p>
        </w:tc>
        <w:tc>
          <w:tcPr>
            <w:tcW w:w="166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1340" w:type="dxa"/>
            <w:vAlign w:val="bottom"/>
            <w:tcBorders>
              <w:bottom w:val="single" w:sz="8" w:color="939598"/>
            </w:tcBorders>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ind w:left="840"/>
              <w:spacing w:after="0"/>
              <w:rPr>
                <w:sz w:val="20"/>
                <w:szCs w:val="20"/>
                <w:color w:val="auto"/>
              </w:rPr>
            </w:pPr>
            <w:r>
              <w:rPr>
                <w:rFonts w:ascii="Arial" w:cs="Arial" w:eastAsia="Arial" w:hAnsi="Arial"/>
                <w:sz w:val="7"/>
                <w:szCs w:val="7"/>
                <w:color w:val="auto"/>
              </w:rPr>
              <w:t>(13)</w:t>
            </w:r>
          </w:p>
        </w:tc>
        <w:tc>
          <w:tcPr>
            <w:tcW w:w="1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68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auto"/>
                <w:w w:val="97"/>
              </w:rPr>
              <w:t>2022</w:t>
            </w:r>
          </w:p>
        </w:tc>
        <w:tc>
          <w:tcPr>
            <w:tcW w:w="1160" w:type="dxa"/>
            <w:vAlign w:val="bottom"/>
          </w:tcPr>
          <w:p>
            <w:pPr>
              <w:jc w:val="right"/>
              <w:ind w:right="146"/>
              <w:spacing w:after="0"/>
              <w:rPr>
                <w:sz w:val="20"/>
                <w:szCs w:val="20"/>
                <w:color w:val="auto"/>
              </w:rPr>
            </w:pPr>
            <w:r>
              <w:rPr>
                <w:rFonts w:ascii="Arial" w:cs="Arial" w:eastAsia="Arial" w:hAnsi="Arial"/>
                <w:sz w:val="11"/>
                <w:szCs w:val="11"/>
                <w:color w:val="auto"/>
              </w:rPr>
              <w:t>43,438</w:t>
            </w:r>
          </w:p>
        </w:tc>
        <w:tc>
          <w:tcPr>
            <w:tcW w:w="1280" w:type="dxa"/>
            <w:vAlign w:val="bottom"/>
          </w:tcPr>
          <w:p>
            <w:pPr>
              <w:jc w:val="right"/>
              <w:ind w:right="366"/>
              <w:spacing w:after="0"/>
              <w:rPr>
                <w:sz w:val="20"/>
                <w:szCs w:val="20"/>
                <w:color w:val="auto"/>
              </w:rPr>
            </w:pPr>
            <w:r>
              <w:rPr>
                <w:rFonts w:ascii="Arial" w:cs="Arial" w:eastAsia="Arial" w:hAnsi="Arial"/>
                <w:sz w:val="11"/>
                <w:szCs w:val="11"/>
                <w:color w:val="auto"/>
              </w:rPr>
              <w:t>14,479</w:t>
            </w: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179.84</w:t>
            </w:r>
          </w:p>
        </w:tc>
        <w:tc>
          <w:tcPr>
            <w:tcW w:w="680" w:type="dxa"/>
            <w:vAlign w:val="bottom"/>
          </w:tcPr>
          <w:p>
            <w:pPr>
              <w:jc w:val="right"/>
              <w:spacing w:after="0"/>
              <w:rPr>
                <w:sz w:val="20"/>
                <w:szCs w:val="20"/>
                <w:color w:val="auto"/>
              </w:rPr>
            </w:pPr>
            <w:r>
              <w:rPr>
                <w:rFonts w:ascii="Arial" w:cs="Arial" w:eastAsia="Arial" w:hAnsi="Arial"/>
                <w:sz w:val="11"/>
                <w:szCs w:val="11"/>
                <w:color w:val="auto"/>
              </w:rPr>
              <w:t>2/10/2032</w:t>
            </w:r>
          </w:p>
        </w:tc>
        <w:tc>
          <w:tcPr>
            <w:tcW w:w="220" w:type="dxa"/>
            <w:vAlign w:val="bottom"/>
          </w:tcPr>
          <w:p>
            <w:pPr>
              <w:spacing w:after="0"/>
              <w:rPr>
                <w:sz w:val="12"/>
                <w:szCs w:val="12"/>
                <w:color w:val="auto"/>
              </w:rPr>
            </w:pPr>
          </w:p>
        </w:tc>
        <w:tc>
          <w:tcPr>
            <w:tcW w:w="1280" w:type="dxa"/>
            <w:vAlign w:val="bottom"/>
          </w:tcPr>
          <w:p>
            <w:pPr>
              <w:jc w:val="right"/>
              <w:ind w:right="472"/>
              <w:spacing w:after="0"/>
              <w:rPr>
                <w:sz w:val="20"/>
                <w:szCs w:val="20"/>
                <w:color w:val="auto"/>
              </w:rPr>
            </w:pPr>
            <w:r>
              <w:rPr>
                <w:rFonts w:ascii="Arial" w:cs="Arial" w:eastAsia="Arial" w:hAnsi="Arial"/>
                <w:sz w:val="11"/>
                <w:szCs w:val="11"/>
                <w:color w:val="auto"/>
              </w:rPr>
              <w:t>2,922</w:t>
            </w:r>
          </w:p>
        </w:tc>
        <w:tc>
          <w:tcPr>
            <w:tcW w:w="1660" w:type="dxa"/>
            <w:vAlign w:val="bottom"/>
          </w:tcPr>
          <w:p>
            <w:pPr>
              <w:jc w:val="right"/>
              <w:ind w:right="526"/>
              <w:spacing w:after="0"/>
              <w:rPr>
                <w:sz w:val="20"/>
                <w:szCs w:val="20"/>
                <w:color w:val="auto"/>
              </w:rPr>
            </w:pPr>
            <w:r>
              <w:rPr>
                <w:rFonts w:ascii="Arial" w:cs="Arial" w:eastAsia="Arial" w:hAnsi="Arial"/>
                <w:sz w:val="11"/>
                <w:szCs w:val="11"/>
                <w:color w:val="auto"/>
              </w:rPr>
              <w:t>570,083</w:t>
            </w:r>
          </w:p>
        </w:tc>
        <w:tc>
          <w:tcPr>
            <w:tcW w:w="6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680" w:type="dxa"/>
            <w:vAlign w:val="bottom"/>
          </w:tcPr>
          <w:p>
            <w:pPr>
              <w:spacing w:after="0"/>
              <w:rPr>
                <w:sz w:val="12"/>
                <w:szCs w:val="12"/>
                <w:color w:val="auto"/>
              </w:rPr>
            </w:pPr>
          </w:p>
        </w:tc>
        <w:tc>
          <w:tcPr>
            <w:tcW w:w="560" w:type="dxa"/>
            <w:vAlign w:val="bottom"/>
            <w:tcBorders>
              <w:bottom w:val="single" w:sz="8" w:color="939598"/>
            </w:tcBorders>
          </w:tcPr>
          <w:p>
            <w:pPr>
              <w:spacing w:after="0"/>
              <w:rPr>
                <w:sz w:val="12"/>
                <w:szCs w:val="12"/>
                <w:color w:val="auto"/>
              </w:rPr>
            </w:pPr>
          </w:p>
        </w:tc>
        <w:tc>
          <w:tcPr>
            <w:tcW w:w="1160" w:type="dxa"/>
            <w:vAlign w:val="bottom"/>
            <w:tcBorders>
              <w:bottom w:val="single" w:sz="8" w:color="939598"/>
            </w:tcBorders>
          </w:tcPr>
          <w:p>
            <w:pPr>
              <w:spacing w:after="0"/>
              <w:rPr>
                <w:sz w:val="12"/>
                <w:szCs w:val="12"/>
                <w:color w:val="auto"/>
              </w:rPr>
            </w:pPr>
          </w:p>
        </w:tc>
        <w:tc>
          <w:tcPr>
            <w:tcW w:w="12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220" w:type="dxa"/>
            <w:vAlign w:val="bottom"/>
            <w:tcBorders>
              <w:bottom w:val="single" w:sz="8" w:color="939598"/>
            </w:tcBorders>
          </w:tcPr>
          <w:p>
            <w:pPr>
              <w:spacing w:after="0"/>
              <w:rPr>
                <w:sz w:val="12"/>
                <w:szCs w:val="12"/>
                <w:color w:val="auto"/>
              </w:rPr>
            </w:pPr>
          </w:p>
        </w:tc>
        <w:tc>
          <w:tcPr>
            <w:tcW w:w="1280" w:type="dxa"/>
            <w:vAlign w:val="bottom"/>
            <w:tcBorders>
              <w:bottom w:val="single" w:sz="8" w:color="939598"/>
            </w:tcBorders>
          </w:tcPr>
          <w:p>
            <w:pPr>
              <w:spacing w:after="0"/>
              <w:rPr>
                <w:sz w:val="12"/>
                <w:szCs w:val="12"/>
                <w:color w:val="auto"/>
              </w:rPr>
            </w:pPr>
          </w:p>
        </w:tc>
        <w:tc>
          <w:tcPr>
            <w:tcW w:w="166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1340" w:type="dxa"/>
            <w:vAlign w:val="bottom"/>
            <w:tcBorders>
              <w:bottom w:val="single" w:sz="8" w:color="939598"/>
            </w:tcBorders>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ind w:left="840"/>
              <w:spacing w:after="0"/>
              <w:rPr>
                <w:sz w:val="20"/>
                <w:szCs w:val="20"/>
                <w:color w:val="auto"/>
              </w:rPr>
            </w:pPr>
            <w:r>
              <w:rPr>
                <w:rFonts w:ascii="Arial" w:cs="Arial" w:eastAsia="Arial" w:hAnsi="Arial"/>
                <w:sz w:val="7"/>
                <w:szCs w:val="7"/>
                <w:color w:val="auto"/>
              </w:rPr>
              <w:t>(14)</w:t>
            </w:r>
          </w:p>
        </w:tc>
        <w:tc>
          <w:tcPr>
            <w:tcW w:w="1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68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auto"/>
                <w:w w:val="97"/>
              </w:rPr>
              <w:t>2021</w:t>
            </w:r>
          </w:p>
        </w:tc>
        <w:tc>
          <w:tcPr>
            <w:tcW w:w="1160" w:type="dxa"/>
            <w:vAlign w:val="bottom"/>
          </w:tcPr>
          <w:p>
            <w:pPr>
              <w:jc w:val="right"/>
              <w:ind w:right="146"/>
              <w:spacing w:after="0"/>
              <w:rPr>
                <w:sz w:val="20"/>
                <w:szCs w:val="20"/>
                <w:color w:val="auto"/>
              </w:rPr>
            </w:pPr>
            <w:r>
              <w:rPr>
                <w:rFonts w:ascii="Arial" w:cs="Arial" w:eastAsia="Arial" w:hAnsi="Arial"/>
                <w:sz w:val="11"/>
                <w:szCs w:val="11"/>
                <w:color w:val="auto"/>
              </w:rPr>
              <w:t>54,013</w:t>
            </w:r>
          </w:p>
        </w:tc>
        <w:tc>
          <w:tcPr>
            <w:tcW w:w="1280" w:type="dxa"/>
            <w:vAlign w:val="bottom"/>
          </w:tcPr>
          <w:p>
            <w:pPr>
              <w:jc w:val="right"/>
              <w:ind w:right="366"/>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192.16</w:t>
            </w:r>
          </w:p>
        </w:tc>
        <w:tc>
          <w:tcPr>
            <w:tcW w:w="680" w:type="dxa"/>
            <w:vAlign w:val="bottom"/>
          </w:tcPr>
          <w:p>
            <w:pPr>
              <w:jc w:val="right"/>
              <w:spacing w:after="0"/>
              <w:rPr>
                <w:sz w:val="20"/>
                <w:szCs w:val="20"/>
                <w:color w:val="auto"/>
              </w:rPr>
            </w:pPr>
            <w:r>
              <w:rPr>
                <w:rFonts w:ascii="Arial" w:cs="Arial" w:eastAsia="Arial" w:hAnsi="Arial"/>
                <w:sz w:val="11"/>
                <w:szCs w:val="11"/>
                <w:color w:val="auto"/>
              </w:rPr>
              <w:t>2/11/2031</w:t>
            </w:r>
          </w:p>
        </w:tc>
        <w:tc>
          <w:tcPr>
            <w:tcW w:w="220" w:type="dxa"/>
            <w:vAlign w:val="bottom"/>
          </w:tcPr>
          <w:p>
            <w:pPr>
              <w:spacing w:after="0"/>
              <w:rPr>
                <w:sz w:val="12"/>
                <w:szCs w:val="12"/>
                <w:color w:val="auto"/>
              </w:rPr>
            </w:pPr>
          </w:p>
        </w:tc>
        <w:tc>
          <w:tcPr>
            <w:tcW w:w="1280" w:type="dxa"/>
            <w:vAlign w:val="bottom"/>
          </w:tcPr>
          <w:p>
            <w:pPr>
              <w:jc w:val="right"/>
              <w:ind w:right="472"/>
              <w:spacing w:after="0"/>
              <w:rPr>
                <w:sz w:val="20"/>
                <w:szCs w:val="20"/>
                <w:color w:val="auto"/>
              </w:rPr>
            </w:pPr>
            <w:r>
              <w:rPr>
                <w:rFonts w:ascii="Arial" w:cs="Arial" w:eastAsia="Arial" w:hAnsi="Arial"/>
                <w:sz w:val="11"/>
                <w:szCs w:val="11"/>
                <w:color w:val="auto"/>
              </w:rPr>
              <w:t>1,350</w:t>
            </w:r>
          </w:p>
        </w:tc>
        <w:tc>
          <w:tcPr>
            <w:tcW w:w="1660" w:type="dxa"/>
            <w:vAlign w:val="bottom"/>
          </w:tcPr>
          <w:p>
            <w:pPr>
              <w:jc w:val="right"/>
              <w:ind w:right="526"/>
              <w:spacing w:after="0"/>
              <w:rPr>
                <w:sz w:val="20"/>
                <w:szCs w:val="20"/>
                <w:color w:val="auto"/>
              </w:rPr>
            </w:pPr>
            <w:r>
              <w:rPr>
                <w:rFonts w:ascii="Arial" w:cs="Arial" w:eastAsia="Arial" w:hAnsi="Arial"/>
                <w:sz w:val="11"/>
                <w:szCs w:val="11"/>
                <w:color w:val="auto"/>
              </w:rPr>
              <w:t>263,436</w:t>
            </w:r>
          </w:p>
        </w:tc>
        <w:tc>
          <w:tcPr>
            <w:tcW w:w="6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680" w:type="dxa"/>
            <w:vAlign w:val="bottom"/>
          </w:tcPr>
          <w:p>
            <w:pPr>
              <w:spacing w:after="0"/>
              <w:rPr>
                <w:sz w:val="12"/>
                <w:szCs w:val="12"/>
                <w:color w:val="auto"/>
              </w:rPr>
            </w:pPr>
          </w:p>
        </w:tc>
        <w:tc>
          <w:tcPr>
            <w:tcW w:w="560" w:type="dxa"/>
            <w:vAlign w:val="bottom"/>
            <w:tcBorders>
              <w:bottom w:val="single" w:sz="8" w:color="939598"/>
            </w:tcBorders>
          </w:tcPr>
          <w:p>
            <w:pPr>
              <w:spacing w:after="0"/>
              <w:rPr>
                <w:sz w:val="12"/>
                <w:szCs w:val="12"/>
                <w:color w:val="auto"/>
              </w:rPr>
            </w:pPr>
          </w:p>
        </w:tc>
        <w:tc>
          <w:tcPr>
            <w:tcW w:w="1160" w:type="dxa"/>
            <w:vAlign w:val="bottom"/>
            <w:tcBorders>
              <w:bottom w:val="single" w:sz="8" w:color="939598"/>
            </w:tcBorders>
          </w:tcPr>
          <w:p>
            <w:pPr>
              <w:spacing w:after="0"/>
              <w:rPr>
                <w:sz w:val="12"/>
                <w:szCs w:val="12"/>
                <w:color w:val="auto"/>
              </w:rPr>
            </w:pPr>
          </w:p>
        </w:tc>
        <w:tc>
          <w:tcPr>
            <w:tcW w:w="12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220" w:type="dxa"/>
            <w:vAlign w:val="bottom"/>
            <w:tcBorders>
              <w:bottom w:val="single" w:sz="8" w:color="939598"/>
            </w:tcBorders>
          </w:tcPr>
          <w:p>
            <w:pPr>
              <w:spacing w:after="0"/>
              <w:rPr>
                <w:sz w:val="12"/>
                <w:szCs w:val="12"/>
                <w:color w:val="auto"/>
              </w:rPr>
            </w:pPr>
          </w:p>
        </w:tc>
        <w:tc>
          <w:tcPr>
            <w:tcW w:w="1280" w:type="dxa"/>
            <w:vAlign w:val="bottom"/>
            <w:tcBorders>
              <w:bottom w:val="single" w:sz="8" w:color="939598"/>
            </w:tcBorders>
          </w:tcPr>
          <w:p>
            <w:pPr>
              <w:spacing w:after="0"/>
              <w:rPr>
                <w:sz w:val="12"/>
                <w:szCs w:val="12"/>
                <w:color w:val="auto"/>
              </w:rPr>
            </w:pPr>
          </w:p>
        </w:tc>
        <w:tc>
          <w:tcPr>
            <w:tcW w:w="166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1340" w:type="dxa"/>
            <w:vAlign w:val="bottom"/>
            <w:tcBorders>
              <w:bottom w:val="single" w:sz="8" w:color="939598"/>
            </w:tcBorders>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ind w:left="840"/>
              <w:spacing w:after="0"/>
              <w:rPr>
                <w:sz w:val="20"/>
                <w:szCs w:val="20"/>
                <w:color w:val="auto"/>
              </w:rPr>
            </w:pPr>
            <w:r>
              <w:rPr>
                <w:rFonts w:ascii="Arial" w:cs="Arial" w:eastAsia="Arial" w:hAnsi="Arial"/>
                <w:sz w:val="7"/>
                <w:szCs w:val="7"/>
                <w:color w:val="auto"/>
              </w:rPr>
              <w:t>(15)</w:t>
            </w:r>
          </w:p>
        </w:tc>
        <w:tc>
          <w:tcPr>
            <w:tcW w:w="1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68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auto"/>
                <w:w w:val="97"/>
              </w:rPr>
              <w:t>2020</w:t>
            </w:r>
          </w:p>
        </w:tc>
        <w:tc>
          <w:tcPr>
            <w:tcW w:w="1160" w:type="dxa"/>
            <w:vAlign w:val="bottom"/>
          </w:tcPr>
          <w:p>
            <w:pPr>
              <w:jc w:val="right"/>
              <w:ind w:right="146"/>
              <w:spacing w:after="0"/>
              <w:rPr>
                <w:sz w:val="20"/>
                <w:szCs w:val="20"/>
                <w:color w:val="auto"/>
              </w:rPr>
            </w:pPr>
            <w:r>
              <w:rPr>
                <w:rFonts w:ascii="Arial" w:cs="Arial" w:eastAsia="Arial" w:hAnsi="Arial"/>
                <w:sz w:val="11"/>
                <w:szCs w:val="11"/>
                <w:color w:val="auto"/>
              </w:rPr>
              <w:t>74,057</w:t>
            </w:r>
          </w:p>
        </w:tc>
        <w:tc>
          <w:tcPr>
            <w:tcW w:w="1280" w:type="dxa"/>
            <w:vAlign w:val="bottom"/>
          </w:tcPr>
          <w:p>
            <w:pPr>
              <w:jc w:val="right"/>
              <w:ind w:right="366"/>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171.50</w:t>
            </w:r>
          </w:p>
        </w:tc>
        <w:tc>
          <w:tcPr>
            <w:tcW w:w="680" w:type="dxa"/>
            <w:vAlign w:val="bottom"/>
          </w:tcPr>
          <w:p>
            <w:pPr>
              <w:jc w:val="right"/>
              <w:spacing w:after="0"/>
              <w:rPr>
                <w:sz w:val="20"/>
                <w:szCs w:val="20"/>
                <w:color w:val="auto"/>
              </w:rPr>
            </w:pPr>
            <w:r>
              <w:rPr>
                <w:rFonts w:ascii="Arial" w:cs="Arial" w:eastAsia="Arial" w:hAnsi="Arial"/>
                <w:sz w:val="11"/>
                <w:szCs w:val="11"/>
                <w:color w:val="auto"/>
              </w:rPr>
              <w:t>2/13/2030</w:t>
            </w:r>
          </w:p>
        </w:tc>
        <w:tc>
          <w:tcPr>
            <w:tcW w:w="220" w:type="dxa"/>
            <w:vAlign w:val="bottom"/>
          </w:tcPr>
          <w:p>
            <w:pPr>
              <w:spacing w:after="0"/>
              <w:rPr>
                <w:sz w:val="12"/>
                <w:szCs w:val="12"/>
                <w:color w:val="auto"/>
              </w:rPr>
            </w:pPr>
          </w:p>
        </w:tc>
        <w:tc>
          <w:tcPr>
            <w:tcW w:w="1280" w:type="dxa"/>
            <w:vAlign w:val="bottom"/>
          </w:tcPr>
          <w:p>
            <w:pPr>
              <w:jc w:val="right"/>
              <w:ind w:right="472"/>
              <w:spacing w:after="0"/>
              <w:rPr>
                <w:sz w:val="20"/>
                <w:szCs w:val="20"/>
                <w:color w:val="auto"/>
              </w:rPr>
            </w:pPr>
            <w:r>
              <w:rPr>
                <w:rFonts w:ascii="Arial" w:cs="Arial" w:eastAsia="Arial" w:hAnsi="Arial"/>
                <w:sz w:val="11"/>
                <w:szCs w:val="11"/>
                <w:color w:val="auto"/>
              </w:rPr>
              <w:t>1,419</w:t>
            </w:r>
          </w:p>
        </w:tc>
        <w:tc>
          <w:tcPr>
            <w:tcW w:w="1660" w:type="dxa"/>
            <w:vAlign w:val="bottom"/>
          </w:tcPr>
          <w:p>
            <w:pPr>
              <w:jc w:val="right"/>
              <w:ind w:right="526"/>
              <w:spacing w:after="0"/>
              <w:rPr>
                <w:sz w:val="20"/>
                <w:szCs w:val="20"/>
                <w:color w:val="auto"/>
              </w:rPr>
            </w:pPr>
            <w:r>
              <w:rPr>
                <w:rFonts w:ascii="Arial" w:cs="Arial" w:eastAsia="Arial" w:hAnsi="Arial"/>
                <w:sz w:val="11"/>
                <w:szCs w:val="11"/>
                <w:color w:val="auto"/>
              </w:rPr>
              <w:t>276,918</w:t>
            </w:r>
          </w:p>
        </w:tc>
        <w:tc>
          <w:tcPr>
            <w:tcW w:w="6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680" w:type="dxa"/>
            <w:vAlign w:val="bottom"/>
          </w:tcPr>
          <w:p>
            <w:pPr>
              <w:spacing w:after="0"/>
              <w:rPr>
                <w:sz w:val="12"/>
                <w:szCs w:val="12"/>
                <w:color w:val="auto"/>
              </w:rPr>
            </w:pPr>
          </w:p>
        </w:tc>
        <w:tc>
          <w:tcPr>
            <w:tcW w:w="560" w:type="dxa"/>
            <w:vAlign w:val="bottom"/>
            <w:tcBorders>
              <w:bottom w:val="single" w:sz="8" w:color="939598"/>
            </w:tcBorders>
          </w:tcPr>
          <w:p>
            <w:pPr>
              <w:spacing w:after="0"/>
              <w:rPr>
                <w:sz w:val="12"/>
                <w:szCs w:val="12"/>
                <w:color w:val="auto"/>
              </w:rPr>
            </w:pPr>
          </w:p>
        </w:tc>
        <w:tc>
          <w:tcPr>
            <w:tcW w:w="1160" w:type="dxa"/>
            <w:vAlign w:val="bottom"/>
            <w:tcBorders>
              <w:bottom w:val="single" w:sz="8" w:color="939598"/>
            </w:tcBorders>
          </w:tcPr>
          <w:p>
            <w:pPr>
              <w:spacing w:after="0"/>
              <w:rPr>
                <w:sz w:val="12"/>
                <w:szCs w:val="12"/>
                <w:color w:val="auto"/>
              </w:rPr>
            </w:pPr>
          </w:p>
        </w:tc>
        <w:tc>
          <w:tcPr>
            <w:tcW w:w="12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220" w:type="dxa"/>
            <w:vAlign w:val="bottom"/>
            <w:tcBorders>
              <w:bottom w:val="single" w:sz="8" w:color="939598"/>
            </w:tcBorders>
          </w:tcPr>
          <w:p>
            <w:pPr>
              <w:spacing w:after="0"/>
              <w:rPr>
                <w:sz w:val="12"/>
                <w:szCs w:val="12"/>
                <w:color w:val="auto"/>
              </w:rPr>
            </w:pPr>
          </w:p>
        </w:tc>
        <w:tc>
          <w:tcPr>
            <w:tcW w:w="1280" w:type="dxa"/>
            <w:vAlign w:val="bottom"/>
            <w:tcBorders>
              <w:bottom w:val="single" w:sz="8" w:color="939598"/>
            </w:tcBorders>
          </w:tcPr>
          <w:p>
            <w:pPr>
              <w:spacing w:after="0"/>
              <w:rPr>
                <w:sz w:val="12"/>
                <w:szCs w:val="12"/>
                <w:color w:val="auto"/>
              </w:rPr>
            </w:pPr>
          </w:p>
        </w:tc>
        <w:tc>
          <w:tcPr>
            <w:tcW w:w="1660" w:type="dxa"/>
            <w:vAlign w:val="bottom"/>
            <w:tcBorders>
              <w:bottom w:val="single" w:sz="8" w:color="939598"/>
            </w:tcBorders>
          </w:tcPr>
          <w:p>
            <w:pPr>
              <w:spacing w:after="0"/>
              <w:rPr>
                <w:sz w:val="12"/>
                <w:szCs w:val="12"/>
                <w:color w:val="auto"/>
              </w:rPr>
            </w:pPr>
          </w:p>
        </w:tc>
        <w:tc>
          <w:tcPr>
            <w:tcW w:w="680" w:type="dxa"/>
            <w:vAlign w:val="bottom"/>
            <w:tcBorders>
              <w:bottom w:val="single" w:sz="8" w:color="939598"/>
            </w:tcBorders>
          </w:tcPr>
          <w:p>
            <w:pPr>
              <w:spacing w:after="0"/>
              <w:rPr>
                <w:sz w:val="12"/>
                <w:szCs w:val="12"/>
                <w:color w:val="auto"/>
              </w:rPr>
            </w:pPr>
          </w:p>
        </w:tc>
        <w:tc>
          <w:tcPr>
            <w:tcW w:w="1340" w:type="dxa"/>
            <w:vAlign w:val="bottom"/>
            <w:tcBorders>
              <w:bottom w:val="single" w:sz="8" w:color="939598"/>
            </w:tcBorders>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68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98"/>
              </w:rPr>
              <w:t>Total</w:t>
            </w:r>
          </w:p>
        </w:tc>
        <w:tc>
          <w:tcPr>
            <w:tcW w:w="1160" w:type="dxa"/>
            <w:vAlign w:val="bottom"/>
          </w:tcPr>
          <w:p>
            <w:pPr>
              <w:jc w:val="right"/>
              <w:ind w:right="146"/>
              <w:spacing w:after="0"/>
              <w:rPr>
                <w:sz w:val="20"/>
                <w:szCs w:val="20"/>
                <w:color w:val="auto"/>
              </w:rPr>
            </w:pPr>
            <w:r>
              <w:rPr>
                <w:rFonts w:ascii="Arial" w:cs="Arial" w:eastAsia="Arial" w:hAnsi="Arial"/>
                <w:sz w:val="11"/>
                <w:szCs w:val="11"/>
                <w:b w:val="1"/>
                <w:bCs w:val="1"/>
                <w:color w:val="auto"/>
              </w:rPr>
              <w:t>199,941</w:t>
            </w:r>
          </w:p>
        </w:tc>
        <w:tc>
          <w:tcPr>
            <w:tcW w:w="1280" w:type="dxa"/>
            <w:vAlign w:val="bottom"/>
          </w:tcPr>
          <w:p>
            <w:pPr>
              <w:jc w:val="right"/>
              <w:ind w:right="366"/>
              <w:spacing w:after="0"/>
              <w:rPr>
                <w:sz w:val="20"/>
                <w:szCs w:val="20"/>
                <w:color w:val="auto"/>
              </w:rPr>
            </w:pPr>
            <w:r>
              <w:rPr>
                <w:rFonts w:ascii="Arial" w:cs="Arial" w:eastAsia="Arial" w:hAnsi="Arial"/>
                <w:sz w:val="11"/>
                <w:szCs w:val="11"/>
                <w:b w:val="1"/>
                <w:bCs w:val="1"/>
                <w:color w:val="auto"/>
              </w:rPr>
              <w:t>70,176</w:t>
            </w: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ind w:right="472"/>
              <w:spacing w:after="0"/>
              <w:rPr>
                <w:sz w:val="20"/>
                <w:szCs w:val="20"/>
                <w:color w:val="auto"/>
              </w:rPr>
            </w:pPr>
            <w:r>
              <w:rPr>
                <w:rFonts w:ascii="Arial" w:cs="Arial" w:eastAsia="Arial" w:hAnsi="Arial"/>
                <w:sz w:val="11"/>
                <w:szCs w:val="11"/>
                <w:b w:val="1"/>
                <w:bCs w:val="1"/>
                <w:color w:val="auto"/>
              </w:rPr>
              <w:t>35,544</w:t>
            </w:r>
          </w:p>
        </w:tc>
        <w:tc>
          <w:tcPr>
            <w:tcW w:w="1660" w:type="dxa"/>
            <w:vAlign w:val="bottom"/>
          </w:tcPr>
          <w:p>
            <w:pPr>
              <w:jc w:val="right"/>
              <w:ind w:right="526"/>
              <w:spacing w:after="0"/>
              <w:rPr>
                <w:sz w:val="20"/>
                <w:szCs w:val="20"/>
                <w:color w:val="auto"/>
              </w:rPr>
            </w:pPr>
            <w:r>
              <w:rPr>
                <w:rFonts w:ascii="Arial" w:cs="Arial" w:eastAsia="Arial" w:hAnsi="Arial"/>
                <w:sz w:val="11"/>
                <w:szCs w:val="11"/>
                <w:b w:val="1"/>
                <w:bCs w:val="1"/>
                <w:color w:val="auto"/>
              </w:rPr>
              <w:t>6,934,694</w:t>
            </w:r>
          </w:p>
        </w:tc>
        <w:tc>
          <w:tcPr>
            <w:tcW w:w="680" w:type="dxa"/>
            <w:vAlign w:val="bottom"/>
          </w:tcPr>
          <w:p>
            <w:pPr>
              <w:jc w:val="right"/>
              <w:ind w:right="6"/>
              <w:spacing w:after="0"/>
              <w:rPr>
                <w:sz w:val="20"/>
                <w:szCs w:val="20"/>
                <w:color w:val="auto"/>
              </w:rPr>
            </w:pPr>
            <w:r>
              <w:rPr>
                <w:rFonts w:ascii="Arial" w:cs="Arial" w:eastAsia="Arial" w:hAnsi="Arial"/>
                <w:sz w:val="11"/>
                <w:szCs w:val="11"/>
                <w:b w:val="1"/>
                <w:bCs w:val="1"/>
                <w:color w:val="auto"/>
              </w:rPr>
              <w:t>18,863</w:t>
            </w:r>
          </w:p>
        </w:tc>
        <w:tc>
          <w:tcPr>
            <w:tcW w:w="1340" w:type="dxa"/>
            <w:vAlign w:val="bottom"/>
          </w:tcPr>
          <w:p>
            <w:pPr>
              <w:jc w:val="right"/>
              <w:ind w:right="9"/>
              <w:spacing w:after="0"/>
              <w:rPr>
                <w:sz w:val="20"/>
                <w:szCs w:val="20"/>
                <w:color w:val="auto"/>
              </w:rPr>
            </w:pPr>
            <w:r>
              <w:rPr>
                <w:rFonts w:ascii="Arial" w:cs="Arial" w:eastAsia="Arial" w:hAnsi="Arial"/>
                <w:sz w:val="11"/>
                <w:szCs w:val="11"/>
                <w:b w:val="1"/>
                <w:bCs w:val="1"/>
                <w:color w:val="auto"/>
              </w:rPr>
              <w:t>3,679,867</w:t>
            </w:r>
          </w:p>
        </w:tc>
        <w:tc>
          <w:tcPr>
            <w:tcW w:w="0" w:type="dxa"/>
            <w:vAlign w:val="bottom"/>
          </w:tcPr>
          <w:p>
            <w:pPr>
              <w:spacing w:after="0"/>
              <w:rPr>
                <w:sz w:val="1"/>
                <w:szCs w:val="1"/>
                <w:color w:val="auto"/>
              </w:rPr>
            </w:pPr>
          </w:p>
        </w:tc>
      </w:tr>
      <w:tr>
        <w:trPr>
          <w:trHeight w:val="136"/>
        </w:trPr>
        <w:tc>
          <w:tcPr>
            <w:tcW w:w="1680" w:type="dxa"/>
            <w:vAlign w:val="bottom"/>
            <w:tcBorders>
              <w:bottom w:val="single" w:sz="8" w:color="939598"/>
            </w:tcBorders>
          </w:tcPr>
          <w:p>
            <w:pPr>
              <w:spacing w:after="0"/>
              <w:rPr>
                <w:sz w:val="11"/>
                <w:szCs w:val="11"/>
                <w:color w:val="auto"/>
              </w:rPr>
            </w:pPr>
          </w:p>
        </w:tc>
        <w:tc>
          <w:tcPr>
            <w:tcW w:w="560" w:type="dxa"/>
            <w:vAlign w:val="bottom"/>
            <w:tcBorders>
              <w:bottom w:val="single" w:sz="8" w:color="939598"/>
            </w:tcBorders>
          </w:tcPr>
          <w:p>
            <w:pPr>
              <w:spacing w:after="0"/>
              <w:rPr>
                <w:sz w:val="11"/>
                <w:szCs w:val="11"/>
                <w:color w:val="auto"/>
              </w:rPr>
            </w:pPr>
          </w:p>
        </w:tc>
        <w:tc>
          <w:tcPr>
            <w:tcW w:w="1160" w:type="dxa"/>
            <w:vAlign w:val="bottom"/>
            <w:tcBorders>
              <w:bottom w:val="single" w:sz="8" w:color="939598"/>
            </w:tcBorders>
          </w:tcPr>
          <w:p>
            <w:pPr>
              <w:spacing w:after="0"/>
              <w:rPr>
                <w:sz w:val="11"/>
                <w:szCs w:val="11"/>
                <w:color w:val="auto"/>
              </w:rPr>
            </w:pPr>
          </w:p>
        </w:tc>
        <w:tc>
          <w:tcPr>
            <w:tcW w:w="1280" w:type="dxa"/>
            <w:vAlign w:val="bottom"/>
            <w:tcBorders>
              <w:bottom w:val="single" w:sz="8" w:color="939598"/>
            </w:tcBorders>
          </w:tcPr>
          <w:p>
            <w:pPr>
              <w:spacing w:after="0"/>
              <w:rPr>
                <w:sz w:val="11"/>
                <w:szCs w:val="11"/>
                <w:color w:val="auto"/>
              </w:rPr>
            </w:pPr>
          </w:p>
        </w:tc>
        <w:tc>
          <w:tcPr>
            <w:tcW w:w="680" w:type="dxa"/>
            <w:vAlign w:val="bottom"/>
            <w:tcBorders>
              <w:bottom w:val="single" w:sz="8" w:color="939598"/>
            </w:tcBorders>
          </w:tcPr>
          <w:p>
            <w:pPr>
              <w:spacing w:after="0"/>
              <w:rPr>
                <w:sz w:val="11"/>
                <w:szCs w:val="11"/>
                <w:color w:val="auto"/>
              </w:rPr>
            </w:pPr>
          </w:p>
        </w:tc>
        <w:tc>
          <w:tcPr>
            <w:tcW w:w="680" w:type="dxa"/>
            <w:vAlign w:val="bottom"/>
            <w:tcBorders>
              <w:bottom w:val="single" w:sz="8" w:color="939598"/>
            </w:tcBorders>
          </w:tcPr>
          <w:p>
            <w:pPr>
              <w:spacing w:after="0"/>
              <w:rPr>
                <w:sz w:val="11"/>
                <w:szCs w:val="11"/>
                <w:color w:val="auto"/>
              </w:rPr>
            </w:pPr>
          </w:p>
        </w:tc>
        <w:tc>
          <w:tcPr>
            <w:tcW w:w="220" w:type="dxa"/>
            <w:vAlign w:val="bottom"/>
            <w:tcBorders>
              <w:bottom w:val="single" w:sz="8" w:color="939598"/>
            </w:tcBorders>
          </w:tcPr>
          <w:p>
            <w:pPr>
              <w:spacing w:after="0"/>
              <w:rPr>
                <w:sz w:val="11"/>
                <w:szCs w:val="11"/>
                <w:color w:val="auto"/>
              </w:rPr>
            </w:pPr>
          </w:p>
        </w:tc>
        <w:tc>
          <w:tcPr>
            <w:tcW w:w="1280" w:type="dxa"/>
            <w:vAlign w:val="bottom"/>
            <w:tcBorders>
              <w:bottom w:val="single" w:sz="8" w:color="939598"/>
            </w:tcBorders>
          </w:tcPr>
          <w:p>
            <w:pPr>
              <w:spacing w:after="0"/>
              <w:rPr>
                <w:sz w:val="11"/>
                <w:szCs w:val="11"/>
                <w:color w:val="auto"/>
              </w:rPr>
            </w:pPr>
          </w:p>
        </w:tc>
        <w:tc>
          <w:tcPr>
            <w:tcW w:w="1660" w:type="dxa"/>
            <w:vAlign w:val="bottom"/>
            <w:tcBorders>
              <w:bottom w:val="single" w:sz="8" w:color="939598"/>
            </w:tcBorders>
          </w:tcPr>
          <w:p>
            <w:pPr>
              <w:spacing w:after="0"/>
              <w:rPr>
                <w:sz w:val="11"/>
                <w:szCs w:val="11"/>
                <w:color w:val="auto"/>
              </w:rPr>
            </w:pPr>
          </w:p>
        </w:tc>
        <w:tc>
          <w:tcPr>
            <w:tcW w:w="680" w:type="dxa"/>
            <w:vAlign w:val="bottom"/>
            <w:tcBorders>
              <w:bottom w:val="single" w:sz="8" w:color="939598"/>
            </w:tcBorders>
          </w:tcPr>
          <w:p>
            <w:pPr>
              <w:spacing w:after="0"/>
              <w:rPr>
                <w:sz w:val="11"/>
                <w:szCs w:val="11"/>
                <w:color w:val="auto"/>
              </w:rPr>
            </w:pPr>
          </w:p>
        </w:tc>
        <w:tc>
          <w:tcPr>
            <w:tcW w:w="134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1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ind w:left="840"/>
              <w:spacing w:after="0"/>
              <w:rPr>
                <w:sz w:val="20"/>
                <w:szCs w:val="20"/>
                <w:color w:val="auto"/>
              </w:rPr>
            </w:pPr>
            <w:r>
              <w:rPr>
                <w:rFonts w:ascii="Arial" w:cs="Arial" w:eastAsia="Arial" w:hAnsi="Arial"/>
                <w:sz w:val="7"/>
                <w:szCs w:val="7"/>
                <w:color w:val="auto"/>
              </w:rPr>
              <w:t>(27)</w:t>
            </w:r>
          </w:p>
        </w:tc>
        <w:tc>
          <w:tcPr>
            <w:tcW w:w="1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680" w:type="dxa"/>
            <w:vAlign w:val="bottom"/>
          </w:tcPr>
          <w:p>
            <w:pPr>
              <w:ind w:left="20"/>
              <w:spacing w:after="0"/>
              <w:rPr>
                <w:sz w:val="20"/>
                <w:szCs w:val="20"/>
                <w:color w:val="auto"/>
              </w:rPr>
            </w:pPr>
            <w:r>
              <w:rPr>
                <w:rFonts w:ascii="Arial" w:cs="Arial" w:eastAsia="Arial" w:hAnsi="Arial"/>
                <w:sz w:val="11"/>
                <w:szCs w:val="11"/>
                <w:b w:val="1"/>
                <w:bCs w:val="1"/>
                <w:color w:val="auto"/>
              </w:rPr>
              <w:t>Lucian Boldea</w:t>
            </w:r>
          </w:p>
        </w:tc>
        <w:tc>
          <w:tcPr>
            <w:tcW w:w="560" w:type="dxa"/>
            <w:vAlign w:val="bottom"/>
          </w:tcPr>
          <w:p>
            <w:pPr>
              <w:jc w:val="center"/>
              <w:spacing w:after="0"/>
              <w:rPr>
                <w:sz w:val="20"/>
                <w:szCs w:val="20"/>
                <w:color w:val="auto"/>
              </w:rPr>
            </w:pPr>
            <w:r>
              <w:rPr>
                <w:rFonts w:ascii="Arial" w:cs="Arial" w:eastAsia="Arial" w:hAnsi="Arial"/>
                <w:sz w:val="11"/>
                <w:szCs w:val="11"/>
                <w:color w:val="auto"/>
                <w:w w:val="97"/>
              </w:rPr>
              <w:t>2022</w:t>
            </w:r>
          </w:p>
        </w:tc>
        <w:tc>
          <w:tcPr>
            <w:tcW w:w="1160" w:type="dxa"/>
            <w:vAlign w:val="bottom"/>
          </w:tcPr>
          <w:p>
            <w:pPr>
              <w:jc w:val="right"/>
              <w:ind w:right="146"/>
              <w:spacing w:after="0"/>
              <w:rPr>
                <w:sz w:val="20"/>
                <w:szCs w:val="20"/>
                <w:color w:val="auto"/>
              </w:rPr>
            </w:pPr>
            <w:r>
              <w:rPr>
                <w:rFonts w:ascii="Arial" w:cs="Arial" w:eastAsia="Arial" w:hAnsi="Arial"/>
                <w:sz w:val="11"/>
                <w:szCs w:val="11"/>
                <w:color w:val="auto"/>
              </w:rPr>
              <w:t>9,279</w:t>
            </w:r>
          </w:p>
        </w:tc>
        <w:tc>
          <w:tcPr>
            <w:tcW w:w="1280" w:type="dxa"/>
            <w:vAlign w:val="bottom"/>
          </w:tcPr>
          <w:p>
            <w:pPr>
              <w:jc w:val="right"/>
              <w:ind w:right="366"/>
              <w:spacing w:after="0"/>
              <w:rPr>
                <w:sz w:val="20"/>
                <w:szCs w:val="20"/>
                <w:color w:val="auto"/>
              </w:rPr>
            </w:pPr>
            <w:r>
              <w:rPr>
                <w:rFonts w:ascii="Arial" w:cs="Arial" w:eastAsia="Arial" w:hAnsi="Arial"/>
                <w:sz w:val="11"/>
                <w:szCs w:val="11"/>
                <w:color w:val="auto"/>
              </w:rPr>
              <w:t>9,280</w:t>
            </w: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162.79</w:t>
            </w:r>
          </w:p>
        </w:tc>
        <w:tc>
          <w:tcPr>
            <w:tcW w:w="680" w:type="dxa"/>
            <w:vAlign w:val="bottom"/>
          </w:tcPr>
          <w:p>
            <w:pPr>
              <w:jc w:val="right"/>
              <w:spacing w:after="0"/>
              <w:rPr>
                <w:sz w:val="20"/>
                <w:szCs w:val="20"/>
                <w:color w:val="auto"/>
              </w:rPr>
            </w:pPr>
            <w:r>
              <w:rPr>
                <w:rFonts w:ascii="Arial" w:cs="Arial" w:eastAsia="Arial" w:hAnsi="Arial"/>
                <w:sz w:val="11"/>
                <w:szCs w:val="11"/>
                <w:color w:val="auto"/>
              </w:rPr>
              <w:t>10/3/2027</w:t>
            </w:r>
          </w:p>
        </w:tc>
        <w:tc>
          <w:tcPr>
            <w:tcW w:w="220" w:type="dxa"/>
            <w:vAlign w:val="bottom"/>
          </w:tcPr>
          <w:p>
            <w:pPr>
              <w:spacing w:after="0"/>
              <w:rPr>
                <w:sz w:val="13"/>
                <w:szCs w:val="13"/>
                <w:color w:val="auto"/>
              </w:rPr>
            </w:pPr>
          </w:p>
        </w:tc>
        <w:tc>
          <w:tcPr>
            <w:tcW w:w="1280" w:type="dxa"/>
            <w:vAlign w:val="bottom"/>
          </w:tcPr>
          <w:p>
            <w:pPr>
              <w:jc w:val="right"/>
              <w:ind w:right="472"/>
              <w:spacing w:after="0"/>
              <w:rPr>
                <w:sz w:val="20"/>
                <w:szCs w:val="20"/>
                <w:color w:val="auto"/>
              </w:rPr>
            </w:pPr>
            <w:r>
              <w:rPr>
                <w:rFonts w:ascii="Arial" w:cs="Arial" w:eastAsia="Arial" w:hAnsi="Arial"/>
                <w:sz w:val="11"/>
                <w:szCs w:val="11"/>
                <w:color w:val="auto"/>
              </w:rPr>
              <w:t>2,250</w:t>
            </w:r>
          </w:p>
        </w:tc>
        <w:tc>
          <w:tcPr>
            <w:tcW w:w="1660" w:type="dxa"/>
            <w:vAlign w:val="bottom"/>
          </w:tcPr>
          <w:p>
            <w:pPr>
              <w:jc w:val="right"/>
              <w:ind w:right="526"/>
              <w:spacing w:after="0"/>
              <w:rPr>
                <w:sz w:val="20"/>
                <w:szCs w:val="20"/>
                <w:color w:val="auto"/>
              </w:rPr>
            </w:pPr>
            <w:r>
              <w:rPr>
                <w:rFonts w:ascii="Arial" w:cs="Arial" w:eastAsia="Arial" w:hAnsi="Arial"/>
                <w:sz w:val="11"/>
                <w:szCs w:val="11"/>
                <w:color w:val="auto"/>
              </w:rPr>
              <w:t>438,870</w:t>
            </w:r>
          </w:p>
        </w:tc>
        <w:tc>
          <w:tcPr>
            <w:tcW w:w="6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680" w:type="dxa"/>
            <w:vAlign w:val="bottom"/>
          </w:tcPr>
          <w:p>
            <w:pPr>
              <w:spacing w:after="0"/>
              <w:rPr>
                <w:sz w:val="11"/>
                <w:szCs w:val="11"/>
                <w:color w:val="auto"/>
              </w:rPr>
            </w:pPr>
          </w:p>
        </w:tc>
        <w:tc>
          <w:tcPr>
            <w:tcW w:w="560" w:type="dxa"/>
            <w:vAlign w:val="bottom"/>
            <w:tcBorders>
              <w:bottom w:val="single" w:sz="8" w:color="939598"/>
            </w:tcBorders>
          </w:tcPr>
          <w:p>
            <w:pPr>
              <w:spacing w:after="0"/>
              <w:rPr>
                <w:sz w:val="11"/>
                <w:szCs w:val="11"/>
                <w:color w:val="auto"/>
              </w:rPr>
            </w:pPr>
          </w:p>
        </w:tc>
        <w:tc>
          <w:tcPr>
            <w:tcW w:w="1160" w:type="dxa"/>
            <w:vAlign w:val="bottom"/>
            <w:tcBorders>
              <w:bottom w:val="single" w:sz="8" w:color="939598"/>
            </w:tcBorders>
          </w:tcPr>
          <w:p>
            <w:pPr>
              <w:spacing w:after="0"/>
              <w:rPr>
                <w:sz w:val="11"/>
                <w:szCs w:val="11"/>
                <w:color w:val="auto"/>
              </w:rPr>
            </w:pPr>
          </w:p>
        </w:tc>
        <w:tc>
          <w:tcPr>
            <w:tcW w:w="1280" w:type="dxa"/>
            <w:vAlign w:val="bottom"/>
            <w:tcBorders>
              <w:bottom w:val="single" w:sz="8" w:color="939598"/>
            </w:tcBorders>
          </w:tcPr>
          <w:p>
            <w:pPr>
              <w:spacing w:after="0"/>
              <w:rPr>
                <w:sz w:val="11"/>
                <w:szCs w:val="11"/>
                <w:color w:val="auto"/>
              </w:rPr>
            </w:pPr>
          </w:p>
        </w:tc>
        <w:tc>
          <w:tcPr>
            <w:tcW w:w="680" w:type="dxa"/>
            <w:vAlign w:val="bottom"/>
            <w:tcBorders>
              <w:bottom w:val="single" w:sz="8" w:color="939598"/>
            </w:tcBorders>
          </w:tcPr>
          <w:p>
            <w:pPr>
              <w:spacing w:after="0"/>
              <w:rPr>
                <w:sz w:val="11"/>
                <w:szCs w:val="11"/>
                <w:color w:val="auto"/>
              </w:rPr>
            </w:pPr>
          </w:p>
        </w:tc>
        <w:tc>
          <w:tcPr>
            <w:tcW w:w="680" w:type="dxa"/>
            <w:vAlign w:val="bottom"/>
            <w:tcBorders>
              <w:bottom w:val="single" w:sz="8" w:color="939598"/>
            </w:tcBorders>
          </w:tcPr>
          <w:p>
            <w:pPr>
              <w:spacing w:after="0"/>
              <w:rPr>
                <w:sz w:val="11"/>
                <w:szCs w:val="11"/>
                <w:color w:val="auto"/>
              </w:rPr>
            </w:pPr>
          </w:p>
        </w:tc>
        <w:tc>
          <w:tcPr>
            <w:tcW w:w="220" w:type="dxa"/>
            <w:vAlign w:val="bottom"/>
            <w:tcBorders>
              <w:bottom w:val="single" w:sz="8" w:color="939598"/>
            </w:tcBorders>
          </w:tcPr>
          <w:p>
            <w:pPr>
              <w:spacing w:after="0"/>
              <w:rPr>
                <w:sz w:val="11"/>
                <w:szCs w:val="11"/>
                <w:color w:val="auto"/>
              </w:rPr>
            </w:pPr>
          </w:p>
        </w:tc>
        <w:tc>
          <w:tcPr>
            <w:tcW w:w="1280" w:type="dxa"/>
            <w:vAlign w:val="bottom"/>
            <w:tcBorders>
              <w:bottom w:val="single" w:sz="8" w:color="939598"/>
            </w:tcBorders>
          </w:tcPr>
          <w:p>
            <w:pPr>
              <w:spacing w:after="0"/>
              <w:rPr>
                <w:sz w:val="11"/>
                <w:szCs w:val="11"/>
                <w:color w:val="auto"/>
              </w:rPr>
            </w:pPr>
          </w:p>
        </w:tc>
        <w:tc>
          <w:tcPr>
            <w:tcW w:w="1660" w:type="dxa"/>
            <w:vAlign w:val="bottom"/>
            <w:tcBorders>
              <w:bottom w:val="single" w:sz="8" w:color="939598"/>
            </w:tcBorders>
          </w:tcPr>
          <w:p>
            <w:pPr>
              <w:spacing w:after="0"/>
              <w:rPr>
                <w:sz w:val="11"/>
                <w:szCs w:val="11"/>
                <w:color w:val="auto"/>
              </w:rPr>
            </w:pPr>
          </w:p>
        </w:tc>
        <w:tc>
          <w:tcPr>
            <w:tcW w:w="680" w:type="dxa"/>
            <w:vAlign w:val="bottom"/>
            <w:tcBorders>
              <w:bottom w:val="single" w:sz="8" w:color="939598"/>
            </w:tcBorders>
          </w:tcPr>
          <w:p>
            <w:pPr>
              <w:spacing w:after="0"/>
              <w:rPr>
                <w:sz w:val="11"/>
                <w:szCs w:val="11"/>
                <w:color w:val="auto"/>
              </w:rPr>
            </w:pPr>
          </w:p>
        </w:tc>
        <w:tc>
          <w:tcPr>
            <w:tcW w:w="134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168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98"/>
              </w:rPr>
              <w:t>Total</w:t>
            </w:r>
          </w:p>
        </w:tc>
        <w:tc>
          <w:tcPr>
            <w:tcW w:w="1160" w:type="dxa"/>
            <w:vAlign w:val="bottom"/>
          </w:tcPr>
          <w:p>
            <w:pPr>
              <w:jc w:val="right"/>
              <w:ind w:right="146"/>
              <w:spacing w:after="0"/>
              <w:rPr>
                <w:sz w:val="20"/>
                <w:szCs w:val="20"/>
                <w:color w:val="auto"/>
              </w:rPr>
            </w:pPr>
            <w:r>
              <w:rPr>
                <w:rFonts w:ascii="Arial" w:cs="Arial" w:eastAsia="Arial" w:hAnsi="Arial"/>
                <w:sz w:val="11"/>
                <w:szCs w:val="11"/>
                <w:b w:val="1"/>
                <w:bCs w:val="1"/>
                <w:color w:val="auto"/>
              </w:rPr>
              <w:t>9,279</w:t>
            </w:r>
          </w:p>
        </w:tc>
        <w:tc>
          <w:tcPr>
            <w:tcW w:w="1280" w:type="dxa"/>
            <w:vAlign w:val="bottom"/>
          </w:tcPr>
          <w:p>
            <w:pPr>
              <w:jc w:val="right"/>
              <w:ind w:right="366"/>
              <w:spacing w:after="0"/>
              <w:rPr>
                <w:sz w:val="20"/>
                <w:szCs w:val="20"/>
                <w:color w:val="auto"/>
              </w:rPr>
            </w:pPr>
            <w:r>
              <w:rPr>
                <w:rFonts w:ascii="Arial" w:cs="Arial" w:eastAsia="Arial" w:hAnsi="Arial"/>
                <w:sz w:val="11"/>
                <w:szCs w:val="11"/>
                <w:b w:val="1"/>
                <w:bCs w:val="1"/>
                <w:color w:val="auto"/>
              </w:rPr>
              <w:t>9,280</w:t>
            </w: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ind w:right="472"/>
              <w:spacing w:after="0"/>
              <w:rPr>
                <w:sz w:val="20"/>
                <w:szCs w:val="20"/>
                <w:color w:val="auto"/>
              </w:rPr>
            </w:pPr>
            <w:r>
              <w:rPr>
                <w:rFonts w:ascii="Arial" w:cs="Arial" w:eastAsia="Arial" w:hAnsi="Arial"/>
                <w:sz w:val="11"/>
                <w:szCs w:val="11"/>
                <w:b w:val="1"/>
                <w:bCs w:val="1"/>
                <w:color w:val="auto"/>
              </w:rPr>
              <w:t>2,250</w:t>
            </w:r>
          </w:p>
        </w:tc>
        <w:tc>
          <w:tcPr>
            <w:tcW w:w="1660" w:type="dxa"/>
            <w:vAlign w:val="bottom"/>
          </w:tcPr>
          <w:p>
            <w:pPr>
              <w:jc w:val="right"/>
              <w:ind w:right="526"/>
              <w:spacing w:after="0"/>
              <w:rPr>
                <w:sz w:val="20"/>
                <w:szCs w:val="20"/>
                <w:color w:val="auto"/>
              </w:rPr>
            </w:pPr>
            <w:r>
              <w:rPr>
                <w:rFonts w:ascii="Arial" w:cs="Arial" w:eastAsia="Arial" w:hAnsi="Arial"/>
                <w:sz w:val="11"/>
                <w:szCs w:val="11"/>
                <w:b w:val="1"/>
                <w:bCs w:val="1"/>
                <w:color w:val="auto"/>
              </w:rPr>
              <w:t>438,870</w:t>
            </w:r>
          </w:p>
        </w:tc>
        <w:tc>
          <w:tcPr>
            <w:tcW w:w="680" w:type="dxa"/>
            <w:vAlign w:val="bottom"/>
          </w:tcPr>
          <w:p>
            <w:pPr>
              <w:jc w:val="right"/>
              <w:ind w:right="6"/>
              <w:spacing w:after="0"/>
              <w:rPr>
                <w:sz w:val="20"/>
                <w:szCs w:val="20"/>
                <w:color w:val="auto"/>
              </w:rPr>
            </w:pPr>
            <w:r>
              <w:rPr>
                <w:rFonts w:ascii="Arial" w:cs="Arial" w:eastAsia="Arial" w:hAnsi="Arial"/>
                <w:sz w:val="11"/>
                <w:szCs w:val="11"/>
                <w:b w:val="1"/>
                <w:bCs w:val="1"/>
                <w:color w:val="auto"/>
              </w:rPr>
              <w:t>—</w:t>
            </w:r>
          </w:p>
        </w:tc>
        <w:tc>
          <w:tcPr>
            <w:tcW w:w="1340" w:type="dxa"/>
            <w:vAlign w:val="bottom"/>
          </w:tcPr>
          <w:p>
            <w:pPr>
              <w:jc w:val="right"/>
              <w:ind w:right="9"/>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2343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55" w:lineRule="exact"/>
        <w:rPr>
          <w:sz w:val="20"/>
          <w:szCs w:val="20"/>
          <w:color w:val="auto"/>
        </w:rPr>
      </w:pPr>
    </w:p>
    <w:p>
      <w:pPr>
        <w:ind w:left="200" w:hanging="192"/>
        <w:spacing w:after="0"/>
        <w:tabs>
          <w:tab w:leader="none" w:pos="200" w:val="left"/>
        </w:tabs>
        <w:numPr>
          <w:ilvl w:val="0"/>
          <w:numId w:val="191"/>
        </w:numPr>
        <w:rPr>
          <w:rFonts w:ascii="Arial" w:cs="Arial" w:eastAsia="Arial" w:hAnsi="Arial"/>
          <w:sz w:val="16"/>
          <w:szCs w:val="16"/>
          <w:color w:val="auto"/>
          <w:vertAlign w:val="superscript"/>
        </w:rPr>
      </w:pPr>
      <w:r>
        <w:rPr>
          <w:rFonts w:ascii="Arial" w:cs="Arial" w:eastAsia="Arial" w:hAnsi="Arial"/>
          <w:sz w:val="13"/>
          <w:szCs w:val="13"/>
          <w:color w:val="auto"/>
        </w:rPr>
        <w:t>Stock option grants vest in four installments at the rate of 25% per year beginning on the first anniversary of the date of grant.</w:t>
      </w:r>
    </w:p>
    <w:p>
      <w:pPr>
        <w:spacing w:after="0" w:line="56" w:lineRule="exact"/>
        <w:rPr>
          <w:rFonts w:ascii="Arial" w:cs="Arial" w:eastAsia="Arial" w:hAnsi="Arial"/>
          <w:sz w:val="16"/>
          <w:szCs w:val="16"/>
          <w:color w:val="auto"/>
          <w:vertAlign w:val="superscript"/>
        </w:rPr>
      </w:pPr>
    </w:p>
    <w:p>
      <w:pPr>
        <w:ind w:left="200" w:hanging="192"/>
        <w:spacing w:after="0" w:line="225" w:lineRule="auto"/>
        <w:tabs>
          <w:tab w:leader="none" w:pos="200" w:val="left"/>
        </w:tabs>
        <w:numPr>
          <w:ilvl w:val="0"/>
          <w:numId w:val="191"/>
        </w:numPr>
        <w:rPr>
          <w:rFonts w:ascii="Arial" w:cs="Arial" w:eastAsia="Arial" w:hAnsi="Arial"/>
          <w:sz w:val="16"/>
          <w:szCs w:val="16"/>
          <w:color w:val="auto"/>
          <w:vertAlign w:val="superscript"/>
        </w:rPr>
      </w:pPr>
      <w:r>
        <w:rPr>
          <w:rFonts w:ascii="Arial" w:cs="Arial" w:eastAsia="Arial" w:hAnsi="Arial"/>
          <w:sz w:val="13"/>
          <w:szCs w:val="13"/>
          <w:color w:val="auto"/>
        </w:rPr>
        <w:t>Market value determined using the closing market price of $195.09 per share of common stock on December 31, 2025.</w:t>
      </w:r>
    </w:p>
    <w:p>
      <w:pPr>
        <w:spacing w:after="0" w:line="50" w:lineRule="exact"/>
        <w:rPr>
          <w:rFonts w:ascii="Arial" w:cs="Arial" w:eastAsia="Arial" w:hAnsi="Arial"/>
          <w:sz w:val="16"/>
          <w:szCs w:val="16"/>
          <w:color w:val="auto"/>
          <w:vertAlign w:val="superscript"/>
        </w:rPr>
      </w:pPr>
    </w:p>
    <w:p>
      <w:pPr>
        <w:ind w:left="200" w:right="20" w:hanging="192"/>
        <w:spacing w:after="0" w:line="226" w:lineRule="auto"/>
        <w:tabs>
          <w:tab w:leader="none" w:pos="200" w:val="left"/>
        </w:tabs>
        <w:numPr>
          <w:ilvl w:val="0"/>
          <w:numId w:val="191"/>
        </w:numPr>
        <w:rPr>
          <w:rFonts w:ascii="Arial" w:cs="Arial" w:eastAsia="Arial" w:hAnsi="Arial"/>
          <w:sz w:val="16"/>
          <w:szCs w:val="16"/>
          <w:color w:val="auto"/>
          <w:vertAlign w:val="superscript"/>
        </w:rPr>
      </w:pPr>
      <w:r>
        <w:rPr>
          <w:rFonts w:ascii="Arial" w:cs="Arial" w:eastAsia="Arial" w:hAnsi="Arial"/>
          <w:sz w:val="13"/>
          <w:szCs w:val="13"/>
          <w:color w:val="auto"/>
        </w:rPr>
        <w:t>Reflects one-time Stock Option grant for the successful separation from Honeywell Aerospace. Vesting will occur 50% at the completion of the separation and 50% one year after the separation from Honeywell Aerospace.</w:t>
      </w:r>
    </w:p>
    <w:p>
      <w:pPr>
        <w:spacing w:after="0" w:line="63" w:lineRule="exact"/>
        <w:rPr>
          <w:rFonts w:ascii="Arial" w:cs="Arial" w:eastAsia="Arial" w:hAnsi="Arial"/>
          <w:sz w:val="16"/>
          <w:szCs w:val="16"/>
          <w:color w:val="auto"/>
          <w:vertAlign w:val="superscript"/>
        </w:rPr>
      </w:pPr>
    </w:p>
    <w:p>
      <w:pPr>
        <w:ind w:left="200" w:right="440" w:hanging="192"/>
        <w:spacing w:after="0" w:line="226" w:lineRule="auto"/>
        <w:tabs>
          <w:tab w:leader="none" w:pos="200" w:val="left"/>
        </w:tabs>
        <w:numPr>
          <w:ilvl w:val="0"/>
          <w:numId w:val="191"/>
        </w:numPr>
        <w:rPr>
          <w:rFonts w:ascii="Arial" w:cs="Arial" w:eastAsia="Arial" w:hAnsi="Arial"/>
          <w:sz w:val="16"/>
          <w:szCs w:val="16"/>
          <w:color w:val="auto"/>
          <w:vertAlign w:val="superscript"/>
        </w:rPr>
      </w:pPr>
      <w:r>
        <w:rPr>
          <w:rFonts w:ascii="Arial" w:cs="Arial" w:eastAsia="Arial" w:hAnsi="Arial"/>
          <w:sz w:val="13"/>
          <w:szCs w:val="13"/>
          <w:color w:val="auto"/>
        </w:rPr>
        <w:t>Reflects one- time RSU grant for the successful separation from Honeywell Aerospace. Vesting will occur 50% at the completion of the separation and 50% one year after the separation from Honeywell Aerospace.</w:t>
      </w:r>
    </w:p>
    <w:p>
      <w:pPr>
        <w:spacing w:after="0" w:line="50" w:lineRule="exact"/>
        <w:rPr>
          <w:rFonts w:ascii="Arial" w:cs="Arial" w:eastAsia="Arial" w:hAnsi="Arial"/>
          <w:sz w:val="16"/>
          <w:szCs w:val="16"/>
          <w:color w:val="auto"/>
          <w:vertAlign w:val="superscript"/>
        </w:rPr>
      </w:pPr>
    </w:p>
    <w:p>
      <w:pPr>
        <w:jc w:val="both"/>
        <w:ind w:left="200" w:right="160" w:hanging="192"/>
        <w:spacing w:after="0" w:line="270" w:lineRule="auto"/>
        <w:tabs>
          <w:tab w:leader="none" w:pos="200" w:val="left"/>
        </w:tabs>
        <w:numPr>
          <w:ilvl w:val="0"/>
          <w:numId w:val="191"/>
        </w:numPr>
        <w:rPr>
          <w:rFonts w:ascii="Arial" w:cs="Arial" w:eastAsia="Arial" w:hAnsi="Arial"/>
          <w:sz w:val="15"/>
          <w:szCs w:val="15"/>
          <w:color w:val="auto"/>
          <w:vertAlign w:val="superscript"/>
        </w:rPr>
      </w:pPr>
      <w:r>
        <w:rPr>
          <w:rFonts w:ascii="Arial" w:cs="Arial" w:eastAsia="Arial" w:hAnsi="Arial"/>
          <w:sz w:val="12"/>
          <w:szCs w:val="12"/>
          <w:color w:val="auto"/>
        </w:rPr>
        <w:t>2025 RSU grants will vest 33% on each of February 19, 2027, and February 19, 2028, with the remaining RSUs vesting on February 19, 2029. The number of RSUs reflected in the table includes dividend equivalents applied through December 31, 2025, which were reinvested as additional unvested RSUs that will vest based on the same vesting schedule as the RSUs to which they relate.</w:t>
      </w:r>
    </w:p>
    <w:p>
      <w:pPr>
        <w:spacing w:after="0" w:line="28" w:lineRule="exact"/>
        <w:rPr>
          <w:rFonts w:ascii="Arial" w:cs="Arial" w:eastAsia="Arial" w:hAnsi="Arial"/>
          <w:sz w:val="15"/>
          <w:szCs w:val="15"/>
          <w:color w:val="auto"/>
          <w:vertAlign w:val="superscript"/>
        </w:rPr>
      </w:pPr>
    </w:p>
    <w:p>
      <w:pPr>
        <w:ind w:left="200" w:hanging="192"/>
        <w:spacing w:after="0" w:line="236" w:lineRule="auto"/>
        <w:tabs>
          <w:tab w:leader="none" w:pos="200" w:val="left"/>
        </w:tabs>
        <w:numPr>
          <w:ilvl w:val="0"/>
          <w:numId w:val="191"/>
        </w:numPr>
        <w:rPr>
          <w:rFonts w:ascii="Arial" w:cs="Arial" w:eastAsia="Arial" w:hAnsi="Arial"/>
          <w:sz w:val="16"/>
          <w:szCs w:val="16"/>
          <w:color w:val="auto"/>
          <w:vertAlign w:val="superscript"/>
        </w:rPr>
      </w:pPr>
      <w:r>
        <w:rPr>
          <w:rFonts w:ascii="Arial" w:cs="Arial" w:eastAsia="Arial" w:hAnsi="Arial"/>
          <w:sz w:val="13"/>
          <w:szCs w:val="13"/>
          <w:color w:val="auto"/>
        </w:rPr>
        <w:t>Represents PSUs issued under the 2025–2027 Performance Plan. Actual payout will be based on final performance against plan metrics for the full three-year cycle. The number of PSUs reflected in the table includes dividend equivalents applied on the target number of shares through December 31, 2025, which were reinvested as additional unvested PSUs that will vest on the same basis as the underlying PSUs to which they relate.</w:t>
      </w:r>
    </w:p>
    <w:p>
      <w:pPr>
        <w:spacing w:after="0" w:line="51" w:lineRule="exact"/>
        <w:rPr>
          <w:rFonts w:ascii="Arial" w:cs="Arial" w:eastAsia="Arial" w:hAnsi="Arial"/>
          <w:sz w:val="16"/>
          <w:szCs w:val="16"/>
          <w:color w:val="auto"/>
          <w:vertAlign w:val="superscript"/>
        </w:rPr>
      </w:pPr>
    </w:p>
    <w:p>
      <w:pPr>
        <w:jc w:val="both"/>
        <w:ind w:left="200" w:right="60" w:hanging="192"/>
        <w:spacing w:after="0" w:line="230" w:lineRule="auto"/>
        <w:tabs>
          <w:tab w:leader="none" w:pos="200" w:val="left"/>
        </w:tabs>
        <w:numPr>
          <w:ilvl w:val="0"/>
          <w:numId w:val="191"/>
        </w:numPr>
        <w:rPr>
          <w:rFonts w:ascii="Arial" w:cs="Arial" w:eastAsia="Arial" w:hAnsi="Arial"/>
          <w:sz w:val="16"/>
          <w:szCs w:val="16"/>
          <w:color w:val="auto"/>
          <w:vertAlign w:val="superscript"/>
        </w:rPr>
      </w:pPr>
      <w:r>
        <w:rPr>
          <w:rFonts w:ascii="Arial" w:cs="Arial" w:eastAsia="Arial" w:hAnsi="Arial"/>
          <w:sz w:val="13"/>
          <w:szCs w:val="13"/>
          <w:color w:val="auto"/>
        </w:rPr>
        <w:t>A portion of the 2024 RSU grants vested on February 16, 2026, the remaining RSUs will vest 49% on February 16, 2027, and 51% on February 16, 2028. The number of RSUs reflected in the table includes dividend equivalents applied through December 31, 2025, which were reinvested as additional unvested RSUs that will vest based on the same vesting schedule as the RSUs to which they relate.</w:t>
      </w:r>
    </w:p>
    <w:p>
      <w:pPr>
        <w:spacing w:after="0" w:line="63" w:lineRule="exact"/>
        <w:rPr>
          <w:rFonts w:ascii="Arial" w:cs="Arial" w:eastAsia="Arial" w:hAnsi="Arial"/>
          <w:sz w:val="16"/>
          <w:szCs w:val="16"/>
          <w:color w:val="auto"/>
          <w:vertAlign w:val="superscript"/>
        </w:rPr>
      </w:pPr>
    </w:p>
    <w:p>
      <w:pPr>
        <w:ind w:left="200" w:hanging="192"/>
        <w:spacing w:after="0" w:line="230" w:lineRule="auto"/>
        <w:tabs>
          <w:tab w:leader="none" w:pos="200" w:val="left"/>
        </w:tabs>
        <w:numPr>
          <w:ilvl w:val="0"/>
          <w:numId w:val="191"/>
        </w:numPr>
        <w:rPr>
          <w:rFonts w:ascii="Arial" w:cs="Arial" w:eastAsia="Arial" w:hAnsi="Arial"/>
          <w:sz w:val="16"/>
          <w:szCs w:val="16"/>
          <w:color w:val="auto"/>
          <w:vertAlign w:val="superscript"/>
        </w:rPr>
      </w:pPr>
      <w:r>
        <w:rPr>
          <w:rFonts w:ascii="Arial" w:cs="Arial" w:eastAsia="Arial" w:hAnsi="Arial"/>
          <w:sz w:val="13"/>
          <w:szCs w:val="13"/>
          <w:color w:val="auto"/>
        </w:rPr>
        <w:t>Represents PSUs issued under the 2024–2026 Performance Plan. Actual payout will be based on final performance against plan metrics for the full three-year cycle. The number of PSUs reflected in the table includes dividend equivalents applied on the target number of shares through December 31, 2025, which were reinvested as additional unvested PSUs that will vest on the same basis as the underlying PSUs to which they relate.</w:t>
      </w:r>
    </w:p>
    <w:p>
      <w:pPr>
        <w:spacing w:after="0" w:line="63" w:lineRule="exact"/>
        <w:rPr>
          <w:rFonts w:ascii="Arial" w:cs="Arial" w:eastAsia="Arial" w:hAnsi="Arial"/>
          <w:sz w:val="16"/>
          <w:szCs w:val="16"/>
          <w:color w:val="auto"/>
          <w:vertAlign w:val="superscript"/>
        </w:rPr>
      </w:pPr>
    </w:p>
    <w:p>
      <w:pPr>
        <w:ind w:left="200" w:right="20" w:hanging="192"/>
        <w:spacing w:after="0" w:line="246" w:lineRule="auto"/>
        <w:tabs>
          <w:tab w:leader="none" w:pos="200" w:val="left"/>
        </w:tabs>
        <w:numPr>
          <w:ilvl w:val="0"/>
          <w:numId w:val="191"/>
        </w:numPr>
        <w:rPr>
          <w:rFonts w:ascii="Arial" w:cs="Arial" w:eastAsia="Arial" w:hAnsi="Arial"/>
          <w:sz w:val="15"/>
          <w:szCs w:val="15"/>
          <w:color w:val="auto"/>
          <w:vertAlign w:val="superscript"/>
        </w:rPr>
      </w:pPr>
      <w:r>
        <w:rPr>
          <w:rFonts w:ascii="Arial" w:cs="Arial" w:eastAsia="Arial" w:hAnsi="Arial"/>
          <w:sz w:val="12"/>
          <w:szCs w:val="12"/>
          <w:color w:val="auto"/>
        </w:rPr>
        <w:t>A portion of this 2023 RSU grant vested on June 1, 2025. The remaining RSUs will vest 49% on June 1, 2026 and 51% on June 1, 2027. The number of RSUs reflected in the table includes dividend equivalents applied through December 31, 2025, which were reinvested as additional unvested RSUs that will vest based on the same vesting schedule as the RSUs to which they relate.</w:t>
      </w:r>
    </w:p>
    <w:p>
      <w:pPr>
        <w:spacing w:after="0" w:line="59" w:lineRule="exact"/>
        <w:rPr>
          <w:rFonts w:ascii="Arial" w:cs="Arial" w:eastAsia="Arial" w:hAnsi="Arial"/>
          <w:sz w:val="15"/>
          <w:szCs w:val="15"/>
          <w:color w:val="auto"/>
          <w:vertAlign w:val="superscript"/>
        </w:rPr>
      </w:pPr>
    </w:p>
    <w:p>
      <w:pPr>
        <w:ind w:left="200" w:right="160" w:hanging="192"/>
        <w:spacing w:after="0" w:line="246" w:lineRule="auto"/>
        <w:tabs>
          <w:tab w:leader="none" w:pos="191" w:val="left"/>
        </w:tabs>
        <w:numPr>
          <w:ilvl w:val="0"/>
          <w:numId w:val="191"/>
        </w:numPr>
        <w:rPr>
          <w:rFonts w:ascii="Arial" w:cs="Arial" w:eastAsia="Arial" w:hAnsi="Arial"/>
          <w:sz w:val="15"/>
          <w:szCs w:val="15"/>
          <w:color w:val="auto"/>
          <w:vertAlign w:val="superscript"/>
        </w:rPr>
      </w:pPr>
      <w:r>
        <w:rPr>
          <w:rFonts w:ascii="Arial" w:cs="Arial" w:eastAsia="Arial" w:hAnsi="Arial"/>
          <w:sz w:val="12"/>
          <w:szCs w:val="12"/>
          <w:color w:val="auto"/>
        </w:rPr>
        <w:t>A portion of the 2023 RSU grant vested on February 10, 2025 and February 10, 2026. The remaining RSUs will vest on February 10, 2027. The number of RSUs reflected in the table includes dividend equivalents applied through December 31, 2025, which were reinvested as additional unvested RSUs that will vest based on the same vesting schedule as the RSUs to which they relate.</w:t>
      </w:r>
    </w:p>
    <w:p>
      <w:pPr>
        <w:spacing w:after="0" w:line="46" w:lineRule="exact"/>
        <w:rPr>
          <w:rFonts w:ascii="Arial" w:cs="Arial" w:eastAsia="Arial" w:hAnsi="Arial"/>
          <w:sz w:val="15"/>
          <w:szCs w:val="15"/>
          <w:color w:val="auto"/>
          <w:vertAlign w:val="superscript"/>
        </w:rPr>
      </w:pPr>
    </w:p>
    <w:p>
      <w:pPr>
        <w:ind w:left="200" w:hanging="192"/>
        <w:spacing w:after="0" w:line="439" w:lineRule="auto"/>
        <w:tabs>
          <w:tab w:leader="none" w:pos="185" w:val="left"/>
        </w:tabs>
        <w:numPr>
          <w:ilvl w:val="0"/>
          <w:numId w:val="191"/>
        </w:numPr>
        <w:rPr>
          <w:rFonts w:ascii="Arial" w:cs="Arial" w:eastAsia="Arial" w:hAnsi="Arial"/>
          <w:sz w:val="14"/>
          <w:szCs w:val="14"/>
          <w:color w:val="auto"/>
          <w:vertAlign w:val="superscript"/>
        </w:rPr>
      </w:pPr>
      <w:r>
        <w:rPr>
          <w:rFonts w:ascii="Arial" w:cs="Arial" w:eastAsia="Arial" w:hAnsi="Arial"/>
          <w:sz w:val="11"/>
          <w:szCs w:val="11"/>
          <w:color w:val="auto"/>
        </w:rPr>
        <w:t>Represents PSUs issued under the 2023–2025 Performance Plan based on final MDCC approved payout for the full three-year cycle. The number of PSUs reflected in the table includes dividend equivalents applied on the target number of shares through December 31, 2025, which were reinvested as additional unvested PSUs that will vest on the same basis as the underlying PSUs to which they relate.</w:t>
      </w:r>
    </w:p>
    <w:p>
      <w:pPr>
        <w:ind w:left="200" w:right="160" w:hanging="192"/>
        <w:spacing w:after="0" w:line="246" w:lineRule="auto"/>
        <w:tabs>
          <w:tab w:leader="none" w:pos="191" w:val="left"/>
        </w:tabs>
        <w:numPr>
          <w:ilvl w:val="0"/>
          <w:numId w:val="191"/>
        </w:numPr>
        <w:rPr>
          <w:rFonts w:ascii="Arial" w:cs="Arial" w:eastAsia="Arial" w:hAnsi="Arial"/>
          <w:sz w:val="15"/>
          <w:szCs w:val="15"/>
          <w:color w:val="auto"/>
          <w:vertAlign w:val="superscript"/>
        </w:rPr>
      </w:pPr>
      <w:r>
        <w:rPr>
          <w:rFonts w:ascii="Arial" w:cs="Arial" w:eastAsia="Arial" w:hAnsi="Arial"/>
          <w:sz w:val="12"/>
          <w:szCs w:val="12"/>
          <w:color w:val="auto"/>
        </w:rPr>
        <w:t>A portion of this 2022 RSU grant vested on July 28, 2024. The remaining RSUs will vest 49% on July 28, 2026, and 51% on July 28, 2028. The number of RSUs reflected in the table includes dividend equivalents applied through December 31, 2025, which were reinvested as additional unvested RSUs that will vest based on the same vesting schedule as the RSUs to which they relate.</w:t>
      </w:r>
    </w:p>
    <w:p>
      <w:pPr>
        <w:spacing w:after="0" w:line="59" w:lineRule="exact"/>
        <w:rPr>
          <w:rFonts w:ascii="Arial" w:cs="Arial" w:eastAsia="Arial" w:hAnsi="Arial"/>
          <w:sz w:val="15"/>
          <w:szCs w:val="15"/>
          <w:color w:val="auto"/>
          <w:vertAlign w:val="superscript"/>
        </w:rPr>
      </w:pPr>
    </w:p>
    <w:p>
      <w:pPr>
        <w:ind w:left="200" w:right="160" w:hanging="192"/>
        <w:spacing w:after="0" w:line="246" w:lineRule="auto"/>
        <w:tabs>
          <w:tab w:leader="none" w:pos="191" w:val="left"/>
        </w:tabs>
        <w:numPr>
          <w:ilvl w:val="0"/>
          <w:numId w:val="191"/>
        </w:numPr>
        <w:rPr>
          <w:rFonts w:ascii="Arial" w:cs="Arial" w:eastAsia="Arial" w:hAnsi="Arial"/>
          <w:sz w:val="15"/>
          <w:szCs w:val="15"/>
          <w:color w:val="auto"/>
          <w:vertAlign w:val="superscript"/>
        </w:rPr>
      </w:pPr>
      <w:r>
        <w:rPr>
          <w:rFonts w:ascii="Arial" w:cs="Arial" w:eastAsia="Arial" w:hAnsi="Arial"/>
          <w:sz w:val="12"/>
          <w:szCs w:val="12"/>
          <w:color w:val="auto"/>
        </w:rPr>
        <w:t>A portion of these 2022 RSU grants vested on February 11, 2024 and February 11, 2026. The remaining RSUs will vest on February 11, 2028. The number of RSUs reflected in the table includes dividend equivalents applied through December 31, 2025, which were reinvested as additional unvested RSUs that will vest based on the same vesting schedule as the RSUs to which they relate.</w:t>
      </w:r>
    </w:p>
    <w:p>
      <w:pPr>
        <w:spacing w:after="0" w:line="59" w:lineRule="exact"/>
        <w:rPr>
          <w:rFonts w:ascii="Arial" w:cs="Arial" w:eastAsia="Arial" w:hAnsi="Arial"/>
          <w:sz w:val="15"/>
          <w:szCs w:val="15"/>
          <w:color w:val="auto"/>
          <w:vertAlign w:val="superscript"/>
        </w:rPr>
      </w:pPr>
    </w:p>
    <w:p>
      <w:pPr>
        <w:jc w:val="both"/>
        <w:ind w:left="200" w:right="160" w:hanging="192"/>
        <w:spacing w:after="0" w:line="246" w:lineRule="auto"/>
        <w:tabs>
          <w:tab w:leader="none" w:pos="191" w:val="left"/>
        </w:tabs>
        <w:numPr>
          <w:ilvl w:val="0"/>
          <w:numId w:val="191"/>
        </w:numPr>
        <w:rPr>
          <w:rFonts w:ascii="Arial" w:cs="Arial" w:eastAsia="Arial" w:hAnsi="Arial"/>
          <w:sz w:val="15"/>
          <w:szCs w:val="15"/>
          <w:color w:val="auto"/>
          <w:vertAlign w:val="superscript"/>
        </w:rPr>
      </w:pPr>
      <w:r>
        <w:rPr>
          <w:rFonts w:ascii="Arial" w:cs="Arial" w:eastAsia="Arial" w:hAnsi="Arial"/>
          <w:sz w:val="12"/>
          <w:szCs w:val="12"/>
          <w:color w:val="auto"/>
        </w:rPr>
        <w:t>A portion of these 2021 RSU grants vested on February 12, 2023 and February 12, 2025. The remaining RSUs will vest on February 12, 2027. The number of RSUs reflected in the table includes dividend equivalents applied through December 31, 2025, which were reinvested as additional unvested RSUs that will vest based on the same vesting schedule as the RSUs to which they relate.</w:t>
      </w:r>
    </w:p>
    <w:p>
      <w:pPr>
        <w:spacing w:after="0" w:line="46" w:lineRule="exact"/>
        <w:rPr>
          <w:rFonts w:ascii="Arial" w:cs="Arial" w:eastAsia="Arial" w:hAnsi="Arial"/>
          <w:sz w:val="15"/>
          <w:szCs w:val="15"/>
          <w:color w:val="auto"/>
          <w:vertAlign w:val="superscript"/>
        </w:rPr>
      </w:pPr>
    </w:p>
    <w:p>
      <w:pPr>
        <w:ind w:left="200" w:right="420" w:hanging="192"/>
        <w:spacing w:after="0" w:line="246" w:lineRule="auto"/>
        <w:tabs>
          <w:tab w:leader="none" w:pos="191" w:val="left"/>
        </w:tabs>
        <w:numPr>
          <w:ilvl w:val="0"/>
          <w:numId w:val="191"/>
        </w:numPr>
        <w:rPr>
          <w:rFonts w:ascii="Arial" w:cs="Arial" w:eastAsia="Arial" w:hAnsi="Arial"/>
          <w:sz w:val="15"/>
          <w:szCs w:val="15"/>
          <w:color w:val="auto"/>
          <w:vertAlign w:val="superscript"/>
        </w:rPr>
      </w:pPr>
      <w:r>
        <w:rPr>
          <w:rFonts w:ascii="Arial" w:cs="Arial" w:eastAsia="Arial" w:hAnsi="Arial"/>
          <w:sz w:val="12"/>
          <w:szCs w:val="12"/>
          <w:color w:val="auto"/>
        </w:rPr>
        <w:t>A portion of these 2020 RSU grants vested on February 14, 2022, February 14, 2024, and February 14, 2026. The number of RSUs reflected in the table includes dividend equivalents applied through December 31, 2025, which were reinvested as additional unvested RSUs that will vest based on the same vesting schedule as the RSUs to which they relate.</w:t>
      </w:r>
    </w:p>
    <w:p>
      <w:pPr>
        <w:spacing w:after="0" w:line="59" w:lineRule="exact"/>
        <w:rPr>
          <w:rFonts w:ascii="Arial" w:cs="Arial" w:eastAsia="Arial" w:hAnsi="Arial"/>
          <w:sz w:val="15"/>
          <w:szCs w:val="15"/>
          <w:color w:val="auto"/>
          <w:vertAlign w:val="superscript"/>
        </w:rPr>
      </w:pPr>
    </w:p>
    <w:p>
      <w:pPr>
        <w:ind w:left="200" w:right="380" w:hanging="192"/>
        <w:spacing w:after="0" w:line="246" w:lineRule="auto"/>
        <w:tabs>
          <w:tab w:leader="none" w:pos="191" w:val="left"/>
        </w:tabs>
        <w:numPr>
          <w:ilvl w:val="0"/>
          <w:numId w:val="191"/>
        </w:numPr>
        <w:rPr>
          <w:rFonts w:ascii="Arial" w:cs="Arial" w:eastAsia="Arial" w:hAnsi="Arial"/>
          <w:sz w:val="15"/>
          <w:szCs w:val="15"/>
          <w:color w:val="auto"/>
          <w:vertAlign w:val="superscript"/>
        </w:rPr>
      </w:pPr>
      <w:r>
        <w:rPr>
          <w:rFonts w:ascii="Arial" w:cs="Arial" w:eastAsia="Arial" w:hAnsi="Arial"/>
          <w:sz w:val="12"/>
          <w:szCs w:val="12"/>
          <w:color w:val="auto"/>
        </w:rPr>
        <w:t>This 2024 RSU grant will vest 100% on March 1, 2027. The number of RSUs reflected in the table includes dividend equivalents applied through December 31, 2025, which were reinvested as additional unvested RSUs that will vest based on the same vesting schedule as the RSUs to which they relate.</w:t>
      </w:r>
    </w:p>
    <w:p>
      <w:pPr>
        <w:spacing w:after="0" w:line="59" w:lineRule="exact"/>
        <w:rPr>
          <w:rFonts w:ascii="Arial" w:cs="Arial" w:eastAsia="Arial" w:hAnsi="Arial"/>
          <w:sz w:val="15"/>
          <w:szCs w:val="15"/>
          <w:color w:val="auto"/>
          <w:vertAlign w:val="superscript"/>
        </w:rPr>
      </w:pPr>
    </w:p>
    <w:p>
      <w:pPr>
        <w:jc w:val="both"/>
        <w:ind w:left="200" w:right="160" w:hanging="192"/>
        <w:spacing w:after="0" w:line="246" w:lineRule="auto"/>
        <w:tabs>
          <w:tab w:leader="none" w:pos="191" w:val="left"/>
        </w:tabs>
        <w:numPr>
          <w:ilvl w:val="0"/>
          <w:numId w:val="191"/>
        </w:numPr>
        <w:rPr>
          <w:rFonts w:ascii="Arial" w:cs="Arial" w:eastAsia="Arial" w:hAnsi="Arial"/>
          <w:sz w:val="15"/>
          <w:szCs w:val="15"/>
          <w:color w:val="auto"/>
          <w:vertAlign w:val="superscript"/>
        </w:rPr>
      </w:pPr>
      <w:r>
        <w:rPr>
          <w:rFonts w:ascii="Arial" w:cs="Arial" w:eastAsia="Arial" w:hAnsi="Arial"/>
          <w:sz w:val="12"/>
          <w:szCs w:val="12"/>
          <w:color w:val="auto"/>
        </w:rPr>
        <w:t>A portion of this 2023 RSU grant vested on August 1, 2025. The remaining RSUs will vest 49% on August 1, 2026 and 51% on August 1, 2027. The number of RSUs reflected in the table includes dividend equivalents applied through December 31, 2025, which were reinvested as additional unvested RSUs that will vest based on the same vesting schedule as the RSUs to which they relate.</w:t>
      </w:r>
    </w:p>
    <w:p>
      <w:pPr>
        <w:spacing w:after="0" w:line="46" w:lineRule="exact"/>
        <w:rPr>
          <w:rFonts w:ascii="Arial" w:cs="Arial" w:eastAsia="Arial" w:hAnsi="Arial"/>
          <w:sz w:val="15"/>
          <w:szCs w:val="15"/>
          <w:color w:val="auto"/>
          <w:vertAlign w:val="superscript"/>
        </w:rPr>
      </w:pPr>
    </w:p>
    <w:p>
      <w:pPr>
        <w:ind w:left="200" w:right="540" w:hanging="192"/>
        <w:spacing w:after="0" w:line="270" w:lineRule="auto"/>
        <w:tabs>
          <w:tab w:leader="none" w:pos="191" w:val="left"/>
        </w:tabs>
        <w:numPr>
          <w:ilvl w:val="0"/>
          <w:numId w:val="191"/>
        </w:numPr>
        <w:rPr>
          <w:rFonts w:ascii="Arial" w:cs="Arial" w:eastAsia="Arial" w:hAnsi="Arial"/>
          <w:sz w:val="15"/>
          <w:szCs w:val="15"/>
          <w:color w:val="auto"/>
          <w:vertAlign w:val="superscript"/>
        </w:rPr>
      </w:pPr>
      <w:r>
        <w:rPr>
          <w:rFonts w:ascii="Arial" w:cs="Arial" w:eastAsia="Arial" w:hAnsi="Arial"/>
          <w:sz w:val="12"/>
          <w:szCs w:val="12"/>
          <w:color w:val="auto"/>
        </w:rPr>
        <w:t>This 2023 RSU vested 100% on February 23, 2026. The number of RSUs reflected in the table includes dividend equivalents applied through December 31, 2025, which were reinvested as additional unvested RSUs that will vest based on the same vesting schedule as the RSUs to which they relate.</w:t>
      </w:r>
    </w:p>
    <w:p>
      <w:pPr>
        <w:spacing w:after="0" w:line="28" w:lineRule="exact"/>
        <w:rPr>
          <w:rFonts w:ascii="Arial" w:cs="Arial" w:eastAsia="Arial" w:hAnsi="Arial"/>
          <w:sz w:val="15"/>
          <w:szCs w:val="15"/>
          <w:color w:val="auto"/>
          <w:vertAlign w:val="superscript"/>
        </w:rPr>
      </w:pPr>
    </w:p>
    <w:p>
      <w:pPr>
        <w:ind w:left="200" w:right="160" w:hanging="192"/>
        <w:spacing w:after="0" w:line="246" w:lineRule="auto"/>
        <w:tabs>
          <w:tab w:leader="none" w:pos="191" w:val="left"/>
        </w:tabs>
        <w:numPr>
          <w:ilvl w:val="0"/>
          <w:numId w:val="191"/>
        </w:numPr>
        <w:rPr>
          <w:rFonts w:ascii="Arial" w:cs="Arial" w:eastAsia="Arial" w:hAnsi="Arial"/>
          <w:sz w:val="15"/>
          <w:szCs w:val="15"/>
          <w:color w:val="auto"/>
          <w:vertAlign w:val="superscript"/>
        </w:rPr>
      </w:pPr>
      <w:r>
        <w:rPr>
          <w:rFonts w:ascii="Arial" w:cs="Arial" w:eastAsia="Arial" w:hAnsi="Arial"/>
          <w:sz w:val="12"/>
          <w:szCs w:val="12"/>
          <w:color w:val="auto"/>
        </w:rPr>
        <w:t>A portion of these 2022 RSU grants vested on February 11, 2023 and February 11, 2025. The remaining RSUs will vest on February 11, 2027. The number of RSUs reflected in the table includes dividend equivalents applied through December 31, 2025, which were reinvested as additional unvested RSUs that will vest based on the same vesting schedule as the RSUs to which they relate.</w:t>
      </w:r>
    </w:p>
    <w:p>
      <w:pPr>
        <w:spacing w:after="0" w:line="200"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sz w:val="1"/>
          <w:szCs w:val="1"/>
          <w:color w:val="auto"/>
        </w:rPr>
        <w:drawing>
          <wp:inline distT="0" distB="0" distL="0" distR="0">
            <wp:extent cx="548640" cy="102870"/>
            <wp:effectExtent l="0" t="0" r="0" b="0"/>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2026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sectPr>
      </w:pPr>
    </w:p>
    <w:bookmarkStart w:id="103" w:name="page104"/>
    <w:bookmarkEnd w:id="103"/>
    <w:p>
      <w:pPr>
        <w:jc w:val="right"/>
        <w:spacing w:after="0"/>
        <w:rPr>
          <w:sz w:val="20"/>
          <w:szCs w:val="20"/>
          <w:color w:val="auto"/>
        </w:rPr>
      </w:pPr>
      <w:r>
        <w:rPr>
          <w:rFonts w:ascii="Arial" w:cs="Arial" w:eastAsia="Arial" w:hAnsi="Arial"/>
          <w:sz w:val="13"/>
          <w:szCs w:val="13"/>
          <w:b w:val="1"/>
          <w:bCs w:val="1"/>
          <w:color w:val="6D6E71"/>
        </w:rPr>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0" w:right="80" w:hanging="192"/>
        <w:spacing w:after="0" w:line="246" w:lineRule="auto"/>
        <w:tabs>
          <w:tab w:leader="none" w:pos="191" w:val="left"/>
        </w:tabs>
        <w:numPr>
          <w:ilvl w:val="0"/>
          <w:numId w:val="192"/>
        </w:numPr>
        <w:rPr>
          <w:rFonts w:ascii="Arial" w:cs="Arial" w:eastAsia="Arial" w:hAnsi="Arial"/>
          <w:sz w:val="15"/>
          <w:szCs w:val="15"/>
          <w:color w:val="auto"/>
          <w:vertAlign w:val="superscript"/>
        </w:rPr>
      </w:pPr>
      <w:r>
        <w:rPr>
          <w:rFonts w:ascii="Arial" w:cs="Arial" w:eastAsia="Arial" w:hAnsi="Arial"/>
          <w:sz w:val="12"/>
          <w:szCs w:val="12"/>
          <w:color w:val="auto"/>
        </w:rPr>
        <w:t>A portion of this 2021 RSU grant vested on July 29, 2023 and July 29, 2025. The remaining RSUs will vest on July 29, 2027. The number of RSUs reflected in the table includes dividend equivalents applied through December 31, 2025, which were reinvested as additional RSUs that will vest based on the same vesting schedule as the RSUs to which they relate.</w:t>
      </w:r>
    </w:p>
    <w:p>
      <w:pPr>
        <w:spacing w:after="0" w:line="59" w:lineRule="exact"/>
        <w:rPr>
          <w:rFonts w:ascii="Arial" w:cs="Arial" w:eastAsia="Arial" w:hAnsi="Arial"/>
          <w:sz w:val="15"/>
          <w:szCs w:val="15"/>
          <w:color w:val="auto"/>
          <w:vertAlign w:val="superscript"/>
        </w:rPr>
      </w:pPr>
    </w:p>
    <w:p>
      <w:pPr>
        <w:ind w:left="200" w:right="80" w:hanging="192"/>
        <w:spacing w:after="0" w:line="246" w:lineRule="auto"/>
        <w:tabs>
          <w:tab w:leader="none" w:pos="191" w:val="left"/>
        </w:tabs>
        <w:numPr>
          <w:ilvl w:val="0"/>
          <w:numId w:val="192"/>
        </w:numPr>
        <w:rPr>
          <w:rFonts w:ascii="Arial" w:cs="Arial" w:eastAsia="Arial" w:hAnsi="Arial"/>
          <w:sz w:val="15"/>
          <w:szCs w:val="15"/>
          <w:color w:val="auto"/>
          <w:vertAlign w:val="superscript"/>
        </w:rPr>
      </w:pPr>
      <w:r>
        <w:rPr>
          <w:rFonts w:ascii="Arial" w:cs="Arial" w:eastAsia="Arial" w:hAnsi="Arial"/>
          <w:sz w:val="12"/>
          <w:szCs w:val="12"/>
          <w:color w:val="auto"/>
        </w:rPr>
        <w:t>A portion of this 2020 RSU grant vested on July 30, 2022 and July 30, 2024. The remaining RSUs will vest on July 30, 2026. The number of RSUs reflected in the table includes dividend equivalents applied through December 31, 2025, which were reinvested as additional RSUs that will vest based on the same vesting schedule as the RSUs to which they relate.</w:t>
      </w:r>
    </w:p>
    <w:p>
      <w:pPr>
        <w:spacing w:after="0" w:line="46" w:lineRule="exact"/>
        <w:rPr>
          <w:rFonts w:ascii="Arial" w:cs="Arial" w:eastAsia="Arial" w:hAnsi="Arial"/>
          <w:sz w:val="15"/>
          <w:szCs w:val="15"/>
          <w:color w:val="auto"/>
          <w:vertAlign w:val="superscript"/>
        </w:rPr>
      </w:pPr>
    </w:p>
    <w:p>
      <w:pPr>
        <w:ind w:left="200" w:right="600" w:hanging="192"/>
        <w:spacing w:after="0" w:line="270" w:lineRule="auto"/>
        <w:tabs>
          <w:tab w:leader="none" w:pos="191" w:val="left"/>
        </w:tabs>
        <w:numPr>
          <w:ilvl w:val="0"/>
          <w:numId w:val="192"/>
        </w:numPr>
        <w:rPr>
          <w:rFonts w:ascii="Arial" w:cs="Arial" w:eastAsia="Arial" w:hAnsi="Arial"/>
          <w:sz w:val="15"/>
          <w:szCs w:val="15"/>
          <w:color w:val="auto"/>
          <w:vertAlign w:val="superscript"/>
        </w:rPr>
      </w:pPr>
      <w:r>
        <w:rPr>
          <w:rFonts w:ascii="Arial" w:cs="Arial" w:eastAsia="Arial" w:hAnsi="Arial"/>
          <w:sz w:val="12"/>
          <w:szCs w:val="12"/>
          <w:color w:val="auto"/>
        </w:rPr>
        <w:t>2025 RSU grants will vest 33% on each of July 14, 2027 and July 14, 2028, with the remaining RSUs vesting on July 14, 2029. The number of RSUs reflected in the table includes dividend equivalents applied through December 31, 2025, which were reinvested as additional unvested RSUs that will vest based on the same vesting schedule as the RSUs to which they relate.</w:t>
      </w:r>
    </w:p>
    <w:p>
      <w:pPr>
        <w:spacing w:after="0" w:line="28" w:lineRule="exact"/>
        <w:rPr>
          <w:rFonts w:ascii="Arial" w:cs="Arial" w:eastAsia="Arial" w:hAnsi="Arial"/>
          <w:sz w:val="15"/>
          <w:szCs w:val="15"/>
          <w:color w:val="auto"/>
          <w:vertAlign w:val="superscript"/>
        </w:rPr>
      </w:pPr>
    </w:p>
    <w:p>
      <w:pPr>
        <w:ind w:left="200" w:right="180" w:hanging="192"/>
        <w:spacing w:after="0" w:line="246" w:lineRule="auto"/>
        <w:tabs>
          <w:tab w:leader="none" w:pos="191" w:val="left"/>
        </w:tabs>
        <w:numPr>
          <w:ilvl w:val="0"/>
          <w:numId w:val="192"/>
        </w:numPr>
        <w:rPr>
          <w:rFonts w:ascii="Arial" w:cs="Arial" w:eastAsia="Arial" w:hAnsi="Arial"/>
          <w:sz w:val="15"/>
          <w:szCs w:val="15"/>
          <w:color w:val="auto"/>
          <w:vertAlign w:val="superscript"/>
        </w:rPr>
      </w:pPr>
      <w:r>
        <w:rPr>
          <w:rFonts w:ascii="Arial" w:cs="Arial" w:eastAsia="Arial" w:hAnsi="Arial"/>
          <w:sz w:val="12"/>
          <w:szCs w:val="12"/>
          <w:color w:val="auto"/>
        </w:rPr>
        <w:t>Mr. Masso received a sign-on RSU award as an outstanding equity buyout on July 14, 2025. This award will vest 33% on each of July 14, 2026 and July 14, 2027, with the remaining RSUs vesting on July 14, 2028.</w:t>
      </w:r>
    </w:p>
    <w:p>
      <w:pPr>
        <w:spacing w:after="0" w:line="41" w:lineRule="exact"/>
        <w:rPr>
          <w:rFonts w:ascii="Arial" w:cs="Arial" w:eastAsia="Arial" w:hAnsi="Arial"/>
          <w:sz w:val="15"/>
          <w:szCs w:val="15"/>
          <w:color w:val="auto"/>
          <w:vertAlign w:val="superscript"/>
        </w:rPr>
      </w:pPr>
    </w:p>
    <w:p>
      <w:pPr>
        <w:ind w:left="200" w:hanging="192"/>
        <w:spacing w:after="0"/>
        <w:tabs>
          <w:tab w:leader="none" w:pos="200" w:val="left"/>
        </w:tabs>
        <w:numPr>
          <w:ilvl w:val="0"/>
          <w:numId w:val="192"/>
        </w:numPr>
        <w:rPr>
          <w:rFonts w:ascii="Arial" w:cs="Arial" w:eastAsia="Arial" w:hAnsi="Arial"/>
          <w:sz w:val="16"/>
          <w:szCs w:val="16"/>
          <w:color w:val="auto"/>
          <w:vertAlign w:val="superscript"/>
        </w:rPr>
      </w:pPr>
      <w:r>
        <w:rPr>
          <w:rFonts w:ascii="Arial" w:cs="Arial" w:eastAsia="Arial" w:hAnsi="Arial"/>
          <w:sz w:val="13"/>
          <w:szCs w:val="13"/>
          <w:color w:val="auto"/>
        </w:rPr>
        <w:t>Mr. Hammoud received a one-time RSU award on December 17, 2025 that will vest 100% on December 17, 2028.</w:t>
      </w:r>
    </w:p>
    <w:p>
      <w:pPr>
        <w:spacing w:after="0" w:line="56" w:lineRule="exact"/>
        <w:rPr>
          <w:rFonts w:ascii="Arial" w:cs="Arial" w:eastAsia="Arial" w:hAnsi="Arial"/>
          <w:sz w:val="16"/>
          <w:szCs w:val="16"/>
          <w:color w:val="auto"/>
          <w:vertAlign w:val="superscript"/>
        </w:rPr>
      </w:pPr>
    </w:p>
    <w:p>
      <w:pPr>
        <w:ind w:left="200" w:hanging="192"/>
        <w:spacing w:after="0" w:line="207" w:lineRule="auto"/>
        <w:tabs>
          <w:tab w:leader="none" w:pos="200" w:val="left"/>
        </w:tabs>
        <w:numPr>
          <w:ilvl w:val="0"/>
          <w:numId w:val="192"/>
        </w:numPr>
        <w:rPr>
          <w:rFonts w:ascii="Arial" w:cs="Arial" w:eastAsia="Arial" w:hAnsi="Arial"/>
          <w:sz w:val="16"/>
          <w:szCs w:val="16"/>
          <w:color w:val="auto"/>
          <w:vertAlign w:val="superscript"/>
        </w:rPr>
      </w:pPr>
      <w:r>
        <w:rPr>
          <w:rFonts w:ascii="Arial" w:cs="Arial" w:eastAsia="Arial" w:hAnsi="Arial"/>
          <w:sz w:val="13"/>
          <w:szCs w:val="13"/>
          <w:color w:val="auto"/>
        </w:rPr>
        <w:t>A portion of this 2023 RSU grant vested on April 24, 2025. The remaining RSUs will vest 49% on April 24, 2026 and 51% on April 24, 2027.</w:t>
      </w:r>
    </w:p>
    <w:p>
      <w:pPr>
        <w:spacing w:after="0" w:line="57" w:lineRule="exact"/>
        <w:rPr>
          <w:rFonts w:ascii="Arial" w:cs="Arial" w:eastAsia="Arial" w:hAnsi="Arial"/>
          <w:sz w:val="16"/>
          <w:szCs w:val="16"/>
          <w:color w:val="auto"/>
          <w:vertAlign w:val="superscript"/>
        </w:rPr>
      </w:pPr>
    </w:p>
    <w:p>
      <w:pPr>
        <w:ind w:left="200" w:hanging="192"/>
        <w:spacing w:after="0" w:line="225" w:lineRule="auto"/>
        <w:tabs>
          <w:tab w:leader="none" w:pos="200" w:val="left"/>
        </w:tabs>
        <w:numPr>
          <w:ilvl w:val="0"/>
          <w:numId w:val="192"/>
        </w:numPr>
        <w:rPr>
          <w:rFonts w:ascii="Arial" w:cs="Arial" w:eastAsia="Arial" w:hAnsi="Arial"/>
          <w:sz w:val="16"/>
          <w:szCs w:val="16"/>
          <w:color w:val="auto"/>
          <w:vertAlign w:val="superscript"/>
        </w:rPr>
      </w:pPr>
      <w:r>
        <w:rPr>
          <w:rFonts w:ascii="Arial" w:cs="Arial" w:eastAsia="Arial" w:hAnsi="Arial"/>
          <w:sz w:val="13"/>
          <w:szCs w:val="13"/>
          <w:color w:val="auto"/>
        </w:rPr>
        <w:t>A portion of this 2022 RSU grant vested on July 28, 2024 and July 28, 2025 . The remaining RSUs will vest on July 28, 2026.</w:t>
      </w:r>
    </w:p>
    <w:p>
      <w:pPr>
        <w:spacing w:after="0" w:line="57" w:lineRule="exact"/>
        <w:rPr>
          <w:rFonts w:ascii="Arial" w:cs="Arial" w:eastAsia="Arial" w:hAnsi="Arial"/>
          <w:sz w:val="16"/>
          <w:szCs w:val="16"/>
          <w:color w:val="auto"/>
          <w:vertAlign w:val="superscript"/>
        </w:rPr>
      </w:pPr>
    </w:p>
    <w:p>
      <w:pPr>
        <w:ind w:left="200" w:hanging="192"/>
        <w:spacing w:after="0" w:line="207" w:lineRule="auto"/>
        <w:tabs>
          <w:tab w:leader="none" w:pos="200" w:val="left"/>
        </w:tabs>
        <w:numPr>
          <w:ilvl w:val="0"/>
          <w:numId w:val="192"/>
        </w:numPr>
        <w:rPr>
          <w:rFonts w:ascii="Arial" w:cs="Arial" w:eastAsia="Arial" w:hAnsi="Arial"/>
          <w:sz w:val="16"/>
          <w:szCs w:val="16"/>
          <w:color w:val="auto"/>
          <w:vertAlign w:val="superscript"/>
        </w:rPr>
      </w:pPr>
      <w:r>
        <w:rPr>
          <w:rFonts w:ascii="Arial" w:cs="Arial" w:eastAsia="Arial" w:hAnsi="Arial"/>
          <w:sz w:val="13"/>
          <w:szCs w:val="13"/>
          <w:color w:val="auto"/>
        </w:rPr>
        <w:t>A portion of this 2022 RSU grant vested on October 3, 2024. The remaining RSUs will vest 49% on October 3, 2026 and 51% October 3, 2028.</w:t>
      </w:r>
    </w:p>
    <w:p>
      <w:pPr>
        <w:spacing w:after="0" w:line="23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OPTION EXERCISES AND STOCK VESTED — FISCAL YEAR 2025</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6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Arial" w:cs="Arial" w:eastAsia="Arial" w:hAnsi="Arial"/>
                <w:sz w:val="14"/>
                <w:szCs w:val="14"/>
                <w:b w:val="1"/>
                <w:bCs w:val="1"/>
                <w:color w:val="auto"/>
              </w:rPr>
              <w:t>Option Awards</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Arial" w:cs="Arial" w:eastAsia="Arial" w:hAnsi="Arial"/>
                <w:sz w:val="14"/>
                <w:szCs w:val="14"/>
                <w:b w:val="1"/>
                <w:bCs w:val="1"/>
                <w:color w:val="auto"/>
              </w:rPr>
              <w:t>Stock Awards</w:t>
            </w:r>
          </w:p>
        </w:tc>
        <w:tc>
          <w:tcPr>
            <w:tcW w:w="1060" w:type="dxa"/>
            <w:vAlign w:val="bottom"/>
          </w:tcPr>
          <w:p>
            <w:pPr>
              <w:spacing w:after="0"/>
              <w:rPr>
                <w:sz w:val="17"/>
                <w:szCs w:val="17"/>
                <w:color w:val="auto"/>
              </w:rPr>
            </w:pPr>
          </w:p>
        </w:tc>
      </w:tr>
      <w:tr>
        <w:trPr>
          <w:trHeight w:val="124"/>
        </w:trPr>
        <w:tc>
          <w:tcPr>
            <w:tcW w:w="4660" w:type="dxa"/>
            <w:vAlign w:val="bottom"/>
          </w:tcPr>
          <w:p>
            <w:pPr>
              <w:spacing w:after="0"/>
              <w:rPr>
                <w:sz w:val="10"/>
                <w:szCs w:val="10"/>
                <w:color w:val="auto"/>
              </w:rPr>
            </w:pPr>
          </w:p>
        </w:tc>
        <w:tc>
          <w:tcPr>
            <w:tcW w:w="2120" w:type="dxa"/>
            <w:vAlign w:val="bottom"/>
            <w:tcBorders>
              <w:bottom w:val="single" w:sz="8" w:color="D7282F"/>
            </w:tcBorders>
          </w:tcPr>
          <w:p>
            <w:pPr>
              <w:spacing w:after="0"/>
              <w:rPr>
                <w:sz w:val="10"/>
                <w:szCs w:val="10"/>
                <w:color w:val="auto"/>
              </w:rPr>
            </w:pPr>
          </w:p>
        </w:tc>
        <w:tc>
          <w:tcPr>
            <w:tcW w:w="120" w:type="dxa"/>
            <w:vAlign w:val="bottom"/>
            <w:tcBorders>
              <w:bottom w:val="single" w:sz="8" w:color="D7282F"/>
            </w:tcBorders>
          </w:tcPr>
          <w:p>
            <w:pPr>
              <w:spacing w:after="0"/>
              <w:rPr>
                <w:sz w:val="10"/>
                <w:szCs w:val="10"/>
                <w:color w:val="auto"/>
              </w:rPr>
            </w:pPr>
          </w:p>
        </w:tc>
        <w:tc>
          <w:tcPr>
            <w:tcW w:w="960" w:type="dxa"/>
            <w:vAlign w:val="bottom"/>
            <w:tcBorders>
              <w:bottom w:val="single" w:sz="8" w:color="D7282F"/>
            </w:tcBorders>
          </w:tcPr>
          <w:p>
            <w:pPr>
              <w:spacing w:after="0"/>
              <w:rPr>
                <w:sz w:val="10"/>
                <w:szCs w:val="10"/>
                <w:color w:val="auto"/>
              </w:rPr>
            </w:pPr>
          </w:p>
        </w:tc>
        <w:tc>
          <w:tcPr>
            <w:tcW w:w="180" w:type="dxa"/>
            <w:vAlign w:val="bottom"/>
          </w:tcPr>
          <w:p>
            <w:pPr>
              <w:spacing w:after="0"/>
              <w:rPr>
                <w:sz w:val="10"/>
                <w:szCs w:val="10"/>
                <w:color w:val="auto"/>
              </w:rPr>
            </w:pPr>
          </w:p>
        </w:tc>
        <w:tc>
          <w:tcPr>
            <w:tcW w:w="2120" w:type="dxa"/>
            <w:vAlign w:val="bottom"/>
            <w:tcBorders>
              <w:bottom w:val="single" w:sz="8" w:color="D7282F"/>
            </w:tcBorders>
          </w:tcPr>
          <w:p>
            <w:pPr>
              <w:spacing w:after="0"/>
              <w:rPr>
                <w:sz w:val="10"/>
                <w:szCs w:val="10"/>
                <w:color w:val="auto"/>
              </w:rPr>
            </w:pPr>
          </w:p>
        </w:tc>
        <w:tc>
          <w:tcPr>
            <w:tcW w:w="1060" w:type="dxa"/>
            <w:vAlign w:val="bottom"/>
            <w:tcBorders>
              <w:bottom w:val="single" w:sz="8" w:color="D7282F"/>
            </w:tcBorders>
          </w:tcPr>
          <w:p>
            <w:pPr>
              <w:spacing w:after="0"/>
              <w:rPr>
                <w:sz w:val="10"/>
                <w:szCs w:val="10"/>
                <w:color w:val="auto"/>
              </w:rPr>
            </w:pPr>
          </w:p>
        </w:tc>
      </w:tr>
      <w:tr>
        <w:trPr>
          <w:trHeight w:val="173"/>
        </w:trPr>
        <w:tc>
          <w:tcPr>
            <w:tcW w:w="4660" w:type="dxa"/>
            <w:vAlign w:val="bottom"/>
          </w:tcPr>
          <w:p>
            <w:pPr>
              <w:spacing w:after="0"/>
              <w:rPr>
                <w:sz w:val="15"/>
                <w:szCs w:val="15"/>
                <w:color w:val="auto"/>
              </w:rPr>
            </w:pPr>
          </w:p>
        </w:tc>
        <w:tc>
          <w:tcPr>
            <w:tcW w:w="2120" w:type="dxa"/>
            <w:vAlign w:val="bottom"/>
          </w:tcPr>
          <w:p>
            <w:pPr>
              <w:jc w:val="right"/>
              <w:ind w:right="372"/>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20" w:type="dxa"/>
            <w:vAlign w:val="bottom"/>
          </w:tcPr>
          <w:p>
            <w:pPr>
              <w:jc w:val="right"/>
              <w:ind w:right="397"/>
              <w:spacing w:after="0"/>
              <w:rPr>
                <w:sz w:val="20"/>
                <w:szCs w:val="20"/>
                <w:color w:val="auto"/>
              </w:rPr>
            </w:pPr>
            <w:r>
              <w:rPr>
                <w:rFonts w:ascii="Arial" w:cs="Arial" w:eastAsia="Arial" w:hAnsi="Arial"/>
                <w:sz w:val="14"/>
                <w:szCs w:val="14"/>
                <w:b w:val="1"/>
                <w:bCs w:val="1"/>
                <w:color w:val="auto"/>
              </w:rPr>
              <w:t>Number of Shares</w:t>
            </w:r>
          </w:p>
        </w:tc>
        <w:tc>
          <w:tcPr>
            <w:tcW w:w="1060" w:type="dxa"/>
            <w:vAlign w:val="bottom"/>
          </w:tcPr>
          <w:p>
            <w:pPr>
              <w:spacing w:after="0"/>
              <w:rPr>
                <w:sz w:val="15"/>
                <w:szCs w:val="15"/>
                <w:color w:val="auto"/>
              </w:rPr>
            </w:pPr>
          </w:p>
        </w:tc>
      </w:tr>
      <w:tr>
        <w:trPr>
          <w:trHeight w:val="162"/>
        </w:trPr>
        <w:tc>
          <w:tcPr>
            <w:tcW w:w="4660" w:type="dxa"/>
            <w:vAlign w:val="bottom"/>
          </w:tcPr>
          <w:p>
            <w:pPr>
              <w:spacing w:after="0"/>
              <w:rPr>
                <w:sz w:val="14"/>
                <w:szCs w:val="14"/>
                <w:color w:val="auto"/>
              </w:rPr>
            </w:pPr>
          </w:p>
        </w:tc>
        <w:tc>
          <w:tcPr>
            <w:tcW w:w="2120" w:type="dxa"/>
            <w:vAlign w:val="bottom"/>
          </w:tcPr>
          <w:p>
            <w:pPr>
              <w:jc w:val="right"/>
              <w:ind w:right="372"/>
              <w:spacing w:after="0"/>
              <w:rPr>
                <w:sz w:val="20"/>
                <w:szCs w:val="20"/>
                <w:color w:val="auto"/>
              </w:rPr>
            </w:pPr>
            <w:r>
              <w:rPr>
                <w:rFonts w:ascii="Arial" w:cs="Arial" w:eastAsia="Arial" w:hAnsi="Arial"/>
                <w:sz w:val="14"/>
                <w:szCs w:val="14"/>
                <w:b w:val="1"/>
                <w:bCs w:val="1"/>
                <w:color w:val="auto"/>
              </w:rPr>
              <w:t>Acquired on</w:t>
            </w:r>
          </w:p>
        </w:tc>
        <w:tc>
          <w:tcPr>
            <w:tcW w:w="12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Value Realized</w:t>
            </w:r>
          </w:p>
        </w:tc>
        <w:tc>
          <w:tcPr>
            <w:tcW w:w="2120" w:type="dxa"/>
            <w:vAlign w:val="bottom"/>
          </w:tcPr>
          <w:p>
            <w:pPr>
              <w:jc w:val="right"/>
              <w:ind w:right="397"/>
              <w:spacing w:after="0"/>
              <w:rPr>
                <w:sz w:val="20"/>
                <w:szCs w:val="20"/>
                <w:color w:val="auto"/>
              </w:rPr>
            </w:pPr>
            <w:r>
              <w:rPr>
                <w:rFonts w:ascii="Arial" w:cs="Arial" w:eastAsia="Arial" w:hAnsi="Arial"/>
                <w:sz w:val="14"/>
                <w:szCs w:val="14"/>
                <w:b w:val="1"/>
                <w:bCs w:val="1"/>
                <w:color w:val="auto"/>
              </w:rPr>
              <w:t>Acquired on</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Value Realized</w:t>
            </w:r>
          </w:p>
        </w:tc>
      </w:tr>
      <w:tr>
        <w:trPr>
          <w:trHeight w:val="225"/>
        </w:trPr>
        <w:tc>
          <w:tcPr>
            <w:tcW w:w="46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Named Executive Officer</w:t>
            </w:r>
          </w:p>
        </w:tc>
        <w:tc>
          <w:tcPr>
            <w:tcW w:w="2120" w:type="dxa"/>
            <w:vAlign w:val="bottom"/>
            <w:tcBorders>
              <w:bottom w:val="single" w:sz="8" w:color="D7282F"/>
            </w:tcBorders>
          </w:tcPr>
          <w:p>
            <w:pPr>
              <w:jc w:val="right"/>
              <w:ind w:right="372"/>
              <w:spacing w:after="0"/>
              <w:rPr>
                <w:sz w:val="20"/>
                <w:szCs w:val="20"/>
                <w:color w:val="auto"/>
              </w:rPr>
            </w:pPr>
            <w:r>
              <w:rPr>
                <w:rFonts w:ascii="Arial" w:cs="Arial" w:eastAsia="Arial" w:hAnsi="Arial"/>
                <w:sz w:val="14"/>
                <w:szCs w:val="14"/>
                <w:b w:val="1"/>
                <w:bCs w:val="1"/>
                <w:color w:val="auto"/>
              </w:rPr>
              <w:t>Exercise</w:t>
            </w:r>
            <w:r>
              <w:rPr>
                <w:rFonts w:ascii="Arial" w:cs="Arial" w:eastAsia="Arial" w:hAnsi="Arial"/>
                <w:sz w:val="18"/>
                <w:szCs w:val="18"/>
                <w:b w:val="1"/>
                <w:bCs w:val="1"/>
                <w:color w:val="auto"/>
                <w:vertAlign w:val="superscript"/>
              </w:rPr>
              <w:t>(1)</w:t>
            </w:r>
          </w:p>
        </w:tc>
        <w:tc>
          <w:tcPr>
            <w:tcW w:w="120" w:type="dxa"/>
            <w:vAlign w:val="bottom"/>
            <w:tcBorders>
              <w:bottom w:val="single" w:sz="8" w:color="D7282F"/>
            </w:tcBorders>
          </w:tcPr>
          <w:p>
            <w:pPr>
              <w:spacing w:after="0"/>
              <w:rPr>
                <w:sz w:val="19"/>
                <w:szCs w:val="19"/>
                <w:color w:val="auto"/>
              </w:rPr>
            </w:pPr>
          </w:p>
        </w:tc>
        <w:tc>
          <w:tcPr>
            <w:tcW w:w="1140" w:type="dxa"/>
            <w:vAlign w:val="bottom"/>
            <w:tcBorders>
              <w:bottom w:val="single" w:sz="8" w:color="D7282F"/>
            </w:tcBorders>
            <w:gridSpan w:val="2"/>
          </w:tcPr>
          <w:p>
            <w:pPr>
              <w:jc w:val="right"/>
              <w:ind w:right="200"/>
              <w:spacing w:after="0"/>
              <w:rPr>
                <w:sz w:val="20"/>
                <w:szCs w:val="20"/>
                <w:color w:val="auto"/>
              </w:rPr>
            </w:pPr>
            <w:r>
              <w:rPr>
                <w:rFonts w:ascii="Arial" w:cs="Arial" w:eastAsia="Arial" w:hAnsi="Arial"/>
                <w:sz w:val="14"/>
                <w:szCs w:val="14"/>
                <w:b w:val="1"/>
                <w:bCs w:val="1"/>
                <w:color w:val="auto"/>
              </w:rPr>
              <w:t>on Exercise</w:t>
            </w:r>
            <w:r>
              <w:rPr>
                <w:rFonts w:ascii="Arial" w:cs="Arial" w:eastAsia="Arial" w:hAnsi="Arial"/>
                <w:sz w:val="9"/>
                <w:szCs w:val="9"/>
                <w:b w:val="1"/>
                <w:bCs w:val="1"/>
                <w:color w:val="auto"/>
              </w:rPr>
              <w:t>(2)</w:t>
            </w:r>
          </w:p>
        </w:tc>
        <w:tc>
          <w:tcPr>
            <w:tcW w:w="2120" w:type="dxa"/>
            <w:vAlign w:val="bottom"/>
            <w:tcBorders>
              <w:bottom w:val="single" w:sz="8" w:color="D7282F"/>
            </w:tcBorders>
          </w:tcPr>
          <w:p>
            <w:pPr>
              <w:jc w:val="right"/>
              <w:ind w:right="397"/>
              <w:spacing w:after="0"/>
              <w:rPr>
                <w:sz w:val="20"/>
                <w:szCs w:val="20"/>
                <w:color w:val="auto"/>
              </w:rPr>
            </w:pPr>
            <w:r>
              <w:rPr>
                <w:rFonts w:ascii="Arial" w:cs="Arial" w:eastAsia="Arial" w:hAnsi="Arial"/>
                <w:sz w:val="14"/>
                <w:szCs w:val="14"/>
                <w:b w:val="1"/>
                <w:bCs w:val="1"/>
                <w:color w:val="auto"/>
              </w:rPr>
              <w:t>Vesting</w:t>
            </w:r>
            <w:r>
              <w:rPr>
                <w:rFonts w:ascii="Arial" w:cs="Arial" w:eastAsia="Arial" w:hAnsi="Arial"/>
                <w:sz w:val="18"/>
                <w:szCs w:val="18"/>
                <w:b w:val="1"/>
                <w:bCs w:val="1"/>
                <w:color w:val="auto"/>
                <w:vertAlign w:val="superscript"/>
              </w:rPr>
              <w:t>(3)</w:t>
            </w:r>
          </w:p>
        </w:tc>
        <w:tc>
          <w:tcPr>
            <w:tcW w:w="10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on Vesting</w:t>
            </w:r>
            <w:r>
              <w:rPr>
                <w:rFonts w:ascii="Arial" w:cs="Arial" w:eastAsia="Arial" w:hAnsi="Arial"/>
                <w:sz w:val="9"/>
                <w:szCs w:val="9"/>
                <w:b w:val="1"/>
                <w:bCs w:val="1"/>
                <w:color w:val="auto"/>
              </w:rPr>
              <w:t>(4)</w:t>
            </w:r>
          </w:p>
        </w:tc>
      </w:tr>
      <w:tr>
        <w:trPr>
          <w:trHeight w:val="118"/>
        </w:trPr>
        <w:tc>
          <w:tcPr>
            <w:tcW w:w="466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120" w:type="dxa"/>
            <w:vAlign w:val="bottom"/>
          </w:tcPr>
          <w:p>
            <w:pPr>
              <w:ind w:left="1280"/>
              <w:spacing w:after="0"/>
              <w:rPr>
                <w:sz w:val="20"/>
                <w:szCs w:val="20"/>
                <w:color w:val="auto"/>
              </w:rPr>
            </w:pPr>
            <w:r>
              <w:rPr>
                <w:rFonts w:ascii="Arial" w:cs="Arial" w:eastAsia="Arial" w:hAnsi="Arial"/>
                <w:sz w:val="9"/>
                <w:szCs w:val="9"/>
                <w:color w:val="auto"/>
              </w:rPr>
              <w:t>(5)</w:t>
            </w:r>
          </w:p>
        </w:tc>
        <w:tc>
          <w:tcPr>
            <w:tcW w:w="1060" w:type="dxa"/>
            <w:vAlign w:val="bottom"/>
          </w:tcPr>
          <w:p>
            <w:pPr>
              <w:spacing w:after="0"/>
              <w:rPr>
                <w:sz w:val="10"/>
                <w:szCs w:val="10"/>
                <w:color w:val="auto"/>
              </w:rPr>
            </w:pPr>
          </w:p>
        </w:tc>
      </w:tr>
      <w:tr>
        <w:trPr>
          <w:trHeight w:val="197"/>
        </w:trPr>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Mr. Kapur</w:t>
            </w:r>
          </w:p>
        </w:tc>
        <w:tc>
          <w:tcPr>
            <w:tcW w:w="2120" w:type="dxa"/>
            <w:vAlign w:val="bottom"/>
          </w:tcPr>
          <w:p>
            <w:pPr>
              <w:jc w:val="right"/>
              <w:ind w:right="772"/>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120" w:type="dxa"/>
            <w:vAlign w:val="bottom"/>
          </w:tcPr>
          <w:p>
            <w:pPr>
              <w:jc w:val="right"/>
              <w:ind w:right="857"/>
              <w:spacing w:after="0"/>
              <w:rPr>
                <w:sz w:val="20"/>
                <w:szCs w:val="20"/>
                <w:color w:val="auto"/>
              </w:rPr>
            </w:pPr>
            <w:r>
              <w:rPr>
                <w:rFonts w:ascii="Arial" w:cs="Arial" w:eastAsia="Arial" w:hAnsi="Arial"/>
                <w:sz w:val="14"/>
                <w:szCs w:val="14"/>
                <w:color w:val="auto"/>
              </w:rPr>
              <w:t>25,267</w:t>
            </w:r>
          </w:p>
        </w:tc>
        <w:tc>
          <w:tcPr>
            <w:tcW w:w="1060" w:type="dxa"/>
            <w:vAlign w:val="bottom"/>
          </w:tcPr>
          <w:p>
            <w:pPr>
              <w:jc w:val="right"/>
              <w:spacing w:after="0"/>
              <w:rPr>
                <w:sz w:val="20"/>
                <w:szCs w:val="20"/>
                <w:color w:val="auto"/>
              </w:rPr>
            </w:pPr>
            <w:r>
              <w:rPr>
                <w:rFonts w:ascii="Arial" w:cs="Arial" w:eastAsia="Arial" w:hAnsi="Arial"/>
                <w:sz w:val="14"/>
                <w:szCs w:val="14"/>
                <w:color w:val="auto"/>
              </w:rPr>
              <w:t>$   5,440,687</w:t>
            </w:r>
          </w:p>
        </w:tc>
      </w:tr>
      <w:tr>
        <w:trPr>
          <w:trHeight w:val="124"/>
        </w:trPr>
        <w:tc>
          <w:tcPr>
            <w:tcW w:w="4660" w:type="dxa"/>
            <w:vAlign w:val="bottom"/>
            <w:tcBorders>
              <w:bottom w:val="single" w:sz="8" w:color="939598"/>
            </w:tcBorders>
          </w:tcPr>
          <w:p>
            <w:pPr>
              <w:spacing w:after="0"/>
              <w:rPr>
                <w:sz w:val="10"/>
                <w:szCs w:val="10"/>
                <w:color w:val="auto"/>
              </w:rPr>
            </w:pPr>
          </w:p>
        </w:tc>
        <w:tc>
          <w:tcPr>
            <w:tcW w:w="2120" w:type="dxa"/>
            <w:vAlign w:val="bottom"/>
            <w:tcBorders>
              <w:bottom w:val="single" w:sz="8" w:color="939598"/>
            </w:tcBorders>
          </w:tcPr>
          <w:p>
            <w:pPr>
              <w:spacing w:after="0"/>
              <w:rPr>
                <w:sz w:val="10"/>
                <w:szCs w:val="10"/>
                <w:color w:val="auto"/>
              </w:rPr>
            </w:pPr>
          </w:p>
        </w:tc>
        <w:tc>
          <w:tcPr>
            <w:tcW w:w="120" w:type="dxa"/>
            <w:vAlign w:val="bottom"/>
            <w:tcBorders>
              <w:bottom w:val="single" w:sz="8" w:color="939598"/>
            </w:tcBorders>
          </w:tcPr>
          <w:p>
            <w:pPr>
              <w:spacing w:after="0"/>
              <w:rPr>
                <w:sz w:val="10"/>
                <w:szCs w:val="10"/>
                <w:color w:val="auto"/>
              </w:rPr>
            </w:pPr>
          </w:p>
        </w:tc>
        <w:tc>
          <w:tcPr>
            <w:tcW w:w="960" w:type="dxa"/>
            <w:vAlign w:val="bottom"/>
            <w:tcBorders>
              <w:bottom w:val="single" w:sz="8" w:color="939598"/>
            </w:tcBorders>
          </w:tcPr>
          <w:p>
            <w:pPr>
              <w:spacing w:after="0"/>
              <w:rPr>
                <w:sz w:val="10"/>
                <w:szCs w:val="10"/>
                <w:color w:val="auto"/>
              </w:rPr>
            </w:pPr>
          </w:p>
        </w:tc>
        <w:tc>
          <w:tcPr>
            <w:tcW w:w="180" w:type="dxa"/>
            <w:vAlign w:val="bottom"/>
            <w:tcBorders>
              <w:bottom w:val="single" w:sz="8" w:color="939598"/>
            </w:tcBorders>
          </w:tcPr>
          <w:p>
            <w:pPr>
              <w:spacing w:after="0"/>
              <w:rPr>
                <w:sz w:val="10"/>
                <w:szCs w:val="10"/>
                <w:color w:val="auto"/>
              </w:rPr>
            </w:pPr>
          </w:p>
        </w:tc>
        <w:tc>
          <w:tcPr>
            <w:tcW w:w="2120" w:type="dxa"/>
            <w:vAlign w:val="bottom"/>
            <w:tcBorders>
              <w:bottom w:val="single" w:sz="8" w:color="939598"/>
            </w:tcBorders>
          </w:tcPr>
          <w:p>
            <w:pPr>
              <w:spacing w:after="0"/>
              <w:rPr>
                <w:sz w:val="10"/>
                <w:szCs w:val="10"/>
                <w:color w:val="auto"/>
              </w:rPr>
            </w:pPr>
          </w:p>
        </w:tc>
        <w:tc>
          <w:tcPr>
            <w:tcW w:w="1060" w:type="dxa"/>
            <w:vAlign w:val="bottom"/>
            <w:tcBorders>
              <w:bottom w:val="single" w:sz="8" w:color="939598"/>
            </w:tcBorders>
          </w:tcPr>
          <w:p>
            <w:pPr>
              <w:spacing w:after="0"/>
              <w:rPr>
                <w:sz w:val="10"/>
                <w:szCs w:val="10"/>
                <w:color w:val="auto"/>
              </w:rPr>
            </w:pPr>
          </w:p>
        </w:tc>
      </w:tr>
      <w:tr>
        <w:trPr>
          <w:trHeight w:val="118"/>
        </w:trPr>
        <w:tc>
          <w:tcPr>
            <w:tcW w:w="466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120" w:type="dxa"/>
            <w:vAlign w:val="bottom"/>
          </w:tcPr>
          <w:p>
            <w:pPr>
              <w:ind w:left="1280"/>
              <w:spacing w:after="0"/>
              <w:rPr>
                <w:sz w:val="20"/>
                <w:szCs w:val="20"/>
                <w:color w:val="auto"/>
              </w:rPr>
            </w:pPr>
            <w:r>
              <w:rPr>
                <w:rFonts w:ascii="Arial" w:cs="Arial" w:eastAsia="Arial" w:hAnsi="Arial"/>
                <w:sz w:val="9"/>
                <w:szCs w:val="9"/>
                <w:color w:val="auto"/>
              </w:rPr>
              <w:t>(6)</w:t>
            </w:r>
          </w:p>
        </w:tc>
        <w:tc>
          <w:tcPr>
            <w:tcW w:w="1060" w:type="dxa"/>
            <w:vAlign w:val="bottom"/>
          </w:tcPr>
          <w:p>
            <w:pPr>
              <w:spacing w:after="0"/>
              <w:rPr>
                <w:sz w:val="10"/>
                <w:szCs w:val="10"/>
                <w:color w:val="auto"/>
              </w:rPr>
            </w:pPr>
          </w:p>
        </w:tc>
      </w:tr>
      <w:tr>
        <w:trPr>
          <w:trHeight w:val="197"/>
        </w:trPr>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Mr. Stepniak</w:t>
            </w:r>
          </w:p>
        </w:tc>
        <w:tc>
          <w:tcPr>
            <w:tcW w:w="2120" w:type="dxa"/>
            <w:vAlign w:val="bottom"/>
          </w:tcPr>
          <w:p>
            <w:pPr>
              <w:jc w:val="right"/>
              <w:ind w:right="77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120" w:type="dxa"/>
            <w:vAlign w:val="bottom"/>
          </w:tcPr>
          <w:p>
            <w:pPr>
              <w:jc w:val="right"/>
              <w:ind w:right="857"/>
              <w:spacing w:after="0"/>
              <w:rPr>
                <w:sz w:val="20"/>
                <w:szCs w:val="20"/>
                <w:color w:val="auto"/>
              </w:rPr>
            </w:pPr>
            <w:r>
              <w:rPr>
                <w:rFonts w:ascii="Arial" w:cs="Arial" w:eastAsia="Arial" w:hAnsi="Arial"/>
                <w:sz w:val="14"/>
                <w:szCs w:val="14"/>
                <w:color w:val="auto"/>
              </w:rPr>
              <w:t>3,514</w:t>
            </w:r>
          </w:p>
        </w:tc>
        <w:tc>
          <w:tcPr>
            <w:tcW w:w="1060" w:type="dxa"/>
            <w:vAlign w:val="bottom"/>
          </w:tcPr>
          <w:p>
            <w:pPr>
              <w:jc w:val="right"/>
              <w:spacing w:after="0"/>
              <w:rPr>
                <w:sz w:val="20"/>
                <w:szCs w:val="20"/>
                <w:color w:val="auto"/>
              </w:rPr>
            </w:pPr>
            <w:r>
              <w:rPr>
                <w:rFonts w:ascii="Arial" w:cs="Arial" w:eastAsia="Arial" w:hAnsi="Arial"/>
                <w:sz w:val="14"/>
                <w:szCs w:val="14"/>
                <w:color w:val="auto"/>
              </w:rPr>
              <w:t>748,012</w:t>
            </w:r>
          </w:p>
        </w:tc>
      </w:tr>
      <w:tr>
        <w:trPr>
          <w:trHeight w:val="124"/>
        </w:trPr>
        <w:tc>
          <w:tcPr>
            <w:tcW w:w="4660" w:type="dxa"/>
            <w:vAlign w:val="bottom"/>
            <w:tcBorders>
              <w:bottom w:val="single" w:sz="8" w:color="939598"/>
            </w:tcBorders>
          </w:tcPr>
          <w:p>
            <w:pPr>
              <w:spacing w:after="0"/>
              <w:rPr>
                <w:sz w:val="10"/>
                <w:szCs w:val="10"/>
                <w:color w:val="auto"/>
              </w:rPr>
            </w:pPr>
          </w:p>
        </w:tc>
        <w:tc>
          <w:tcPr>
            <w:tcW w:w="2120" w:type="dxa"/>
            <w:vAlign w:val="bottom"/>
            <w:tcBorders>
              <w:bottom w:val="single" w:sz="8" w:color="939598"/>
            </w:tcBorders>
          </w:tcPr>
          <w:p>
            <w:pPr>
              <w:spacing w:after="0"/>
              <w:rPr>
                <w:sz w:val="10"/>
                <w:szCs w:val="10"/>
                <w:color w:val="auto"/>
              </w:rPr>
            </w:pPr>
          </w:p>
        </w:tc>
        <w:tc>
          <w:tcPr>
            <w:tcW w:w="120" w:type="dxa"/>
            <w:vAlign w:val="bottom"/>
            <w:tcBorders>
              <w:bottom w:val="single" w:sz="8" w:color="939598"/>
            </w:tcBorders>
          </w:tcPr>
          <w:p>
            <w:pPr>
              <w:spacing w:after="0"/>
              <w:rPr>
                <w:sz w:val="10"/>
                <w:szCs w:val="10"/>
                <w:color w:val="auto"/>
              </w:rPr>
            </w:pPr>
          </w:p>
        </w:tc>
        <w:tc>
          <w:tcPr>
            <w:tcW w:w="960" w:type="dxa"/>
            <w:vAlign w:val="bottom"/>
            <w:tcBorders>
              <w:bottom w:val="single" w:sz="8" w:color="939598"/>
            </w:tcBorders>
          </w:tcPr>
          <w:p>
            <w:pPr>
              <w:spacing w:after="0"/>
              <w:rPr>
                <w:sz w:val="10"/>
                <w:szCs w:val="10"/>
                <w:color w:val="auto"/>
              </w:rPr>
            </w:pPr>
          </w:p>
        </w:tc>
        <w:tc>
          <w:tcPr>
            <w:tcW w:w="180" w:type="dxa"/>
            <w:vAlign w:val="bottom"/>
            <w:tcBorders>
              <w:bottom w:val="single" w:sz="8" w:color="939598"/>
            </w:tcBorders>
          </w:tcPr>
          <w:p>
            <w:pPr>
              <w:spacing w:after="0"/>
              <w:rPr>
                <w:sz w:val="10"/>
                <w:szCs w:val="10"/>
                <w:color w:val="auto"/>
              </w:rPr>
            </w:pPr>
          </w:p>
        </w:tc>
        <w:tc>
          <w:tcPr>
            <w:tcW w:w="2120" w:type="dxa"/>
            <w:vAlign w:val="bottom"/>
            <w:tcBorders>
              <w:bottom w:val="single" w:sz="8" w:color="939598"/>
            </w:tcBorders>
          </w:tcPr>
          <w:p>
            <w:pPr>
              <w:spacing w:after="0"/>
              <w:rPr>
                <w:sz w:val="10"/>
                <w:szCs w:val="10"/>
                <w:color w:val="auto"/>
              </w:rPr>
            </w:pPr>
          </w:p>
        </w:tc>
        <w:tc>
          <w:tcPr>
            <w:tcW w:w="1060" w:type="dxa"/>
            <w:vAlign w:val="bottom"/>
            <w:tcBorders>
              <w:bottom w:val="single" w:sz="8" w:color="939598"/>
            </w:tcBorders>
          </w:tcPr>
          <w:p>
            <w:pPr>
              <w:spacing w:after="0"/>
              <w:rPr>
                <w:sz w:val="10"/>
                <w:szCs w:val="10"/>
                <w:color w:val="auto"/>
              </w:rPr>
            </w:pPr>
          </w:p>
        </w:tc>
      </w:tr>
      <w:tr>
        <w:trPr>
          <w:trHeight w:val="118"/>
        </w:trPr>
        <w:tc>
          <w:tcPr>
            <w:tcW w:w="466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120" w:type="dxa"/>
            <w:vAlign w:val="bottom"/>
          </w:tcPr>
          <w:p>
            <w:pPr>
              <w:ind w:left="1280"/>
              <w:spacing w:after="0"/>
              <w:rPr>
                <w:sz w:val="20"/>
                <w:szCs w:val="20"/>
                <w:color w:val="auto"/>
              </w:rPr>
            </w:pPr>
            <w:r>
              <w:rPr>
                <w:rFonts w:ascii="Arial" w:cs="Arial" w:eastAsia="Arial" w:hAnsi="Arial"/>
                <w:sz w:val="9"/>
                <w:szCs w:val="9"/>
                <w:color w:val="auto"/>
              </w:rPr>
              <w:t>(7)</w:t>
            </w:r>
          </w:p>
        </w:tc>
        <w:tc>
          <w:tcPr>
            <w:tcW w:w="1060" w:type="dxa"/>
            <w:vAlign w:val="bottom"/>
          </w:tcPr>
          <w:p>
            <w:pPr>
              <w:spacing w:after="0"/>
              <w:rPr>
                <w:sz w:val="10"/>
                <w:szCs w:val="10"/>
                <w:color w:val="auto"/>
              </w:rPr>
            </w:pPr>
          </w:p>
        </w:tc>
      </w:tr>
      <w:tr>
        <w:trPr>
          <w:trHeight w:val="198"/>
        </w:trPr>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Mr. Currier</w:t>
            </w:r>
          </w:p>
        </w:tc>
        <w:tc>
          <w:tcPr>
            <w:tcW w:w="2120" w:type="dxa"/>
            <w:vAlign w:val="bottom"/>
          </w:tcPr>
          <w:p>
            <w:pPr>
              <w:jc w:val="right"/>
              <w:ind w:right="77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120" w:type="dxa"/>
            <w:vAlign w:val="bottom"/>
          </w:tcPr>
          <w:p>
            <w:pPr>
              <w:jc w:val="right"/>
              <w:ind w:right="857"/>
              <w:spacing w:after="0"/>
              <w:rPr>
                <w:sz w:val="20"/>
                <w:szCs w:val="20"/>
                <w:color w:val="auto"/>
              </w:rPr>
            </w:pPr>
            <w:r>
              <w:rPr>
                <w:rFonts w:ascii="Arial" w:cs="Arial" w:eastAsia="Arial" w:hAnsi="Arial"/>
                <w:sz w:val="14"/>
                <w:szCs w:val="14"/>
                <w:color w:val="auto"/>
              </w:rPr>
              <w:t>3,721</w:t>
            </w:r>
          </w:p>
        </w:tc>
        <w:tc>
          <w:tcPr>
            <w:tcW w:w="1060" w:type="dxa"/>
            <w:vAlign w:val="bottom"/>
          </w:tcPr>
          <w:p>
            <w:pPr>
              <w:jc w:val="right"/>
              <w:spacing w:after="0"/>
              <w:rPr>
                <w:sz w:val="20"/>
                <w:szCs w:val="20"/>
                <w:color w:val="auto"/>
              </w:rPr>
            </w:pPr>
            <w:r>
              <w:rPr>
                <w:rFonts w:ascii="Arial" w:cs="Arial" w:eastAsia="Arial" w:hAnsi="Arial"/>
                <w:sz w:val="14"/>
                <w:szCs w:val="14"/>
                <w:color w:val="auto"/>
              </w:rPr>
              <w:t>799,854</w:t>
            </w:r>
          </w:p>
        </w:tc>
      </w:tr>
      <w:tr>
        <w:trPr>
          <w:trHeight w:val="123"/>
        </w:trPr>
        <w:tc>
          <w:tcPr>
            <w:tcW w:w="4660" w:type="dxa"/>
            <w:vAlign w:val="bottom"/>
            <w:tcBorders>
              <w:bottom w:val="single" w:sz="8" w:color="939598"/>
            </w:tcBorders>
          </w:tcPr>
          <w:p>
            <w:pPr>
              <w:spacing w:after="0"/>
              <w:rPr>
                <w:sz w:val="10"/>
                <w:szCs w:val="10"/>
                <w:color w:val="auto"/>
              </w:rPr>
            </w:pPr>
          </w:p>
        </w:tc>
        <w:tc>
          <w:tcPr>
            <w:tcW w:w="2120" w:type="dxa"/>
            <w:vAlign w:val="bottom"/>
            <w:tcBorders>
              <w:bottom w:val="single" w:sz="8" w:color="939598"/>
            </w:tcBorders>
          </w:tcPr>
          <w:p>
            <w:pPr>
              <w:spacing w:after="0"/>
              <w:rPr>
                <w:sz w:val="10"/>
                <w:szCs w:val="10"/>
                <w:color w:val="auto"/>
              </w:rPr>
            </w:pPr>
          </w:p>
        </w:tc>
        <w:tc>
          <w:tcPr>
            <w:tcW w:w="120" w:type="dxa"/>
            <w:vAlign w:val="bottom"/>
            <w:tcBorders>
              <w:bottom w:val="single" w:sz="8" w:color="939598"/>
            </w:tcBorders>
          </w:tcPr>
          <w:p>
            <w:pPr>
              <w:spacing w:after="0"/>
              <w:rPr>
                <w:sz w:val="10"/>
                <w:szCs w:val="10"/>
                <w:color w:val="auto"/>
              </w:rPr>
            </w:pPr>
          </w:p>
        </w:tc>
        <w:tc>
          <w:tcPr>
            <w:tcW w:w="960" w:type="dxa"/>
            <w:vAlign w:val="bottom"/>
            <w:tcBorders>
              <w:bottom w:val="single" w:sz="8" w:color="939598"/>
            </w:tcBorders>
          </w:tcPr>
          <w:p>
            <w:pPr>
              <w:spacing w:after="0"/>
              <w:rPr>
                <w:sz w:val="10"/>
                <w:szCs w:val="10"/>
                <w:color w:val="auto"/>
              </w:rPr>
            </w:pPr>
          </w:p>
        </w:tc>
        <w:tc>
          <w:tcPr>
            <w:tcW w:w="180" w:type="dxa"/>
            <w:vAlign w:val="bottom"/>
            <w:tcBorders>
              <w:bottom w:val="single" w:sz="8" w:color="939598"/>
            </w:tcBorders>
          </w:tcPr>
          <w:p>
            <w:pPr>
              <w:spacing w:after="0"/>
              <w:rPr>
                <w:sz w:val="10"/>
                <w:szCs w:val="10"/>
                <w:color w:val="auto"/>
              </w:rPr>
            </w:pPr>
          </w:p>
        </w:tc>
        <w:tc>
          <w:tcPr>
            <w:tcW w:w="2120" w:type="dxa"/>
            <w:vAlign w:val="bottom"/>
            <w:tcBorders>
              <w:bottom w:val="single" w:sz="8" w:color="939598"/>
            </w:tcBorders>
          </w:tcPr>
          <w:p>
            <w:pPr>
              <w:spacing w:after="0"/>
              <w:rPr>
                <w:sz w:val="10"/>
                <w:szCs w:val="10"/>
                <w:color w:val="auto"/>
              </w:rPr>
            </w:pPr>
          </w:p>
        </w:tc>
        <w:tc>
          <w:tcPr>
            <w:tcW w:w="1060" w:type="dxa"/>
            <w:vAlign w:val="bottom"/>
            <w:tcBorders>
              <w:bottom w:val="single" w:sz="8" w:color="939598"/>
            </w:tcBorders>
          </w:tcPr>
          <w:p>
            <w:pPr>
              <w:spacing w:after="0"/>
              <w:rPr>
                <w:sz w:val="10"/>
                <w:szCs w:val="10"/>
                <w:color w:val="auto"/>
              </w:rPr>
            </w:pPr>
          </w:p>
        </w:tc>
      </w:tr>
      <w:tr>
        <w:trPr>
          <w:trHeight w:val="315"/>
        </w:trPr>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Mr. Masso</w:t>
            </w:r>
          </w:p>
        </w:tc>
        <w:tc>
          <w:tcPr>
            <w:tcW w:w="2120" w:type="dxa"/>
            <w:vAlign w:val="bottom"/>
          </w:tcPr>
          <w:p>
            <w:pPr>
              <w:jc w:val="right"/>
              <w:ind w:right="77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120" w:type="dxa"/>
            <w:vAlign w:val="bottom"/>
          </w:tcPr>
          <w:p>
            <w:pPr>
              <w:jc w:val="right"/>
              <w:ind w:right="857"/>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24"/>
        </w:trPr>
        <w:tc>
          <w:tcPr>
            <w:tcW w:w="4660" w:type="dxa"/>
            <w:vAlign w:val="bottom"/>
            <w:tcBorders>
              <w:bottom w:val="single" w:sz="8" w:color="939598"/>
            </w:tcBorders>
          </w:tcPr>
          <w:p>
            <w:pPr>
              <w:spacing w:after="0"/>
              <w:rPr>
                <w:sz w:val="10"/>
                <w:szCs w:val="10"/>
                <w:color w:val="auto"/>
              </w:rPr>
            </w:pPr>
          </w:p>
        </w:tc>
        <w:tc>
          <w:tcPr>
            <w:tcW w:w="2120" w:type="dxa"/>
            <w:vAlign w:val="bottom"/>
            <w:tcBorders>
              <w:bottom w:val="single" w:sz="8" w:color="939598"/>
            </w:tcBorders>
          </w:tcPr>
          <w:p>
            <w:pPr>
              <w:spacing w:after="0"/>
              <w:rPr>
                <w:sz w:val="10"/>
                <w:szCs w:val="10"/>
                <w:color w:val="auto"/>
              </w:rPr>
            </w:pPr>
          </w:p>
        </w:tc>
        <w:tc>
          <w:tcPr>
            <w:tcW w:w="120" w:type="dxa"/>
            <w:vAlign w:val="bottom"/>
            <w:tcBorders>
              <w:bottom w:val="single" w:sz="8" w:color="939598"/>
            </w:tcBorders>
          </w:tcPr>
          <w:p>
            <w:pPr>
              <w:spacing w:after="0"/>
              <w:rPr>
                <w:sz w:val="10"/>
                <w:szCs w:val="10"/>
                <w:color w:val="auto"/>
              </w:rPr>
            </w:pPr>
          </w:p>
        </w:tc>
        <w:tc>
          <w:tcPr>
            <w:tcW w:w="960" w:type="dxa"/>
            <w:vAlign w:val="bottom"/>
            <w:tcBorders>
              <w:bottom w:val="single" w:sz="8" w:color="939598"/>
            </w:tcBorders>
          </w:tcPr>
          <w:p>
            <w:pPr>
              <w:spacing w:after="0"/>
              <w:rPr>
                <w:sz w:val="10"/>
                <w:szCs w:val="10"/>
                <w:color w:val="auto"/>
              </w:rPr>
            </w:pPr>
          </w:p>
        </w:tc>
        <w:tc>
          <w:tcPr>
            <w:tcW w:w="180" w:type="dxa"/>
            <w:vAlign w:val="bottom"/>
            <w:tcBorders>
              <w:bottom w:val="single" w:sz="8" w:color="939598"/>
            </w:tcBorders>
          </w:tcPr>
          <w:p>
            <w:pPr>
              <w:spacing w:after="0"/>
              <w:rPr>
                <w:sz w:val="10"/>
                <w:szCs w:val="10"/>
                <w:color w:val="auto"/>
              </w:rPr>
            </w:pPr>
          </w:p>
        </w:tc>
        <w:tc>
          <w:tcPr>
            <w:tcW w:w="2120" w:type="dxa"/>
            <w:vAlign w:val="bottom"/>
            <w:tcBorders>
              <w:bottom w:val="single" w:sz="8" w:color="939598"/>
            </w:tcBorders>
          </w:tcPr>
          <w:p>
            <w:pPr>
              <w:spacing w:after="0"/>
              <w:rPr>
                <w:sz w:val="10"/>
                <w:szCs w:val="10"/>
                <w:color w:val="auto"/>
              </w:rPr>
            </w:pPr>
          </w:p>
        </w:tc>
        <w:tc>
          <w:tcPr>
            <w:tcW w:w="1060" w:type="dxa"/>
            <w:vAlign w:val="bottom"/>
            <w:tcBorders>
              <w:bottom w:val="single" w:sz="8" w:color="939598"/>
            </w:tcBorders>
          </w:tcPr>
          <w:p>
            <w:pPr>
              <w:spacing w:after="0"/>
              <w:rPr>
                <w:sz w:val="10"/>
                <w:szCs w:val="10"/>
                <w:color w:val="auto"/>
              </w:rPr>
            </w:pPr>
          </w:p>
        </w:tc>
      </w:tr>
      <w:tr>
        <w:trPr>
          <w:trHeight w:val="118"/>
        </w:trPr>
        <w:tc>
          <w:tcPr>
            <w:tcW w:w="466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120" w:type="dxa"/>
            <w:vAlign w:val="bottom"/>
          </w:tcPr>
          <w:p>
            <w:pPr>
              <w:ind w:left="1280"/>
              <w:spacing w:after="0"/>
              <w:rPr>
                <w:sz w:val="20"/>
                <w:szCs w:val="20"/>
                <w:color w:val="auto"/>
              </w:rPr>
            </w:pPr>
            <w:r>
              <w:rPr>
                <w:rFonts w:ascii="Arial" w:cs="Arial" w:eastAsia="Arial" w:hAnsi="Arial"/>
                <w:sz w:val="9"/>
                <w:szCs w:val="9"/>
                <w:color w:val="auto"/>
              </w:rPr>
              <w:t>(8)</w:t>
            </w:r>
          </w:p>
        </w:tc>
        <w:tc>
          <w:tcPr>
            <w:tcW w:w="1060" w:type="dxa"/>
            <w:vAlign w:val="bottom"/>
          </w:tcPr>
          <w:p>
            <w:pPr>
              <w:spacing w:after="0"/>
              <w:rPr>
                <w:sz w:val="10"/>
                <w:szCs w:val="10"/>
                <w:color w:val="auto"/>
              </w:rPr>
            </w:pPr>
          </w:p>
        </w:tc>
      </w:tr>
      <w:tr>
        <w:trPr>
          <w:trHeight w:val="198"/>
        </w:trPr>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Mr. Hammoud</w:t>
            </w:r>
          </w:p>
        </w:tc>
        <w:tc>
          <w:tcPr>
            <w:tcW w:w="2120" w:type="dxa"/>
            <w:vAlign w:val="bottom"/>
          </w:tcPr>
          <w:p>
            <w:pPr>
              <w:jc w:val="right"/>
              <w:ind w:right="77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120" w:type="dxa"/>
            <w:vAlign w:val="bottom"/>
          </w:tcPr>
          <w:p>
            <w:pPr>
              <w:jc w:val="right"/>
              <w:ind w:right="857"/>
              <w:spacing w:after="0"/>
              <w:rPr>
                <w:sz w:val="20"/>
                <w:szCs w:val="20"/>
                <w:color w:val="auto"/>
              </w:rPr>
            </w:pPr>
            <w:r>
              <w:rPr>
                <w:rFonts w:ascii="Arial" w:cs="Arial" w:eastAsia="Arial" w:hAnsi="Arial"/>
                <w:sz w:val="14"/>
                <w:szCs w:val="14"/>
                <w:color w:val="auto"/>
              </w:rPr>
              <w:t>1,989</w:t>
            </w:r>
          </w:p>
        </w:tc>
        <w:tc>
          <w:tcPr>
            <w:tcW w:w="1060" w:type="dxa"/>
            <w:vAlign w:val="bottom"/>
          </w:tcPr>
          <w:p>
            <w:pPr>
              <w:jc w:val="right"/>
              <w:spacing w:after="0"/>
              <w:rPr>
                <w:sz w:val="20"/>
                <w:szCs w:val="20"/>
                <w:color w:val="auto"/>
              </w:rPr>
            </w:pPr>
            <w:r>
              <w:rPr>
                <w:rFonts w:ascii="Arial" w:cs="Arial" w:eastAsia="Arial" w:hAnsi="Arial"/>
                <w:sz w:val="14"/>
                <w:szCs w:val="14"/>
                <w:color w:val="auto"/>
              </w:rPr>
              <w:t>420,840</w:t>
            </w:r>
          </w:p>
        </w:tc>
      </w:tr>
      <w:tr>
        <w:trPr>
          <w:trHeight w:val="123"/>
        </w:trPr>
        <w:tc>
          <w:tcPr>
            <w:tcW w:w="4660" w:type="dxa"/>
            <w:vAlign w:val="bottom"/>
            <w:tcBorders>
              <w:bottom w:val="single" w:sz="8" w:color="939598"/>
            </w:tcBorders>
          </w:tcPr>
          <w:p>
            <w:pPr>
              <w:spacing w:after="0"/>
              <w:rPr>
                <w:sz w:val="10"/>
                <w:szCs w:val="10"/>
                <w:color w:val="auto"/>
              </w:rPr>
            </w:pPr>
          </w:p>
        </w:tc>
        <w:tc>
          <w:tcPr>
            <w:tcW w:w="2120" w:type="dxa"/>
            <w:vAlign w:val="bottom"/>
            <w:tcBorders>
              <w:bottom w:val="single" w:sz="8" w:color="939598"/>
            </w:tcBorders>
          </w:tcPr>
          <w:p>
            <w:pPr>
              <w:spacing w:after="0"/>
              <w:rPr>
                <w:sz w:val="10"/>
                <w:szCs w:val="10"/>
                <w:color w:val="auto"/>
              </w:rPr>
            </w:pPr>
          </w:p>
        </w:tc>
        <w:tc>
          <w:tcPr>
            <w:tcW w:w="120" w:type="dxa"/>
            <w:vAlign w:val="bottom"/>
            <w:tcBorders>
              <w:bottom w:val="single" w:sz="8" w:color="939598"/>
            </w:tcBorders>
          </w:tcPr>
          <w:p>
            <w:pPr>
              <w:spacing w:after="0"/>
              <w:rPr>
                <w:sz w:val="10"/>
                <w:szCs w:val="10"/>
                <w:color w:val="auto"/>
              </w:rPr>
            </w:pPr>
          </w:p>
        </w:tc>
        <w:tc>
          <w:tcPr>
            <w:tcW w:w="960" w:type="dxa"/>
            <w:vAlign w:val="bottom"/>
            <w:tcBorders>
              <w:bottom w:val="single" w:sz="8" w:color="939598"/>
            </w:tcBorders>
          </w:tcPr>
          <w:p>
            <w:pPr>
              <w:spacing w:after="0"/>
              <w:rPr>
                <w:sz w:val="10"/>
                <w:szCs w:val="10"/>
                <w:color w:val="auto"/>
              </w:rPr>
            </w:pPr>
          </w:p>
        </w:tc>
        <w:tc>
          <w:tcPr>
            <w:tcW w:w="180" w:type="dxa"/>
            <w:vAlign w:val="bottom"/>
            <w:tcBorders>
              <w:bottom w:val="single" w:sz="8" w:color="939598"/>
            </w:tcBorders>
          </w:tcPr>
          <w:p>
            <w:pPr>
              <w:spacing w:after="0"/>
              <w:rPr>
                <w:sz w:val="10"/>
                <w:szCs w:val="10"/>
                <w:color w:val="auto"/>
              </w:rPr>
            </w:pPr>
          </w:p>
        </w:tc>
        <w:tc>
          <w:tcPr>
            <w:tcW w:w="2120" w:type="dxa"/>
            <w:vAlign w:val="bottom"/>
            <w:tcBorders>
              <w:bottom w:val="single" w:sz="8" w:color="939598"/>
            </w:tcBorders>
          </w:tcPr>
          <w:p>
            <w:pPr>
              <w:spacing w:after="0"/>
              <w:rPr>
                <w:sz w:val="10"/>
                <w:szCs w:val="10"/>
                <w:color w:val="auto"/>
              </w:rPr>
            </w:pPr>
          </w:p>
        </w:tc>
        <w:tc>
          <w:tcPr>
            <w:tcW w:w="1060" w:type="dxa"/>
            <w:vAlign w:val="bottom"/>
            <w:tcBorders>
              <w:bottom w:val="single" w:sz="8" w:color="939598"/>
            </w:tcBorders>
          </w:tcPr>
          <w:p>
            <w:pPr>
              <w:spacing w:after="0"/>
              <w:rPr>
                <w:sz w:val="10"/>
                <w:szCs w:val="10"/>
                <w:color w:val="auto"/>
              </w:rPr>
            </w:pPr>
          </w:p>
        </w:tc>
      </w:tr>
      <w:tr>
        <w:trPr>
          <w:trHeight w:val="118"/>
        </w:trPr>
        <w:tc>
          <w:tcPr>
            <w:tcW w:w="4660" w:type="dxa"/>
            <w:vAlign w:val="bottom"/>
          </w:tcPr>
          <w:p>
            <w:pPr>
              <w:spacing w:after="0"/>
              <w:rPr>
                <w:sz w:val="10"/>
                <w:szCs w:val="10"/>
                <w:color w:val="auto"/>
              </w:rPr>
            </w:pPr>
          </w:p>
        </w:tc>
        <w:tc>
          <w:tcPr>
            <w:tcW w:w="2120" w:type="dxa"/>
            <w:vAlign w:val="bottom"/>
          </w:tcPr>
          <w:p>
            <w:pPr>
              <w:ind w:left="1360"/>
              <w:spacing w:after="0"/>
              <w:rPr>
                <w:sz w:val="20"/>
                <w:szCs w:val="20"/>
                <w:color w:val="auto"/>
              </w:rPr>
            </w:pPr>
            <w:r>
              <w:rPr>
                <w:rFonts w:ascii="Arial" w:cs="Arial" w:eastAsia="Arial" w:hAnsi="Arial"/>
                <w:sz w:val="9"/>
                <w:szCs w:val="9"/>
                <w:color w:val="auto"/>
              </w:rPr>
              <w:t>(9)</w:t>
            </w: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120" w:type="dxa"/>
            <w:vAlign w:val="bottom"/>
          </w:tcPr>
          <w:p>
            <w:pPr>
              <w:ind w:left="1280"/>
              <w:spacing w:after="0"/>
              <w:rPr>
                <w:sz w:val="20"/>
                <w:szCs w:val="20"/>
                <w:color w:val="auto"/>
              </w:rPr>
            </w:pPr>
            <w:r>
              <w:rPr>
                <w:rFonts w:ascii="Arial" w:cs="Arial" w:eastAsia="Arial" w:hAnsi="Arial"/>
                <w:sz w:val="9"/>
                <w:szCs w:val="9"/>
                <w:color w:val="auto"/>
              </w:rPr>
              <w:t>(10)</w:t>
            </w:r>
          </w:p>
        </w:tc>
        <w:tc>
          <w:tcPr>
            <w:tcW w:w="1060" w:type="dxa"/>
            <w:vAlign w:val="bottom"/>
          </w:tcPr>
          <w:p>
            <w:pPr>
              <w:spacing w:after="0"/>
              <w:rPr>
                <w:sz w:val="10"/>
                <w:szCs w:val="10"/>
                <w:color w:val="auto"/>
              </w:rPr>
            </w:pPr>
          </w:p>
        </w:tc>
      </w:tr>
      <w:tr>
        <w:trPr>
          <w:trHeight w:val="198"/>
        </w:trPr>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Mr. Lewis</w:t>
            </w:r>
          </w:p>
        </w:tc>
        <w:tc>
          <w:tcPr>
            <w:tcW w:w="2120" w:type="dxa"/>
            <w:vAlign w:val="bottom"/>
          </w:tcPr>
          <w:p>
            <w:pPr>
              <w:jc w:val="right"/>
              <w:ind w:right="772"/>
              <w:spacing w:after="0"/>
              <w:rPr>
                <w:sz w:val="20"/>
                <w:szCs w:val="20"/>
                <w:color w:val="auto"/>
              </w:rPr>
            </w:pPr>
            <w:r>
              <w:rPr>
                <w:rFonts w:ascii="Arial" w:cs="Arial" w:eastAsia="Arial" w:hAnsi="Arial"/>
                <w:sz w:val="14"/>
                <w:szCs w:val="14"/>
                <w:color w:val="auto"/>
              </w:rPr>
              <w:t>86,031</w:t>
            </w:r>
          </w:p>
        </w:tc>
        <w:tc>
          <w:tcPr>
            <w:tcW w:w="12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5,014,786</w:t>
            </w:r>
          </w:p>
        </w:tc>
        <w:tc>
          <w:tcPr>
            <w:tcW w:w="180" w:type="dxa"/>
            <w:vAlign w:val="bottom"/>
          </w:tcPr>
          <w:p>
            <w:pPr>
              <w:spacing w:after="0"/>
              <w:rPr>
                <w:sz w:val="17"/>
                <w:szCs w:val="17"/>
                <w:color w:val="auto"/>
              </w:rPr>
            </w:pPr>
          </w:p>
        </w:tc>
        <w:tc>
          <w:tcPr>
            <w:tcW w:w="2120" w:type="dxa"/>
            <w:vAlign w:val="bottom"/>
          </w:tcPr>
          <w:p>
            <w:pPr>
              <w:jc w:val="right"/>
              <w:ind w:right="857"/>
              <w:spacing w:after="0"/>
              <w:rPr>
                <w:sz w:val="20"/>
                <w:szCs w:val="20"/>
                <w:color w:val="auto"/>
              </w:rPr>
            </w:pPr>
            <w:r>
              <w:rPr>
                <w:rFonts w:ascii="Arial" w:cs="Arial" w:eastAsia="Arial" w:hAnsi="Arial"/>
                <w:sz w:val="14"/>
                <w:szCs w:val="14"/>
                <w:color w:val="auto"/>
              </w:rPr>
              <w:t>22,176</w:t>
            </w:r>
          </w:p>
        </w:tc>
        <w:tc>
          <w:tcPr>
            <w:tcW w:w="1060" w:type="dxa"/>
            <w:vAlign w:val="bottom"/>
          </w:tcPr>
          <w:p>
            <w:pPr>
              <w:jc w:val="right"/>
              <w:spacing w:after="0"/>
              <w:rPr>
                <w:sz w:val="20"/>
                <w:szCs w:val="20"/>
                <w:color w:val="auto"/>
              </w:rPr>
            </w:pPr>
            <w:r>
              <w:rPr>
                <w:rFonts w:ascii="Arial" w:cs="Arial" w:eastAsia="Arial" w:hAnsi="Arial"/>
                <w:sz w:val="14"/>
                <w:szCs w:val="14"/>
                <w:color w:val="auto"/>
              </w:rPr>
              <w:t>4,748,710</w:t>
            </w:r>
          </w:p>
        </w:tc>
      </w:tr>
      <w:tr>
        <w:trPr>
          <w:trHeight w:val="124"/>
        </w:trPr>
        <w:tc>
          <w:tcPr>
            <w:tcW w:w="4660" w:type="dxa"/>
            <w:vAlign w:val="bottom"/>
            <w:tcBorders>
              <w:bottom w:val="single" w:sz="8" w:color="939598"/>
            </w:tcBorders>
          </w:tcPr>
          <w:p>
            <w:pPr>
              <w:spacing w:after="0"/>
              <w:rPr>
                <w:sz w:val="10"/>
                <w:szCs w:val="10"/>
                <w:color w:val="auto"/>
              </w:rPr>
            </w:pPr>
          </w:p>
        </w:tc>
        <w:tc>
          <w:tcPr>
            <w:tcW w:w="2120" w:type="dxa"/>
            <w:vAlign w:val="bottom"/>
            <w:tcBorders>
              <w:bottom w:val="single" w:sz="8" w:color="939598"/>
            </w:tcBorders>
          </w:tcPr>
          <w:p>
            <w:pPr>
              <w:spacing w:after="0"/>
              <w:rPr>
                <w:sz w:val="10"/>
                <w:szCs w:val="10"/>
                <w:color w:val="auto"/>
              </w:rPr>
            </w:pPr>
          </w:p>
        </w:tc>
        <w:tc>
          <w:tcPr>
            <w:tcW w:w="120" w:type="dxa"/>
            <w:vAlign w:val="bottom"/>
            <w:tcBorders>
              <w:bottom w:val="single" w:sz="8" w:color="939598"/>
            </w:tcBorders>
          </w:tcPr>
          <w:p>
            <w:pPr>
              <w:spacing w:after="0"/>
              <w:rPr>
                <w:sz w:val="10"/>
                <w:szCs w:val="10"/>
                <w:color w:val="auto"/>
              </w:rPr>
            </w:pPr>
          </w:p>
        </w:tc>
        <w:tc>
          <w:tcPr>
            <w:tcW w:w="960" w:type="dxa"/>
            <w:vAlign w:val="bottom"/>
            <w:tcBorders>
              <w:bottom w:val="single" w:sz="8" w:color="939598"/>
            </w:tcBorders>
          </w:tcPr>
          <w:p>
            <w:pPr>
              <w:spacing w:after="0"/>
              <w:rPr>
                <w:sz w:val="10"/>
                <w:szCs w:val="10"/>
                <w:color w:val="auto"/>
              </w:rPr>
            </w:pPr>
          </w:p>
        </w:tc>
        <w:tc>
          <w:tcPr>
            <w:tcW w:w="180" w:type="dxa"/>
            <w:vAlign w:val="bottom"/>
            <w:tcBorders>
              <w:bottom w:val="single" w:sz="8" w:color="939598"/>
            </w:tcBorders>
          </w:tcPr>
          <w:p>
            <w:pPr>
              <w:spacing w:after="0"/>
              <w:rPr>
                <w:sz w:val="10"/>
                <w:szCs w:val="10"/>
                <w:color w:val="auto"/>
              </w:rPr>
            </w:pPr>
          </w:p>
        </w:tc>
        <w:tc>
          <w:tcPr>
            <w:tcW w:w="2120" w:type="dxa"/>
            <w:vAlign w:val="bottom"/>
            <w:tcBorders>
              <w:bottom w:val="single" w:sz="8" w:color="939598"/>
            </w:tcBorders>
          </w:tcPr>
          <w:p>
            <w:pPr>
              <w:spacing w:after="0"/>
              <w:rPr>
                <w:sz w:val="10"/>
                <w:szCs w:val="10"/>
                <w:color w:val="auto"/>
              </w:rPr>
            </w:pPr>
          </w:p>
        </w:tc>
        <w:tc>
          <w:tcPr>
            <w:tcW w:w="1060" w:type="dxa"/>
            <w:vAlign w:val="bottom"/>
            <w:tcBorders>
              <w:bottom w:val="single" w:sz="8" w:color="939598"/>
            </w:tcBorders>
          </w:tcPr>
          <w:p>
            <w:pPr>
              <w:spacing w:after="0"/>
              <w:rPr>
                <w:sz w:val="10"/>
                <w:szCs w:val="10"/>
                <w:color w:val="auto"/>
              </w:rPr>
            </w:pPr>
          </w:p>
        </w:tc>
      </w:tr>
      <w:tr>
        <w:trPr>
          <w:trHeight w:val="118"/>
        </w:trPr>
        <w:tc>
          <w:tcPr>
            <w:tcW w:w="4660" w:type="dxa"/>
            <w:vAlign w:val="bottom"/>
          </w:tcPr>
          <w:p>
            <w:pPr>
              <w:spacing w:after="0"/>
              <w:rPr>
                <w:sz w:val="10"/>
                <w:szCs w:val="10"/>
                <w:color w:val="auto"/>
              </w:rPr>
            </w:pPr>
          </w:p>
        </w:tc>
        <w:tc>
          <w:tcPr>
            <w:tcW w:w="2120" w:type="dxa"/>
            <w:vAlign w:val="bottom"/>
          </w:tcPr>
          <w:p>
            <w:pPr>
              <w:ind w:left="1360"/>
              <w:spacing w:after="0"/>
              <w:rPr>
                <w:sz w:val="20"/>
                <w:szCs w:val="20"/>
                <w:color w:val="auto"/>
              </w:rPr>
            </w:pPr>
            <w:r>
              <w:rPr>
                <w:rFonts w:ascii="Arial" w:cs="Arial" w:eastAsia="Arial" w:hAnsi="Arial"/>
                <w:sz w:val="9"/>
                <w:szCs w:val="9"/>
                <w:color w:val="auto"/>
              </w:rPr>
              <w:t>(11)</w:t>
            </w: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120" w:type="dxa"/>
            <w:vAlign w:val="bottom"/>
          </w:tcPr>
          <w:p>
            <w:pPr>
              <w:ind w:left="1280"/>
              <w:spacing w:after="0"/>
              <w:rPr>
                <w:sz w:val="20"/>
                <w:szCs w:val="20"/>
                <w:color w:val="auto"/>
              </w:rPr>
            </w:pPr>
            <w:r>
              <w:rPr>
                <w:rFonts w:ascii="Arial" w:cs="Arial" w:eastAsia="Arial" w:hAnsi="Arial"/>
                <w:sz w:val="9"/>
                <w:szCs w:val="9"/>
                <w:color w:val="auto"/>
              </w:rPr>
              <w:t>(12)</w:t>
            </w:r>
          </w:p>
        </w:tc>
        <w:tc>
          <w:tcPr>
            <w:tcW w:w="1060" w:type="dxa"/>
            <w:vAlign w:val="bottom"/>
          </w:tcPr>
          <w:p>
            <w:pPr>
              <w:spacing w:after="0"/>
              <w:rPr>
                <w:sz w:val="10"/>
                <w:szCs w:val="10"/>
                <w:color w:val="auto"/>
              </w:rPr>
            </w:pPr>
          </w:p>
        </w:tc>
      </w:tr>
      <w:tr>
        <w:trPr>
          <w:trHeight w:val="198"/>
        </w:trPr>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Mr. Boldea</w:t>
            </w:r>
          </w:p>
        </w:tc>
        <w:tc>
          <w:tcPr>
            <w:tcW w:w="2120" w:type="dxa"/>
            <w:vAlign w:val="bottom"/>
          </w:tcPr>
          <w:p>
            <w:pPr>
              <w:jc w:val="right"/>
              <w:ind w:right="772"/>
              <w:spacing w:after="0"/>
              <w:rPr>
                <w:sz w:val="20"/>
                <w:szCs w:val="20"/>
                <w:color w:val="auto"/>
              </w:rPr>
            </w:pPr>
            <w:r>
              <w:rPr>
                <w:rFonts w:ascii="Arial" w:cs="Arial" w:eastAsia="Arial" w:hAnsi="Arial"/>
                <w:sz w:val="14"/>
                <w:szCs w:val="14"/>
                <w:color w:val="auto"/>
              </w:rPr>
              <w:t>36,181</w:t>
            </w:r>
          </w:p>
        </w:tc>
        <w:tc>
          <w:tcPr>
            <w:tcW w:w="12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1,299,290</w:t>
            </w:r>
          </w:p>
        </w:tc>
        <w:tc>
          <w:tcPr>
            <w:tcW w:w="180" w:type="dxa"/>
            <w:vAlign w:val="bottom"/>
          </w:tcPr>
          <w:p>
            <w:pPr>
              <w:spacing w:after="0"/>
              <w:rPr>
                <w:sz w:val="17"/>
                <w:szCs w:val="17"/>
                <w:color w:val="auto"/>
              </w:rPr>
            </w:pPr>
          </w:p>
        </w:tc>
        <w:tc>
          <w:tcPr>
            <w:tcW w:w="2120" w:type="dxa"/>
            <w:vAlign w:val="bottom"/>
          </w:tcPr>
          <w:p>
            <w:pPr>
              <w:jc w:val="right"/>
              <w:ind w:right="857"/>
              <w:spacing w:after="0"/>
              <w:rPr>
                <w:sz w:val="20"/>
                <w:szCs w:val="20"/>
                <w:color w:val="auto"/>
              </w:rPr>
            </w:pPr>
            <w:r>
              <w:rPr>
                <w:rFonts w:ascii="Arial" w:cs="Arial" w:eastAsia="Arial" w:hAnsi="Arial"/>
                <w:sz w:val="14"/>
                <w:szCs w:val="14"/>
                <w:color w:val="auto"/>
              </w:rPr>
              <w:t>15,603</w:t>
            </w:r>
          </w:p>
        </w:tc>
        <w:tc>
          <w:tcPr>
            <w:tcW w:w="1060" w:type="dxa"/>
            <w:vAlign w:val="bottom"/>
          </w:tcPr>
          <w:p>
            <w:pPr>
              <w:jc w:val="right"/>
              <w:spacing w:after="0"/>
              <w:rPr>
                <w:sz w:val="20"/>
                <w:szCs w:val="20"/>
                <w:color w:val="auto"/>
              </w:rPr>
            </w:pPr>
            <w:r>
              <w:rPr>
                <w:rFonts w:ascii="Arial" w:cs="Arial" w:eastAsia="Arial" w:hAnsi="Arial"/>
                <w:sz w:val="14"/>
                <w:szCs w:val="14"/>
                <w:color w:val="auto"/>
              </w:rPr>
              <w:t>3,325,824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2343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43" w:lineRule="exact"/>
        <w:rPr>
          <w:sz w:val="20"/>
          <w:szCs w:val="20"/>
          <w:color w:val="auto"/>
        </w:rPr>
      </w:pPr>
    </w:p>
    <w:p>
      <w:pPr>
        <w:ind w:left="200" w:hanging="192"/>
        <w:spacing w:after="0"/>
        <w:tabs>
          <w:tab w:leader="none" w:pos="200" w:val="left"/>
        </w:tabs>
        <w:numPr>
          <w:ilvl w:val="0"/>
          <w:numId w:val="193"/>
        </w:numPr>
        <w:rPr>
          <w:rFonts w:ascii="Arial" w:cs="Arial" w:eastAsia="Arial" w:hAnsi="Arial"/>
          <w:sz w:val="16"/>
          <w:szCs w:val="16"/>
          <w:color w:val="auto"/>
          <w:vertAlign w:val="superscript"/>
        </w:rPr>
      </w:pPr>
      <w:r>
        <w:rPr>
          <w:rFonts w:ascii="Arial" w:cs="Arial" w:eastAsia="Arial" w:hAnsi="Arial"/>
          <w:sz w:val="13"/>
          <w:szCs w:val="13"/>
          <w:color w:val="auto"/>
        </w:rPr>
        <w:t>Represents the total number of stock options exercised during 2025 before the sale of option shares to cover the option exercise price, transaction costs, and applicable taxes.</w:t>
      </w:r>
    </w:p>
    <w:p>
      <w:pPr>
        <w:spacing w:after="0" w:line="50" w:lineRule="exact"/>
        <w:rPr>
          <w:rFonts w:ascii="Arial" w:cs="Arial" w:eastAsia="Arial" w:hAnsi="Arial"/>
          <w:sz w:val="16"/>
          <w:szCs w:val="16"/>
          <w:color w:val="auto"/>
          <w:vertAlign w:val="superscript"/>
        </w:rPr>
      </w:pPr>
    </w:p>
    <w:p>
      <w:pPr>
        <w:ind w:left="200" w:right="440" w:hanging="192"/>
        <w:spacing w:after="0" w:line="226" w:lineRule="auto"/>
        <w:tabs>
          <w:tab w:leader="none" w:pos="200" w:val="left"/>
        </w:tabs>
        <w:numPr>
          <w:ilvl w:val="0"/>
          <w:numId w:val="193"/>
        </w:numPr>
        <w:rPr>
          <w:rFonts w:ascii="Arial" w:cs="Arial" w:eastAsia="Arial" w:hAnsi="Arial"/>
          <w:sz w:val="16"/>
          <w:szCs w:val="16"/>
          <w:color w:val="auto"/>
          <w:vertAlign w:val="superscript"/>
        </w:rPr>
      </w:pPr>
      <w:r>
        <w:rPr>
          <w:rFonts w:ascii="Arial" w:cs="Arial" w:eastAsia="Arial" w:hAnsi="Arial"/>
          <w:sz w:val="13"/>
          <w:szCs w:val="13"/>
          <w:color w:val="auto"/>
        </w:rPr>
        <w:t>Represents “in the money” value of stock options at exercise calculated as the difference between the market price at exercise and the exercise price, multiplied by the total number of options exercised. The individual totals may include multiple exercise transactions during the year.</w:t>
      </w:r>
    </w:p>
    <w:p>
      <w:pPr>
        <w:spacing w:after="0" w:line="45" w:lineRule="exact"/>
        <w:rPr>
          <w:rFonts w:ascii="Arial" w:cs="Arial" w:eastAsia="Arial" w:hAnsi="Arial"/>
          <w:sz w:val="16"/>
          <w:szCs w:val="16"/>
          <w:color w:val="auto"/>
          <w:vertAlign w:val="superscript"/>
        </w:rPr>
      </w:pPr>
    </w:p>
    <w:p>
      <w:pPr>
        <w:ind w:left="200" w:hanging="192"/>
        <w:spacing w:after="0"/>
        <w:tabs>
          <w:tab w:leader="none" w:pos="200" w:val="left"/>
        </w:tabs>
        <w:numPr>
          <w:ilvl w:val="0"/>
          <w:numId w:val="193"/>
        </w:numPr>
        <w:rPr>
          <w:rFonts w:ascii="Arial" w:cs="Arial" w:eastAsia="Arial" w:hAnsi="Arial"/>
          <w:sz w:val="16"/>
          <w:szCs w:val="16"/>
          <w:color w:val="auto"/>
          <w:vertAlign w:val="superscript"/>
        </w:rPr>
      </w:pPr>
      <w:r>
        <w:rPr>
          <w:rFonts w:ascii="Arial" w:cs="Arial" w:eastAsia="Arial" w:hAnsi="Arial"/>
          <w:sz w:val="13"/>
          <w:szCs w:val="13"/>
          <w:color w:val="auto"/>
        </w:rPr>
        <w:t>Represents the total number of RSUs and PSUs that vested during 2025 before share withholding for taxes and transaction costs.</w:t>
      </w:r>
    </w:p>
    <w:p>
      <w:pPr>
        <w:spacing w:after="0" w:line="56" w:lineRule="exact"/>
        <w:rPr>
          <w:rFonts w:ascii="Arial" w:cs="Arial" w:eastAsia="Arial" w:hAnsi="Arial"/>
          <w:sz w:val="16"/>
          <w:szCs w:val="16"/>
          <w:color w:val="auto"/>
          <w:vertAlign w:val="superscript"/>
        </w:rPr>
      </w:pPr>
    </w:p>
    <w:p>
      <w:pPr>
        <w:ind w:left="200" w:right="20" w:hanging="192"/>
        <w:spacing w:after="0" w:line="234" w:lineRule="auto"/>
        <w:tabs>
          <w:tab w:leader="none" w:pos="200" w:val="left"/>
        </w:tabs>
        <w:numPr>
          <w:ilvl w:val="0"/>
          <w:numId w:val="193"/>
        </w:numPr>
        <w:rPr>
          <w:rFonts w:ascii="Arial" w:cs="Arial" w:eastAsia="Arial" w:hAnsi="Arial"/>
          <w:sz w:val="16"/>
          <w:szCs w:val="16"/>
          <w:color w:val="auto"/>
          <w:vertAlign w:val="superscript"/>
        </w:rPr>
      </w:pPr>
      <w:r>
        <w:rPr>
          <w:rFonts w:ascii="Arial" w:cs="Arial" w:eastAsia="Arial" w:hAnsi="Arial"/>
          <w:sz w:val="13"/>
          <w:szCs w:val="13"/>
          <w:color w:val="auto"/>
        </w:rPr>
        <w:t>Represents the total value of RSUs and PSUs at the vesting. The individual totals may include multiple vesting transactions during the year. RSUs are calculated at the average of the high and low share price of one share of common stock on the day of vesting multiplied by the total number of units that vested. PSUs are paid 50% as cash and 50% as shares; cash value is calculated using the closing price of December 31, 2025, and the value of shares is calculated at the average of the high and low share price upon payout on 2/13/2025. Under Honeywell's Stock Ownership Guidelines, an officer must hold after-tax net shares from an RSU or PSU vesting for at least one year before they can be sold (waived upon retirement).</w:t>
      </w:r>
    </w:p>
    <w:p>
      <w:pPr>
        <w:spacing w:after="0" w:line="51" w:lineRule="exact"/>
        <w:rPr>
          <w:rFonts w:ascii="Arial" w:cs="Arial" w:eastAsia="Arial" w:hAnsi="Arial"/>
          <w:sz w:val="16"/>
          <w:szCs w:val="16"/>
          <w:color w:val="auto"/>
          <w:vertAlign w:val="superscript"/>
        </w:rPr>
      </w:pPr>
    </w:p>
    <w:p>
      <w:pPr>
        <w:ind w:left="200" w:right="140" w:hanging="192"/>
        <w:spacing w:after="0" w:line="236" w:lineRule="auto"/>
        <w:tabs>
          <w:tab w:leader="none" w:pos="200" w:val="left"/>
        </w:tabs>
        <w:numPr>
          <w:ilvl w:val="0"/>
          <w:numId w:val="193"/>
        </w:numPr>
        <w:rPr>
          <w:rFonts w:ascii="Arial" w:cs="Arial" w:eastAsia="Arial" w:hAnsi="Arial"/>
          <w:sz w:val="16"/>
          <w:szCs w:val="16"/>
          <w:color w:val="auto"/>
          <w:vertAlign w:val="superscript"/>
        </w:rPr>
      </w:pPr>
      <w:r>
        <w:rPr>
          <w:rFonts w:ascii="Arial" w:cs="Arial" w:eastAsia="Arial" w:hAnsi="Arial"/>
          <w:sz w:val="13"/>
          <w:szCs w:val="13"/>
          <w:color w:val="auto"/>
        </w:rPr>
        <w:t>Upon the vesting of RSUs, after withholding shares to cover applicable taxes, a total of 3,214 net shares were retained. Upon the vesting of PSUs, 9,770 shares were settled in cash, and 5,500 net shares were retained after withholding shares to cover applicable taxes. Net shares must be held for at least one year before they can be sold.</w:t>
      </w:r>
    </w:p>
    <w:p>
      <w:pPr>
        <w:spacing w:after="0" w:line="32" w:lineRule="exact"/>
        <w:rPr>
          <w:rFonts w:ascii="Arial" w:cs="Arial" w:eastAsia="Arial" w:hAnsi="Arial"/>
          <w:sz w:val="16"/>
          <w:szCs w:val="16"/>
          <w:color w:val="auto"/>
          <w:vertAlign w:val="superscript"/>
        </w:rPr>
      </w:pPr>
    </w:p>
    <w:p>
      <w:pPr>
        <w:ind w:left="200" w:hanging="192"/>
        <w:spacing w:after="0"/>
        <w:tabs>
          <w:tab w:leader="none" w:pos="200" w:val="left"/>
        </w:tabs>
        <w:numPr>
          <w:ilvl w:val="0"/>
          <w:numId w:val="193"/>
        </w:numPr>
        <w:rPr>
          <w:rFonts w:ascii="Arial" w:cs="Arial" w:eastAsia="Arial" w:hAnsi="Arial"/>
          <w:sz w:val="16"/>
          <w:szCs w:val="16"/>
          <w:color w:val="auto"/>
          <w:vertAlign w:val="superscript"/>
        </w:rPr>
      </w:pPr>
      <w:r>
        <w:rPr>
          <w:rFonts w:ascii="Arial" w:cs="Arial" w:eastAsia="Arial" w:hAnsi="Arial"/>
          <w:sz w:val="13"/>
          <w:szCs w:val="13"/>
          <w:color w:val="auto"/>
        </w:rPr>
        <w:t>Upon the vesting of RSUs, after withholding shares to cover applicable taxes, a total of 2,241 net shares were retained. Net shares must be held for at least one year before they can be sold.</w:t>
      </w:r>
    </w:p>
    <w:p>
      <w:pPr>
        <w:spacing w:after="0" w:line="56" w:lineRule="exact"/>
        <w:rPr>
          <w:rFonts w:ascii="Arial" w:cs="Arial" w:eastAsia="Arial" w:hAnsi="Arial"/>
          <w:sz w:val="16"/>
          <w:szCs w:val="16"/>
          <w:color w:val="auto"/>
          <w:vertAlign w:val="superscript"/>
        </w:rPr>
      </w:pPr>
    </w:p>
    <w:p>
      <w:pPr>
        <w:ind w:left="200" w:hanging="192"/>
        <w:spacing w:after="0" w:line="225" w:lineRule="auto"/>
        <w:tabs>
          <w:tab w:leader="none" w:pos="200" w:val="left"/>
        </w:tabs>
        <w:numPr>
          <w:ilvl w:val="0"/>
          <w:numId w:val="193"/>
        </w:numPr>
        <w:rPr>
          <w:rFonts w:ascii="Arial" w:cs="Arial" w:eastAsia="Arial" w:hAnsi="Arial"/>
          <w:sz w:val="16"/>
          <w:szCs w:val="16"/>
          <w:color w:val="auto"/>
          <w:vertAlign w:val="superscript"/>
        </w:rPr>
      </w:pPr>
      <w:r>
        <w:rPr>
          <w:rFonts w:ascii="Arial" w:cs="Arial" w:eastAsia="Arial" w:hAnsi="Arial"/>
          <w:sz w:val="13"/>
          <w:szCs w:val="13"/>
          <w:color w:val="auto"/>
        </w:rPr>
        <w:t>Upon the vesting of RSUs, after withholding shares to cover applicable taxes, a total of 2,158 net shares were retained. Net shares must be held for at least one year before they can be sold.</w:t>
      </w:r>
    </w:p>
    <w:p>
      <w:pPr>
        <w:spacing w:after="0" w:line="43" w:lineRule="exact"/>
        <w:rPr>
          <w:rFonts w:ascii="Arial" w:cs="Arial" w:eastAsia="Arial" w:hAnsi="Arial"/>
          <w:sz w:val="16"/>
          <w:szCs w:val="16"/>
          <w:color w:val="auto"/>
          <w:vertAlign w:val="superscript"/>
        </w:rPr>
      </w:pPr>
    </w:p>
    <w:p>
      <w:pPr>
        <w:ind w:left="200" w:hanging="192"/>
        <w:spacing w:after="0" w:line="225" w:lineRule="auto"/>
        <w:tabs>
          <w:tab w:leader="none" w:pos="200" w:val="left"/>
        </w:tabs>
        <w:numPr>
          <w:ilvl w:val="0"/>
          <w:numId w:val="193"/>
        </w:numPr>
        <w:rPr>
          <w:rFonts w:ascii="Arial" w:cs="Arial" w:eastAsia="Arial" w:hAnsi="Arial"/>
          <w:sz w:val="16"/>
          <w:szCs w:val="16"/>
          <w:color w:val="auto"/>
          <w:vertAlign w:val="superscript"/>
        </w:rPr>
      </w:pPr>
      <w:r>
        <w:rPr>
          <w:rFonts w:ascii="Arial" w:cs="Arial" w:eastAsia="Arial" w:hAnsi="Arial"/>
          <w:sz w:val="13"/>
          <w:szCs w:val="13"/>
          <w:color w:val="auto"/>
        </w:rPr>
        <w:t>Upon the vesting of RSUs, after withholding shares to cover applicable taxes, a total of 1,155 net shares were retained. Net shares must be held for at least one year before they can be sold.</w:t>
      </w:r>
    </w:p>
    <w:p>
      <w:pPr>
        <w:spacing w:after="0" w:line="57" w:lineRule="exact"/>
        <w:rPr>
          <w:rFonts w:ascii="Arial" w:cs="Arial" w:eastAsia="Arial" w:hAnsi="Arial"/>
          <w:sz w:val="16"/>
          <w:szCs w:val="16"/>
          <w:color w:val="auto"/>
          <w:vertAlign w:val="superscript"/>
        </w:rPr>
      </w:pPr>
    </w:p>
    <w:p>
      <w:pPr>
        <w:ind w:left="200" w:hanging="192"/>
        <w:spacing w:after="0"/>
        <w:tabs>
          <w:tab w:leader="none" w:pos="200" w:val="left"/>
        </w:tabs>
        <w:numPr>
          <w:ilvl w:val="0"/>
          <w:numId w:val="193"/>
        </w:numPr>
        <w:rPr>
          <w:rFonts w:ascii="Arial" w:cs="Arial" w:eastAsia="Arial" w:hAnsi="Arial"/>
          <w:sz w:val="15"/>
          <w:szCs w:val="15"/>
          <w:color w:val="auto"/>
          <w:vertAlign w:val="superscript"/>
        </w:rPr>
      </w:pPr>
      <w:r>
        <w:rPr>
          <w:rFonts w:ascii="Arial" w:cs="Arial" w:eastAsia="Arial" w:hAnsi="Arial"/>
          <w:sz w:val="12"/>
          <w:szCs w:val="12"/>
          <w:color w:val="auto"/>
        </w:rPr>
        <w:t>Relates to stock options originally granted in February 2018 and 2019 with a 10-year term that would have expired in 2028 and 2029 if not exercised. Options were sold immediately upon exercise.</w:t>
      </w:r>
    </w:p>
    <w:p>
      <w:pPr>
        <w:spacing w:after="0" w:line="50" w:lineRule="exact"/>
        <w:rPr>
          <w:rFonts w:ascii="Arial" w:cs="Arial" w:eastAsia="Arial" w:hAnsi="Arial"/>
          <w:sz w:val="15"/>
          <w:szCs w:val="15"/>
          <w:color w:val="auto"/>
          <w:vertAlign w:val="superscript"/>
        </w:rPr>
      </w:pPr>
    </w:p>
    <w:p>
      <w:pPr>
        <w:ind w:left="200" w:right="160" w:hanging="192"/>
        <w:spacing w:after="0" w:line="246" w:lineRule="auto"/>
        <w:tabs>
          <w:tab w:leader="none" w:pos="191" w:val="left"/>
        </w:tabs>
        <w:numPr>
          <w:ilvl w:val="0"/>
          <w:numId w:val="193"/>
        </w:numPr>
        <w:rPr>
          <w:rFonts w:ascii="Arial" w:cs="Arial" w:eastAsia="Arial" w:hAnsi="Arial"/>
          <w:sz w:val="15"/>
          <w:szCs w:val="15"/>
          <w:color w:val="auto"/>
          <w:vertAlign w:val="superscript"/>
        </w:rPr>
      </w:pPr>
      <w:r>
        <w:rPr>
          <w:rFonts w:ascii="Arial" w:cs="Arial" w:eastAsia="Arial" w:hAnsi="Arial"/>
          <w:sz w:val="12"/>
          <w:szCs w:val="12"/>
          <w:color w:val="auto"/>
        </w:rPr>
        <w:t>Upon the vesting of RSUs, after withholding shares to cover applicable taxes, a total of 2,731 net shares were retained. Upon the vesting of PSUs, 8,652 shares were settled in cash, and 4,880 net shares were retained after withholding shares to cover applicable taxes. Net shares must be held for at least one year before they can be sold.</w:t>
      </w:r>
    </w:p>
    <w:p>
      <w:pPr>
        <w:spacing w:after="0" w:line="59" w:lineRule="exact"/>
        <w:rPr>
          <w:rFonts w:ascii="Arial" w:cs="Arial" w:eastAsia="Arial" w:hAnsi="Arial"/>
          <w:sz w:val="15"/>
          <w:szCs w:val="15"/>
          <w:color w:val="auto"/>
          <w:vertAlign w:val="superscript"/>
        </w:rPr>
      </w:pPr>
    </w:p>
    <w:p>
      <w:pPr>
        <w:ind w:left="200" w:right="200" w:hanging="192"/>
        <w:spacing w:after="0" w:line="291" w:lineRule="auto"/>
        <w:tabs>
          <w:tab w:leader="none" w:pos="185" w:val="left"/>
        </w:tabs>
        <w:numPr>
          <w:ilvl w:val="0"/>
          <w:numId w:val="193"/>
        </w:numPr>
        <w:rPr>
          <w:rFonts w:ascii="Arial" w:cs="Arial" w:eastAsia="Arial" w:hAnsi="Arial"/>
          <w:sz w:val="14"/>
          <w:szCs w:val="14"/>
          <w:color w:val="auto"/>
          <w:vertAlign w:val="superscript"/>
        </w:rPr>
      </w:pPr>
      <w:r>
        <w:rPr>
          <w:rFonts w:ascii="Arial" w:cs="Arial" w:eastAsia="Arial" w:hAnsi="Arial"/>
          <w:sz w:val="11"/>
          <w:szCs w:val="11"/>
          <w:color w:val="auto"/>
        </w:rPr>
        <w:t>Relates to stock options originally granted in October 2022, February 2023, and February 2024 with a 10-year term that would have expired in 2032, 2033, and 2034 if not exercised. Options were sold immediately upon exercise.</w:t>
      </w:r>
    </w:p>
    <w:p>
      <w:pPr>
        <w:spacing w:after="0" w:line="29" w:lineRule="exact"/>
        <w:rPr>
          <w:rFonts w:ascii="Arial" w:cs="Arial" w:eastAsia="Arial" w:hAnsi="Arial"/>
          <w:sz w:val="14"/>
          <w:szCs w:val="14"/>
          <w:color w:val="auto"/>
          <w:vertAlign w:val="superscript"/>
        </w:rPr>
      </w:pPr>
    </w:p>
    <w:p>
      <w:pPr>
        <w:ind w:left="200" w:right="160" w:hanging="192"/>
        <w:spacing w:after="0" w:line="246" w:lineRule="auto"/>
        <w:tabs>
          <w:tab w:leader="none" w:pos="191" w:val="left"/>
        </w:tabs>
        <w:numPr>
          <w:ilvl w:val="0"/>
          <w:numId w:val="193"/>
        </w:numPr>
        <w:rPr>
          <w:rFonts w:ascii="Arial" w:cs="Arial" w:eastAsia="Arial" w:hAnsi="Arial"/>
          <w:sz w:val="15"/>
          <w:szCs w:val="15"/>
          <w:color w:val="auto"/>
          <w:vertAlign w:val="superscript"/>
        </w:rPr>
      </w:pPr>
      <w:r>
        <w:rPr>
          <w:rFonts w:ascii="Arial" w:cs="Arial" w:eastAsia="Arial" w:hAnsi="Arial"/>
          <w:sz w:val="12"/>
          <w:szCs w:val="12"/>
          <w:color w:val="auto"/>
        </w:rPr>
        <w:t>Upon the vesting of RSUs, after withholding shares to cover applicable taxes, a total of 4,047 net shares were retained. Upon the vesting of PSUs, 4,446 shares were settled in cash, and 2,697 net shares were retained after withholding shares to cover applicable taxes.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2026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93</w:t>
            </w:r>
          </w:p>
        </w:tc>
      </w:tr>
      <w:tr>
        <w:trPr>
          <w:trHeight w:val="359"/>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-368300</wp:posOffset>
            </wp:positionV>
            <wp:extent cx="548640" cy="10287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04" w:name="page105"/>
    <w:bookmarkEnd w:id="104"/>
    <w:p>
      <w:pPr>
        <w:spacing w:after="0"/>
        <w:rPr>
          <w:sz w:val="20"/>
          <w:szCs w:val="20"/>
          <w:color w:val="auto"/>
        </w:rPr>
      </w:pPr>
      <w:r>
        <w:rPr>
          <w:rFonts w:ascii="Arial" w:cs="Arial" w:eastAsia="Arial" w:hAnsi="Arial"/>
          <w:sz w:val="13"/>
          <w:szCs w:val="13"/>
          <w:b w:val="1"/>
          <w:bCs w:val="1"/>
          <w:color w:val="6D6E71"/>
        </w:rPr>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PENSION BENEFITS</w:t>
      </w:r>
    </w:p>
    <w:p>
      <w:pPr>
        <w:spacing w:after="0" w:line="128"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The following table provides summary information about the pension benefits that have been earned by the Company’s Named Executive Officers (NEOs) under two pension plans, the Honeywell International Inc. Supplemental Executive Retirement Plan (SERP) and the Honeywell International Inc. Retirement Earnings Plan (REP):</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Pension Benefits — Fiscal Year 2025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5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20" w:type="dxa"/>
            <w:vAlign w:val="bottom"/>
          </w:tcPr>
          <w:p>
            <w:pPr>
              <w:jc w:val="right"/>
              <w:ind w:right="128"/>
              <w:spacing w:after="0"/>
              <w:rPr>
                <w:sz w:val="20"/>
                <w:szCs w:val="20"/>
                <w:color w:val="auto"/>
              </w:rPr>
            </w:pPr>
            <w:r>
              <w:rPr>
                <w:rFonts w:ascii="Arial" w:cs="Arial" w:eastAsia="Arial" w:hAnsi="Arial"/>
                <w:sz w:val="14"/>
                <w:szCs w:val="14"/>
                <w:b w:val="1"/>
                <w:bCs w:val="1"/>
                <w:color w:val="auto"/>
              </w:rPr>
              <w:t>Number of</w:t>
            </w: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Present</w:t>
            </w:r>
          </w:p>
        </w:tc>
        <w:tc>
          <w:tcPr>
            <w:tcW w:w="0" w:type="dxa"/>
            <w:vAlign w:val="bottom"/>
          </w:tcPr>
          <w:p>
            <w:pPr>
              <w:spacing w:after="0"/>
              <w:rPr>
                <w:sz w:val="1"/>
                <w:szCs w:val="1"/>
                <w:color w:val="auto"/>
              </w:rPr>
            </w:pPr>
          </w:p>
        </w:tc>
      </w:tr>
      <w:tr>
        <w:trPr>
          <w:trHeight w:val="176"/>
        </w:trPr>
        <w:tc>
          <w:tcPr>
            <w:tcW w:w="75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20" w:type="dxa"/>
            <w:vAlign w:val="bottom"/>
          </w:tcPr>
          <w:p>
            <w:pPr>
              <w:jc w:val="right"/>
              <w:ind w:right="128"/>
              <w:spacing w:after="0"/>
              <w:rPr>
                <w:sz w:val="20"/>
                <w:szCs w:val="20"/>
                <w:color w:val="auto"/>
              </w:rPr>
            </w:pPr>
            <w:r>
              <w:rPr>
                <w:rFonts w:ascii="Arial" w:cs="Arial" w:eastAsia="Arial" w:hAnsi="Arial"/>
                <w:sz w:val="14"/>
                <w:szCs w:val="14"/>
                <w:b w:val="1"/>
                <w:bCs w:val="1"/>
                <w:color w:val="auto"/>
              </w:rPr>
              <w:t>Years of</w:t>
            </w: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Value of</w:t>
            </w:r>
          </w:p>
        </w:tc>
        <w:tc>
          <w:tcPr>
            <w:tcW w:w="0" w:type="dxa"/>
            <w:vAlign w:val="bottom"/>
          </w:tcPr>
          <w:p>
            <w:pPr>
              <w:spacing w:after="0"/>
              <w:rPr>
                <w:sz w:val="1"/>
                <w:szCs w:val="1"/>
                <w:color w:val="auto"/>
              </w:rPr>
            </w:pPr>
          </w:p>
        </w:tc>
      </w:tr>
      <w:tr>
        <w:trPr>
          <w:trHeight w:val="162"/>
        </w:trPr>
        <w:tc>
          <w:tcPr>
            <w:tcW w:w="7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jc w:val="right"/>
              <w:ind w:right="128"/>
              <w:spacing w:after="0"/>
              <w:rPr>
                <w:sz w:val="20"/>
                <w:szCs w:val="20"/>
                <w:color w:val="auto"/>
              </w:rPr>
            </w:pPr>
            <w:r>
              <w:rPr>
                <w:rFonts w:ascii="Arial" w:cs="Arial" w:eastAsia="Arial" w:hAnsi="Arial"/>
                <w:sz w:val="14"/>
                <w:szCs w:val="14"/>
                <w:b w:val="1"/>
                <w:bCs w:val="1"/>
                <w:color w:val="auto"/>
              </w:rPr>
              <w:t>Credited</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205"/>
        </w:trPr>
        <w:tc>
          <w:tcPr>
            <w:tcW w:w="75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Named Executive Officer</w:t>
            </w:r>
          </w:p>
        </w:tc>
        <w:tc>
          <w:tcPr>
            <w:tcW w:w="11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Plan Name</w:t>
            </w:r>
          </w:p>
        </w:tc>
        <w:tc>
          <w:tcPr>
            <w:tcW w:w="132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Service</w:t>
            </w:r>
          </w:p>
        </w:tc>
        <w:tc>
          <w:tcPr>
            <w:tcW w:w="30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Benefits</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308"/>
        </w:trPr>
        <w:tc>
          <w:tcPr>
            <w:tcW w:w="7520" w:type="dxa"/>
            <w:vAlign w:val="bottom"/>
          </w:tcPr>
          <w:p>
            <w:pPr>
              <w:ind w:left="20"/>
              <w:spacing w:after="0"/>
              <w:rPr>
                <w:sz w:val="20"/>
                <w:szCs w:val="20"/>
                <w:color w:val="auto"/>
              </w:rPr>
            </w:pPr>
            <w:r>
              <w:rPr>
                <w:rFonts w:ascii="Arial" w:cs="Arial" w:eastAsia="Arial" w:hAnsi="Arial"/>
                <w:sz w:val="14"/>
                <w:szCs w:val="14"/>
                <w:b w:val="1"/>
                <w:bCs w:val="1"/>
                <w:color w:val="auto"/>
              </w:rPr>
              <w:t>Vimal Kapur</w:t>
            </w:r>
          </w:p>
        </w:tc>
        <w:tc>
          <w:tcPr>
            <w:tcW w:w="1140" w:type="dxa"/>
            <w:vAlign w:val="bottom"/>
          </w:tcPr>
          <w:p>
            <w:pPr>
              <w:ind w:left="20"/>
              <w:spacing w:after="0"/>
              <w:rPr>
                <w:sz w:val="20"/>
                <w:szCs w:val="20"/>
                <w:color w:val="auto"/>
              </w:rPr>
            </w:pPr>
            <w:r>
              <w:rPr>
                <w:rFonts w:ascii="Arial" w:cs="Arial" w:eastAsia="Arial" w:hAnsi="Arial"/>
                <w:sz w:val="14"/>
                <w:szCs w:val="14"/>
                <w:color w:val="auto"/>
              </w:rPr>
              <w:t>REP</w:t>
            </w:r>
          </w:p>
        </w:tc>
        <w:tc>
          <w:tcPr>
            <w:tcW w:w="1320" w:type="dxa"/>
            <w:vAlign w:val="bottom"/>
          </w:tcPr>
          <w:p>
            <w:pPr>
              <w:jc w:val="right"/>
              <w:ind w:right="188"/>
              <w:spacing w:after="0"/>
              <w:rPr>
                <w:sz w:val="20"/>
                <w:szCs w:val="20"/>
                <w:color w:val="auto"/>
              </w:rPr>
            </w:pPr>
            <w:r>
              <w:rPr>
                <w:rFonts w:ascii="Arial" w:cs="Arial" w:eastAsia="Arial" w:hAnsi="Arial"/>
                <w:sz w:val="14"/>
                <w:szCs w:val="14"/>
                <w:color w:val="auto"/>
              </w:rPr>
              <w:t>11.5</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223,640</w:t>
            </w:r>
          </w:p>
        </w:tc>
        <w:tc>
          <w:tcPr>
            <w:tcW w:w="0" w:type="dxa"/>
            <w:vAlign w:val="bottom"/>
          </w:tcPr>
          <w:p>
            <w:pPr>
              <w:spacing w:after="0"/>
              <w:rPr>
                <w:sz w:val="1"/>
                <w:szCs w:val="1"/>
                <w:color w:val="auto"/>
              </w:rPr>
            </w:pPr>
          </w:p>
        </w:tc>
      </w:tr>
      <w:tr>
        <w:trPr>
          <w:trHeight w:val="123"/>
        </w:trPr>
        <w:tc>
          <w:tcPr>
            <w:tcW w:w="7520" w:type="dxa"/>
            <w:vAlign w:val="bottom"/>
          </w:tcPr>
          <w:p>
            <w:pPr>
              <w:spacing w:after="0"/>
              <w:rPr>
                <w:sz w:val="10"/>
                <w:szCs w:val="10"/>
                <w:color w:val="auto"/>
              </w:rPr>
            </w:pPr>
          </w:p>
        </w:tc>
        <w:tc>
          <w:tcPr>
            <w:tcW w:w="1140" w:type="dxa"/>
            <w:vAlign w:val="bottom"/>
            <w:tcBorders>
              <w:bottom w:val="single" w:sz="8" w:color="939598"/>
            </w:tcBorders>
          </w:tcPr>
          <w:p>
            <w:pPr>
              <w:spacing w:after="0"/>
              <w:rPr>
                <w:sz w:val="10"/>
                <w:szCs w:val="10"/>
                <w:color w:val="auto"/>
              </w:rPr>
            </w:pPr>
          </w:p>
        </w:tc>
        <w:tc>
          <w:tcPr>
            <w:tcW w:w="1320" w:type="dxa"/>
            <w:vAlign w:val="bottom"/>
            <w:tcBorders>
              <w:bottom w:val="single" w:sz="8" w:color="939598"/>
            </w:tcBorders>
          </w:tcPr>
          <w:p>
            <w:pPr>
              <w:spacing w:after="0"/>
              <w:rPr>
                <w:sz w:val="10"/>
                <w:szCs w:val="10"/>
                <w:color w:val="auto"/>
              </w:rPr>
            </w:pPr>
          </w:p>
        </w:tc>
        <w:tc>
          <w:tcPr>
            <w:tcW w:w="300" w:type="dxa"/>
            <w:vAlign w:val="bottom"/>
            <w:tcBorders>
              <w:bottom w:val="single" w:sz="8" w:color="939598"/>
            </w:tcBorders>
          </w:tcPr>
          <w:p>
            <w:pPr>
              <w:spacing w:after="0"/>
              <w:rPr>
                <w:sz w:val="10"/>
                <w:szCs w:val="10"/>
                <w:color w:val="auto"/>
              </w:rPr>
            </w:pPr>
          </w:p>
        </w:tc>
        <w:tc>
          <w:tcPr>
            <w:tcW w:w="94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296"/>
        </w:trPr>
        <w:tc>
          <w:tcPr>
            <w:tcW w:w="75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4"/>
                <w:szCs w:val="14"/>
                <w:color w:val="auto"/>
              </w:rPr>
              <w:t>SERP</w:t>
            </w:r>
          </w:p>
        </w:tc>
        <w:tc>
          <w:tcPr>
            <w:tcW w:w="1320" w:type="dxa"/>
            <w:vAlign w:val="bottom"/>
          </w:tcPr>
          <w:p>
            <w:pPr>
              <w:jc w:val="right"/>
              <w:ind w:right="188"/>
              <w:spacing w:after="0"/>
              <w:rPr>
                <w:sz w:val="20"/>
                <w:szCs w:val="20"/>
                <w:color w:val="auto"/>
              </w:rPr>
            </w:pPr>
            <w:r>
              <w:rPr>
                <w:rFonts w:ascii="Arial" w:cs="Arial" w:eastAsia="Arial" w:hAnsi="Arial"/>
                <w:sz w:val="14"/>
                <w:szCs w:val="14"/>
                <w:color w:val="auto"/>
              </w:rPr>
              <w:t>11.5</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1,782,689</w:t>
            </w:r>
          </w:p>
        </w:tc>
        <w:tc>
          <w:tcPr>
            <w:tcW w:w="0" w:type="dxa"/>
            <w:vAlign w:val="bottom"/>
          </w:tcPr>
          <w:p>
            <w:pPr>
              <w:spacing w:after="0"/>
              <w:rPr>
                <w:sz w:val="1"/>
                <w:szCs w:val="1"/>
                <w:color w:val="auto"/>
              </w:rPr>
            </w:pPr>
          </w:p>
        </w:tc>
      </w:tr>
      <w:tr>
        <w:trPr>
          <w:trHeight w:val="130"/>
        </w:trPr>
        <w:tc>
          <w:tcPr>
            <w:tcW w:w="7520" w:type="dxa"/>
            <w:vAlign w:val="bottom"/>
          </w:tcPr>
          <w:p>
            <w:pPr>
              <w:spacing w:after="0"/>
              <w:rPr>
                <w:sz w:val="11"/>
                <w:szCs w:val="11"/>
                <w:color w:val="auto"/>
              </w:rPr>
            </w:pPr>
          </w:p>
        </w:tc>
        <w:tc>
          <w:tcPr>
            <w:tcW w:w="1140" w:type="dxa"/>
            <w:vAlign w:val="bottom"/>
            <w:tcBorders>
              <w:bottom w:val="single" w:sz="8" w:color="939598"/>
            </w:tcBorders>
          </w:tcPr>
          <w:p>
            <w:pPr>
              <w:spacing w:after="0"/>
              <w:rPr>
                <w:sz w:val="11"/>
                <w:szCs w:val="11"/>
                <w:color w:val="auto"/>
              </w:rPr>
            </w:pPr>
          </w:p>
        </w:tc>
        <w:tc>
          <w:tcPr>
            <w:tcW w:w="1320" w:type="dxa"/>
            <w:vAlign w:val="bottom"/>
            <w:tcBorders>
              <w:bottom w:val="single" w:sz="8" w:color="939598"/>
            </w:tcBorders>
          </w:tcPr>
          <w:p>
            <w:pPr>
              <w:spacing w:after="0"/>
              <w:rPr>
                <w:sz w:val="11"/>
                <w:szCs w:val="11"/>
                <w:color w:val="auto"/>
              </w:rPr>
            </w:pPr>
          </w:p>
        </w:tc>
        <w:tc>
          <w:tcPr>
            <w:tcW w:w="300" w:type="dxa"/>
            <w:vAlign w:val="bottom"/>
            <w:tcBorders>
              <w:bottom w:val="single" w:sz="8" w:color="939598"/>
            </w:tcBorders>
          </w:tcPr>
          <w:p>
            <w:pPr>
              <w:spacing w:after="0"/>
              <w:rPr>
                <w:sz w:val="11"/>
                <w:szCs w:val="11"/>
                <w:color w:val="auto"/>
              </w:rPr>
            </w:pPr>
          </w:p>
        </w:tc>
        <w:tc>
          <w:tcPr>
            <w:tcW w:w="94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302"/>
        </w:trPr>
        <w:tc>
          <w:tcPr>
            <w:tcW w:w="75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2,006,329</w:t>
            </w:r>
          </w:p>
        </w:tc>
        <w:tc>
          <w:tcPr>
            <w:tcW w:w="0" w:type="dxa"/>
            <w:vAlign w:val="bottom"/>
          </w:tcPr>
          <w:p>
            <w:pPr>
              <w:spacing w:after="0"/>
              <w:rPr>
                <w:sz w:val="1"/>
                <w:szCs w:val="1"/>
                <w:color w:val="auto"/>
              </w:rPr>
            </w:pPr>
          </w:p>
        </w:tc>
      </w:tr>
      <w:tr>
        <w:trPr>
          <w:trHeight w:val="123"/>
        </w:trPr>
        <w:tc>
          <w:tcPr>
            <w:tcW w:w="7520" w:type="dxa"/>
            <w:vAlign w:val="bottom"/>
            <w:tcBorders>
              <w:bottom w:val="single" w:sz="8" w:color="939598"/>
            </w:tcBorders>
          </w:tcPr>
          <w:p>
            <w:pPr>
              <w:spacing w:after="0"/>
              <w:rPr>
                <w:sz w:val="10"/>
                <w:szCs w:val="10"/>
                <w:color w:val="auto"/>
              </w:rPr>
            </w:pPr>
          </w:p>
        </w:tc>
        <w:tc>
          <w:tcPr>
            <w:tcW w:w="1140" w:type="dxa"/>
            <w:vAlign w:val="bottom"/>
            <w:tcBorders>
              <w:bottom w:val="single" w:sz="8" w:color="939598"/>
            </w:tcBorders>
          </w:tcPr>
          <w:p>
            <w:pPr>
              <w:spacing w:after="0"/>
              <w:rPr>
                <w:sz w:val="10"/>
                <w:szCs w:val="10"/>
                <w:color w:val="auto"/>
              </w:rPr>
            </w:pPr>
          </w:p>
        </w:tc>
        <w:tc>
          <w:tcPr>
            <w:tcW w:w="1320" w:type="dxa"/>
            <w:vAlign w:val="bottom"/>
            <w:tcBorders>
              <w:bottom w:val="single" w:sz="8" w:color="939598"/>
            </w:tcBorders>
          </w:tcPr>
          <w:p>
            <w:pPr>
              <w:spacing w:after="0"/>
              <w:rPr>
                <w:sz w:val="10"/>
                <w:szCs w:val="10"/>
                <w:color w:val="auto"/>
              </w:rPr>
            </w:pPr>
          </w:p>
        </w:tc>
        <w:tc>
          <w:tcPr>
            <w:tcW w:w="300" w:type="dxa"/>
            <w:vAlign w:val="bottom"/>
            <w:tcBorders>
              <w:bottom w:val="single" w:sz="8" w:color="939598"/>
            </w:tcBorders>
          </w:tcPr>
          <w:p>
            <w:pPr>
              <w:spacing w:after="0"/>
              <w:rPr>
                <w:sz w:val="10"/>
                <w:szCs w:val="10"/>
                <w:color w:val="auto"/>
              </w:rPr>
            </w:pPr>
          </w:p>
        </w:tc>
        <w:tc>
          <w:tcPr>
            <w:tcW w:w="94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7520" w:type="dxa"/>
            <w:vAlign w:val="bottom"/>
          </w:tcPr>
          <w:p>
            <w:pPr>
              <w:ind w:left="20"/>
              <w:spacing w:after="0"/>
              <w:rPr>
                <w:sz w:val="20"/>
                <w:szCs w:val="20"/>
                <w:color w:val="auto"/>
              </w:rPr>
            </w:pPr>
            <w:r>
              <w:rPr>
                <w:rFonts w:ascii="Arial" w:cs="Arial" w:eastAsia="Arial" w:hAnsi="Arial"/>
                <w:sz w:val="14"/>
                <w:szCs w:val="14"/>
                <w:b w:val="1"/>
                <w:bCs w:val="1"/>
                <w:color w:val="auto"/>
              </w:rPr>
              <w:t>Michal Stepniak</w:t>
            </w:r>
          </w:p>
        </w:tc>
        <w:tc>
          <w:tcPr>
            <w:tcW w:w="1140" w:type="dxa"/>
            <w:vAlign w:val="bottom"/>
          </w:tcPr>
          <w:p>
            <w:pPr>
              <w:ind w:left="20"/>
              <w:spacing w:after="0"/>
              <w:rPr>
                <w:sz w:val="20"/>
                <w:szCs w:val="20"/>
                <w:color w:val="auto"/>
              </w:rPr>
            </w:pPr>
            <w:r>
              <w:rPr>
                <w:rFonts w:ascii="Arial" w:cs="Arial" w:eastAsia="Arial" w:hAnsi="Arial"/>
                <w:sz w:val="14"/>
                <w:szCs w:val="14"/>
                <w:color w:val="auto"/>
              </w:rPr>
              <w:t>REP</w:t>
            </w:r>
          </w:p>
        </w:tc>
        <w:tc>
          <w:tcPr>
            <w:tcW w:w="132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2"/>
        </w:trPr>
        <w:tc>
          <w:tcPr>
            <w:tcW w:w="75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7520" w:type="dxa"/>
            <w:vAlign w:val="bottom"/>
          </w:tcPr>
          <w:p>
            <w:pPr>
              <w:spacing w:after="0"/>
              <w:rPr>
                <w:sz w:val="11"/>
                <w:szCs w:val="11"/>
                <w:color w:val="auto"/>
              </w:rPr>
            </w:pPr>
          </w:p>
        </w:tc>
        <w:tc>
          <w:tcPr>
            <w:tcW w:w="1140" w:type="dxa"/>
            <w:vAlign w:val="bottom"/>
            <w:tcBorders>
              <w:bottom w:val="single" w:sz="8" w:color="939598"/>
            </w:tcBorders>
          </w:tcPr>
          <w:p>
            <w:pPr>
              <w:spacing w:after="0"/>
              <w:rPr>
                <w:sz w:val="11"/>
                <w:szCs w:val="11"/>
                <w:color w:val="auto"/>
              </w:rPr>
            </w:pPr>
          </w:p>
        </w:tc>
        <w:tc>
          <w:tcPr>
            <w:tcW w:w="1320" w:type="dxa"/>
            <w:vAlign w:val="bottom"/>
            <w:tcBorders>
              <w:bottom w:val="single" w:sz="8" w:color="939598"/>
            </w:tcBorders>
          </w:tcPr>
          <w:p>
            <w:pPr>
              <w:spacing w:after="0"/>
              <w:rPr>
                <w:sz w:val="11"/>
                <w:szCs w:val="11"/>
                <w:color w:val="auto"/>
              </w:rPr>
            </w:pPr>
          </w:p>
        </w:tc>
        <w:tc>
          <w:tcPr>
            <w:tcW w:w="300" w:type="dxa"/>
            <w:vAlign w:val="bottom"/>
            <w:tcBorders>
              <w:bottom w:val="single" w:sz="8" w:color="939598"/>
            </w:tcBorders>
          </w:tcPr>
          <w:p>
            <w:pPr>
              <w:spacing w:after="0"/>
              <w:rPr>
                <w:sz w:val="11"/>
                <w:szCs w:val="11"/>
                <w:color w:val="auto"/>
              </w:rPr>
            </w:pPr>
          </w:p>
        </w:tc>
        <w:tc>
          <w:tcPr>
            <w:tcW w:w="94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75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4"/>
                <w:szCs w:val="14"/>
                <w:color w:val="auto"/>
              </w:rPr>
              <w:t>SERP</w:t>
            </w:r>
          </w:p>
        </w:tc>
        <w:tc>
          <w:tcPr>
            <w:tcW w:w="13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9"/>
        </w:trPr>
        <w:tc>
          <w:tcPr>
            <w:tcW w:w="7520" w:type="dxa"/>
            <w:vAlign w:val="bottom"/>
          </w:tcPr>
          <w:p>
            <w:pPr>
              <w:spacing w:after="0"/>
              <w:rPr>
                <w:sz w:val="11"/>
                <w:szCs w:val="11"/>
                <w:color w:val="auto"/>
              </w:rPr>
            </w:pPr>
          </w:p>
        </w:tc>
        <w:tc>
          <w:tcPr>
            <w:tcW w:w="1140" w:type="dxa"/>
            <w:vAlign w:val="bottom"/>
            <w:tcBorders>
              <w:bottom w:val="single" w:sz="8" w:color="939598"/>
            </w:tcBorders>
          </w:tcPr>
          <w:p>
            <w:pPr>
              <w:spacing w:after="0"/>
              <w:rPr>
                <w:sz w:val="11"/>
                <w:szCs w:val="11"/>
                <w:color w:val="auto"/>
              </w:rPr>
            </w:pPr>
          </w:p>
        </w:tc>
        <w:tc>
          <w:tcPr>
            <w:tcW w:w="1320" w:type="dxa"/>
            <w:vAlign w:val="bottom"/>
            <w:tcBorders>
              <w:bottom w:val="single" w:sz="8" w:color="939598"/>
            </w:tcBorders>
          </w:tcPr>
          <w:p>
            <w:pPr>
              <w:spacing w:after="0"/>
              <w:rPr>
                <w:sz w:val="11"/>
                <w:szCs w:val="11"/>
                <w:color w:val="auto"/>
              </w:rPr>
            </w:pPr>
          </w:p>
        </w:tc>
        <w:tc>
          <w:tcPr>
            <w:tcW w:w="300" w:type="dxa"/>
            <w:vAlign w:val="bottom"/>
            <w:tcBorders>
              <w:bottom w:val="single" w:sz="8" w:color="939598"/>
            </w:tcBorders>
          </w:tcPr>
          <w:p>
            <w:pPr>
              <w:spacing w:after="0"/>
              <w:rPr>
                <w:sz w:val="11"/>
                <w:szCs w:val="11"/>
                <w:color w:val="auto"/>
              </w:rPr>
            </w:pPr>
          </w:p>
        </w:tc>
        <w:tc>
          <w:tcPr>
            <w:tcW w:w="94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302"/>
        </w:trPr>
        <w:tc>
          <w:tcPr>
            <w:tcW w:w="75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24"/>
        </w:trPr>
        <w:tc>
          <w:tcPr>
            <w:tcW w:w="7520" w:type="dxa"/>
            <w:vAlign w:val="bottom"/>
            <w:tcBorders>
              <w:bottom w:val="single" w:sz="8" w:color="939598"/>
            </w:tcBorders>
          </w:tcPr>
          <w:p>
            <w:pPr>
              <w:spacing w:after="0"/>
              <w:rPr>
                <w:sz w:val="10"/>
                <w:szCs w:val="10"/>
                <w:color w:val="auto"/>
              </w:rPr>
            </w:pPr>
          </w:p>
        </w:tc>
        <w:tc>
          <w:tcPr>
            <w:tcW w:w="1140" w:type="dxa"/>
            <w:vAlign w:val="bottom"/>
            <w:tcBorders>
              <w:bottom w:val="single" w:sz="8" w:color="939598"/>
            </w:tcBorders>
          </w:tcPr>
          <w:p>
            <w:pPr>
              <w:spacing w:after="0"/>
              <w:rPr>
                <w:sz w:val="10"/>
                <w:szCs w:val="10"/>
                <w:color w:val="auto"/>
              </w:rPr>
            </w:pPr>
          </w:p>
        </w:tc>
        <w:tc>
          <w:tcPr>
            <w:tcW w:w="1320" w:type="dxa"/>
            <w:vAlign w:val="bottom"/>
            <w:tcBorders>
              <w:bottom w:val="single" w:sz="8" w:color="939598"/>
            </w:tcBorders>
          </w:tcPr>
          <w:p>
            <w:pPr>
              <w:spacing w:after="0"/>
              <w:rPr>
                <w:sz w:val="10"/>
                <w:szCs w:val="10"/>
                <w:color w:val="auto"/>
              </w:rPr>
            </w:pPr>
          </w:p>
        </w:tc>
        <w:tc>
          <w:tcPr>
            <w:tcW w:w="300" w:type="dxa"/>
            <w:vAlign w:val="bottom"/>
            <w:tcBorders>
              <w:bottom w:val="single" w:sz="8" w:color="939598"/>
            </w:tcBorders>
          </w:tcPr>
          <w:p>
            <w:pPr>
              <w:spacing w:after="0"/>
              <w:rPr>
                <w:sz w:val="10"/>
                <w:szCs w:val="10"/>
                <w:color w:val="auto"/>
              </w:rPr>
            </w:pPr>
          </w:p>
        </w:tc>
        <w:tc>
          <w:tcPr>
            <w:tcW w:w="94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7520" w:type="dxa"/>
            <w:vAlign w:val="bottom"/>
          </w:tcPr>
          <w:p>
            <w:pPr>
              <w:ind w:left="20"/>
              <w:spacing w:after="0"/>
              <w:rPr>
                <w:sz w:val="20"/>
                <w:szCs w:val="20"/>
                <w:color w:val="auto"/>
              </w:rPr>
            </w:pPr>
            <w:r>
              <w:rPr>
                <w:rFonts w:ascii="Arial" w:cs="Arial" w:eastAsia="Arial" w:hAnsi="Arial"/>
                <w:sz w:val="14"/>
                <w:szCs w:val="14"/>
                <w:b w:val="1"/>
                <w:bCs w:val="1"/>
                <w:color w:val="auto"/>
              </w:rPr>
              <w:t>James Currier</w:t>
            </w:r>
          </w:p>
        </w:tc>
        <w:tc>
          <w:tcPr>
            <w:tcW w:w="1140" w:type="dxa"/>
            <w:vAlign w:val="bottom"/>
          </w:tcPr>
          <w:p>
            <w:pPr>
              <w:ind w:left="20"/>
              <w:spacing w:after="0"/>
              <w:rPr>
                <w:sz w:val="20"/>
                <w:szCs w:val="20"/>
                <w:color w:val="auto"/>
              </w:rPr>
            </w:pPr>
            <w:r>
              <w:rPr>
                <w:rFonts w:ascii="Arial" w:cs="Arial" w:eastAsia="Arial" w:hAnsi="Arial"/>
                <w:sz w:val="14"/>
                <w:szCs w:val="14"/>
                <w:color w:val="auto"/>
              </w:rPr>
              <w:t>REP</w:t>
            </w:r>
          </w:p>
        </w:tc>
        <w:tc>
          <w:tcPr>
            <w:tcW w:w="1320" w:type="dxa"/>
            <w:vAlign w:val="bottom"/>
            <w:vMerge w:val="restart"/>
          </w:tcPr>
          <w:p>
            <w:pPr>
              <w:jc w:val="right"/>
              <w:ind w:right="188"/>
              <w:spacing w:after="0"/>
              <w:rPr>
                <w:sz w:val="20"/>
                <w:szCs w:val="20"/>
                <w:color w:val="auto"/>
              </w:rPr>
            </w:pPr>
            <w:r>
              <w:rPr>
                <w:rFonts w:ascii="Arial" w:cs="Arial" w:eastAsia="Arial" w:hAnsi="Arial"/>
                <w:sz w:val="14"/>
                <w:szCs w:val="14"/>
                <w:color w:val="auto"/>
              </w:rPr>
              <w:t>19.3</w:t>
            </w:r>
          </w:p>
        </w:tc>
        <w:tc>
          <w:tcPr>
            <w:tcW w:w="30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376,071</w:t>
            </w:r>
          </w:p>
        </w:tc>
        <w:tc>
          <w:tcPr>
            <w:tcW w:w="0" w:type="dxa"/>
            <w:vAlign w:val="bottom"/>
          </w:tcPr>
          <w:p>
            <w:pPr>
              <w:spacing w:after="0"/>
              <w:rPr>
                <w:sz w:val="1"/>
                <w:szCs w:val="1"/>
                <w:color w:val="auto"/>
              </w:rPr>
            </w:pPr>
          </w:p>
        </w:tc>
      </w:tr>
      <w:tr>
        <w:trPr>
          <w:trHeight w:val="102"/>
        </w:trPr>
        <w:tc>
          <w:tcPr>
            <w:tcW w:w="75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7520" w:type="dxa"/>
            <w:vAlign w:val="bottom"/>
          </w:tcPr>
          <w:p>
            <w:pPr>
              <w:spacing w:after="0"/>
              <w:rPr>
                <w:sz w:val="11"/>
                <w:szCs w:val="11"/>
                <w:color w:val="auto"/>
              </w:rPr>
            </w:pPr>
          </w:p>
        </w:tc>
        <w:tc>
          <w:tcPr>
            <w:tcW w:w="1140" w:type="dxa"/>
            <w:vAlign w:val="bottom"/>
            <w:tcBorders>
              <w:bottom w:val="single" w:sz="8" w:color="939598"/>
            </w:tcBorders>
          </w:tcPr>
          <w:p>
            <w:pPr>
              <w:spacing w:after="0"/>
              <w:rPr>
                <w:sz w:val="11"/>
                <w:szCs w:val="11"/>
                <w:color w:val="auto"/>
              </w:rPr>
            </w:pPr>
          </w:p>
        </w:tc>
        <w:tc>
          <w:tcPr>
            <w:tcW w:w="1320" w:type="dxa"/>
            <w:vAlign w:val="bottom"/>
            <w:tcBorders>
              <w:bottom w:val="single" w:sz="8" w:color="939598"/>
            </w:tcBorders>
          </w:tcPr>
          <w:p>
            <w:pPr>
              <w:spacing w:after="0"/>
              <w:rPr>
                <w:sz w:val="11"/>
                <w:szCs w:val="11"/>
                <w:color w:val="auto"/>
              </w:rPr>
            </w:pPr>
          </w:p>
        </w:tc>
        <w:tc>
          <w:tcPr>
            <w:tcW w:w="300" w:type="dxa"/>
            <w:vAlign w:val="bottom"/>
            <w:tcBorders>
              <w:bottom w:val="single" w:sz="8" w:color="939598"/>
            </w:tcBorders>
          </w:tcPr>
          <w:p>
            <w:pPr>
              <w:spacing w:after="0"/>
              <w:rPr>
                <w:sz w:val="11"/>
                <w:szCs w:val="11"/>
                <w:color w:val="auto"/>
              </w:rPr>
            </w:pPr>
          </w:p>
        </w:tc>
        <w:tc>
          <w:tcPr>
            <w:tcW w:w="94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75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4"/>
                <w:szCs w:val="14"/>
                <w:color w:val="auto"/>
              </w:rPr>
              <w:t>SERP</w:t>
            </w:r>
          </w:p>
        </w:tc>
        <w:tc>
          <w:tcPr>
            <w:tcW w:w="1320" w:type="dxa"/>
            <w:vAlign w:val="bottom"/>
          </w:tcPr>
          <w:p>
            <w:pPr>
              <w:jc w:val="right"/>
              <w:ind w:right="188"/>
              <w:spacing w:after="0"/>
              <w:rPr>
                <w:sz w:val="20"/>
                <w:szCs w:val="20"/>
                <w:color w:val="auto"/>
              </w:rPr>
            </w:pPr>
            <w:r>
              <w:rPr>
                <w:rFonts w:ascii="Arial" w:cs="Arial" w:eastAsia="Arial" w:hAnsi="Arial"/>
                <w:sz w:val="14"/>
                <w:szCs w:val="14"/>
                <w:color w:val="auto"/>
              </w:rPr>
              <w:t>19.3</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748,431</w:t>
            </w:r>
          </w:p>
        </w:tc>
        <w:tc>
          <w:tcPr>
            <w:tcW w:w="0" w:type="dxa"/>
            <w:vAlign w:val="bottom"/>
          </w:tcPr>
          <w:p>
            <w:pPr>
              <w:spacing w:after="0"/>
              <w:rPr>
                <w:sz w:val="1"/>
                <w:szCs w:val="1"/>
                <w:color w:val="auto"/>
              </w:rPr>
            </w:pPr>
          </w:p>
        </w:tc>
      </w:tr>
      <w:tr>
        <w:trPr>
          <w:trHeight w:val="130"/>
        </w:trPr>
        <w:tc>
          <w:tcPr>
            <w:tcW w:w="7520" w:type="dxa"/>
            <w:vAlign w:val="bottom"/>
          </w:tcPr>
          <w:p>
            <w:pPr>
              <w:spacing w:after="0"/>
              <w:rPr>
                <w:sz w:val="11"/>
                <w:szCs w:val="11"/>
                <w:color w:val="auto"/>
              </w:rPr>
            </w:pPr>
          </w:p>
        </w:tc>
        <w:tc>
          <w:tcPr>
            <w:tcW w:w="1140" w:type="dxa"/>
            <w:vAlign w:val="bottom"/>
            <w:tcBorders>
              <w:bottom w:val="single" w:sz="8" w:color="939598"/>
            </w:tcBorders>
          </w:tcPr>
          <w:p>
            <w:pPr>
              <w:spacing w:after="0"/>
              <w:rPr>
                <w:sz w:val="11"/>
                <w:szCs w:val="11"/>
                <w:color w:val="auto"/>
              </w:rPr>
            </w:pPr>
          </w:p>
        </w:tc>
        <w:tc>
          <w:tcPr>
            <w:tcW w:w="1320" w:type="dxa"/>
            <w:vAlign w:val="bottom"/>
            <w:tcBorders>
              <w:bottom w:val="single" w:sz="8" w:color="939598"/>
            </w:tcBorders>
          </w:tcPr>
          <w:p>
            <w:pPr>
              <w:spacing w:after="0"/>
              <w:rPr>
                <w:sz w:val="11"/>
                <w:szCs w:val="11"/>
                <w:color w:val="auto"/>
              </w:rPr>
            </w:pPr>
          </w:p>
        </w:tc>
        <w:tc>
          <w:tcPr>
            <w:tcW w:w="300" w:type="dxa"/>
            <w:vAlign w:val="bottom"/>
            <w:tcBorders>
              <w:bottom w:val="single" w:sz="8" w:color="939598"/>
            </w:tcBorders>
          </w:tcPr>
          <w:p>
            <w:pPr>
              <w:spacing w:after="0"/>
              <w:rPr>
                <w:sz w:val="11"/>
                <w:szCs w:val="11"/>
                <w:color w:val="auto"/>
              </w:rPr>
            </w:pPr>
          </w:p>
        </w:tc>
        <w:tc>
          <w:tcPr>
            <w:tcW w:w="94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302"/>
        </w:trPr>
        <w:tc>
          <w:tcPr>
            <w:tcW w:w="75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1,124,502</w:t>
            </w:r>
          </w:p>
        </w:tc>
        <w:tc>
          <w:tcPr>
            <w:tcW w:w="0" w:type="dxa"/>
            <w:vAlign w:val="bottom"/>
          </w:tcPr>
          <w:p>
            <w:pPr>
              <w:spacing w:after="0"/>
              <w:rPr>
                <w:sz w:val="1"/>
                <w:szCs w:val="1"/>
                <w:color w:val="auto"/>
              </w:rPr>
            </w:pPr>
          </w:p>
        </w:tc>
      </w:tr>
      <w:tr>
        <w:trPr>
          <w:trHeight w:val="123"/>
        </w:trPr>
        <w:tc>
          <w:tcPr>
            <w:tcW w:w="7520" w:type="dxa"/>
            <w:vAlign w:val="bottom"/>
            <w:tcBorders>
              <w:bottom w:val="single" w:sz="8" w:color="939598"/>
            </w:tcBorders>
          </w:tcPr>
          <w:p>
            <w:pPr>
              <w:spacing w:after="0"/>
              <w:rPr>
                <w:sz w:val="10"/>
                <w:szCs w:val="10"/>
                <w:color w:val="auto"/>
              </w:rPr>
            </w:pPr>
          </w:p>
        </w:tc>
        <w:tc>
          <w:tcPr>
            <w:tcW w:w="1140" w:type="dxa"/>
            <w:vAlign w:val="bottom"/>
            <w:tcBorders>
              <w:bottom w:val="single" w:sz="8" w:color="939598"/>
            </w:tcBorders>
          </w:tcPr>
          <w:p>
            <w:pPr>
              <w:spacing w:after="0"/>
              <w:rPr>
                <w:sz w:val="10"/>
                <w:szCs w:val="10"/>
                <w:color w:val="auto"/>
              </w:rPr>
            </w:pPr>
          </w:p>
        </w:tc>
        <w:tc>
          <w:tcPr>
            <w:tcW w:w="1320" w:type="dxa"/>
            <w:vAlign w:val="bottom"/>
            <w:tcBorders>
              <w:bottom w:val="single" w:sz="8" w:color="939598"/>
            </w:tcBorders>
          </w:tcPr>
          <w:p>
            <w:pPr>
              <w:spacing w:after="0"/>
              <w:rPr>
                <w:sz w:val="10"/>
                <w:szCs w:val="10"/>
                <w:color w:val="auto"/>
              </w:rPr>
            </w:pPr>
          </w:p>
        </w:tc>
        <w:tc>
          <w:tcPr>
            <w:tcW w:w="300" w:type="dxa"/>
            <w:vAlign w:val="bottom"/>
            <w:tcBorders>
              <w:bottom w:val="single" w:sz="8" w:color="939598"/>
            </w:tcBorders>
          </w:tcPr>
          <w:p>
            <w:pPr>
              <w:spacing w:after="0"/>
              <w:rPr>
                <w:sz w:val="10"/>
                <w:szCs w:val="10"/>
                <w:color w:val="auto"/>
              </w:rPr>
            </w:pPr>
          </w:p>
        </w:tc>
        <w:tc>
          <w:tcPr>
            <w:tcW w:w="94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7520" w:type="dxa"/>
            <w:vAlign w:val="bottom"/>
          </w:tcPr>
          <w:p>
            <w:pPr>
              <w:ind w:left="20"/>
              <w:spacing w:after="0"/>
              <w:rPr>
                <w:sz w:val="20"/>
                <w:szCs w:val="20"/>
                <w:color w:val="auto"/>
              </w:rPr>
            </w:pPr>
            <w:r>
              <w:rPr>
                <w:rFonts w:ascii="Arial" w:cs="Arial" w:eastAsia="Arial" w:hAnsi="Arial"/>
                <w:sz w:val="14"/>
                <w:szCs w:val="14"/>
                <w:b w:val="1"/>
                <w:bCs w:val="1"/>
                <w:color w:val="auto"/>
              </w:rPr>
              <w:t>James Masso</w:t>
            </w:r>
          </w:p>
        </w:tc>
        <w:tc>
          <w:tcPr>
            <w:tcW w:w="1140" w:type="dxa"/>
            <w:vAlign w:val="bottom"/>
          </w:tcPr>
          <w:p>
            <w:pPr>
              <w:ind w:left="20"/>
              <w:spacing w:after="0"/>
              <w:rPr>
                <w:sz w:val="20"/>
                <w:szCs w:val="20"/>
                <w:color w:val="auto"/>
              </w:rPr>
            </w:pPr>
            <w:r>
              <w:rPr>
                <w:rFonts w:ascii="Arial" w:cs="Arial" w:eastAsia="Arial" w:hAnsi="Arial"/>
                <w:sz w:val="14"/>
                <w:szCs w:val="14"/>
                <w:color w:val="auto"/>
              </w:rPr>
              <w:t>REP</w:t>
            </w:r>
          </w:p>
        </w:tc>
        <w:tc>
          <w:tcPr>
            <w:tcW w:w="132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2"/>
        </w:trPr>
        <w:tc>
          <w:tcPr>
            <w:tcW w:w="75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7520" w:type="dxa"/>
            <w:vAlign w:val="bottom"/>
          </w:tcPr>
          <w:p>
            <w:pPr>
              <w:spacing w:after="0"/>
              <w:rPr>
                <w:sz w:val="11"/>
                <w:szCs w:val="11"/>
                <w:color w:val="auto"/>
              </w:rPr>
            </w:pPr>
          </w:p>
        </w:tc>
        <w:tc>
          <w:tcPr>
            <w:tcW w:w="1140" w:type="dxa"/>
            <w:vAlign w:val="bottom"/>
            <w:tcBorders>
              <w:bottom w:val="single" w:sz="8" w:color="939598"/>
            </w:tcBorders>
          </w:tcPr>
          <w:p>
            <w:pPr>
              <w:spacing w:after="0"/>
              <w:rPr>
                <w:sz w:val="11"/>
                <w:szCs w:val="11"/>
                <w:color w:val="auto"/>
              </w:rPr>
            </w:pPr>
          </w:p>
        </w:tc>
        <w:tc>
          <w:tcPr>
            <w:tcW w:w="1320" w:type="dxa"/>
            <w:vAlign w:val="bottom"/>
            <w:tcBorders>
              <w:bottom w:val="single" w:sz="8" w:color="939598"/>
            </w:tcBorders>
          </w:tcPr>
          <w:p>
            <w:pPr>
              <w:spacing w:after="0"/>
              <w:rPr>
                <w:sz w:val="11"/>
                <w:szCs w:val="11"/>
                <w:color w:val="auto"/>
              </w:rPr>
            </w:pPr>
          </w:p>
        </w:tc>
        <w:tc>
          <w:tcPr>
            <w:tcW w:w="300" w:type="dxa"/>
            <w:vAlign w:val="bottom"/>
            <w:tcBorders>
              <w:bottom w:val="single" w:sz="8" w:color="939598"/>
            </w:tcBorders>
          </w:tcPr>
          <w:p>
            <w:pPr>
              <w:spacing w:after="0"/>
              <w:rPr>
                <w:sz w:val="11"/>
                <w:szCs w:val="11"/>
                <w:color w:val="auto"/>
              </w:rPr>
            </w:pPr>
          </w:p>
        </w:tc>
        <w:tc>
          <w:tcPr>
            <w:tcW w:w="94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75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4"/>
                <w:szCs w:val="14"/>
                <w:color w:val="auto"/>
              </w:rPr>
              <w:t>SERP</w:t>
            </w:r>
          </w:p>
        </w:tc>
        <w:tc>
          <w:tcPr>
            <w:tcW w:w="13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7520" w:type="dxa"/>
            <w:vAlign w:val="bottom"/>
          </w:tcPr>
          <w:p>
            <w:pPr>
              <w:spacing w:after="0"/>
              <w:rPr>
                <w:sz w:val="11"/>
                <w:szCs w:val="11"/>
                <w:color w:val="auto"/>
              </w:rPr>
            </w:pPr>
          </w:p>
        </w:tc>
        <w:tc>
          <w:tcPr>
            <w:tcW w:w="1140" w:type="dxa"/>
            <w:vAlign w:val="bottom"/>
            <w:tcBorders>
              <w:bottom w:val="single" w:sz="8" w:color="939598"/>
            </w:tcBorders>
          </w:tcPr>
          <w:p>
            <w:pPr>
              <w:spacing w:after="0"/>
              <w:rPr>
                <w:sz w:val="11"/>
                <w:szCs w:val="11"/>
                <w:color w:val="auto"/>
              </w:rPr>
            </w:pPr>
          </w:p>
        </w:tc>
        <w:tc>
          <w:tcPr>
            <w:tcW w:w="1320" w:type="dxa"/>
            <w:vAlign w:val="bottom"/>
            <w:tcBorders>
              <w:bottom w:val="single" w:sz="8" w:color="939598"/>
            </w:tcBorders>
          </w:tcPr>
          <w:p>
            <w:pPr>
              <w:spacing w:after="0"/>
              <w:rPr>
                <w:sz w:val="11"/>
                <w:szCs w:val="11"/>
                <w:color w:val="auto"/>
              </w:rPr>
            </w:pPr>
          </w:p>
        </w:tc>
        <w:tc>
          <w:tcPr>
            <w:tcW w:w="300" w:type="dxa"/>
            <w:vAlign w:val="bottom"/>
            <w:tcBorders>
              <w:bottom w:val="single" w:sz="8" w:color="939598"/>
            </w:tcBorders>
          </w:tcPr>
          <w:p>
            <w:pPr>
              <w:spacing w:after="0"/>
              <w:rPr>
                <w:sz w:val="11"/>
                <w:szCs w:val="11"/>
                <w:color w:val="auto"/>
              </w:rPr>
            </w:pPr>
          </w:p>
        </w:tc>
        <w:tc>
          <w:tcPr>
            <w:tcW w:w="94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302"/>
        </w:trPr>
        <w:tc>
          <w:tcPr>
            <w:tcW w:w="75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23"/>
        </w:trPr>
        <w:tc>
          <w:tcPr>
            <w:tcW w:w="7520" w:type="dxa"/>
            <w:vAlign w:val="bottom"/>
            <w:tcBorders>
              <w:bottom w:val="single" w:sz="8" w:color="939598"/>
            </w:tcBorders>
          </w:tcPr>
          <w:p>
            <w:pPr>
              <w:spacing w:after="0"/>
              <w:rPr>
                <w:sz w:val="10"/>
                <w:szCs w:val="10"/>
                <w:color w:val="auto"/>
              </w:rPr>
            </w:pPr>
          </w:p>
        </w:tc>
        <w:tc>
          <w:tcPr>
            <w:tcW w:w="1140" w:type="dxa"/>
            <w:vAlign w:val="bottom"/>
            <w:tcBorders>
              <w:bottom w:val="single" w:sz="8" w:color="939598"/>
            </w:tcBorders>
          </w:tcPr>
          <w:p>
            <w:pPr>
              <w:spacing w:after="0"/>
              <w:rPr>
                <w:sz w:val="10"/>
                <w:szCs w:val="10"/>
                <w:color w:val="auto"/>
              </w:rPr>
            </w:pPr>
          </w:p>
        </w:tc>
        <w:tc>
          <w:tcPr>
            <w:tcW w:w="1320" w:type="dxa"/>
            <w:vAlign w:val="bottom"/>
            <w:tcBorders>
              <w:bottom w:val="single" w:sz="8" w:color="939598"/>
            </w:tcBorders>
          </w:tcPr>
          <w:p>
            <w:pPr>
              <w:spacing w:after="0"/>
              <w:rPr>
                <w:sz w:val="10"/>
                <w:szCs w:val="10"/>
                <w:color w:val="auto"/>
              </w:rPr>
            </w:pPr>
          </w:p>
        </w:tc>
        <w:tc>
          <w:tcPr>
            <w:tcW w:w="300" w:type="dxa"/>
            <w:vAlign w:val="bottom"/>
            <w:tcBorders>
              <w:bottom w:val="single" w:sz="8" w:color="939598"/>
            </w:tcBorders>
          </w:tcPr>
          <w:p>
            <w:pPr>
              <w:spacing w:after="0"/>
              <w:rPr>
                <w:sz w:val="10"/>
                <w:szCs w:val="10"/>
                <w:color w:val="auto"/>
              </w:rPr>
            </w:pPr>
          </w:p>
        </w:tc>
        <w:tc>
          <w:tcPr>
            <w:tcW w:w="94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7520" w:type="dxa"/>
            <w:vAlign w:val="bottom"/>
          </w:tcPr>
          <w:p>
            <w:pPr>
              <w:ind w:left="20"/>
              <w:spacing w:after="0"/>
              <w:rPr>
                <w:sz w:val="20"/>
                <w:szCs w:val="20"/>
                <w:color w:val="auto"/>
              </w:rPr>
            </w:pPr>
            <w:r>
              <w:rPr>
                <w:rFonts w:ascii="Arial" w:cs="Arial" w:eastAsia="Arial" w:hAnsi="Arial"/>
                <w:sz w:val="14"/>
                <w:szCs w:val="14"/>
                <w:b w:val="1"/>
                <w:bCs w:val="1"/>
                <w:color w:val="auto"/>
              </w:rPr>
              <w:t>Billal Hammoud</w:t>
            </w:r>
          </w:p>
        </w:tc>
        <w:tc>
          <w:tcPr>
            <w:tcW w:w="1140" w:type="dxa"/>
            <w:vAlign w:val="bottom"/>
            <w:vMerge w:val="restart"/>
          </w:tcPr>
          <w:p>
            <w:pPr>
              <w:ind w:left="20"/>
              <w:spacing w:after="0"/>
              <w:rPr>
                <w:sz w:val="20"/>
                <w:szCs w:val="20"/>
                <w:color w:val="auto"/>
              </w:rPr>
            </w:pPr>
            <w:r>
              <w:rPr>
                <w:rFonts w:ascii="Arial" w:cs="Arial" w:eastAsia="Arial" w:hAnsi="Arial"/>
                <w:sz w:val="14"/>
                <w:szCs w:val="14"/>
                <w:color w:val="auto"/>
              </w:rPr>
              <w:t>REP</w:t>
            </w:r>
          </w:p>
        </w:tc>
        <w:tc>
          <w:tcPr>
            <w:tcW w:w="1320" w:type="dxa"/>
            <w:vAlign w:val="bottom"/>
            <w:vMerge w:val="restart"/>
          </w:tcPr>
          <w:p>
            <w:pPr>
              <w:jc w:val="right"/>
              <w:ind w:right="188"/>
              <w:spacing w:after="0"/>
              <w:rPr>
                <w:sz w:val="20"/>
                <w:szCs w:val="20"/>
                <w:color w:val="auto"/>
              </w:rPr>
            </w:pPr>
            <w:r>
              <w:rPr>
                <w:rFonts w:ascii="Arial" w:cs="Arial" w:eastAsia="Arial" w:hAnsi="Arial"/>
                <w:sz w:val="14"/>
                <w:szCs w:val="14"/>
                <w:color w:val="auto"/>
              </w:rPr>
              <w:t>3.9</w:t>
            </w:r>
          </w:p>
        </w:tc>
        <w:tc>
          <w:tcPr>
            <w:tcW w:w="30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92,301</w:t>
            </w:r>
          </w:p>
        </w:tc>
        <w:tc>
          <w:tcPr>
            <w:tcW w:w="0" w:type="dxa"/>
            <w:vAlign w:val="bottom"/>
          </w:tcPr>
          <w:p>
            <w:pPr>
              <w:spacing w:after="0"/>
              <w:rPr>
                <w:sz w:val="1"/>
                <w:szCs w:val="1"/>
                <w:color w:val="auto"/>
              </w:rPr>
            </w:pPr>
          </w:p>
        </w:tc>
      </w:tr>
      <w:tr>
        <w:trPr>
          <w:trHeight w:val="102"/>
        </w:trPr>
        <w:tc>
          <w:tcPr>
            <w:tcW w:w="752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7520" w:type="dxa"/>
            <w:vAlign w:val="bottom"/>
          </w:tcPr>
          <w:p>
            <w:pPr>
              <w:spacing w:after="0"/>
              <w:rPr>
                <w:sz w:val="11"/>
                <w:szCs w:val="11"/>
                <w:color w:val="auto"/>
              </w:rPr>
            </w:pPr>
          </w:p>
        </w:tc>
        <w:tc>
          <w:tcPr>
            <w:tcW w:w="1140" w:type="dxa"/>
            <w:vAlign w:val="bottom"/>
            <w:tcBorders>
              <w:bottom w:val="single" w:sz="8" w:color="939598"/>
            </w:tcBorders>
          </w:tcPr>
          <w:p>
            <w:pPr>
              <w:spacing w:after="0"/>
              <w:rPr>
                <w:sz w:val="11"/>
                <w:szCs w:val="11"/>
                <w:color w:val="auto"/>
              </w:rPr>
            </w:pPr>
          </w:p>
        </w:tc>
        <w:tc>
          <w:tcPr>
            <w:tcW w:w="1320" w:type="dxa"/>
            <w:vAlign w:val="bottom"/>
            <w:tcBorders>
              <w:bottom w:val="single" w:sz="8" w:color="939598"/>
            </w:tcBorders>
          </w:tcPr>
          <w:p>
            <w:pPr>
              <w:spacing w:after="0"/>
              <w:rPr>
                <w:sz w:val="11"/>
                <w:szCs w:val="11"/>
                <w:color w:val="auto"/>
              </w:rPr>
            </w:pPr>
          </w:p>
        </w:tc>
        <w:tc>
          <w:tcPr>
            <w:tcW w:w="300" w:type="dxa"/>
            <w:vAlign w:val="bottom"/>
            <w:tcBorders>
              <w:bottom w:val="single" w:sz="8" w:color="939598"/>
            </w:tcBorders>
          </w:tcPr>
          <w:p>
            <w:pPr>
              <w:spacing w:after="0"/>
              <w:rPr>
                <w:sz w:val="11"/>
                <w:szCs w:val="11"/>
                <w:color w:val="auto"/>
              </w:rPr>
            </w:pPr>
          </w:p>
        </w:tc>
        <w:tc>
          <w:tcPr>
            <w:tcW w:w="94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75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4"/>
                <w:szCs w:val="14"/>
                <w:color w:val="auto"/>
              </w:rPr>
              <w:t>SERP</w:t>
            </w:r>
          </w:p>
        </w:tc>
        <w:tc>
          <w:tcPr>
            <w:tcW w:w="13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7520" w:type="dxa"/>
            <w:vAlign w:val="bottom"/>
          </w:tcPr>
          <w:p>
            <w:pPr>
              <w:spacing w:after="0"/>
              <w:rPr>
                <w:sz w:val="11"/>
                <w:szCs w:val="11"/>
                <w:color w:val="auto"/>
              </w:rPr>
            </w:pPr>
          </w:p>
        </w:tc>
        <w:tc>
          <w:tcPr>
            <w:tcW w:w="1140" w:type="dxa"/>
            <w:vAlign w:val="bottom"/>
            <w:tcBorders>
              <w:bottom w:val="single" w:sz="8" w:color="939598"/>
            </w:tcBorders>
          </w:tcPr>
          <w:p>
            <w:pPr>
              <w:spacing w:after="0"/>
              <w:rPr>
                <w:sz w:val="11"/>
                <w:szCs w:val="11"/>
                <w:color w:val="auto"/>
              </w:rPr>
            </w:pPr>
          </w:p>
        </w:tc>
        <w:tc>
          <w:tcPr>
            <w:tcW w:w="1320" w:type="dxa"/>
            <w:vAlign w:val="bottom"/>
            <w:tcBorders>
              <w:bottom w:val="single" w:sz="8" w:color="939598"/>
            </w:tcBorders>
          </w:tcPr>
          <w:p>
            <w:pPr>
              <w:spacing w:after="0"/>
              <w:rPr>
                <w:sz w:val="11"/>
                <w:szCs w:val="11"/>
                <w:color w:val="auto"/>
              </w:rPr>
            </w:pPr>
          </w:p>
        </w:tc>
        <w:tc>
          <w:tcPr>
            <w:tcW w:w="300" w:type="dxa"/>
            <w:vAlign w:val="bottom"/>
            <w:tcBorders>
              <w:bottom w:val="single" w:sz="8" w:color="939598"/>
            </w:tcBorders>
          </w:tcPr>
          <w:p>
            <w:pPr>
              <w:spacing w:after="0"/>
              <w:rPr>
                <w:sz w:val="11"/>
                <w:szCs w:val="11"/>
                <w:color w:val="auto"/>
              </w:rPr>
            </w:pPr>
          </w:p>
        </w:tc>
        <w:tc>
          <w:tcPr>
            <w:tcW w:w="94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302"/>
        </w:trPr>
        <w:tc>
          <w:tcPr>
            <w:tcW w:w="75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92,301</w:t>
            </w:r>
          </w:p>
        </w:tc>
        <w:tc>
          <w:tcPr>
            <w:tcW w:w="0" w:type="dxa"/>
            <w:vAlign w:val="bottom"/>
          </w:tcPr>
          <w:p>
            <w:pPr>
              <w:spacing w:after="0"/>
              <w:rPr>
                <w:sz w:val="1"/>
                <w:szCs w:val="1"/>
                <w:color w:val="auto"/>
              </w:rPr>
            </w:pPr>
          </w:p>
        </w:tc>
      </w:tr>
      <w:tr>
        <w:trPr>
          <w:trHeight w:val="123"/>
        </w:trPr>
        <w:tc>
          <w:tcPr>
            <w:tcW w:w="7520" w:type="dxa"/>
            <w:vAlign w:val="bottom"/>
            <w:tcBorders>
              <w:bottom w:val="single" w:sz="8" w:color="939598"/>
            </w:tcBorders>
          </w:tcPr>
          <w:p>
            <w:pPr>
              <w:spacing w:after="0"/>
              <w:rPr>
                <w:sz w:val="10"/>
                <w:szCs w:val="10"/>
                <w:color w:val="auto"/>
              </w:rPr>
            </w:pPr>
          </w:p>
        </w:tc>
        <w:tc>
          <w:tcPr>
            <w:tcW w:w="1140" w:type="dxa"/>
            <w:vAlign w:val="bottom"/>
            <w:tcBorders>
              <w:bottom w:val="single" w:sz="8" w:color="939598"/>
            </w:tcBorders>
          </w:tcPr>
          <w:p>
            <w:pPr>
              <w:spacing w:after="0"/>
              <w:rPr>
                <w:sz w:val="10"/>
                <w:szCs w:val="10"/>
                <w:color w:val="auto"/>
              </w:rPr>
            </w:pPr>
          </w:p>
        </w:tc>
        <w:tc>
          <w:tcPr>
            <w:tcW w:w="1320" w:type="dxa"/>
            <w:vAlign w:val="bottom"/>
            <w:tcBorders>
              <w:bottom w:val="single" w:sz="8" w:color="939598"/>
            </w:tcBorders>
          </w:tcPr>
          <w:p>
            <w:pPr>
              <w:spacing w:after="0"/>
              <w:rPr>
                <w:sz w:val="10"/>
                <w:szCs w:val="10"/>
                <w:color w:val="auto"/>
              </w:rPr>
            </w:pPr>
          </w:p>
        </w:tc>
        <w:tc>
          <w:tcPr>
            <w:tcW w:w="300" w:type="dxa"/>
            <w:vAlign w:val="bottom"/>
            <w:tcBorders>
              <w:bottom w:val="single" w:sz="8" w:color="939598"/>
            </w:tcBorders>
          </w:tcPr>
          <w:p>
            <w:pPr>
              <w:spacing w:after="0"/>
              <w:rPr>
                <w:sz w:val="10"/>
                <w:szCs w:val="10"/>
                <w:color w:val="auto"/>
              </w:rPr>
            </w:pPr>
          </w:p>
        </w:tc>
        <w:tc>
          <w:tcPr>
            <w:tcW w:w="94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296"/>
        </w:trPr>
        <w:tc>
          <w:tcPr>
            <w:tcW w:w="7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Gregory P. Lewis</w:t>
            </w:r>
          </w:p>
        </w:tc>
        <w:tc>
          <w:tcPr>
            <w:tcW w:w="1140" w:type="dxa"/>
            <w:vAlign w:val="bottom"/>
          </w:tcPr>
          <w:p>
            <w:pPr>
              <w:ind w:left="20"/>
              <w:spacing w:after="0"/>
              <w:rPr>
                <w:sz w:val="20"/>
                <w:szCs w:val="20"/>
                <w:color w:val="auto"/>
              </w:rPr>
            </w:pPr>
            <w:r>
              <w:rPr>
                <w:rFonts w:ascii="Arial" w:cs="Arial" w:eastAsia="Arial" w:hAnsi="Arial"/>
                <w:sz w:val="14"/>
                <w:szCs w:val="14"/>
                <w:color w:val="auto"/>
              </w:rPr>
              <w:t>REP</w:t>
            </w:r>
          </w:p>
        </w:tc>
        <w:tc>
          <w:tcPr>
            <w:tcW w:w="1320" w:type="dxa"/>
            <w:vAlign w:val="bottom"/>
          </w:tcPr>
          <w:p>
            <w:pPr>
              <w:jc w:val="right"/>
              <w:ind w:right="188"/>
              <w:spacing w:after="0"/>
              <w:rPr>
                <w:sz w:val="20"/>
                <w:szCs w:val="20"/>
                <w:color w:val="auto"/>
              </w:rPr>
            </w:pPr>
            <w:r>
              <w:rPr>
                <w:rFonts w:ascii="Arial" w:cs="Arial" w:eastAsia="Arial" w:hAnsi="Arial"/>
                <w:sz w:val="14"/>
                <w:szCs w:val="14"/>
                <w:color w:val="auto"/>
              </w:rPr>
              <w:t>19.0</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370,318</w:t>
            </w:r>
          </w:p>
        </w:tc>
        <w:tc>
          <w:tcPr>
            <w:tcW w:w="0" w:type="dxa"/>
            <w:vAlign w:val="bottom"/>
          </w:tcPr>
          <w:p>
            <w:pPr>
              <w:spacing w:after="0"/>
              <w:rPr>
                <w:sz w:val="1"/>
                <w:szCs w:val="1"/>
                <w:color w:val="auto"/>
              </w:rPr>
            </w:pPr>
          </w:p>
        </w:tc>
      </w:tr>
      <w:tr>
        <w:trPr>
          <w:trHeight w:val="123"/>
        </w:trPr>
        <w:tc>
          <w:tcPr>
            <w:tcW w:w="7520" w:type="dxa"/>
            <w:vAlign w:val="bottom"/>
            <w:vMerge w:val="continue"/>
          </w:tcPr>
          <w:p>
            <w:pPr>
              <w:spacing w:after="0"/>
              <w:rPr>
                <w:sz w:val="10"/>
                <w:szCs w:val="10"/>
                <w:color w:val="auto"/>
              </w:rPr>
            </w:pPr>
          </w:p>
        </w:tc>
        <w:tc>
          <w:tcPr>
            <w:tcW w:w="1140" w:type="dxa"/>
            <w:vAlign w:val="bottom"/>
            <w:tcBorders>
              <w:bottom w:val="single" w:sz="8" w:color="939598"/>
            </w:tcBorders>
          </w:tcPr>
          <w:p>
            <w:pPr>
              <w:spacing w:after="0"/>
              <w:rPr>
                <w:sz w:val="10"/>
                <w:szCs w:val="10"/>
                <w:color w:val="auto"/>
              </w:rPr>
            </w:pPr>
          </w:p>
        </w:tc>
        <w:tc>
          <w:tcPr>
            <w:tcW w:w="1320" w:type="dxa"/>
            <w:vAlign w:val="bottom"/>
            <w:tcBorders>
              <w:bottom w:val="single" w:sz="8" w:color="939598"/>
            </w:tcBorders>
          </w:tcPr>
          <w:p>
            <w:pPr>
              <w:spacing w:after="0"/>
              <w:rPr>
                <w:sz w:val="10"/>
                <w:szCs w:val="10"/>
                <w:color w:val="auto"/>
              </w:rPr>
            </w:pPr>
          </w:p>
        </w:tc>
        <w:tc>
          <w:tcPr>
            <w:tcW w:w="300" w:type="dxa"/>
            <w:vAlign w:val="bottom"/>
            <w:tcBorders>
              <w:bottom w:val="single" w:sz="8" w:color="939598"/>
            </w:tcBorders>
          </w:tcPr>
          <w:p>
            <w:pPr>
              <w:spacing w:after="0"/>
              <w:rPr>
                <w:sz w:val="10"/>
                <w:szCs w:val="10"/>
                <w:color w:val="auto"/>
              </w:rPr>
            </w:pPr>
          </w:p>
        </w:tc>
        <w:tc>
          <w:tcPr>
            <w:tcW w:w="94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302"/>
        </w:trPr>
        <w:tc>
          <w:tcPr>
            <w:tcW w:w="75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4"/>
                <w:szCs w:val="14"/>
                <w:color w:val="auto"/>
              </w:rPr>
              <w:t>SERP</w:t>
            </w:r>
          </w:p>
        </w:tc>
        <w:tc>
          <w:tcPr>
            <w:tcW w:w="1320" w:type="dxa"/>
            <w:vAlign w:val="bottom"/>
          </w:tcPr>
          <w:p>
            <w:pPr>
              <w:jc w:val="right"/>
              <w:ind w:right="188"/>
              <w:spacing w:after="0"/>
              <w:rPr>
                <w:sz w:val="20"/>
                <w:szCs w:val="20"/>
                <w:color w:val="auto"/>
              </w:rPr>
            </w:pPr>
            <w:r>
              <w:rPr>
                <w:rFonts w:ascii="Arial" w:cs="Arial" w:eastAsia="Arial" w:hAnsi="Arial"/>
                <w:sz w:val="14"/>
                <w:szCs w:val="14"/>
                <w:color w:val="auto"/>
              </w:rPr>
              <w:t>19.0</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1,793,444</w:t>
            </w:r>
          </w:p>
        </w:tc>
        <w:tc>
          <w:tcPr>
            <w:tcW w:w="0" w:type="dxa"/>
            <w:vAlign w:val="bottom"/>
          </w:tcPr>
          <w:p>
            <w:pPr>
              <w:spacing w:after="0"/>
              <w:rPr>
                <w:sz w:val="1"/>
                <w:szCs w:val="1"/>
                <w:color w:val="auto"/>
              </w:rPr>
            </w:pPr>
          </w:p>
        </w:tc>
      </w:tr>
      <w:tr>
        <w:trPr>
          <w:trHeight w:val="130"/>
        </w:trPr>
        <w:tc>
          <w:tcPr>
            <w:tcW w:w="7520" w:type="dxa"/>
            <w:vAlign w:val="bottom"/>
          </w:tcPr>
          <w:p>
            <w:pPr>
              <w:spacing w:after="0"/>
              <w:rPr>
                <w:sz w:val="11"/>
                <w:szCs w:val="11"/>
                <w:color w:val="auto"/>
              </w:rPr>
            </w:pPr>
          </w:p>
        </w:tc>
        <w:tc>
          <w:tcPr>
            <w:tcW w:w="1140" w:type="dxa"/>
            <w:vAlign w:val="bottom"/>
            <w:tcBorders>
              <w:bottom w:val="single" w:sz="8" w:color="939598"/>
            </w:tcBorders>
          </w:tcPr>
          <w:p>
            <w:pPr>
              <w:spacing w:after="0"/>
              <w:rPr>
                <w:sz w:val="11"/>
                <w:szCs w:val="11"/>
                <w:color w:val="auto"/>
              </w:rPr>
            </w:pPr>
          </w:p>
        </w:tc>
        <w:tc>
          <w:tcPr>
            <w:tcW w:w="1320" w:type="dxa"/>
            <w:vAlign w:val="bottom"/>
            <w:tcBorders>
              <w:bottom w:val="single" w:sz="8" w:color="939598"/>
            </w:tcBorders>
          </w:tcPr>
          <w:p>
            <w:pPr>
              <w:spacing w:after="0"/>
              <w:rPr>
                <w:sz w:val="11"/>
                <w:szCs w:val="11"/>
                <w:color w:val="auto"/>
              </w:rPr>
            </w:pPr>
          </w:p>
        </w:tc>
        <w:tc>
          <w:tcPr>
            <w:tcW w:w="300" w:type="dxa"/>
            <w:vAlign w:val="bottom"/>
            <w:tcBorders>
              <w:bottom w:val="single" w:sz="8" w:color="939598"/>
            </w:tcBorders>
          </w:tcPr>
          <w:p>
            <w:pPr>
              <w:spacing w:after="0"/>
              <w:rPr>
                <w:sz w:val="11"/>
                <w:szCs w:val="11"/>
                <w:color w:val="auto"/>
              </w:rPr>
            </w:pPr>
          </w:p>
        </w:tc>
        <w:tc>
          <w:tcPr>
            <w:tcW w:w="94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302"/>
        </w:trPr>
        <w:tc>
          <w:tcPr>
            <w:tcW w:w="75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2,163,762</w:t>
            </w:r>
          </w:p>
        </w:tc>
        <w:tc>
          <w:tcPr>
            <w:tcW w:w="0" w:type="dxa"/>
            <w:vAlign w:val="bottom"/>
          </w:tcPr>
          <w:p>
            <w:pPr>
              <w:spacing w:after="0"/>
              <w:rPr>
                <w:sz w:val="1"/>
                <w:szCs w:val="1"/>
                <w:color w:val="auto"/>
              </w:rPr>
            </w:pPr>
          </w:p>
        </w:tc>
      </w:tr>
      <w:tr>
        <w:trPr>
          <w:trHeight w:val="123"/>
        </w:trPr>
        <w:tc>
          <w:tcPr>
            <w:tcW w:w="7520" w:type="dxa"/>
            <w:vAlign w:val="bottom"/>
            <w:tcBorders>
              <w:bottom w:val="single" w:sz="8" w:color="939598"/>
            </w:tcBorders>
          </w:tcPr>
          <w:p>
            <w:pPr>
              <w:spacing w:after="0"/>
              <w:rPr>
                <w:sz w:val="10"/>
                <w:szCs w:val="10"/>
                <w:color w:val="auto"/>
              </w:rPr>
            </w:pPr>
          </w:p>
        </w:tc>
        <w:tc>
          <w:tcPr>
            <w:tcW w:w="1140" w:type="dxa"/>
            <w:vAlign w:val="bottom"/>
            <w:tcBorders>
              <w:bottom w:val="single" w:sz="8" w:color="939598"/>
            </w:tcBorders>
          </w:tcPr>
          <w:p>
            <w:pPr>
              <w:spacing w:after="0"/>
              <w:rPr>
                <w:sz w:val="10"/>
                <w:szCs w:val="10"/>
                <w:color w:val="auto"/>
              </w:rPr>
            </w:pPr>
          </w:p>
        </w:tc>
        <w:tc>
          <w:tcPr>
            <w:tcW w:w="1320" w:type="dxa"/>
            <w:vAlign w:val="bottom"/>
            <w:tcBorders>
              <w:bottom w:val="single" w:sz="8" w:color="939598"/>
            </w:tcBorders>
          </w:tcPr>
          <w:p>
            <w:pPr>
              <w:spacing w:after="0"/>
              <w:rPr>
                <w:sz w:val="10"/>
                <w:szCs w:val="10"/>
                <w:color w:val="auto"/>
              </w:rPr>
            </w:pPr>
          </w:p>
        </w:tc>
        <w:tc>
          <w:tcPr>
            <w:tcW w:w="300" w:type="dxa"/>
            <w:vAlign w:val="bottom"/>
            <w:tcBorders>
              <w:bottom w:val="single" w:sz="8" w:color="939598"/>
            </w:tcBorders>
          </w:tcPr>
          <w:p>
            <w:pPr>
              <w:spacing w:after="0"/>
              <w:rPr>
                <w:sz w:val="10"/>
                <w:szCs w:val="10"/>
                <w:color w:val="auto"/>
              </w:rPr>
            </w:pPr>
          </w:p>
        </w:tc>
        <w:tc>
          <w:tcPr>
            <w:tcW w:w="94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7520" w:type="dxa"/>
            <w:vAlign w:val="bottom"/>
          </w:tcPr>
          <w:p>
            <w:pPr>
              <w:spacing w:after="0"/>
              <w:rPr>
                <w:sz w:val="16"/>
                <w:szCs w:val="16"/>
                <w:color w:val="auto"/>
              </w:rPr>
            </w:pPr>
          </w:p>
        </w:tc>
        <w:tc>
          <w:tcPr>
            <w:tcW w:w="1140" w:type="dxa"/>
            <w:vAlign w:val="bottom"/>
          </w:tcPr>
          <w:p>
            <w:pPr>
              <w:ind w:left="20"/>
              <w:spacing w:after="0"/>
              <w:rPr>
                <w:sz w:val="20"/>
                <w:szCs w:val="20"/>
                <w:color w:val="auto"/>
              </w:rPr>
            </w:pPr>
            <w:r>
              <w:rPr>
                <w:rFonts w:ascii="Arial" w:cs="Arial" w:eastAsia="Arial" w:hAnsi="Arial"/>
                <w:sz w:val="14"/>
                <w:szCs w:val="14"/>
                <w:color w:val="auto"/>
              </w:rPr>
              <w:t>REP</w:t>
            </w:r>
          </w:p>
        </w:tc>
        <w:tc>
          <w:tcPr>
            <w:tcW w:w="132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7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Lucian Boldea</w:t>
            </w:r>
          </w:p>
        </w:tc>
        <w:tc>
          <w:tcPr>
            <w:tcW w:w="114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7520" w:type="dxa"/>
            <w:vAlign w:val="bottom"/>
            <w:vMerge w:val="continue"/>
          </w:tcPr>
          <w:p>
            <w:pPr>
              <w:spacing w:after="0"/>
              <w:rPr>
                <w:sz w:val="10"/>
                <w:szCs w:val="10"/>
                <w:color w:val="auto"/>
              </w:rPr>
            </w:pPr>
          </w:p>
        </w:tc>
        <w:tc>
          <w:tcPr>
            <w:tcW w:w="1140" w:type="dxa"/>
            <w:vAlign w:val="bottom"/>
            <w:tcBorders>
              <w:bottom w:val="single" w:sz="8" w:color="939598"/>
            </w:tcBorders>
          </w:tcPr>
          <w:p>
            <w:pPr>
              <w:spacing w:after="0"/>
              <w:rPr>
                <w:sz w:val="10"/>
                <w:szCs w:val="10"/>
                <w:color w:val="auto"/>
              </w:rPr>
            </w:pPr>
          </w:p>
        </w:tc>
        <w:tc>
          <w:tcPr>
            <w:tcW w:w="1320" w:type="dxa"/>
            <w:vAlign w:val="bottom"/>
            <w:tcBorders>
              <w:bottom w:val="single" w:sz="8" w:color="939598"/>
            </w:tcBorders>
          </w:tcPr>
          <w:p>
            <w:pPr>
              <w:spacing w:after="0"/>
              <w:rPr>
                <w:sz w:val="10"/>
                <w:szCs w:val="10"/>
                <w:color w:val="auto"/>
              </w:rPr>
            </w:pPr>
          </w:p>
        </w:tc>
        <w:tc>
          <w:tcPr>
            <w:tcW w:w="300" w:type="dxa"/>
            <w:vAlign w:val="bottom"/>
            <w:tcBorders>
              <w:bottom w:val="single" w:sz="8" w:color="939598"/>
            </w:tcBorders>
          </w:tcPr>
          <w:p>
            <w:pPr>
              <w:spacing w:after="0"/>
              <w:rPr>
                <w:sz w:val="10"/>
                <w:szCs w:val="10"/>
                <w:color w:val="auto"/>
              </w:rPr>
            </w:pPr>
          </w:p>
        </w:tc>
        <w:tc>
          <w:tcPr>
            <w:tcW w:w="94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303"/>
        </w:trPr>
        <w:tc>
          <w:tcPr>
            <w:tcW w:w="75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4"/>
                <w:szCs w:val="14"/>
                <w:color w:val="auto"/>
              </w:rPr>
              <w:t>SERP</w:t>
            </w:r>
          </w:p>
        </w:tc>
        <w:tc>
          <w:tcPr>
            <w:tcW w:w="13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9"/>
        </w:trPr>
        <w:tc>
          <w:tcPr>
            <w:tcW w:w="7520" w:type="dxa"/>
            <w:vAlign w:val="bottom"/>
          </w:tcPr>
          <w:p>
            <w:pPr>
              <w:spacing w:after="0"/>
              <w:rPr>
                <w:sz w:val="11"/>
                <w:szCs w:val="11"/>
                <w:color w:val="auto"/>
              </w:rPr>
            </w:pPr>
          </w:p>
        </w:tc>
        <w:tc>
          <w:tcPr>
            <w:tcW w:w="1140" w:type="dxa"/>
            <w:vAlign w:val="bottom"/>
            <w:tcBorders>
              <w:bottom w:val="single" w:sz="8" w:color="939598"/>
            </w:tcBorders>
          </w:tcPr>
          <w:p>
            <w:pPr>
              <w:spacing w:after="0"/>
              <w:rPr>
                <w:sz w:val="11"/>
                <w:szCs w:val="11"/>
                <w:color w:val="auto"/>
              </w:rPr>
            </w:pPr>
          </w:p>
        </w:tc>
        <w:tc>
          <w:tcPr>
            <w:tcW w:w="1320" w:type="dxa"/>
            <w:vAlign w:val="bottom"/>
            <w:tcBorders>
              <w:bottom w:val="single" w:sz="8" w:color="939598"/>
            </w:tcBorders>
          </w:tcPr>
          <w:p>
            <w:pPr>
              <w:spacing w:after="0"/>
              <w:rPr>
                <w:sz w:val="11"/>
                <w:szCs w:val="11"/>
                <w:color w:val="auto"/>
              </w:rPr>
            </w:pPr>
          </w:p>
        </w:tc>
        <w:tc>
          <w:tcPr>
            <w:tcW w:w="300" w:type="dxa"/>
            <w:vAlign w:val="bottom"/>
            <w:tcBorders>
              <w:bottom w:val="single" w:sz="8" w:color="939598"/>
            </w:tcBorders>
          </w:tcPr>
          <w:p>
            <w:pPr>
              <w:spacing w:after="0"/>
              <w:rPr>
                <w:sz w:val="11"/>
                <w:szCs w:val="11"/>
                <w:color w:val="auto"/>
              </w:rPr>
            </w:pPr>
          </w:p>
        </w:tc>
        <w:tc>
          <w:tcPr>
            <w:tcW w:w="94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302"/>
        </w:trPr>
        <w:tc>
          <w:tcPr>
            <w:tcW w:w="75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2343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61" w:lineRule="exact"/>
        <w:rPr>
          <w:sz w:val="20"/>
          <w:szCs w:val="20"/>
          <w:color w:val="auto"/>
        </w:rPr>
      </w:pPr>
    </w:p>
    <w:p>
      <w:pPr>
        <w:ind w:left="200" w:right="40" w:hanging="192"/>
        <w:spacing w:after="0" w:line="226" w:lineRule="auto"/>
        <w:tabs>
          <w:tab w:leader="none" w:pos="200" w:val="left"/>
        </w:tabs>
        <w:numPr>
          <w:ilvl w:val="0"/>
          <w:numId w:val="194"/>
        </w:numPr>
        <w:rPr>
          <w:rFonts w:ascii="Arial" w:cs="Arial" w:eastAsia="Arial" w:hAnsi="Arial"/>
          <w:sz w:val="16"/>
          <w:szCs w:val="16"/>
          <w:color w:val="auto"/>
          <w:vertAlign w:val="superscript"/>
        </w:rPr>
      </w:pPr>
      <w:r>
        <w:rPr>
          <w:rFonts w:ascii="Arial" w:cs="Arial" w:eastAsia="Arial" w:hAnsi="Arial"/>
          <w:sz w:val="13"/>
          <w:szCs w:val="13"/>
          <w:color w:val="auto"/>
        </w:rPr>
        <w:t>The present value of the accumulated retirement benefit for each Named Executive Officer is calculated as the lump sum available from the retirement earnings formula at December 31, 2025, using a 5.25% discount rate and projected PRI-2012 mortality.</w:t>
      </w:r>
    </w:p>
    <w:p>
      <w:pPr>
        <w:spacing w:after="0" w:line="9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SERP and REP benefits depend on the length of each Named Executive Officer’s employment with Honeywell (and companies that have been acquired by Honeywell). This information is provided in the table above under the column titled “Number of Years of Credited Service.” The column in the table above titled “Present Value of Accumulated Benefits” represents a financial calculation that estimates the cash value today of the full pension benefit that has been earned by each Named Executive Officer. It is based on various assumptions, including assumptions about how long each Named Executive Officer will live and future interest rates. Additional details about the pension benefits for each Named Executive Officer include:</w:t>
      </w:r>
    </w:p>
    <w:p>
      <w:pPr>
        <w:spacing w:after="0" w:line="64" w:lineRule="exact"/>
        <w:rPr>
          <w:sz w:val="20"/>
          <w:szCs w:val="20"/>
          <w:color w:val="auto"/>
        </w:rPr>
      </w:pPr>
    </w:p>
    <w:p>
      <w:pPr>
        <w:ind w:left="200" w:hanging="192"/>
        <w:spacing w:after="0"/>
        <w:tabs>
          <w:tab w:leader="none" w:pos="200" w:val="left"/>
        </w:tabs>
        <w:numPr>
          <w:ilvl w:val="0"/>
          <w:numId w:val="195"/>
        </w:numPr>
        <w:rPr>
          <w:rFonts w:ascii="Arial" w:cs="Arial" w:eastAsia="Arial" w:hAnsi="Arial"/>
          <w:sz w:val="16"/>
          <w:szCs w:val="16"/>
          <w:b w:val="1"/>
          <w:bCs w:val="1"/>
          <w:color w:val="D7282F"/>
        </w:rPr>
      </w:pPr>
      <w:r>
        <w:rPr>
          <w:rFonts w:ascii="Arial" w:cs="Arial" w:eastAsia="Arial" w:hAnsi="Arial"/>
          <w:sz w:val="16"/>
          <w:szCs w:val="16"/>
          <w:color w:val="auto"/>
        </w:rPr>
        <w:t>The REP is a tax-qualified pension plan in which a large portion of Honeywell’s U.S. employees participate.</w:t>
      </w:r>
    </w:p>
    <w:p>
      <w:pPr>
        <w:spacing w:after="0" w:line="86" w:lineRule="exact"/>
        <w:rPr>
          <w:rFonts w:ascii="Arial" w:cs="Arial" w:eastAsia="Arial" w:hAnsi="Arial"/>
          <w:sz w:val="16"/>
          <w:szCs w:val="16"/>
          <w:b w:val="1"/>
          <w:bCs w:val="1"/>
          <w:color w:val="D7282F"/>
        </w:rPr>
      </w:pPr>
    </w:p>
    <w:p>
      <w:pPr>
        <w:ind w:left="200" w:right="200" w:hanging="192"/>
        <w:spacing w:after="0" w:line="265" w:lineRule="auto"/>
        <w:tabs>
          <w:tab w:leader="none" w:pos="197" w:val="left"/>
        </w:tabs>
        <w:numPr>
          <w:ilvl w:val="0"/>
          <w:numId w:val="195"/>
        </w:numPr>
        <w:rPr>
          <w:rFonts w:ascii="Arial" w:cs="Arial" w:eastAsia="Arial" w:hAnsi="Arial"/>
          <w:sz w:val="16"/>
          <w:szCs w:val="16"/>
          <w:b w:val="1"/>
          <w:bCs w:val="1"/>
          <w:color w:val="D7282F"/>
        </w:rPr>
      </w:pPr>
      <w:r>
        <w:rPr>
          <w:rFonts w:ascii="Arial" w:cs="Arial" w:eastAsia="Arial" w:hAnsi="Arial"/>
          <w:sz w:val="16"/>
          <w:szCs w:val="16"/>
          <w:color w:val="auto"/>
        </w:rPr>
        <w:t>The REP complies with tax requirements applicable to broad-based pension plans, which impose dollar limits on the amount of benefits that can be provided. As a result, the pensions that can be paid under the REP for higher-paid employees represent a much smaller fraction of current income than the pensions that can be paid to less highly paid employees. We make up for this difference, in part, by providing supplemental pensions through the SERP.</w:t>
      </w:r>
    </w:p>
    <w:p>
      <w:pPr>
        <w:spacing w:after="0" w:line="37" w:lineRule="exact"/>
        <w:rPr>
          <w:rFonts w:ascii="Arial" w:cs="Arial" w:eastAsia="Arial" w:hAnsi="Arial"/>
          <w:sz w:val="16"/>
          <w:szCs w:val="16"/>
          <w:b w:val="1"/>
          <w:bCs w:val="1"/>
          <w:color w:val="D7282F"/>
        </w:rPr>
      </w:pPr>
    </w:p>
    <w:p>
      <w:pPr>
        <w:ind w:left="200" w:right="20" w:hanging="192"/>
        <w:spacing w:after="0" w:line="275" w:lineRule="auto"/>
        <w:tabs>
          <w:tab w:leader="none" w:pos="197" w:val="left"/>
        </w:tabs>
        <w:numPr>
          <w:ilvl w:val="0"/>
          <w:numId w:val="195"/>
        </w:numPr>
        <w:rPr>
          <w:rFonts w:ascii="Arial" w:cs="Arial" w:eastAsia="Arial" w:hAnsi="Arial"/>
          <w:sz w:val="16"/>
          <w:szCs w:val="16"/>
          <w:b w:val="1"/>
          <w:bCs w:val="1"/>
          <w:color w:val="D7282F"/>
        </w:rPr>
      </w:pPr>
      <w:r>
        <w:rPr>
          <w:rFonts w:ascii="Arial" w:cs="Arial" w:eastAsia="Arial" w:hAnsi="Arial"/>
          <w:sz w:val="16"/>
          <w:szCs w:val="16"/>
          <w:color w:val="auto"/>
        </w:rPr>
        <w:t>All SERP benefits will be paid in a lump sum on the first day of the first month that begins following the 105th day after the officer’s separation from service (as that term is defined in Internal Revenue Code Section 409A), subject to further payment delay that may be required by Internal Revenue Code Section 409A relating to specified employees.</w:t>
      </w:r>
    </w:p>
    <w:p>
      <w:pPr>
        <w:sectPr>
          <w:pgSz w:w="11900" w:h="16838" w:orient="portrait"/>
          <w:cols w:equalWidth="0" w:num="1">
            <w:col w:w="11220"/>
          </w:cols>
          <w:pgMar w:left="320" w:top="230" w:right="359" w:bottom="0" w:gutter="0" w:footer="0" w:header="0"/>
        </w:sectPr>
      </w:pPr>
    </w:p>
    <w:bookmarkStart w:id="105" w:name="page106"/>
    <w:bookmarkEnd w:id="105"/>
    <w:p>
      <w:pPr>
        <w:ind w:left="192" w:hanging="192"/>
        <w:spacing w:after="0" w:line="286" w:lineRule="auto"/>
        <w:tabs>
          <w:tab w:leader="none" w:pos="189" w:val="left"/>
        </w:tabs>
        <w:numPr>
          <w:ilvl w:val="0"/>
          <w:numId w:val="196"/>
        </w:numPr>
        <w:rPr>
          <w:rFonts w:ascii="Arial" w:cs="Arial" w:eastAsia="Arial" w:hAnsi="Arial"/>
          <w:sz w:val="16"/>
          <w:szCs w:val="16"/>
          <w:b w:val="1"/>
          <w:bCs w:val="1"/>
          <w:color w:val="D7282F"/>
        </w:rPr>
      </w:pPr>
      <w:r>
        <w:rPr>
          <w:rFonts w:ascii="Arial" w:cs="Arial" w:eastAsia="Arial" w:hAnsi="Arial"/>
          <w:sz w:val="16"/>
          <w:szCs w:val="16"/>
          <w:color w:val="auto"/>
        </w:rPr>
        <w:t>Mr. Stepniak, Mr. Masso, and Mr. Boldea were not eligible to receive a pension benefit from Honeywell based on their hire date and, therefore, do not participate in the REP or the SERP.</w:t>
      </w:r>
    </w:p>
    <w:p>
      <w:pPr>
        <w:spacing w:after="0" w:line="197" w:lineRule="exact"/>
        <w:rPr>
          <w:sz w:val="20"/>
          <w:szCs w:val="20"/>
          <w:color w:val="auto"/>
        </w:rPr>
      </w:pPr>
    </w:p>
    <w:p>
      <w:pPr>
        <w:ind w:left="12"/>
        <w:spacing w:after="0"/>
        <w:tabs>
          <w:tab w:leader="none" w:pos="465" w:val="left"/>
          <w:tab w:leader="none" w:pos="1852"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sz w:val="1"/>
          <w:szCs w:val="1"/>
          <w:color w:val="auto"/>
        </w:rPr>
        <w:drawing>
          <wp:inline distT="0" distB="0" distL="0" distR="0">
            <wp:extent cx="548640" cy="102870"/>
            <wp:effectExtent l="0" t="0" r="0" b="0"/>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2026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258445</wp:posOffset>
            </wp:positionV>
            <wp:extent cx="7157720" cy="425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52"/>
          </w:cols>
          <w:pgMar w:left="328" w:top="125" w:right="719" w:bottom="1440" w:gutter="0" w:footer="0" w:header="0"/>
        </w:sectPr>
      </w:pPr>
    </w:p>
    <w:bookmarkStart w:id="106" w:name="page107"/>
    <w:bookmarkEnd w:id="106"/>
    <w:p>
      <w:pPr>
        <w:jc w:val="right"/>
        <w:spacing w:after="0"/>
        <w:rPr>
          <w:sz w:val="20"/>
          <w:szCs w:val="20"/>
          <w:color w:val="auto"/>
        </w:rPr>
      </w:pPr>
      <w:r>
        <w:rPr>
          <w:rFonts w:ascii="Arial" w:cs="Arial" w:eastAsia="Arial" w:hAnsi="Arial"/>
          <w:sz w:val="13"/>
          <w:szCs w:val="13"/>
          <w:b w:val="1"/>
          <w:bCs w:val="1"/>
          <w:color w:val="6D6E71"/>
        </w:rPr>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b w:val="1"/>
          <w:bCs w:val="1"/>
          <w:color w:val="D7282F"/>
        </w:rPr>
        <w:t>PENSION BENEFIT CALCULATION FORMULAS</w:t>
      </w:r>
    </w:p>
    <w:p>
      <w:pPr>
        <w:spacing w:after="0" w:line="112"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Within the REP and the SERP, a variety of formulas are used to determine pension benefits. Different benefit formulas apply for different groups of Company employees for historical reasons. The explanation below describes the formulas that are used to determine the amount of pension benefits for each of the Company’s participating Named Executive Officers (NEOs) under the REP and the SERP.</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640" w:type="dxa"/>
            <w:vAlign w:val="bottom"/>
          </w:tcPr>
          <w:p>
            <w:pPr>
              <w:ind w:left="20"/>
              <w:spacing w:after="0"/>
              <w:rPr>
                <w:sz w:val="20"/>
                <w:szCs w:val="20"/>
                <w:color w:val="auto"/>
              </w:rPr>
            </w:pPr>
            <w:r>
              <w:rPr>
                <w:rFonts w:ascii="Arial" w:cs="Arial" w:eastAsia="Arial" w:hAnsi="Arial"/>
                <w:sz w:val="14"/>
                <w:szCs w:val="14"/>
                <w:b w:val="1"/>
                <w:bCs w:val="1"/>
                <w:color w:val="auto"/>
              </w:rPr>
              <w:t>Name of Formula</w:t>
            </w:r>
          </w:p>
        </w:tc>
        <w:tc>
          <w:tcPr>
            <w:tcW w:w="9580" w:type="dxa"/>
            <w:vAlign w:val="bottom"/>
          </w:tcPr>
          <w:p>
            <w:pPr>
              <w:ind w:left="520"/>
              <w:spacing w:after="0"/>
              <w:rPr>
                <w:sz w:val="20"/>
                <w:szCs w:val="20"/>
                <w:color w:val="auto"/>
              </w:rPr>
            </w:pPr>
            <w:r>
              <w:rPr>
                <w:rFonts w:ascii="Arial" w:cs="Arial" w:eastAsia="Arial" w:hAnsi="Arial"/>
                <w:sz w:val="14"/>
                <w:szCs w:val="14"/>
                <w:b w:val="1"/>
                <w:bCs w:val="1"/>
                <w:color w:val="auto"/>
              </w:rPr>
              <w:t>Benefit Calculation</w:t>
            </w:r>
          </w:p>
        </w:tc>
        <w:tc>
          <w:tcPr>
            <w:tcW w:w="0" w:type="dxa"/>
            <w:vAlign w:val="bottom"/>
          </w:tcPr>
          <w:p>
            <w:pPr>
              <w:spacing w:after="0"/>
              <w:rPr>
                <w:sz w:val="1"/>
                <w:szCs w:val="1"/>
                <w:color w:val="auto"/>
              </w:rPr>
            </w:pPr>
          </w:p>
        </w:tc>
      </w:tr>
      <w:tr>
        <w:trPr>
          <w:trHeight w:val="178"/>
        </w:trPr>
        <w:tc>
          <w:tcPr>
            <w:tcW w:w="1640" w:type="dxa"/>
            <w:vAlign w:val="bottom"/>
            <w:tcBorders>
              <w:bottom w:val="single" w:sz="8" w:color="D7282F"/>
            </w:tcBorders>
          </w:tcPr>
          <w:p>
            <w:pPr>
              <w:spacing w:after="0"/>
              <w:rPr>
                <w:sz w:val="15"/>
                <w:szCs w:val="15"/>
                <w:color w:val="auto"/>
              </w:rPr>
            </w:pPr>
          </w:p>
        </w:tc>
        <w:tc>
          <w:tcPr>
            <w:tcW w:w="9580" w:type="dxa"/>
            <w:vAlign w:val="bottom"/>
            <w:tcBorders>
              <w:bottom w:val="single" w:sz="8" w:color="D7282F"/>
            </w:tcBorders>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16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REP</w:t>
            </w:r>
          </w:p>
        </w:tc>
        <w:tc>
          <w:tcPr>
            <w:tcW w:w="9580" w:type="dxa"/>
            <w:vAlign w:val="bottom"/>
          </w:tcPr>
          <w:p>
            <w:pPr>
              <w:ind w:left="44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Lump sum equal to (1) 6% of final average compensation (annual average compensation for the five calendar years out of</w:t>
            </w:r>
          </w:p>
        </w:tc>
        <w:tc>
          <w:tcPr>
            <w:tcW w:w="0" w:type="dxa"/>
            <w:vAlign w:val="bottom"/>
          </w:tcPr>
          <w:p>
            <w:pPr>
              <w:spacing w:after="0"/>
              <w:rPr>
                <w:sz w:val="1"/>
                <w:szCs w:val="1"/>
                <w:color w:val="auto"/>
              </w:rPr>
            </w:pPr>
          </w:p>
        </w:tc>
      </w:tr>
      <w:tr>
        <w:trPr>
          <w:trHeight w:val="128"/>
        </w:trPr>
        <w:tc>
          <w:tcPr>
            <w:tcW w:w="1640" w:type="dxa"/>
            <w:vAlign w:val="bottom"/>
            <w:vMerge w:val="continue"/>
          </w:tcPr>
          <w:p>
            <w:pPr>
              <w:spacing w:after="0"/>
              <w:rPr>
                <w:sz w:val="11"/>
                <w:szCs w:val="11"/>
                <w:color w:val="auto"/>
              </w:rPr>
            </w:pPr>
          </w:p>
        </w:tc>
        <w:tc>
          <w:tcPr>
            <w:tcW w:w="9580" w:type="dxa"/>
            <w:vAlign w:val="bottom"/>
            <w:vMerge w:val="restart"/>
          </w:tcPr>
          <w:p>
            <w:pPr>
              <w:ind w:left="640"/>
              <w:spacing w:after="0"/>
              <w:rPr>
                <w:sz w:val="20"/>
                <w:szCs w:val="20"/>
                <w:color w:val="auto"/>
              </w:rPr>
            </w:pPr>
            <w:r>
              <w:rPr>
                <w:rFonts w:ascii="Arial" w:cs="Arial" w:eastAsia="Arial" w:hAnsi="Arial"/>
                <w:sz w:val="16"/>
                <w:szCs w:val="16"/>
                <w:color w:val="auto"/>
              </w:rPr>
              <w:t>the previous 10 calendar years that produce the highest average) times (2) credited service.</w:t>
            </w:r>
          </w:p>
        </w:tc>
        <w:tc>
          <w:tcPr>
            <w:tcW w:w="0" w:type="dxa"/>
            <w:vAlign w:val="bottom"/>
          </w:tcPr>
          <w:p>
            <w:pPr>
              <w:spacing w:after="0"/>
              <w:rPr>
                <w:sz w:val="1"/>
                <w:szCs w:val="1"/>
                <w:color w:val="auto"/>
              </w:rPr>
            </w:pPr>
          </w:p>
        </w:tc>
      </w:tr>
      <w:tr>
        <w:trPr>
          <w:trHeight w:val="87"/>
        </w:trPr>
        <w:tc>
          <w:tcPr>
            <w:tcW w:w="1640" w:type="dxa"/>
            <w:vAlign w:val="bottom"/>
          </w:tcPr>
          <w:p>
            <w:pPr>
              <w:spacing w:after="0"/>
              <w:rPr>
                <w:sz w:val="7"/>
                <w:szCs w:val="7"/>
                <w:color w:val="auto"/>
              </w:rPr>
            </w:pPr>
          </w:p>
        </w:tc>
        <w:tc>
          <w:tcPr>
            <w:tcW w:w="9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640" w:type="dxa"/>
            <w:vAlign w:val="bottom"/>
            <w:tcBorders>
              <w:bottom w:val="single" w:sz="8" w:color="D7282F"/>
            </w:tcBorders>
          </w:tcPr>
          <w:p>
            <w:pPr>
              <w:spacing w:after="0"/>
              <w:rPr>
                <w:sz w:val="7"/>
                <w:szCs w:val="7"/>
                <w:color w:val="auto"/>
              </w:rPr>
            </w:pPr>
          </w:p>
        </w:tc>
        <w:tc>
          <w:tcPr>
            <w:tcW w:w="9580" w:type="dxa"/>
            <w:vAlign w:val="bottom"/>
            <w:tcBorders>
              <w:bottom w:val="single" w:sz="8" w:color="D7282F"/>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For the REP formula, compensation includes base pay, short-term incentive compensation, payroll-based rewards and recognition, and lump sum incentives. Annual incentive compensation is included in the year paid. The amount of compensation taken into account under the REP is limited by tax rules, but the amount of compensation taken into account under the SERP is not.</w:t>
      </w:r>
    </w:p>
    <w:p>
      <w:pPr>
        <w:spacing w:after="0" w:line="56" w:lineRule="exact"/>
        <w:rPr>
          <w:sz w:val="20"/>
          <w:szCs w:val="20"/>
          <w:color w:val="auto"/>
        </w:rPr>
      </w:pPr>
    </w:p>
    <w:p>
      <w:pPr>
        <w:ind w:right="260"/>
        <w:spacing w:after="0" w:line="304" w:lineRule="auto"/>
        <w:rPr>
          <w:sz w:val="20"/>
          <w:szCs w:val="20"/>
          <w:color w:val="auto"/>
        </w:rPr>
      </w:pPr>
      <w:r>
        <w:rPr>
          <w:rFonts w:ascii="Arial" w:cs="Arial" w:eastAsia="Arial" w:hAnsi="Arial"/>
          <w:sz w:val="16"/>
          <w:szCs w:val="16"/>
          <w:color w:val="auto"/>
        </w:rPr>
        <w:t>The REP formula describes the pension benefits in terms of a lump sum cash payment. Participants are entitled to receive their benefits in other payment forms, including, for example, joint and survivor annuities. However, the value of each available payment form is the same.</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Mr. Kapur's, Mr. Lewis's, Mr. Currier's and Mr. Hammoud's pension benefits under the REP and the SERP are determined under the REP formula.</w:t>
      </w:r>
    </w:p>
    <w:p>
      <w:pPr>
        <w:spacing w:after="0" w:line="25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NONQUALIFIED DEFERRED COMPENSATION — FISCAL YEAR 2025</w:t>
      </w:r>
    </w:p>
    <w:p>
      <w:pPr>
        <w:spacing w:after="0" w:line="128"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Honeywell limits deferred compensation amounts owed to executives by having the interest rate accruing on deferrals under the Honeywell Excess Benefit Plan, the Honeywell Supplemental Savings Plan (the SS Plan), and the Honeywell Deferred Incentive Plan (the DIC Plan) be a rate that changes annually based on the Company’s 15-year cost of borrowing, and requiring payment of the SS Plan or DIC Plan deferrals to begin shortly after termination of employment in a lump sum unless the participant leaves the Company after reaching retirement (age 55 with 10 years of service). In addition, cash dividend equivalents on vested deferred RSUs cannot be deferred, and dividend equivalents on unvested RSUs are reinvested in additional RSUs and subject to the same vesting schedule as the underlying RSUs.</w:t>
      </w:r>
    </w:p>
    <w:p>
      <w:pPr>
        <w:sectPr>
          <w:pgSz w:w="11900" w:h="16838" w:orient="portrait"/>
          <w:cols w:equalWidth="0" w:num="1">
            <w:col w:w="11240"/>
          </w:cols>
          <w:pgMar w:left="320" w:top="229"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75"/>
        </w:trPr>
        <w:tc>
          <w:tcPr>
            <w:tcW w:w="2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Named Executive</w:t>
            </w:r>
          </w:p>
        </w:tc>
        <w:tc>
          <w:tcPr>
            <w:tcW w:w="1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jc w:val="right"/>
              <w:ind w:right="208"/>
              <w:spacing w:after="0"/>
              <w:rPr>
                <w:sz w:val="20"/>
                <w:szCs w:val="20"/>
                <w:color w:val="auto"/>
              </w:rPr>
            </w:pPr>
            <w:r>
              <w:rPr>
                <w:rFonts w:ascii="Arial" w:cs="Arial" w:eastAsia="Arial" w:hAnsi="Arial"/>
                <w:sz w:val="14"/>
                <w:szCs w:val="14"/>
                <w:b w:val="1"/>
                <w:bCs w:val="1"/>
                <w:color w:val="auto"/>
              </w:rPr>
              <w:t>Executive</w:t>
            </w:r>
          </w:p>
        </w:tc>
        <w:tc>
          <w:tcPr>
            <w:tcW w:w="1420" w:type="dxa"/>
            <w:vAlign w:val="bottom"/>
          </w:tcPr>
          <w:p>
            <w:pPr>
              <w:jc w:val="right"/>
              <w:ind w:right="148"/>
              <w:spacing w:after="0"/>
              <w:rPr>
                <w:sz w:val="20"/>
                <w:szCs w:val="20"/>
                <w:color w:val="auto"/>
              </w:rPr>
            </w:pPr>
            <w:r>
              <w:rPr>
                <w:rFonts w:ascii="Arial" w:cs="Arial" w:eastAsia="Arial" w:hAnsi="Arial"/>
                <w:sz w:val="14"/>
                <w:szCs w:val="14"/>
                <w:b w:val="1"/>
                <w:bCs w:val="1"/>
                <w:color w:val="auto"/>
              </w:rPr>
              <w:t>Registrant</w:t>
            </w:r>
          </w:p>
        </w:tc>
        <w:tc>
          <w:tcPr>
            <w:tcW w:w="1320" w:type="dxa"/>
            <w:vAlign w:val="bottom"/>
          </w:tcPr>
          <w:p>
            <w:pPr>
              <w:jc w:val="right"/>
              <w:ind w:right="211"/>
              <w:spacing w:after="0"/>
              <w:rPr>
                <w:sz w:val="20"/>
                <w:szCs w:val="20"/>
                <w:color w:val="auto"/>
              </w:rPr>
            </w:pPr>
            <w:r>
              <w:rPr>
                <w:rFonts w:ascii="Arial" w:cs="Arial" w:eastAsia="Arial" w:hAnsi="Arial"/>
                <w:sz w:val="14"/>
                <w:szCs w:val="14"/>
                <w:b w:val="1"/>
                <w:bCs w:val="1"/>
                <w:color w:val="auto"/>
              </w:rPr>
              <w:t>Aggregate</w:t>
            </w:r>
          </w:p>
        </w:tc>
        <w:tc>
          <w:tcPr>
            <w:tcW w:w="1300" w:type="dxa"/>
            <w:vAlign w:val="bottom"/>
          </w:tcPr>
          <w:p>
            <w:pPr>
              <w:jc w:val="right"/>
              <w:ind w:right="68"/>
              <w:spacing w:after="0"/>
              <w:rPr>
                <w:sz w:val="20"/>
                <w:szCs w:val="20"/>
                <w:color w:val="auto"/>
              </w:rPr>
            </w:pPr>
            <w:r>
              <w:rPr>
                <w:rFonts w:ascii="Arial" w:cs="Arial" w:eastAsia="Arial" w:hAnsi="Arial"/>
                <w:sz w:val="14"/>
                <w:szCs w:val="14"/>
                <w:b w:val="1"/>
                <w:bCs w:val="1"/>
                <w:color w:val="auto"/>
              </w:rPr>
              <w:t>Aggregate</w:t>
            </w:r>
          </w:p>
        </w:tc>
        <w:tc>
          <w:tcPr>
            <w:tcW w:w="11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2340" w:type="dxa"/>
            <w:vAlign w:val="bottom"/>
            <w:vMerge w:val="continue"/>
          </w:tcPr>
          <w:p>
            <w:pPr>
              <w:spacing w:after="0"/>
              <w:rPr>
                <w:sz w:val="14"/>
                <w:szCs w:val="14"/>
                <w:color w:val="auto"/>
              </w:rPr>
            </w:pPr>
          </w:p>
        </w:tc>
        <w:tc>
          <w:tcPr>
            <w:tcW w:w="1680" w:type="dxa"/>
            <w:vAlign w:val="bottom"/>
          </w:tcPr>
          <w:p>
            <w:pPr>
              <w:spacing w:after="0"/>
              <w:rPr>
                <w:sz w:val="14"/>
                <w:szCs w:val="14"/>
                <w:color w:val="auto"/>
              </w:rPr>
            </w:pPr>
          </w:p>
        </w:tc>
        <w:tc>
          <w:tcPr>
            <w:tcW w:w="200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Contributions</w:t>
            </w:r>
          </w:p>
        </w:tc>
        <w:tc>
          <w:tcPr>
            <w:tcW w:w="1420" w:type="dxa"/>
            <w:vAlign w:val="bottom"/>
          </w:tcPr>
          <w:p>
            <w:pPr>
              <w:jc w:val="right"/>
              <w:ind w:right="148"/>
              <w:spacing w:after="0"/>
              <w:rPr>
                <w:sz w:val="20"/>
                <w:szCs w:val="20"/>
                <w:color w:val="auto"/>
              </w:rPr>
            </w:pPr>
            <w:r>
              <w:rPr>
                <w:rFonts w:ascii="Arial" w:cs="Arial" w:eastAsia="Arial" w:hAnsi="Arial"/>
                <w:sz w:val="14"/>
                <w:szCs w:val="14"/>
                <w:b w:val="1"/>
                <w:bCs w:val="1"/>
                <w:color w:val="auto"/>
              </w:rPr>
              <w:t>Contributions</w:t>
            </w:r>
          </w:p>
        </w:tc>
        <w:tc>
          <w:tcPr>
            <w:tcW w:w="1320" w:type="dxa"/>
            <w:vAlign w:val="bottom"/>
          </w:tcPr>
          <w:p>
            <w:pPr>
              <w:jc w:val="right"/>
              <w:ind w:right="211"/>
              <w:spacing w:after="0"/>
              <w:rPr>
                <w:sz w:val="20"/>
                <w:szCs w:val="20"/>
                <w:color w:val="auto"/>
              </w:rPr>
            </w:pPr>
            <w:r>
              <w:rPr>
                <w:rFonts w:ascii="Arial" w:cs="Arial" w:eastAsia="Arial" w:hAnsi="Arial"/>
                <w:sz w:val="14"/>
                <w:szCs w:val="14"/>
                <w:b w:val="1"/>
                <w:bCs w:val="1"/>
                <w:color w:val="auto"/>
              </w:rPr>
              <w:t>Earnings</w:t>
            </w:r>
          </w:p>
        </w:tc>
        <w:tc>
          <w:tcPr>
            <w:tcW w:w="1300" w:type="dxa"/>
            <w:vAlign w:val="bottom"/>
          </w:tcPr>
          <w:p>
            <w:pPr>
              <w:jc w:val="right"/>
              <w:ind w:right="68"/>
              <w:spacing w:after="0"/>
              <w:rPr>
                <w:sz w:val="20"/>
                <w:szCs w:val="20"/>
                <w:color w:val="auto"/>
              </w:rPr>
            </w:pPr>
            <w:r>
              <w:rPr>
                <w:rFonts w:ascii="Arial" w:cs="Arial" w:eastAsia="Arial" w:hAnsi="Arial"/>
                <w:sz w:val="14"/>
                <w:szCs w:val="14"/>
                <w:b w:val="1"/>
                <w:bCs w:val="1"/>
                <w:color w:val="auto"/>
              </w:rPr>
              <w:t>Withdrawals/</w:t>
            </w:r>
          </w:p>
        </w:tc>
        <w:tc>
          <w:tcPr>
            <w:tcW w:w="11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212"/>
        </w:trPr>
        <w:tc>
          <w:tcPr>
            <w:tcW w:w="2340" w:type="dxa"/>
            <w:vAlign w:val="bottom"/>
          </w:tcPr>
          <w:p>
            <w:pPr>
              <w:ind w:left="20"/>
              <w:spacing w:after="0"/>
              <w:rPr>
                <w:sz w:val="20"/>
                <w:szCs w:val="20"/>
                <w:color w:val="auto"/>
              </w:rPr>
            </w:pPr>
            <w:r>
              <w:rPr>
                <w:rFonts w:ascii="Arial" w:cs="Arial" w:eastAsia="Arial" w:hAnsi="Arial"/>
                <w:sz w:val="14"/>
                <w:szCs w:val="14"/>
                <w:b w:val="1"/>
                <w:bCs w:val="1"/>
                <w:color w:val="auto"/>
              </w:rPr>
              <w:t>Officer</w:t>
            </w:r>
          </w:p>
        </w:tc>
        <w:tc>
          <w:tcPr>
            <w:tcW w:w="1680" w:type="dxa"/>
            <w:vAlign w:val="bottom"/>
          </w:tcPr>
          <w:p>
            <w:pPr>
              <w:ind w:left="20"/>
              <w:spacing w:after="0"/>
              <w:rPr>
                <w:sz w:val="20"/>
                <w:szCs w:val="20"/>
                <w:color w:val="auto"/>
              </w:rPr>
            </w:pPr>
            <w:r>
              <w:rPr>
                <w:rFonts w:ascii="Arial" w:cs="Arial" w:eastAsia="Arial" w:hAnsi="Arial"/>
                <w:sz w:val="14"/>
                <w:szCs w:val="14"/>
                <w:b w:val="1"/>
                <w:bCs w:val="1"/>
                <w:color w:val="auto"/>
              </w:rPr>
              <w:t>Plan</w:t>
            </w:r>
          </w:p>
        </w:tc>
        <w:tc>
          <w:tcPr>
            <w:tcW w:w="860" w:type="dxa"/>
            <w:vAlign w:val="bottom"/>
          </w:tcPr>
          <w:p>
            <w:pPr>
              <w:spacing w:after="0"/>
              <w:rPr>
                <w:sz w:val="18"/>
                <w:szCs w:val="18"/>
                <w:color w:val="auto"/>
              </w:rPr>
            </w:pPr>
          </w:p>
        </w:tc>
        <w:tc>
          <w:tcPr>
            <w:tcW w:w="1140" w:type="dxa"/>
            <w:vAlign w:val="bottom"/>
          </w:tcPr>
          <w:p>
            <w:pPr>
              <w:jc w:val="right"/>
              <w:ind w:right="208"/>
              <w:spacing w:after="0"/>
              <w:rPr>
                <w:sz w:val="20"/>
                <w:szCs w:val="20"/>
                <w:color w:val="auto"/>
              </w:rPr>
            </w:pPr>
            <w:r>
              <w:rPr>
                <w:rFonts w:ascii="Arial" w:cs="Arial" w:eastAsia="Arial" w:hAnsi="Arial"/>
                <w:sz w:val="14"/>
                <w:szCs w:val="14"/>
                <w:b w:val="1"/>
                <w:bCs w:val="1"/>
                <w:color w:val="auto"/>
              </w:rPr>
              <w:t>in Last FY</w:t>
            </w:r>
            <w:r>
              <w:rPr>
                <w:rFonts w:ascii="Arial" w:cs="Arial" w:eastAsia="Arial" w:hAnsi="Arial"/>
                <w:sz w:val="18"/>
                <w:szCs w:val="18"/>
                <w:b w:val="1"/>
                <w:bCs w:val="1"/>
                <w:color w:val="auto"/>
                <w:vertAlign w:val="superscript"/>
              </w:rPr>
              <w:t>(2)</w:t>
            </w:r>
          </w:p>
        </w:tc>
        <w:tc>
          <w:tcPr>
            <w:tcW w:w="1420" w:type="dxa"/>
            <w:vAlign w:val="bottom"/>
          </w:tcPr>
          <w:p>
            <w:pPr>
              <w:jc w:val="right"/>
              <w:ind w:right="148"/>
              <w:spacing w:after="0"/>
              <w:rPr>
                <w:sz w:val="20"/>
                <w:szCs w:val="20"/>
                <w:color w:val="auto"/>
              </w:rPr>
            </w:pPr>
            <w:r>
              <w:rPr>
                <w:rFonts w:ascii="Arial" w:cs="Arial" w:eastAsia="Arial" w:hAnsi="Arial"/>
                <w:sz w:val="14"/>
                <w:szCs w:val="14"/>
                <w:b w:val="1"/>
                <w:bCs w:val="1"/>
                <w:color w:val="auto"/>
              </w:rPr>
              <w:t>in Last FY</w:t>
            </w:r>
            <w:r>
              <w:rPr>
                <w:rFonts w:ascii="Arial" w:cs="Arial" w:eastAsia="Arial" w:hAnsi="Arial"/>
                <w:sz w:val="18"/>
                <w:szCs w:val="18"/>
                <w:b w:val="1"/>
                <w:bCs w:val="1"/>
                <w:color w:val="auto"/>
                <w:vertAlign w:val="superscript"/>
              </w:rPr>
              <w:t>(1)(2)</w:t>
            </w:r>
          </w:p>
        </w:tc>
        <w:tc>
          <w:tcPr>
            <w:tcW w:w="1320" w:type="dxa"/>
            <w:vAlign w:val="bottom"/>
          </w:tcPr>
          <w:p>
            <w:pPr>
              <w:jc w:val="right"/>
              <w:ind w:right="211"/>
              <w:spacing w:after="0"/>
              <w:rPr>
                <w:sz w:val="20"/>
                <w:szCs w:val="20"/>
                <w:color w:val="auto"/>
              </w:rPr>
            </w:pPr>
            <w:r>
              <w:rPr>
                <w:rFonts w:ascii="Arial" w:cs="Arial" w:eastAsia="Arial" w:hAnsi="Arial"/>
                <w:sz w:val="14"/>
                <w:szCs w:val="14"/>
                <w:b w:val="1"/>
                <w:bCs w:val="1"/>
                <w:color w:val="auto"/>
              </w:rPr>
              <w:t>in Last FY</w:t>
            </w:r>
            <w:r>
              <w:rPr>
                <w:rFonts w:ascii="Arial" w:cs="Arial" w:eastAsia="Arial" w:hAnsi="Arial"/>
                <w:sz w:val="18"/>
                <w:szCs w:val="18"/>
                <w:b w:val="1"/>
                <w:bCs w:val="1"/>
                <w:color w:val="auto"/>
                <w:vertAlign w:val="superscript"/>
              </w:rPr>
              <w:t>(2)</w:t>
            </w:r>
          </w:p>
        </w:tc>
        <w:tc>
          <w:tcPr>
            <w:tcW w:w="1300" w:type="dxa"/>
            <w:vAlign w:val="bottom"/>
          </w:tcPr>
          <w:p>
            <w:pPr>
              <w:jc w:val="right"/>
              <w:ind w:right="68"/>
              <w:spacing w:after="0"/>
              <w:rPr>
                <w:sz w:val="20"/>
                <w:szCs w:val="20"/>
                <w:color w:val="auto"/>
              </w:rPr>
            </w:pPr>
            <w:r>
              <w:rPr>
                <w:rFonts w:ascii="Arial" w:cs="Arial" w:eastAsia="Arial" w:hAnsi="Arial"/>
                <w:sz w:val="14"/>
                <w:szCs w:val="14"/>
                <w:b w:val="1"/>
                <w:bCs w:val="1"/>
                <w:color w:val="auto"/>
              </w:rPr>
              <w:t>Distributions</w:t>
            </w:r>
          </w:p>
        </w:tc>
        <w:tc>
          <w:tcPr>
            <w:tcW w:w="11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Last FYE</w:t>
            </w:r>
            <w:r>
              <w:rPr>
                <w:rFonts w:ascii="Arial" w:cs="Arial" w:eastAsia="Arial" w:hAnsi="Arial"/>
                <w:sz w:val="18"/>
                <w:szCs w:val="18"/>
                <w:b w:val="1"/>
                <w:bCs w:val="1"/>
                <w:color w:val="auto"/>
                <w:vertAlign w:val="superscript"/>
              </w:rPr>
              <w:t>(2)</w:t>
            </w:r>
          </w:p>
        </w:tc>
        <w:tc>
          <w:tcPr>
            <w:tcW w:w="0" w:type="dxa"/>
            <w:vAlign w:val="bottom"/>
          </w:tcPr>
          <w:p>
            <w:pPr>
              <w:spacing w:after="0"/>
              <w:rPr>
                <w:sz w:val="1"/>
                <w:szCs w:val="1"/>
                <w:color w:val="auto"/>
              </w:rPr>
            </w:pPr>
          </w:p>
        </w:tc>
      </w:tr>
      <w:tr>
        <w:trPr>
          <w:trHeight w:val="353"/>
        </w:trPr>
        <w:tc>
          <w:tcPr>
            <w:tcW w:w="2340" w:type="dxa"/>
            <w:vAlign w:val="bottom"/>
            <w:tcBorders>
              <w:top w:val="single" w:sz="8" w:color="D7282F"/>
            </w:tcBorders>
          </w:tcPr>
          <w:p>
            <w:pPr>
              <w:ind w:left="20"/>
              <w:spacing w:after="0"/>
              <w:rPr>
                <w:sz w:val="20"/>
                <w:szCs w:val="20"/>
                <w:color w:val="auto"/>
              </w:rPr>
            </w:pPr>
            <w:r>
              <w:rPr>
                <w:rFonts w:ascii="Arial" w:cs="Arial" w:eastAsia="Arial" w:hAnsi="Arial"/>
                <w:sz w:val="14"/>
                <w:szCs w:val="14"/>
                <w:b w:val="1"/>
                <w:bCs w:val="1"/>
                <w:color w:val="auto"/>
              </w:rPr>
              <w:t>Vimal Kapur</w:t>
            </w:r>
          </w:p>
        </w:tc>
        <w:tc>
          <w:tcPr>
            <w:tcW w:w="1680" w:type="dxa"/>
            <w:vAlign w:val="bottom"/>
            <w:tcBorders>
              <w:top w:val="single" w:sz="8" w:color="D7282F"/>
            </w:tcBorders>
          </w:tcPr>
          <w:p>
            <w:pPr>
              <w:ind w:left="20"/>
              <w:spacing w:after="0"/>
              <w:rPr>
                <w:sz w:val="20"/>
                <w:szCs w:val="20"/>
                <w:color w:val="auto"/>
              </w:rPr>
            </w:pPr>
            <w:r>
              <w:rPr>
                <w:rFonts w:ascii="Arial" w:cs="Arial" w:eastAsia="Arial" w:hAnsi="Arial"/>
                <w:sz w:val="14"/>
                <w:szCs w:val="14"/>
                <w:color w:val="auto"/>
              </w:rPr>
              <w:t>SS Plan</w:t>
            </w:r>
            <w:r>
              <w:rPr>
                <w:rFonts w:ascii="Arial" w:cs="Arial" w:eastAsia="Arial" w:hAnsi="Arial"/>
                <w:sz w:val="18"/>
                <w:szCs w:val="18"/>
                <w:color w:val="auto"/>
                <w:vertAlign w:val="superscript"/>
              </w:rPr>
              <w:t>(1)</w:t>
            </w:r>
          </w:p>
        </w:tc>
        <w:tc>
          <w:tcPr>
            <w:tcW w:w="860" w:type="dxa"/>
            <w:vAlign w:val="bottom"/>
            <w:tcBorders>
              <w:top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D7282F"/>
            </w:tcBorders>
          </w:tcPr>
          <w:p>
            <w:pPr>
              <w:jc w:val="right"/>
              <w:ind w:right="248"/>
              <w:spacing w:after="0"/>
              <w:rPr>
                <w:sz w:val="20"/>
                <w:szCs w:val="20"/>
                <w:color w:val="auto"/>
              </w:rPr>
            </w:pPr>
            <w:r>
              <w:rPr>
                <w:rFonts w:ascii="Arial" w:cs="Arial" w:eastAsia="Arial" w:hAnsi="Arial"/>
                <w:sz w:val="14"/>
                <w:szCs w:val="14"/>
                <w:color w:val="auto"/>
              </w:rPr>
              <w:t>495,885</w:t>
            </w:r>
          </w:p>
        </w:tc>
        <w:tc>
          <w:tcPr>
            <w:tcW w:w="1420" w:type="dxa"/>
            <w:vAlign w:val="bottom"/>
            <w:tcBorders>
              <w:top w:val="single" w:sz="8" w:color="D7282F"/>
            </w:tcBorders>
          </w:tcPr>
          <w:p>
            <w:pPr>
              <w:jc w:val="right"/>
              <w:ind w:right="188"/>
              <w:spacing w:after="0"/>
              <w:rPr>
                <w:sz w:val="20"/>
                <w:szCs w:val="20"/>
                <w:color w:val="auto"/>
              </w:rPr>
            </w:pPr>
            <w:r>
              <w:rPr>
                <w:rFonts w:ascii="Arial" w:cs="Arial" w:eastAsia="Arial" w:hAnsi="Arial"/>
                <w:sz w:val="14"/>
                <w:szCs w:val="14"/>
                <w:color w:val="auto"/>
              </w:rPr>
              <w:t>$   87,500</w:t>
            </w:r>
          </w:p>
        </w:tc>
        <w:tc>
          <w:tcPr>
            <w:tcW w:w="1320" w:type="dxa"/>
            <w:vAlign w:val="bottom"/>
            <w:tcBorders>
              <w:top w:val="single" w:sz="8" w:color="D7282F"/>
            </w:tcBorders>
          </w:tcPr>
          <w:p>
            <w:pPr>
              <w:jc w:val="right"/>
              <w:ind w:right="251"/>
              <w:spacing w:after="0"/>
              <w:rPr>
                <w:sz w:val="20"/>
                <w:szCs w:val="20"/>
                <w:color w:val="auto"/>
              </w:rPr>
            </w:pPr>
            <w:r>
              <w:rPr>
                <w:rFonts w:ascii="Arial" w:cs="Arial" w:eastAsia="Arial" w:hAnsi="Arial"/>
                <w:sz w:val="14"/>
                <w:szCs w:val="14"/>
                <w:color w:val="auto"/>
              </w:rPr>
              <w:t>$97,191</w:t>
            </w:r>
          </w:p>
        </w:tc>
        <w:tc>
          <w:tcPr>
            <w:tcW w:w="1300" w:type="dxa"/>
            <w:vAlign w:val="bottom"/>
            <w:tcBorders>
              <w:top w:val="single" w:sz="8" w:color="D7282F"/>
            </w:tcBorders>
          </w:tcPr>
          <w:p>
            <w:pPr>
              <w:ind w:left="980"/>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D7282F"/>
            </w:tcBorders>
          </w:tcPr>
          <w:p>
            <w:pPr>
              <w:jc w:val="right"/>
              <w:spacing w:after="0"/>
              <w:rPr>
                <w:sz w:val="20"/>
                <w:szCs w:val="20"/>
                <w:color w:val="auto"/>
              </w:rPr>
            </w:pPr>
            <w:r>
              <w:rPr>
                <w:rFonts w:ascii="Arial" w:cs="Arial" w:eastAsia="Arial" w:hAnsi="Arial"/>
                <w:sz w:val="14"/>
                <w:szCs w:val="14"/>
                <w:color w:val="auto"/>
              </w:rPr>
              <w:t>$   3,028,704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2340" w:type="dxa"/>
            <w:vAlign w:val="bottom"/>
          </w:tcPr>
          <w:p>
            <w:pPr>
              <w:spacing w:after="0"/>
              <w:rPr>
                <w:sz w:val="6"/>
                <w:szCs w:val="6"/>
                <w:color w:val="auto"/>
              </w:rPr>
            </w:pPr>
          </w:p>
        </w:tc>
        <w:tc>
          <w:tcPr>
            <w:tcW w:w="1680" w:type="dxa"/>
            <w:vAlign w:val="bottom"/>
            <w:tcBorders>
              <w:bottom w:val="single" w:sz="8" w:color="939598"/>
            </w:tcBorders>
          </w:tcPr>
          <w:p>
            <w:pPr>
              <w:spacing w:after="0"/>
              <w:rPr>
                <w:sz w:val="6"/>
                <w:szCs w:val="6"/>
                <w:color w:val="auto"/>
              </w:rPr>
            </w:pPr>
          </w:p>
        </w:tc>
        <w:tc>
          <w:tcPr>
            <w:tcW w:w="860" w:type="dxa"/>
            <w:vAlign w:val="bottom"/>
            <w:tcBorders>
              <w:bottom w:val="single" w:sz="8" w:color="939598"/>
            </w:tcBorders>
          </w:tcPr>
          <w:p>
            <w:pPr>
              <w:spacing w:after="0"/>
              <w:rPr>
                <w:sz w:val="6"/>
                <w:szCs w:val="6"/>
                <w:color w:val="auto"/>
              </w:rPr>
            </w:pPr>
          </w:p>
        </w:tc>
        <w:tc>
          <w:tcPr>
            <w:tcW w:w="1140" w:type="dxa"/>
            <w:vAlign w:val="bottom"/>
            <w:tcBorders>
              <w:bottom w:val="single" w:sz="8" w:color="939598"/>
            </w:tcBorders>
          </w:tcPr>
          <w:p>
            <w:pPr>
              <w:spacing w:after="0"/>
              <w:rPr>
                <w:sz w:val="6"/>
                <w:szCs w:val="6"/>
                <w:color w:val="auto"/>
              </w:rPr>
            </w:pPr>
          </w:p>
        </w:tc>
        <w:tc>
          <w:tcPr>
            <w:tcW w:w="1420" w:type="dxa"/>
            <w:vAlign w:val="bottom"/>
            <w:tcBorders>
              <w:bottom w:val="single" w:sz="8" w:color="939598"/>
            </w:tcBorders>
          </w:tcPr>
          <w:p>
            <w:pPr>
              <w:spacing w:after="0"/>
              <w:rPr>
                <w:sz w:val="6"/>
                <w:szCs w:val="6"/>
                <w:color w:val="auto"/>
              </w:rPr>
            </w:pPr>
          </w:p>
        </w:tc>
        <w:tc>
          <w:tcPr>
            <w:tcW w:w="1320" w:type="dxa"/>
            <w:vAlign w:val="bottom"/>
            <w:tcBorders>
              <w:bottom w:val="single" w:sz="8" w:color="939598"/>
            </w:tcBorders>
          </w:tcPr>
          <w:p>
            <w:pPr>
              <w:spacing w:after="0"/>
              <w:rPr>
                <w:sz w:val="6"/>
                <w:szCs w:val="6"/>
                <w:color w:val="auto"/>
              </w:rPr>
            </w:pPr>
          </w:p>
        </w:tc>
        <w:tc>
          <w:tcPr>
            <w:tcW w:w="1300" w:type="dxa"/>
            <w:vAlign w:val="bottom"/>
            <w:tcBorders>
              <w:bottom w:val="single" w:sz="8" w:color="939598"/>
            </w:tcBorders>
          </w:tcPr>
          <w:p>
            <w:pPr>
              <w:spacing w:after="0"/>
              <w:rPr>
                <w:sz w:val="6"/>
                <w:szCs w:val="6"/>
                <w:color w:val="auto"/>
              </w:rPr>
            </w:pPr>
          </w:p>
        </w:tc>
        <w:tc>
          <w:tcPr>
            <w:tcW w:w="1160" w:type="dxa"/>
            <w:vAlign w:val="bottom"/>
            <w:tcBorders>
              <w:bottom w:val="single" w:sz="8" w:color="939598"/>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6"/>
        </w:trPr>
        <w:tc>
          <w:tcPr>
            <w:tcW w:w="234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Arial" w:cs="Arial" w:eastAsia="Arial" w:hAnsi="Arial"/>
                <w:sz w:val="14"/>
                <w:szCs w:val="14"/>
                <w:color w:val="auto"/>
              </w:rPr>
              <w:t>DIC Plan</w:t>
            </w:r>
          </w:p>
        </w:tc>
        <w:tc>
          <w:tcPr>
            <w:tcW w:w="860" w:type="dxa"/>
            <w:vAlign w:val="bottom"/>
          </w:tcPr>
          <w:p>
            <w:pPr>
              <w:spacing w:after="0"/>
              <w:rPr>
                <w:sz w:val="24"/>
                <w:szCs w:val="24"/>
                <w:color w:val="auto"/>
              </w:rPr>
            </w:pPr>
          </w:p>
        </w:tc>
        <w:tc>
          <w:tcPr>
            <w:tcW w:w="1140" w:type="dxa"/>
            <w:vAlign w:val="bottom"/>
          </w:tcPr>
          <w:p>
            <w:pPr>
              <w:jc w:val="right"/>
              <w:ind w:right="248"/>
              <w:spacing w:after="0"/>
              <w:rPr>
                <w:sz w:val="20"/>
                <w:szCs w:val="20"/>
                <w:color w:val="auto"/>
              </w:rPr>
            </w:pPr>
            <w:r>
              <w:rPr>
                <w:rFonts w:ascii="Arial" w:cs="Arial" w:eastAsia="Arial" w:hAnsi="Arial"/>
                <w:sz w:val="14"/>
                <w:szCs w:val="14"/>
                <w:color w:val="auto"/>
              </w:rPr>
              <w:t>1,457,754</w:t>
            </w: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51"/>
              <w:spacing w:after="0"/>
              <w:rPr>
                <w:sz w:val="20"/>
                <w:szCs w:val="20"/>
                <w:color w:val="auto"/>
              </w:rPr>
            </w:pPr>
            <w:r>
              <w:rPr>
                <w:rFonts w:ascii="Arial" w:cs="Arial" w:eastAsia="Arial" w:hAnsi="Arial"/>
                <w:sz w:val="14"/>
                <w:szCs w:val="14"/>
                <w:color w:val="auto"/>
              </w:rPr>
              <w:t>277,497</w:t>
            </w:r>
          </w:p>
        </w:tc>
        <w:tc>
          <w:tcPr>
            <w:tcW w:w="1300" w:type="dxa"/>
            <w:vAlign w:val="bottom"/>
          </w:tcPr>
          <w:p>
            <w:pPr>
              <w:ind w:left="98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6,032,440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340" w:type="dxa"/>
            <w:vAlign w:val="bottom"/>
          </w:tcPr>
          <w:p>
            <w:pPr>
              <w:spacing w:after="0"/>
              <w:rPr>
                <w:sz w:val="11"/>
                <w:szCs w:val="11"/>
                <w:color w:val="auto"/>
              </w:rPr>
            </w:pPr>
          </w:p>
        </w:tc>
        <w:tc>
          <w:tcPr>
            <w:tcW w:w="1680" w:type="dxa"/>
            <w:vAlign w:val="bottom"/>
            <w:tcBorders>
              <w:bottom w:val="single" w:sz="8" w:color="939598"/>
            </w:tcBorders>
          </w:tcPr>
          <w:p>
            <w:pPr>
              <w:spacing w:after="0"/>
              <w:rPr>
                <w:sz w:val="11"/>
                <w:szCs w:val="11"/>
                <w:color w:val="auto"/>
              </w:rPr>
            </w:pPr>
          </w:p>
        </w:tc>
        <w:tc>
          <w:tcPr>
            <w:tcW w:w="860" w:type="dxa"/>
            <w:vAlign w:val="bottom"/>
            <w:tcBorders>
              <w:bottom w:val="single" w:sz="8" w:color="939598"/>
            </w:tcBorders>
          </w:tcPr>
          <w:p>
            <w:pPr>
              <w:spacing w:after="0"/>
              <w:rPr>
                <w:sz w:val="11"/>
                <w:szCs w:val="11"/>
                <w:color w:val="auto"/>
              </w:rPr>
            </w:pPr>
          </w:p>
        </w:tc>
        <w:tc>
          <w:tcPr>
            <w:tcW w:w="1140" w:type="dxa"/>
            <w:vAlign w:val="bottom"/>
            <w:tcBorders>
              <w:bottom w:val="single" w:sz="8" w:color="939598"/>
            </w:tcBorders>
          </w:tcPr>
          <w:p>
            <w:pPr>
              <w:spacing w:after="0"/>
              <w:rPr>
                <w:sz w:val="11"/>
                <w:szCs w:val="11"/>
                <w:color w:val="auto"/>
              </w:rPr>
            </w:pPr>
          </w:p>
        </w:tc>
        <w:tc>
          <w:tcPr>
            <w:tcW w:w="1420" w:type="dxa"/>
            <w:vAlign w:val="bottom"/>
            <w:tcBorders>
              <w:bottom w:val="single" w:sz="8" w:color="939598"/>
            </w:tcBorders>
          </w:tcPr>
          <w:p>
            <w:pPr>
              <w:spacing w:after="0"/>
              <w:rPr>
                <w:sz w:val="11"/>
                <w:szCs w:val="11"/>
                <w:color w:val="auto"/>
              </w:rPr>
            </w:pPr>
          </w:p>
        </w:tc>
        <w:tc>
          <w:tcPr>
            <w:tcW w:w="1320" w:type="dxa"/>
            <w:vAlign w:val="bottom"/>
            <w:tcBorders>
              <w:bottom w:val="single" w:sz="8" w:color="939598"/>
            </w:tcBorders>
          </w:tcPr>
          <w:p>
            <w:pPr>
              <w:spacing w:after="0"/>
              <w:rPr>
                <w:sz w:val="11"/>
                <w:szCs w:val="11"/>
                <w:color w:val="auto"/>
              </w:rPr>
            </w:pPr>
          </w:p>
        </w:tc>
        <w:tc>
          <w:tcPr>
            <w:tcW w:w="1300" w:type="dxa"/>
            <w:vAlign w:val="bottom"/>
            <w:tcBorders>
              <w:bottom w:val="single" w:sz="8" w:color="939598"/>
            </w:tcBorders>
          </w:tcPr>
          <w:p>
            <w:pPr>
              <w:spacing w:after="0"/>
              <w:rPr>
                <w:sz w:val="11"/>
                <w:szCs w:val="11"/>
                <w:color w:val="auto"/>
              </w:rPr>
            </w:pPr>
          </w:p>
        </w:tc>
        <w:tc>
          <w:tcPr>
            <w:tcW w:w="1160" w:type="dxa"/>
            <w:vAlign w:val="bottom"/>
            <w:tcBorders>
              <w:bottom w:val="single" w:sz="8" w:color="939598"/>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34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Arial" w:cs="Arial" w:eastAsia="Arial" w:hAnsi="Arial"/>
                <w:sz w:val="14"/>
                <w:szCs w:val="14"/>
                <w:color w:val="auto"/>
              </w:rPr>
              <w:t>Deferred RSUs</w:t>
            </w:r>
          </w:p>
        </w:tc>
        <w:tc>
          <w:tcPr>
            <w:tcW w:w="860" w:type="dxa"/>
            <w:vAlign w:val="bottom"/>
          </w:tcPr>
          <w:p>
            <w:pPr>
              <w:spacing w:after="0"/>
              <w:rPr>
                <w:sz w:val="24"/>
                <w:szCs w:val="24"/>
                <w:color w:val="auto"/>
              </w:rPr>
            </w:pPr>
          </w:p>
        </w:tc>
        <w:tc>
          <w:tcPr>
            <w:tcW w:w="11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51"/>
              <w:spacing w:after="0"/>
              <w:rPr>
                <w:sz w:val="20"/>
                <w:szCs w:val="20"/>
                <w:color w:val="auto"/>
              </w:rPr>
            </w:pPr>
            <w:r>
              <w:rPr>
                <w:rFonts w:ascii="Arial" w:cs="Arial" w:eastAsia="Arial" w:hAnsi="Arial"/>
                <w:sz w:val="14"/>
                <w:szCs w:val="14"/>
                <w:color w:val="auto"/>
              </w:rPr>
              <w:t>—</w:t>
            </w:r>
          </w:p>
        </w:tc>
        <w:tc>
          <w:tcPr>
            <w:tcW w:w="1300" w:type="dxa"/>
            <w:vAlign w:val="bottom"/>
          </w:tcPr>
          <w:p>
            <w:pPr>
              <w:ind w:left="98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340" w:type="dxa"/>
            <w:vAlign w:val="bottom"/>
          </w:tcPr>
          <w:p>
            <w:pPr>
              <w:spacing w:after="0"/>
              <w:rPr>
                <w:sz w:val="11"/>
                <w:szCs w:val="11"/>
                <w:color w:val="auto"/>
              </w:rPr>
            </w:pPr>
          </w:p>
        </w:tc>
        <w:tc>
          <w:tcPr>
            <w:tcW w:w="1680" w:type="dxa"/>
            <w:vAlign w:val="bottom"/>
            <w:tcBorders>
              <w:bottom w:val="single" w:sz="8" w:color="939598"/>
            </w:tcBorders>
          </w:tcPr>
          <w:p>
            <w:pPr>
              <w:spacing w:after="0"/>
              <w:rPr>
                <w:sz w:val="11"/>
                <w:szCs w:val="11"/>
                <w:color w:val="auto"/>
              </w:rPr>
            </w:pPr>
          </w:p>
        </w:tc>
        <w:tc>
          <w:tcPr>
            <w:tcW w:w="860" w:type="dxa"/>
            <w:vAlign w:val="bottom"/>
            <w:tcBorders>
              <w:bottom w:val="single" w:sz="8" w:color="939598"/>
            </w:tcBorders>
          </w:tcPr>
          <w:p>
            <w:pPr>
              <w:spacing w:after="0"/>
              <w:rPr>
                <w:sz w:val="11"/>
                <w:szCs w:val="11"/>
                <w:color w:val="auto"/>
              </w:rPr>
            </w:pPr>
          </w:p>
        </w:tc>
        <w:tc>
          <w:tcPr>
            <w:tcW w:w="1140" w:type="dxa"/>
            <w:vAlign w:val="bottom"/>
            <w:tcBorders>
              <w:bottom w:val="single" w:sz="8" w:color="939598"/>
            </w:tcBorders>
          </w:tcPr>
          <w:p>
            <w:pPr>
              <w:spacing w:after="0"/>
              <w:rPr>
                <w:sz w:val="11"/>
                <w:szCs w:val="11"/>
                <w:color w:val="auto"/>
              </w:rPr>
            </w:pPr>
          </w:p>
        </w:tc>
        <w:tc>
          <w:tcPr>
            <w:tcW w:w="1420" w:type="dxa"/>
            <w:vAlign w:val="bottom"/>
            <w:tcBorders>
              <w:bottom w:val="single" w:sz="8" w:color="939598"/>
            </w:tcBorders>
          </w:tcPr>
          <w:p>
            <w:pPr>
              <w:spacing w:after="0"/>
              <w:rPr>
                <w:sz w:val="11"/>
                <w:szCs w:val="11"/>
                <w:color w:val="auto"/>
              </w:rPr>
            </w:pPr>
          </w:p>
        </w:tc>
        <w:tc>
          <w:tcPr>
            <w:tcW w:w="1320" w:type="dxa"/>
            <w:vAlign w:val="bottom"/>
            <w:tcBorders>
              <w:bottom w:val="single" w:sz="8" w:color="939598"/>
            </w:tcBorders>
          </w:tcPr>
          <w:p>
            <w:pPr>
              <w:spacing w:after="0"/>
              <w:rPr>
                <w:sz w:val="11"/>
                <w:szCs w:val="11"/>
                <w:color w:val="auto"/>
              </w:rPr>
            </w:pPr>
          </w:p>
        </w:tc>
        <w:tc>
          <w:tcPr>
            <w:tcW w:w="1300" w:type="dxa"/>
            <w:vAlign w:val="bottom"/>
            <w:tcBorders>
              <w:bottom w:val="single" w:sz="8" w:color="939598"/>
            </w:tcBorders>
          </w:tcPr>
          <w:p>
            <w:pPr>
              <w:spacing w:after="0"/>
              <w:rPr>
                <w:sz w:val="11"/>
                <w:szCs w:val="11"/>
                <w:color w:val="auto"/>
              </w:rPr>
            </w:pPr>
          </w:p>
        </w:tc>
        <w:tc>
          <w:tcPr>
            <w:tcW w:w="1160" w:type="dxa"/>
            <w:vAlign w:val="bottom"/>
            <w:tcBorders>
              <w:bottom w:val="single" w:sz="8" w:color="939598"/>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2"/>
        </w:trPr>
        <w:tc>
          <w:tcPr>
            <w:tcW w:w="234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860" w:type="dxa"/>
            <w:vAlign w:val="bottom"/>
          </w:tcPr>
          <w:p>
            <w:pPr>
              <w:spacing w:after="0"/>
              <w:rPr>
                <w:sz w:val="24"/>
                <w:szCs w:val="24"/>
                <w:color w:val="auto"/>
              </w:rPr>
            </w:pPr>
          </w:p>
        </w:tc>
        <w:tc>
          <w:tcPr>
            <w:tcW w:w="1140" w:type="dxa"/>
            <w:vAlign w:val="bottom"/>
          </w:tcPr>
          <w:p>
            <w:pPr>
              <w:jc w:val="right"/>
              <w:ind w:right="248"/>
              <w:spacing w:after="0"/>
              <w:rPr>
                <w:sz w:val="20"/>
                <w:szCs w:val="20"/>
                <w:color w:val="auto"/>
              </w:rPr>
            </w:pPr>
            <w:r>
              <w:rPr>
                <w:rFonts w:ascii="Arial" w:cs="Arial" w:eastAsia="Arial" w:hAnsi="Arial"/>
                <w:sz w:val="14"/>
                <w:szCs w:val="14"/>
                <w:b w:val="1"/>
                <w:bCs w:val="1"/>
                <w:color w:val="auto"/>
              </w:rPr>
              <w:t>1,953,639</w:t>
            </w:r>
          </w:p>
        </w:tc>
        <w:tc>
          <w:tcPr>
            <w:tcW w:w="1420" w:type="dxa"/>
            <w:vAlign w:val="bottom"/>
          </w:tcPr>
          <w:p>
            <w:pPr>
              <w:jc w:val="right"/>
              <w:ind w:right="188"/>
              <w:spacing w:after="0"/>
              <w:rPr>
                <w:sz w:val="20"/>
                <w:szCs w:val="20"/>
                <w:color w:val="auto"/>
              </w:rPr>
            </w:pPr>
            <w:r>
              <w:rPr>
                <w:rFonts w:ascii="Arial" w:cs="Arial" w:eastAsia="Arial" w:hAnsi="Arial"/>
                <w:sz w:val="14"/>
                <w:szCs w:val="14"/>
                <w:b w:val="1"/>
                <w:bCs w:val="1"/>
                <w:color w:val="auto"/>
              </w:rPr>
              <w:t>87,500</w:t>
            </w:r>
          </w:p>
        </w:tc>
        <w:tc>
          <w:tcPr>
            <w:tcW w:w="1320" w:type="dxa"/>
            <w:vAlign w:val="bottom"/>
          </w:tcPr>
          <w:p>
            <w:pPr>
              <w:jc w:val="right"/>
              <w:ind w:right="251"/>
              <w:spacing w:after="0"/>
              <w:rPr>
                <w:sz w:val="20"/>
                <w:szCs w:val="20"/>
                <w:color w:val="auto"/>
              </w:rPr>
            </w:pPr>
            <w:r>
              <w:rPr>
                <w:rFonts w:ascii="Arial" w:cs="Arial" w:eastAsia="Arial" w:hAnsi="Arial"/>
                <w:sz w:val="14"/>
                <w:szCs w:val="14"/>
                <w:b w:val="1"/>
                <w:bCs w:val="1"/>
                <w:color w:val="auto"/>
              </w:rPr>
              <w:t>374,688</w:t>
            </w:r>
          </w:p>
        </w:tc>
        <w:tc>
          <w:tcPr>
            <w:tcW w:w="1300" w:type="dxa"/>
            <w:vAlign w:val="bottom"/>
          </w:tcPr>
          <w:p>
            <w:pPr>
              <w:ind w:left="980"/>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9,061,144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340" w:type="dxa"/>
            <w:vAlign w:val="bottom"/>
            <w:tcBorders>
              <w:bottom w:val="single" w:sz="8" w:color="939598"/>
            </w:tcBorders>
          </w:tcPr>
          <w:p>
            <w:pPr>
              <w:spacing w:after="0"/>
              <w:rPr>
                <w:sz w:val="10"/>
                <w:szCs w:val="10"/>
                <w:color w:val="auto"/>
              </w:rPr>
            </w:pPr>
          </w:p>
        </w:tc>
        <w:tc>
          <w:tcPr>
            <w:tcW w:w="1680" w:type="dxa"/>
            <w:vAlign w:val="bottom"/>
            <w:tcBorders>
              <w:bottom w:val="single" w:sz="8" w:color="939598"/>
            </w:tcBorders>
          </w:tcPr>
          <w:p>
            <w:pPr>
              <w:spacing w:after="0"/>
              <w:rPr>
                <w:sz w:val="10"/>
                <w:szCs w:val="10"/>
                <w:color w:val="auto"/>
              </w:rPr>
            </w:pPr>
          </w:p>
        </w:tc>
        <w:tc>
          <w:tcPr>
            <w:tcW w:w="860" w:type="dxa"/>
            <w:vAlign w:val="bottom"/>
            <w:tcBorders>
              <w:bottom w:val="single" w:sz="8" w:color="939598"/>
            </w:tcBorders>
          </w:tcPr>
          <w:p>
            <w:pPr>
              <w:spacing w:after="0"/>
              <w:rPr>
                <w:sz w:val="10"/>
                <w:szCs w:val="10"/>
                <w:color w:val="auto"/>
              </w:rPr>
            </w:pPr>
          </w:p>
        </w:tc>
        <w:tc>
          <w:tcPr>
            <w:tcW w:w="1140" w:type="dxa"/>
            <w:vAlign w:val="bottom"/>
            <w:tcBorders>
              <w:bottom w:val="single" w:sz="8" w:color="939598"/>
            </w:tcBorders>
          </w:tcPr>
          <w:p>
            <w:pPr>
              <w:spacing w:after="0"/>
              <w:rPr>
                <w:sz w:val="10"/>
                <w:szCs w:val="10"/>
                <w:color w:val="auto"/>
              </w:rPr>
            </w:pPr>
          </w:p>
        </w:tc>
        <w:tc>
          <w:tcPr>
            <w:tcW w:w="1420" w:type="dxa"/>
            <w:vAlign w:val="bottom"/>
            <w:tcBorders>
              <w:bottom w:val="single" w:sz="8" w:color="939598"/>
            </w:tcBorders>
          </w:tcPr>
          <w:p>
            <w:pPr>
              <w:spacing w:after="0"/>
              <w:rPr>
                <w:sz w:val="10"/>
                <w:szCs w:val="10"/>
                <w:color w:val="auto"/>
              </w:rPr>
            </w:pPr>
          </w:p>
        </w:tc>
        <w:tc>
          <w:tcPr>
            <w:tcW w:w="1320" w:type="dxa"/>
            <w:vAlign w:val="bottom"/>
            <w:tcBorders>
              <w:bottom w:val="single" w:sz="8" w:color="939598"/>
            </w:tcBorders>
          </w:tcPr>
          <w:p>
            <w:pPr>
              <w:spacing w:after="0"/>
              <w:rPr>
                <w:sz w:val="10"/>
                <w:szCs w:val="10"/>
                <w:color w:val="auto"/>
              </w:rPr>
            </w:pPr>
          </w:p>
        </w:tc>
        <w:tc>
          <w:tcPr>
            <w:tcW w:w="1300" w:type="dxa"/>
            <w:vAlign w:val="bottom"/>
            <w:tcBorders>
              <w:bottom w:val="single" w:sz="8" w:color="939598"/>
            </w:tcBorders>
          </w:tcPr>
          <w:p>
            <w:pPr>
              <w:spacing w:after="0"/>
              <w:rPr>
                <w:sz w:val="10"/>
                <w:szCs w:val="10"/>
                <w:color w:val="auto"/>
              </w:rPr>
            </w:pPr>
          </w:p>
        </w:tc>
        <w:tc>
          <w:tcPr>
            <w:tcW w:w="1160" w:type="dxa"/>
            <w:vAlign w:val="bottom"/>
            <w:tcBorders>
              <w:bottom w:val="single" w:sz="8" w:color="939598"/>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3"/>
        </w:trPr>
        <w:tc>
          <w:tcPr>
            <w:tcW w:w="2340" w:type="dxa"/>
            <w:vAlign w:val="bottom"/>
          </w:tcPr>
          <w:p>
            <w:pPr>
              <w:ind w:left="20"/>
              <w:spacing w:after="0"/>
              <w:rPr>
                <w:sz w:val="20"/>
                <w:szCs w:val="20"/>
                <w:color w:val="auto"/>
              </w:rPr>
            </w:pPr>
            <w:r>
              <w:rPr>
                <w:rFonts w:ascii="Arial" w:cs="Arial" w:eastAsia="Arial" w:hAnsi="Arial"/>
                <w:sz w:val="14"/>
                <w:szCs w:val="14"/>
                <w:b w:val="1"/>
                <w:bCs w:val="1"/>
                <w:color w:val="auto"/>
              </w:rPr>
              <w:t>Michal Stepniak</w:t>
            </w:r>
          </w:p>
        </w:tc>
        <w:tc>
          <w:tcPr>
            <w:tcW w:w="1680" w:type="dxa"/>
            <w:vAlign w:val="bottom"/>
          </w:tcPr>
          <w:p>
            <w:pPr>
              <w:ind w:left="20"/>
              <w:spacing w:after="0"/>
              <w:rPr>
                <w:sz w:val="20"/>
                <w:szCs w:val="20"/>
                <w:color w:val="auto"/>
              </w:rPr>
            </w:pPr>
            <w:r>
              <w:rPr>
                <w:rFonts w:ascii="Arial" w:cs="Arial" w:eastAsia="Arial" w:hAnsi="Arial"/>
                <w:sz w:val="14"/>
                <w:szCs w:val="14"/>
                <w:color w:val="auto"/>
              </w:rPr>
              <w:t>SS Plan</w:t>
            </w:r>
            <w:r>
              <w:rPr>
                <w:rFonts w:ascii="Arial" w:cs="Arial" w:eastAsia="Arial" w:hAnsi="Arial"/>
                <w:sz w:val="18"/>
                <w:szCs w:val="18"/>
                <w:color w:val="auto"/>
                <w:vertAlign w:val="superscript"/>
              </w:rPr>
              <w:t>(1)</w:t>
            </w:r>
          </w:p>
        </w:tc>
        <w:tc>
          <w:tcPr>
            <w:tcW w:w="860" w:type="dxa"/>
            <w:vAlign w:val="bottom"/>
          </w:tcPr>
          <w:p>
            <w:pPr>
              <w:spacing w:after="0"/>
              <w:rPr>
                <w:sz w:val="24"/>
                <w:szCs w:val="24"/>
                <w:color w:val="auto"/>
              </w:rPr>
            </w:pPr>
          </w:p>
        </w:tc>
        <w:tc>
          <w:tcPr>
            <w:tcW w:w="11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51"/>
              <w:spacing w:after="0"/>
              <w:rPr>
                <w:sz w:val="20"/>
                <w:szCs w:val="20"/>
                <w:color w:val="auto"/>
              </w:rPr>
            </w:pPr>
            <w:r>
              <w:rPr>
                <w:rFonts w:ascii="Arial" w:cs="Arial" w:eastAsia="Arial" w:hAnsi="Arial"/>
                <w:sz w:val="14"/>
                <w:szCs w:val="14"/>
                <w:color w:val="auto"/>
              </w:rPr>
              <w:t>—</w:t>
            </w:r>
          </w:p>
        </w:tc>
        <w:tc>
          <w:tcPr>
            <w:tcW w:w="1300" w:type="dxa"/>
            <w:vAlign w:val="bottom"/>
          </w:tcPr>
          <w:p>
            <w:pPr>
              <w:ind w:left="98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2"/>
        </w:trPr>
        <w:tc>
          <w:tcPr>
            <w:tcW w:w="2340" w:type="dxa"/>
            <w:vAlign w:val="bottom"/>
          </w:tcPr>
          <w:p>
            <w:pPr>
              <w:spacing w:after="0"/>
              <w:rPr>
                <w:sz w:val="6"/>
                <w:szCs w:val="6"/>
                <w:color w:val="auto"/>
              </w:rPr>
            </w:pPr>
          </w:p>
        </w:tc>
        <w:tc>
          <w:tcPr>
            <w:tcW w:w="1680" w:type="dxa"/>
            <w:vAlign w:val="bottom"/>
            <w:tcBorders>
              <w:bottom w:val="single" w:sz="8" w:color="939598"/>
            </w:tcBorders>
          </w:tcPr>
          <w:p>
            <w:pPr>
              <w:spacing w:after="0"/>
              <w:rPr>
                <w:sz w:val="6"/>
                <w:szCs w:val="6"/>
                <w:color w:val="auto"/>
              </w:rPr>
            </w:pPr>
          </w:p>
        </w:tc>
        <w:tc>
          <w:tcPr>
            <w:tcW w:w="860" w:type="dxa"/>
            <w:vAlign w:val="bottom"/>
            <w:tcBorders>
              <w:bottom w:val="single" w:sz="8" w:color="939598"/>
            </w:tcBorders>
          </w:tcPr>
          <w:p>
            <w:pPr>
              <w:spacing w:after="0"/>
              <w:rPr>
                <w:sz w:val="6"/>
                <w:szCs w:val="6"/>
                <w:color w:val="auto"/>
              </w:rPr>
            </w:pPr>
          </w:p>
        </w:tc>
        <w:tc>
          <w:tcPr>
            <w:tcW w:w="1140" w:type="dxa"/>
            <w:vAlign w:val="bottom"/>
            <w:tcBorders>
              <w:bottom w:val="single" w:sz="8" w:color="939598"/>
            </w:tcBorders>
          </w:tcPr>
          <w:p>
            <w:pPr>
              <w:spacing w:after="0"/>
              <w:rPr>
                <w:sz w:val="6"/>
                <w:szCs w:val="6"/>
                <w:color w:val="auto"/>
              </w:rPr>
            </w:pPr>
          </w:p>
        </w:tc>
        <w:tc>
          <w:tcPr>
            <w:tcW w:w="1420" w:type="dxa"/>
            <w:vAlign w:val="bottom"/>
            <w:tcBorders>
              <w:bottom w:val="single" w:sz="8" w:color="939598"/>
            </w:tcBorders>
          </w:tcPr>
          <w:p>
            <w:pPr>
              <w:spacing w:after="0"/>
              <w:rPr>
                <w:sz w:val="6"/>
                <w:szCs w:val="6"/>
                <w:color w:val="auto"/>
              </w:rPr>
            </w:pPr>
          </w:p>
        </w:tc>
        <w:tc>
          <w:tcPr>
            <w:tcW w:w="1320" w:type="dxa"/>
            <w:vAlign w:val="bottom"/>
            <w:tcBorders>
              <w:bottom w:val="single" w:sz="8" w:color="939598"/>
            </w:tcBorders>
          </w:tcPr>
          <w:p>
            <w:pPr>
              <w:spacing w:after="0"/>
              <w:rPr>
                <w:sz w:val="6"/>
                <w:szCs w:val="6"/>
                <w:color w:val="auto"/>
              </w:rPr>
            </w:pPr>
          </w:p>
        </w:tc>
        <w:tc>
          <w:tcPr>
            <w:tcW w:w="1300" w:type="dxa"/>
            <w:vAlign w:val="bottom"/>
            <w:tcBorders>
              <w:bottom w:val="single" w:sz="8" w:color="939598"/>
            </w:tcBorders>
          </w:tcPr>
          <w:p>
            <w:pPr>
              <w:spacing w:after="0"/>
              <w:rPr>
                <w:sz w:val="6"/>
                <w:szCs w:val="6"/>
                <w:color w:val="auto"/>
              </w:rPr>
            </w:pPr>
          </w:p>
        </w:tc>
        <w:tc>
          <w:tcPr>
            <w:tcW w:w="1160" w:type="dxa"/>
            <w:vAlign w:val="bottom"/>
            <w:tcBorders>
              <w:bottom w:val="single" w:sz="8" w:color="939598"/>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6"/>
        </w:trPr>
        <w:tc>
          <w:tcPr>
            <w:tcW w:w="234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Arial" w:cs="Arial" w:eastAsia="Arial" w:hAnsi="Arial"/>
                <w:sz w:val="14"/>
                <w:szCs w:val="14"/>
                <w:color w:val="auto"/>
              </w:rPr>
              <w:t>DIC Plan</w:t>
            </w:r>
          </w:p>
        </w:tc>
        <w:tc>
          <w:tcPr>
            <w:tcW w:w="860" w:type="dxa"/>
            <w:vAlign w:val="bottom"/>
          </w:tcPr>
          <w:p>
            <w:pPr>
              <w:spacing w:after="0"/>
              <w:rPr>
                <w:sz w:val="24"/>
                <w:szCs w:val="24"/>
                <w:color w:val="auto"/>
              </w:rPr>
            </w:pPr>
          </w:p>
        </w:tc>
        <w:tc>
          <w:tcPr>
            <w:tcW w:w="11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51"/>
              <w:spacing w:after="0"/>
              <w:rPr>
                <w:sz w:val="20"/>
                <w:szCs w:val="20"/>
                <w:color w:val="auto"/>
              </w:rPr>
            </w:pPr>
            <w:r>
              <w:rPr>
                <w:rFonts w:ascii="Arial" w:cs="Arial" w:eastAsia="Arial" w:hAnsi="Arial"/>
                <w:sz w:val="14"/>
                <w:szCs w:val="14"/>
                <w:color w:val="auto"/>
              </w:rPr>
              <w:t>—</w:t>
            </w:r>
          </w:p>
        </w:tc>
        <w:tc>
          <w:tcPr>
            <w:tcW w:w="1300" w:type="dxa"/>
            <w:vAlign w:val="bottom"/>
          </w:tcPr>
          <w:p>
            <w:pPr>
              <w:ind w:left="98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340" w:type="dxa"/>
            <w:vAlign w:val="bottom"/>
          </w:tcPr>
          <w:p>
            <w:pPr>
              <w:spacing w:after="0"/>
              <w:rPr>
                <w:sz w:val="11"/>
                <w:szCs w:val="11"/>
                <w:color w:val="auto"/>
              </w:rPr>
            </w:pPr>
          </w:p>
        </w:tc>
        <w:tc>
          <w:tcPr>
            <w:tcW w:w="1680" w:type="dxa"/>
            <w:vAlign w:val="bottom"/>
            <w:tcBorders>
              <w:bottom w:val="single" w:sz="8" w:color="939598"/>
            </w:tcBorders>
          </w:tcPr>
          <w:p>
            <w:pPr>
              <w:spacing w:after="0"/>
              <w:rPr>
                <w:sz w:val="11"/>
                <w:szCs w:val="11"/>
                <w:color w:val="auto"/>
              </w:rPr>
            </w:pPr>
          </w:p>
        </w:tc>
        <w:tc>
          <w:tcPr>
            <w:tcW w:w="860" w:type="dxa"/>
            <w:vAlign w:val="bottom"/>
            <w:tcBorders>
              <w:bottom w:val="single" w:sz="8" w:color="939598"/>
            </w:tcBorders>
          </w:tcPr>
          <w:p>
            <w:pPr>
              <w:spacing w:after="0"/>
              <w:rPr>
                <w:sz w:val="11"/>
                <w:szCs w:val="11"/>
                <w:color w:val="auto"/>
              </w:rPr>
            </w:pPr>
          </w:p>
        </w:tc>
        <w:tc>
          <w:tcPr>
            <w:tcW w:w="1140" w:type="dxa"/>
            <w:vAlign w:val="bottom"/>
            <w:tcBorders>
              <w:bottom w:val="single" w:sz="8" w:color="939598"/>
            </w:tcBorders>
          </w:tcPr>
          <w:p>
            <w:pPr>
              <w:spacing w:after="0"/>
              <w:rPr>
                <w:sz w:val="11"/>
                <w:szCs w:val="11"/>
                <w:color w:val="auto"/>
              </w:rPr>
            </w:pPr>
          </w:p>
        </w:tc>
        <w:tc>
          <w:tcPr>
            <w:tcW w:w="1420" w:type="dxa"/>
            <w:vAlign w:val="bottom"/>
            <w:tcBorders>
              <w:bottom w:val="single" w:sz="8" w:color="939598"/>
            </w:tcBorders>
          </w:tcPr>
          <w:p>
            <w:pPr>
              <w:spacing w:after="0"/>
              <w:rPr>
                <w:sz w:val="11"/>
                <w:szCs w:val="11"/>
                <w:color w:val="auto"/>
              </w:rPr>
            </w:pPr>
          </w:p>
        </w:tc>
        <w:tc>
          <w:tcPr>
            <w:tcW w:w="1320" w:type="dxa"/>
            <w:vAlign w:val="bottom"/>
            <w:tcBorders>
              <w:bottom w:val="single" w:sz="8" w:color="939598"/>
            </w:tcBorders>
          </w:tcPr>
          <w:p>
            <w:pPr>
              <w:spacing w:after="0"/>
              <w:rPr>
                <w:sz w:val="11"/>
                <w:szCs w:val="11"/>
                <w:color w:val="auto"/>
              </w:rPr>
            </w:pPr>
          </w:p>
        </w:tc>
        <w:tc>
          <w:tcPr>
            <w:tcW w:w="1300" w:type="dxa"/>
            <w:vAlign w:val="bottom"/>
            <w:tcBorders>
              <w:bottom w:val="single" w:sz="8" w:color="939598"/>
            </w:tcBorders>
          </w:tcPr>
          <w:p>
            <w:pPr>
              <w:spacing w:after="0"/>
              <w:rPr>
                <w:sz w:val="11"/>
                <w:szCs w:val="11"/>
                <w:color w:val="auto"/>
              </w:rPr>
            </w:pPr>
          </w:p>
        </w:tc>
        <w:tc>
          <w:tcPr>
            <w:tcW w:w="1160" w:type="dxa"/>
            <w:vAlign w:val="bottom"/>
            <w:tcBorders>
              <w:bottom w:val="single" w:sz="8" w:color="939598"/>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34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Arial" w:cs="Arial" w:eastAsia="Arial" w:hAnsi="Arial"/>
                <w:sz w:val="14"/>
                <w:szCs w:val="14"/>
                <w:color w:val="auto"/>
              </w:rPr>
              <w:t>Deferred RSUs</w:t>
            </w:r>
          </w:p>
        </w:tc>
        <w:tc>
          <w:tcPr>
            <w:tcW w:w="860" w:type="dxa"/>
            <w:vAlign w:val="bottom"/>
          </w:tcPr>
          <w:p>
            <w:pPr>
              <w:spacing w:after="0"/>
              <w:rPr>
                <w:sz w:val="24"/>
                <w:szCs w:val="24"/>
                <w:color w:val="auto"/>
              </w:rPr>
            </w:pPr>
          </w:p>
        </w:tc>
        <w:tc>
          <w:tcPr>
            <w:tcW w:w="11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51"/>
              <w:spacing w:after="0"/>
              <w:rPr>
                <w:sz w:val="20"/>
                <w:szCs w:val="20"/>
                <w:color w:val="auto"/>
              </w:rPr>
            </w:pPr>
            <w:r>
              <w:rPr>
                <w:rFonts w:ascii="Arial" w:cs="Arial" w:eastAsia="Arial" w:hAnsi="Arial"/>
                <w:sz w:val="14"/>
                <w:szCs w:val="14"/>
                <w:color w:val="auto"/>
              </w:rPr>
              <w:t>—</w:t>
            </w:r>
          </w:p>
        </w:tc>
        <w:tc>
          <w:tcPr>
            <w:tcW w:w="1300" w:type="dxa"/>
            <w:vAlign w:val="bottom"/>
          </w:tcPr>
          <w:p>
            <w:pPr>
              <w:ind w:left="98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9"/>
        </w:trPr>
        <w:tc>
          <w:tcPr>
            <w:tcW w:w="2340" w:type="dxa"/>
            <w:vAlign w:val="bottom"/>
          </w:tcPr>
          <w:p>
            <w:pPr>
              <w:spacing w:after="0"/>
              <w:rPr>
                <w:sz w:val="11"/>
                <w:szCs w:val="11"/>
                <w:color w:val="auto"/>
              </w:rPr>
            </w:pPr>
          </w:p>
        </w:tc>
        <w:tc>
          <w:tcPr>
            <w:tcW w:w="1680" w:type="dxa"/>
            <w:vAlign w:val="bottom"/>
            <w:tcBorders>
              <w:bottom w:val="single" w:sz="8" w:color="939598"/>
            </w:tcBorders>
          </w:tcPr>
          <w:p>
            <w:pPr>
              <w:spacing w:after="0"/>
              <w:rPr>
                <w:sz w:val="11"/>
                <w:szCs w:val="11"/>
                <w:color w:val="auto"/>
              </w:rPr>
            </w:pPr>
          </w:p>
        </w:tc>
        <w:tc>
          <w:tcPr>
            <w:tcW w:w="860" w:type="dxa"/>
            <w:vAlign w:val="bottom"/>
            <w:tcBorders>
              <w:bottom w:val="single" w:sz="8" w:color="939598"/>
            </w:tcBorders>
          </w:tcPr>
          <w:p>
            <w:pPr>
              <w:spacing w:after="0"/>
              <w:rPr>
                <w:sz w:val="11"/>
                <w:szCs w:val="11"/>
                <w:color w:val="auto"/>
              </w:rPr>
            </w:pPr>
          </w:p>
        </w:tc>
        <w:tc>
          <w:tcPr>
            <w:tcW w:w="1140" w:type="dxa"/>
            <w:vAlign w:val="bottom"/>
            <w:tcBorders>
              <w:bottom w:val="single" w:sz="8" w:color="939598"/>
            </w:tcBorders>
          </w:tcPr>
          <w:p>
            <w:pPr>
              <w:spacing w:after="0"/>
              <w:rPr>
                <w:sz w:val="11"/>
                <w:szCs w:val="11"/>
                <w:color w:val="auto"/>
              </w:rPr>
            </w:pPr>
          </w:p>
        </w:tc>
        <w:tc>
          <w:tcPr>
            <w:tcW w:w="1420" w:type="dxa"/>
            <w:vAlign w:val="bottom"/>
            <w:tcBorders>
              <w:bottom w:val="single" w:sz="8" w:color="939598"/>
            </w:tcBorders>
          </w:tcPr>
          <w:p>
            <w:pPr>
              <w:spacing w:after="0"/>
              <w:rPr>
                <w:sz w:val="11"/>
                <w:szCs w:val="11"/>
                <w:color w:val="auto"/>
              </w:rPr>
            </w:pPr>
          </w:p>
        </w:tc>
        <w:tc>
          <w:tcPr>
            <w:tcW w:w="1320" w:type="dxa"/>
            <w:vAlign w:val="bottom"/>
            <w:tcBorders>
              <w:bottom w:val="single" w:sz="8" w:color="939598"/>
            </w:tcBorders>
          </w:tcPr>
          <w:p>
            <w:pPr>
              <w:spacing w:after="0"/>
              <w:rPr>
                <w:sz w:val="11"/>
                <w:szCs w:val="11"/>
                <w:color w:val="auto"/>
              </w:rPr>
            </w:pPr>
          </w:p>
        </w:tc>
        <w:tc>
          <w:tcPr>
            <w:tcW w:w="1300" w:type="dxa"/>
            <w:vAlign w:val="bottom"/>
            <w:tcBorders>
              <w:bottom w:val="single" w:sz="8" w:color="939598"/>
            </w:tcBorders>
          </w:tcPr>
          <w:p>
            <w:pPr>
              <w:spacing w:after="0"/>
              <w:rPr>
                <w:sz w:val="11"/>
                <w:szCs w:val="11"/>
                <w:color w:val="auto"/>
              </w:rPr>
            </w:pPr>
          </w:p>
        </w:tc>
        <w:tc>
          <w:tcPr>
            <w:tcW w:w="1160" w:type="dxa"/>
            <w:vAlign w:val="bottom"/>
            <w:tcBorders>
              <w:bottom w:val="single" w:sz="8" w:color="939598"/>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2"/>
        </w:trPr>
        <w:tc>
          <w:tcPr>
            <w:tcW w:w="234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860" w:type="dxa"/>
            <w:vAlign w:val="bottom"/>
          </w:tcPr>
          <w:p>
            <w:pPr>
              <w:spacing w:after="0"/>
              <w:rPr>
                <w:sz w:val="24"/>
                <w:szCs w:val="24"/>
                <w:color w:val="auto"/>
              </w:rPr>
            </w:pPr>
          </w:p>
        </w:tc>
        <w:tc>
          <w:tcPr>
            <w:tcW w:w="1140" w:type="dxa"/>
            <w:vAlign w:val="bottom"/>
          </w:tcPr>
          <w:p>
            <w:pPr>
              <w:jc w:val="right"/>
              <w:ind w:right="248"/>
              <w:spacing w:after="0"/>
              <w:rPr>
                <w:sz w:val="20"/>
                <w:szCs w:val="20"/>
                <w:color w:val="auto"/>
              </w:rPr>
            </w:pPr>
            <w:r>
              <w:rPr>
                <w:rFonts w:ascii="Arial" w:cs="Arial" w:eastAsia="Arial" w:hAnsi="Arial"/>
                <w:sz w:val="14"/>
                <w:szCs w:val="14"/>
                <w:b w:val="1"/>
                <w:bCs w:val="1"/>
                <w:color w:val="auto"/>
              </w:rPr>
              <w:t>—</w:t>
            </w:r>
          </w:p>
        </w:tc>
        <w:tc>
          <w:tcPr>
            <w:tcW w:w="142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251"/>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ind w:left="980"/>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24"/>
        </w:trPr>
        <w:tc>
          <w:tcPr>
            <w:tcW w:w="2340" w:type="dxa"/>
            <w:vAlign w:val="bottom"/>
            <w:tcBorders>
              <w:bottom w:val="single" w:sz="8" w:color="939598"/>
            </w:tcBorders>
          </w:tcPr>
          <w:p>
            <w:pPr>
              <w:spacing w:after="0"/>
              <w:rPr>
                <w:sz w:val="10"/>
                <w:szCs w:val="10"/>
                <w:color w:val="auto"/>
              </w:rPr>
            </w:pPr>
          </w:p>
        </w:tc>
        <w:tc>
          <w:tcPr>
            <w:tcW w:w="1680" w:type="dxa"/>
            <w:vAlign w:val="bottom"/>
            <w:tcBorders>
              <w:bottom w:val="single" w:sz="8" w:color="939598"/>
            </w:tcBorders>
          </w:tcPr>
          <w:p>
            <w:pPr>
              <w:spacing w:after="0"/>
              <w:rPr>
                <w:sz w:val="10"/>
                <w:szCs w:val="10"/>
                <w:color w:val="auto"/>
              </w:rPr>
            </w:pPr>
          </w:p>
        </w:tc>
        <w:tc>
          <w:tcPr>
            <w:tcW w:w="860" w:type="dxa"/>
            <w:vAlign w:val="bottom"/>
            <w:tcBorders>
              <w:bottom w:val="single" w:sz="8" w:color="939598"/>
            </w:tcBorders>
          </w:tcPr>
          <w:p>
            <w:pPr>
              <w:spacing w:after="0"/>
              <w:rPr>
                <w:sz w:val="10"/>
                <w:szCs w:val="10"/>
                <w:color w:val="auto"/>
              </w:rPr>
            </w:pPr>
          </w:p>
        </w:tc>
        <w:tc>
          <w:tcPr>
            <w:tcW w:w="1140" w:type="dxa"/>
            <w:vAlign w:val="bottom"/>
            <w:tcBorders>
              <w:bottom w:val="single" w:sz="8" w:color="939598"/>
            </w:tcBorders>
          </w:tcPr>
          <w:p>
            <w:pPr>
              <w:spacing w:after="0"/>
              <w:rPr>
                <w:sz w:val="10"/>
                <w:szCs w:val="10"/>
                <w:color w:val="auto"/>
              </w:rPr>
            </w:pPr>
          </w:p>
        </w:tc>
        <w:tc>
          <w:tcPr>
            <w:tcW w:w="1420" w:type="dxa"/>
            <w:vAlign w:val="bottom"/>
            <w:tcBorders>
              <w:bottom w:val="single" w:sz="8" w:color="939598"/>
            </w:tcBorders>
          </w:tcPr>
          <w:p>
            <w:pPr>
              <w:spacing w:after="0"/>
              <w:rPr>
                <w:sz w:val="10"/>
                <w:szCs w:val="10"/>
                <w:color w:val="auto"/>
              </w:rPr>
            </w:pPr>
          </w:p>
        </w:tc>
        <w:tc>
          <w:tcPr>
            <w:tcW w:w="1320" w:type="dxa"/>
            <w:vAlign w:val="bottom"/>
            <w:tcBorders>
              <w:bottom w:val="single" w:sz="8" w:color="939598"/>
            </w:tcBorders>
          </w:tcPr>
          <w:p>
            <w:pPr>
              <w:spacing w:after="0"/>
              <w:rPr>
                <w:sz w:val="10"/>
                <w:szCs w:val="10"/>
                <w:color w:val="auto"/>
              </w:rPr>
            </w:pPr>
          </w:p>
        </w:tc>
        <w:tc>
          <w:tcPr>
            <w:tcW w:w="1300" w:type="dxa"/>
            <w:vAlign w:val="bottom"/>
            <w:tcBorders>
              <w:bottom w:val="single" w:sz="8" w:color="939598"/>
            </w:tcBorders>
          </w:tcPr>
          <w:p>
            <w:pPr>
              <w:spacing w:after="0"/>
              <w:rPr>
                <w:sz w:val="10"/>
                <w:szCs w:val="10"/>
                <w:color w:val="auto"/>
              </w:rPr>
            </w:pPr>
          </w:p>
        </w:tc>
        <w:tc>
          <w:tcPr>
            <w:tcW w:w="1160" w:type="dxa"/>
            <w:vAlign w:val="bottom"/>
            <w:tcBorders>
              <w:bottom w:val="single" w:sz="8" w:color="939598"/>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3"/>
        </w:trPr>
        <w:tc>
          <w:tcPr>
            <w:tcW w:w="2340" w:type="dxa"/>
            <w:vAlign w:val="bottom"/>
          </w:tcPr>
          <w:p>
            <w:pPr>
              <w:ind w:left="20"/>
              <w:spacing w:after="0"/>
              <w:rPr>
                <w:sz w:val="20"/>
                <w:szCs w:val="20"/>
                <w:color w:val="auto"/>
              </w:rPr>
            </w:pPr>
            <w:r>
              <w:rPr>
                <w:rFonts w:ascii="Arial" w:cs="Arial" w:eastAsia="Arial" w:hAnsi="Arial"/>
                <w:sz w:val="14"/>
                <w:szCs w:val="14"/>
                <w:b w:val="1"/>
                <w:bCs w:val="1"/>
                <w:color w:val="auto"/>
              </w:rPr>
              <w:t>James Currier</w:t>
            </w:r>
          </w:p>
        </w:tc>
        <w:tc>
          <w:tcPr>
            <w:tcW w:w="1680" w:type="dxa"/>
            <w:vAlign w:val="bottom"/>
          </w:tcPr>
          <w:p>
            <w:pPr>
              <w:ind w:left="20"/>
              <w:spacing w:after="0"/>
              <w:rPr>
                <w:sz w:val="20"/>
                <w:szCs w:val="20"/>
                <w:color w:val="auto"/>
              </w:rPr>
            </w:pPr>
            <w:r>
              <w:rPr>
                <w:rFonts w:ascii="Arial" w:cs="Arial" w:eastAsia="Arial" w:hAnsi="Arial"/>
                <w:sz w:val="14"/>
                <w:szCs w:val="14"/>
                <w:color w:val="auto"/>
              </w:rPr>
              <w:t>SS Plan</w:t>
            </w:r>
            <w:r>
              <w:rPr>
                <w:rFonts w:ascii="Arial" w:cs="Arial" w:eastAsia="Arial" w:hAnsi="Arial"/>
                <w:sz w:val="18"/>
                <w:szCs w:val="18"/>
                <w:color w:val="auto"/>
                <w:vertAlign w:val="superscript"/>
              </w:rPr>
              <w:t>(1)</w:t>
            </w:r>
          </w:p>
        </w:tc>
        <w:tc>
          <w:tcPr>
            <w:tcW w:w="860" w:type="dxa"/>
            <w:vAlign w:val="bottom"/>
          </w:tcPr>
          <w:p>
            <w:pPr>
              <w:spacing w:after="0"/>
              <w:rPr>
                <w:sz w:val="24"/>
                <w:szCs w:val="24"/>
                <w:color w:val="auto"/>
              </w:rPr>
            </w:pPr>
          </w:p>
        </w:tc>
        <w:tc>
          <w:tcPr>
            <w:tcW w:w="1140" w:type="dxa"/>
            <w:vAlign w:val="bottom"/>
          </w:tcPr>
          <w:p>
            <w:pPr>
              <w:jc w:val="right"/>
              <w:ind w:right="248"/>
              <w:spacing w:after="0"/>
              <w:rPr>
                <w:sz w:val="20"/>
                <w:szCs w:val="20"/>
                <w:color w:val="auto"/>
              </w:rPr>
            </w:pPr>
            <w:r>
              <w:rPr>
                <w:rFonts w:ascii="Arial" w:cs="Arial" w:eastAsia="Arial" w:hAnsi="Arial"/>
                <w:sz w:val="14"/>
                <w:szCs w:val="14"/>
                <w:color w:val="auto"/>
              </w:rPr>
              <w:t>42,601</w:t>
            </w: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37,276</w:t>
            </w:r>
          </w:p>
        </w:tc>
        <w:tc>
          <w:tcPr>
            <w:tcW w:w="1320" w:type="dxa"/>
            <w:vAlign w:val="bottom"/>
          </w:tcPr>
          <w:p>
            <w:pPr>
              <w:jc w:val="right"/>
              <w:ind w:right="251"/>
              <w:spacing w:after="0"/>
              <w:rPr>
                <w:sz w:val="20"/>
                <w:szCs w:val="20"/>
                <w:color w:val="auto"/>
              </w:rPr>
            </w:pPr>
            <w:r>
              <w:rPr>
                <w:rFonts w:ascii="Arial" w:cs="Arial" w:eastAsia="Arial" w:hAnsi="Arial"/>
                <w:sz w:val="14"/>
                <w:szCs w:val="14"/>
                <w:color w:val="auto"/>
              </w:rPr>
              <w:t>96</w:t>
            </w:r>
          </w:p>
        </w:tc>
        <w:tc>
          <w:tcPr>
            <w:tcW w:w="1300" w:type="dxa"/>
            <w:vAlign w:val="bottom"/>
          </w:tcPr>
          <w:p>
            <w:pPr>
              <w:ind w:left="98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219,061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340" w:type="dxa"/>
            <w:vAlign w:val="bottom"/>
          </w:tcPr>
          <w:p>
            <w:pPr>
              <w:spacing w:after="0"/>
              <w:rPr>
                <w:sz w:val="6"/>
                <w:szCs w:val="6"/>
                <w:color w:val="auto"/>
              </w:rPr>
            </w:pPr>
          </w:p>
        </w:tc>
        <w:tc>
          <w:tcPr>
            <w:tcW w:w="1680" w:type="dxa"/>
            <w:vAlign w:val="bottom"/>
            <w:tcBorders>
              <w:bottom w:val="single" w:sz="8" w:color="939598"/>
            </w:tcBorders>
          </w:tcPr>
          <w:p>
            <w:pPr>
              <w:spacing w:after="0"/>
              <w:rPr>
                <w:sz w:val="6"/>
                <w:szCs w:val="6"/>
                <w:color w:val="auto"/>
              </w:rPr>
            </w:pPr>
          </w:p>
        </w:tc>
        <w:tc>
          <w:tcPr>
            <w:tcW w:w="860" w:type="dxa"/>
            <w:vAlign w:val="bottom"/>
            <w:tcBorders>
              <w:bottom w:val="single" w:sz="8" w:color="939598"/>
            </w:tcBorders>
          </w:tcPr>
          <w:p>
            <w:pPr>
              <w:spacing w:after="0"/>
              <w:rPr>
                <w:sz w:val="6"/>
                <w:szCs w:val="6"/>
                <w:color w:val="auto"/>
              </w:rPr>
            </w:pPr>
          </w:p>
        </w:tc>
        <w:tc>
          <w:tcPr>
            <w:tcW w:w="1140" w:type="dxa"/>
            <w:vAlign w:val="bottom"/>
            <w:tcBorders>
              <w:bottom w:val="single" w:sz="8" w:color="939598"/>
            </w:tcBorders>
          </w:tcPr>
          <w:p>
            <w:pPr>
              <w:spacing w:after="0"/>
              <w:rPr>
                <w:sz w:val="6"/>
                <w:szCs w:val="6"/>
                <w:color w:val="auto"/>
              </w:rPr>
            </w:pPr>
          </w:p>
        </w:tc>
        <w:tc>
          <w:tcPr>
            <w:tcW w:w="1420" w:type="dxa"/>
            <w:vAlign w:val="bottom"/>
            <w:tcBorders>
              <w:bottom w:val="single" w:sz="8" w:color="939598"/>
            </w:tcBorders>
          </w:tcPr>
          <w:p>
            <w:pPr>
              <w:spacing w:after="0"/>
              <w:rPr>
                <w:sz w:val="6"/>
                <w:szCs w:val="6"/>
                <w:color w:val="auto"/>
              </w:rPr>
            </w:pPr>
          </w:p>
        </w:tc>
        <w:tc>
          <w:tcPr>
            <w:tcW w:w="1320" w:type="dxa"/>
            <w:vAlign w:val="bottom"/>
            <w:tcBorders>
              <w:bottom w:val="single" w:sz="8" w:color="939598"/>
            </w:tcBorders>
          </w:tcPr>
          <w:p>
            <w:pPr>
              <w:spacing w:after="0"/>
              <w:rPr>
                <w:sz w:val="6"/>
                <w:szCs w:val="6"/>
                <w:color w:val="auto"/>
              </w:rPr>
            </w:pPr>
          </w:p>
        </w:tc>
        <w:tc>
          <w:tcPr>
            <w:tcW w:w="1300" w:type="dxa"/>
            <w:vAlign w:val="bottom"/>
            <w:tcBorders>
              <w:bottom w:val="single" w:sz="8" w:color="939598"/>
            </w:tcBorders>
          </w:tcPr>
          <w:p>
            <w:pPr>
              <w:spacing w:after="0"/>
              <w:rPr>
                <w:sz w:val="6"/>
                <w:szCs w:val="6"/>
                <w:color w:val="auto"/>
              </w:rPr>
            </w:pPr>
          </w:p>
        </w:tc>
        <w:tc>
          <w:tcPr>
            <w:tcW w:w="1160" w:type="dxa"/>
            <w:vAlign w:val="bottom"/>
            <w:tcBorders>
              <w:bottom w:val="single" w:sz="8" w:color="939598"/>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6"/>
        </w:trPr>
        <w:tc>
          <w:tcPr>
            <w:tcW w:w="234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Arial" w:cs="Arial" w:eastAsia="Arial" w:hAnsi="Arial"/>
                <w:sz w:val="14"/>
                <w:szCs w:val="14"/>
                <w:color w:val="auto"/>
              </w:rPr>
              <w:t>DIC Plan</w:t>
            </w:r>
          </w:p>
        </w:tc>
        <w:tc>
          <w:tcPr>
            <w:tcW w:w="860" w:type="dxa"/>
            <w:vAlign w:val="bottom"/>
          </w:tcPr>
          <w:p>
            <w:pPr>
              <w:spacing w:after="0"/>
              <w:rPr>
                <w:sz w:val="24"/>
                <w:szCs w:val="24"/>
                <w:color w:val="auto"/>
              </w:rPr>
            </w:pPr>
          </w:p>
        </w:tc>
        <w:tc>
          <w:tcPr>
            <w:tcW w:w="11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51"/>
              <w:spacing w:after="0"/>
              <w:rPr>
                <w:sz w:val="20"/>
                <w:szCs w:val="20"/>
                <w:color w:val="auto"/>
              </w:rPr>
            </w:pPr>
            <w:r>
              <w:rPr>
                <w:rFonts w:ascii="Arial" w:cs="Arial" w:eastAsia="Arial" w:hAnsi="Arial"/>
                <w:sz w:val="14"/>
                <w:szCs w:val="14"/>
                <w:color w:val="auto"/>
              </w:rPr>
              <w:t>—</w:t>
            </w:r>
          </w:p>
        </w:tc>
        <w:tc>
          <w:tcPr>
            <w:tcW w:w="1300" w:type="dxa"/>
            <w:vAlign w:val="bottom"/>
          </w:tcPr>
          <w:p>
            <w:pPr>
              <w:ind w:left="98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340" w:type="dxa"/>
            <w:vAlign w:val="bottom"/>
          </w:tcPr>
          <w:p>
            <w:pPr>
              <w:spacing w:after="0"/>
              <w:rPr>
                <w:sz w:val="11"/>
                <w:szCs w:val="11"/>
                <w:color w:val="auto"/>
              </w:rPr>
            </w:pPr>
          </w:p>
        </w:tc>
        <w:tc>
          <w:tcPr>
            <w:tcW w:w="1680" w:type="dxa"/>
            <w:vAlign w:val="bottom"/>
            <w:tcBorders>
              <w:bottom w:val="single" w:sz="8" w:color="939598"/>
            </w:tcBorders>
          </w:tcPr>
          <w:p>
            <w:pPr>
              <w:spacing w:after="0"/>
              <w:rPr>
                <w:sz w:val="11"/>
                <w:szCs w:val="11"/>
                <w:color w:val="auto"/>
              </w:rPr>
            </w:pPr>
          </w:p>
        </w:tc>
        <w:tc>
          <w:tcPr>
            <w:tcW w:w="860" w:type="dxa"/>
            <w:vAlign w:val="bottom"/>
            <w:tcBorders>
              <w:bottom w:val="single" w:sz="8" w:color="939598"/>
            </w:tcBorders>
          </w:tcPr>
          <w:p>
            <w:pPr>
              <w:spacing w:after="0"/>
              <w:rPr>
                <w:sz w:val="11"/>
                <w:szCs w:val="11"/>
                <w:color w:val="auto"/>
              </w:rPr>
            </w:pPr>
          </w:p>
        </w:tc>
        <w:tc>
          <w:tcPr>
            <w:tcW w:w="1140" w:type="dxa"/>
            <w:vAlign w:val="bottom"/>
            <w:tcBorders>
              <w:bottom w:val="single" w:sz="8" w:color="939598"/>
            </w:tcBorders>
          </w:tcPr>
          <w:p>
            <w:pPr>
              <w:spacing w:after="0"/>
              <w:rPr>
                <w:sz w:val="11"/>
                <w:szCs w:val="11"/>
                <w:color w:val="auto"/>
              </w:rPr>
            </w:pPr>
          </w:p>
        </w:tc>
        <w:tc>
          <w:tcPr>
            <w:tcW w:w="1420" w:type="dxa"/>
            <w:vAlign w:val="bottom"/>
            <w:tcBorders>
              <w:bottom w:val="single" w:sz="8" w:color="939598"/>
            </w:tcBorders>
          </w:tcPr>
          <w:p>
            <w:pPr>
              <w:spacing w:after="0"/>
              <w:rPr>
                <w:sz w:val="11"/>
                <w:szCs w:val="11"/>
                <w:color w:val="auto"/>
              </w:rPr>
            </w:pPr>
          </w:p>
        </w:tc>
        <w:tc>
          <w:tcPr>
            <w:tcW w:w="1320" w:type="dxa"/>
            <w:vAlign w:val="bottom"/>
            <w:tcBorders>
              <w:bottom w:val="single" w:sz="8" w:color="939598"/>
            </w:tcBorders>
          </w:tcPr>
          <w:p>
            <w:pPr>
              <w:spacing w:after="0"/>
              <w:rPr>
                <w:sz w:val="11"/>
                <w:szCs w:val="11"/>
                <w:color w:val="auto"/>
              </w:rPr>
            </w:pPr>
          </w:p>
        </w:tc>
        <w:tc>
          <w:tcPr>
            <w:tcW w:w="1300" w:type="dxa"/>
            <w:vAlign w:val="bottom"/>
            <w:tcBorders>
              <w:bottom w:val="single" w:sz="8" w:color="939598"/>
            </w:tcBorders>
          </w:tcPr>
          <w:p>
            <w:pPr>
              <w:spacing w:after="0"/>
              <w:rPr>
                <w:sz w:val="11"/>
                <w:szCs w:val="11"/>
                <w:color w:val="auto"/>
              </w:rPr>
            </w:pPr>
          </w:p>
        </w:tc>
        <w:tc>
          <w:tcPr>
            <w:tcW w:w="1160" w:type="dxa"/>
            <w:vAlign w:val="bottom"/>
            <w:tcBorders>
              <w:bottom w:val="single" w:sz="8" w:color="939598"/>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34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Arial" w:cs="Arial" w:eastAsia="Arial" w:hAnsi="Arial"/>
                <w:sz w:val="14"/>
                <w:szCs w:val="14"/>
                <w:color w:val="auto"/>
              </w:rPr>
              <w:t>Deferred RSUs</w:t>
            </w:r>
          </w:p>
        </w:tc>
        <w:tc>
          <w:tcPr>
            <w:tcW w:w="860" w:type="dxa"/>
            <w:vAlign w:val="bottom"/>
          </w:tcPr>
          <w:p>
            <w:pPr>
              <w:spacing w:after="0"/>
              <w:rPr>
                <w:sz w:val="24"/>
                <w:szCs w:val="24"/>
                <w:color w:val="auto"/>
              </w:rPr>
            </w:pPr>
          </w:p>
        </w:tc>
        <w:tc>
          <w:tcPr>
            <w:tcW w:w="11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51"/>
              <w:spacing w:after="0"/>
              <w:rPr>
                <w:sz w:val="20"/>
                <w:szCs w:val="20"/>
                <w:color w:val="auto"/>
              </w:rPr>
            </w:pPr>
            <w:r>
              <w:rPr>
                <w:rFonts w:ascii="Arial" w:cs="Arial" w:eastAsia="Arial" w:hAnsi="Arial"/>
                <w:sz w:val="14"/>
                <w:szCs w:val="14"/>
                <w:color w:val="auto"/>
              </w:rPr>
              <w:t>—</w:t>
            </w:r>
          </w:p>
        </w:tc>
        <w:tc>
          <w:tcPr>
            <w:tcW w:w="1300" w:type="dxa"/>
            <w:vAlign w:val="bottom"/>
          </w:tcPr>
          <w:p>
            <w:pPr>
              <w:ind w:left="98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9"/>
        </w:trPr>
        <w:tc>
          <w:tcPr>
            <w:tcW w:w="2340" w:type="dxa"/>
            <w:vAlign w:val="bottom"/>
          </w:tcPr>
          <w:p>
            <w:pPr>
              <w:spacing w:after="0"/>
              <w:rPr>
                <w:sz w:val="11"/>
                <w:szCs w:val="11"/>
                <w:color w:val="auto"/>
              </w:rPr>
            </w:pPr>
          </w:p>
        </w:tc>
        <w:tc>
          <w:tcPr>
            <w:tcW w:w="1680" w:type="dxa"/>
            <w:vAlign w:val="bottom"/>
            <w:tcBorders>
              <w:bottom w:val="single" w:sz="8" w:color="939598"/>
            </w:tcBorders>
          </w:tcPr>
          <w:p>
            <w:pPr>
              <w:spacing w:after="0"/>
              <w:rPr>
                <w:sz w:val="11"/>
                <w:szCs w:val="11"/>
                <w:color w:val="auto"/>
              </w:rPr>
            </w:pPr>
          </w:p>
        </w:tc>
        <w:tc>
          <w:tcPr>
            <w:tcW w:w="860" w:type="dxa"/>
            <w:vAlign w:val="bottom"/>
            <w:tcBorders>
              <w:bottom w:val="single" w:sz="8" w:color="939598"/>
            </w:tcBorders>
          </w:tcPr>
          <w:p>
            <w:pPr>
              <w:spacing w:after="0"/>
              <w:rPr>
                <w:sz w:val="11"/>
                <w:szCs w:val="11"/>
                <w:color w:val="auto"/>
              </w:rPr>
            </w:pPr>
          </w:p>
        </w:tc>
        <w:tc>
          <w:tcPr>
            <w:tcW w:w="1140" w:type="dxa"/>
            <w:vAlign w:val="bottom"/>
            <w:tcBorders>
              <w:bottom w:val="single" w:sz="8" w:color="939598"/>
            </w:tcBorders>
          </w:tcPr>
          <w:p>
            <w:pPr>
              <w:spacing w:after="0"/>
              <w:rPr>
                <w:sz w:val="11"/>
                <w:szCs w:val="11"/>
                <w:color w:val="auto"/>
              </w:rPr>
            </w:pPr>
          </w:p>
        </w:tc>
        <w:tc>
          <w:tcPr>
            <w:tcW w:w="1420" w:type="dxa"/>
            <w:vAlign w:val="bottom"/>
            <w:tcBorders>
              <w:bottom w:val="single" w:sz="8" w:color="939598"/>
            </w:tcBorders>
          </w:tcPr>
          <w:p>
            <w:pPr>
              <w:spacing w:after="0"/>
              <w:rPr>
                <w:sz w:val="11"/>
                <w:szCs w:val="11"/>
                <w:color w:val="auto"/>
              </w:rPr>
            </w:pPr>
          </w:p>
        </w:tc>
        <w:tc>
          <w:tcPr>
            <w:tcW w:w="1320" w:type="dxa"/>
            <w:vAlign w:val="bottom"/>
            <w:tcBorders>
              <w:bottom w:val="single" w:sz="8" w:color="939598"/>
            </w:tcBorders>
          </w:tcPr>
          <w:p>
            <w:pPr>
              <w:spacing w:after="0"/>
              <w:rPr>
                <w:sz w:val="11"/>
                <w:szCs w:val="11"/>
                <w:color w:val="auto"/>
              </w:rPr>
            </w:pPr>
          </w:p>
        </w:tc>
        <w:tc>
          <w:tcPr>
            <w:tcW w:w="1300" w:type="dxa"/>
            <w:vAlign w:val="bottom"/>
            <w:tcBorders>
              <w:bottom w:val="single" w:sz="8" w:color="939598"/>
            </w:tcBorders>
          </w:tcPr>
          <w:p>
            <w:pPr>
              <w:spacing w:after="0"/>
              <w:rPr>
                <w:sz w:val="11"/>
                <w:szCs w:val="11"/>
                <w:color w:val="auto"/>
              </w:rPr>
            </w:pPr>
          </w:p>
        </w:tc>
        <w:tc>
          <w:tcPr>
            <w:tcW w:w="1160" w:type="dxa"/>
            <w:vAlign w:val="bottom"/>
            <w:tcBorders>
              <w:bottom w:val="single" w:sz="8" w:color="939598"/>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2"/>
        </w:trPr>
        <w:tc>
          <w:tcPr>
            <w:tcW w:w="234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860" w:type="dxa"/>
            <w:vAlign w:val="bottom"/>
          </w:tcPr>
          <w:p>
            <w:pPr>
              <w:spacing w:after="0"/>
              <w:rPr>
                <w:sz w:val="24"/>
                <w:szCs w:val="24"/>
                <w:color w:val="auto"/>
              </w:rPr>
            </w:pPr>
          </w:p>
        </w:tc>
        <w:tc>
          <w:tcPr>
            <w:tcW w:w="1140" w:type="dxa"/>
            <w:vAlign w:val="bottom"/>
          </w:tcPr>
          <w:p>
            <w:pPr>
              <w:jc w:val="right"/>
              <w:ind w:right="248"/>
              <w:spacing w:after="0"/>
              <w:rPr>
                <w:sz w:val="20"/>
                <w:szCs w:val="20"/>
                <w:color w:val="auto"/>
              </w:rPr>
            </w:pPr>
            <w:r>
              <w:rPr>
                <w:rFonts w:ascii="Arial" w:cs="Arial" w:eastAsia="Arial" w:hAnsi="Arial"/>
                <w:sz w:val="14"/>
                <w:szCs w:val="14"/>
                <w:b w:val="1"/>
                <w:bCs w:val="1"/>
                <w:color w:val="auto"/>
              </w:rPr>
              <w:t>42,601</w:t>
            </w:r>
          </w:p>
        </w:tc>
        <w:tc>
          <w:tcPr>
            <w:tcW w:w="1420" w:type="dxa"/>
            <w:vAlign w:val="bottom"/>
          </w:tcPr>
          <w:p>
            <w:pPr>
              <w:jc w:val="right"/>
              <w:ind w:right="188"/>
              <w:spacing w:after="0"/>
              <w:rPr>
                <w:sz w:val="20"/>
                <w:szCs w:val="20"/>
                <w:color w:val="auto"/>
              </w:rPr>
            </w:pPr>
            <w:r>
              <w:rPr>
                <w:rFonts w:ascii="Arial" w:cs="Arial" w:eastAsia="Arial" w:hAnsi="Arial"/>
                <w:sz w:val="14"/>
                <w:szCs w:val="14"/>
                <w:b w:val="1"/>
                <w:bCs w:val="1"/>
                <w:color w:val="auto"/>
              </w:rPr>
              <w:t>37,276</w:t>
            </w:r>
          </w:p>
        </w:tc>
        <w:tc>
          <w:tcPr>
            <w:tcW w:w="1320" w:type="dxa"/>
            <w:vAlign w:val="bottom"/>
          </w:tcPr>
          <w:p>
            <w:pPr>
              <w:jc w:val="right"/>
              <w:ind w:right="251"/>
              <w:spacing w:after="0"/>
              <w:rPr>
                <w:sz w:val="20"/>
                <w:szCs w:val="20"/>
                <w:color w:val="auto"/>
              </w:rPr>
            </w:pPr>
            <w:r>
              <w:rPr>
                <w:rFonts w:ascii="Arial" w:cs="Arial" w:eastAsia="Arial" w:hAnsi="Arial"/>
                <w:sz w:val="14"/>
                <w:szCs w:val="14"/>
                <w:b w:val="1"/>
                <w:bCs w:val="1"/>
                <w:color w:val="auto"/>
              </w:rPr>
              <w:t>96</w:t>
            </w:r>
          </w:p>
        </w:tc>
        <w:tc>
          <w:tcPr>
            <w:tcW w:w="1300" w:type="dxa"/>
            <w:vAlign w:val="bottom"/>
          </w:tcPr>
          <w:p>
            <w:pPr>
              <w:ind w:left="980"/>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219,061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340" w:type="dxa"/>
            <w:vAlign w:val="bottom"/>
            <w:tcBorders>
              <w:bottom w:val="single" w:sz="8" w:color="939598"/>
            </w:tcBorders>
          </w:tcPr>
          <w:p>
            <w:pPr>
              <w:spacing w:after="0"/>
              <w:rPr>
                <w:sz w:val="10"/>
                <w:szCs w:val="10"/>
                <w:color w:val="auto"/>
              </w:rPr>
            </w:pPr>
          </w:p>
        </w:tc>
        <w:tc>
          <w:tcPr>
            <w:tcW w:w="1680" w:type="dxa"/>
            <w:vAlign w:val="bottom"/>
            <w:tcBorders>
              <w:bottom w:val="single" w:sz="8" w:color="939598"/>
            </w:tcBorders>
          </w:tcPr>
          <w:p>
            <w:pPr>
              <w:spacing w:after="0"/>
              <w:rPr>
                <w:sz w:val="10"/>
                <w:szCs w:val="10"/>
                <w:color w:val="auto"/>
              </w:rPr>
            </w:pPr>
          </w:p>
        </w:tc>
        <w:tc>
          <w:tcPr>
            <w:tcW w:w="860" w:type="dxa"/>
            <w:vAlign w:val="bottom"/>
            <w:tcBorders>
              <w:bottom w:val="single" w:sz="8" w:color="939598"/>
            </w:tcBorders>
          </w:tcPr>
          <w:p>
            <w:pPr>
              <w:spacing w:after="0"/>
              <w:rPr>
                <w:sz w:val="10"/>
                <w:szCs w:val="10"/>
                <w:color w:val="auto"/>
              </w:rPr>
            </w:pPr>
          </w:p>
        </w:tc>
        <w:tc>
          <w:tcPr>
            <w:tcW w:w="1140" w:type="dxa"/>
            <w:vAlign w:val="bottom"/>
            <w:tcBorders>
              <w:bottom w:val="single" w:sz="8" w:color="939598"/>
            </w:tcBorders>
          </w:tcPr>
          <w:p>
            <w:pPr>
              <w:spacing w:after="0"/>
              <w:rPr>
                <w:sz w:val="10"/>
                <w:szCs w:val="10"/>
                <w:color w:val="auto"/>
              </w:rPr>
            </w:pPr>
          </w:p>
        </w:tc>
        <w:tc>
          <w:tcPr>
            <w:tcW w:w="1420" w:type="dxa"/>
            <w:vAlign w:val="bottom"/>
            <w:tcBorders>
              <w:bottom w:val="single" w:sz="8" w:color="939598"/>
            </w:tcBorders>
          </w:tcPr>
          <w:p>
            <w:pPr>
              <w:spacing w:after="0"/>
              <w:rPr>
                <w:sz w:val="10"/>
                <w:szCs w:val="10"/>
                <w:color w:val="auto"/>
              </w:rPr>
            </w:pPr>
          </w:p>
        </w:tc>
        <w:tc>
          <w:tcPr>
            <w:tcW w:w="1320" w:type="dxa"/>
            <w:vAlign w:val="bottom"/>
            <w:tcBorders>
              <w:bottom w:val="single" w:sz="8" w:color="939598"/>
            </w:tcBorders>
          </w:tcPr>
          <w:p>
            <w:pPr>
              <w:spacing w:after="0"/>
              <w:rPr>
                <w:sz w:val="10"/>
                <w:szCs w:val="10"/>
                <w:color w:val="auto"/>
              </w:rPr>
            </w:pPr>
          </w:p>
        </w:tc>
        <w:tc>
          <w:tcPr>
            <w:tcW w:w="1300" w:type="dxa"/>
            <w:vAlign w:val="bottom"/>
            <w:tcBorders>
              <w:bottom w:val="single" w:sz="8" w:color="939598"/>
            </w:tcBorders>
          </w:tcPr>
          <w:p>
            <w:pPr>
              <w:spacing w:after="0"/>
              <w:rPr>
                <w:sz w:val="10"/>
                <w:szCs w:val="10"/>
                <w:color w:val="auto"/>
              </w:rPr>
            </w:pPr>
          </w:p>
        </w:tc>
        <w:tc>
          <w:tcPr>
            <w:tcW w:w="1160" w:type="dxa"/>
            <w:vAlign w:val="bottom"/>
            <w:tcBorders>
              <w:bottom w:val="single" w:sz="8" w:color="939598"/>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3"/>
        </w:trPr>
        <w:tc>
          <w:tcPr>
            <w:tcW w:w="2340" w:type="dxa"/>
            <w:vAlign w:val="bottom"/>
          </w:tcPr>
          <w:p>
            <w:pPr>
              <w:ind w:left="20"/>
              <w:spacing w:after="0"/>
              <w:rPr>
                <w:sz w:val="20"/>
                <w:szCs w:val="20"/>
                <w:color w:val="auto"/>
              </w:rPr>
            </w:pPr>
            <w:r>
              <w:rPr>
                <w:rFonts w:ascii="Arial" w:cs="Arial" w:eastAsia="Arial" w:hAnsi="Arial"/>
                <w:sz w:val="14"/>
                <w:szCs w:val="14"/>
                <w:b w:val="1"/>
                <w:bCs w:val="1"/>
                <w:color w:val="auto"/>
              </w:rPr>
              <w:t>James Masso</w:t>
            </w:r>
          </w:p>
        </w:tc>
        <w:tc>
          <w:tcPr>
            <w:tcW w:w="1680" w:type="dxa"/>
            <w:vAlign w:val="bottom"/>
          </w:tcPr>
          <w:p>
            <w:pPr>
              <w:ind w:left="20"/>
              <w:spacing w:after="0"/>
              <w:rPr>
                <w:sz w:val="20"/>
                <w:szCs w:val="20"/>
                <w:color w:val="auto"/>
              </w:rPr>
            </w:pPr>
            <w:r>
              <w:rPr>
                <w:rFonts w:ascii="Arial" w:cs="Arial" w:eastAsia="Arial" w:hAnsi="Arial"/>
                <w:sz w:val="14"/>
                <w:szCs w:val="14"/>
                <w:color w:val="auto"/>
              </w:rPr>
              <w:t>SS Plan</w:t>
            </w:r>
            <w:r>
              <w:rPr>
                <w:rFonts w:ascii="Arial" w:cs="Arial" w:eastAsia="Arial" w:hAnsi="Arial"/>
                <w:sz w:val="18"/>
                <w:szCs w:val="18"/>
                <w:color w:val="auto"/>
                <w:vertAlign w:val="superscript"/>
              </w:rPr>
              <w:t>(1)</w:t>
            </w:r>
          </w:p>
        </w:tc>
        <w:tc>
          <w:tcPr>
            <w:tcW w:w="860" w:type="dxa"/>
            <w:vAlign w:val="bottom"/>
          </w:tcPr>
          <w:p>
            <w:pPr>
              <w:spacing w:after="0"/>
              <w:rPr>
                <w:sz w:val="24"/>
                <w:szCs w:val="24"/>
                <w:color w:val="auto"/>
              </w:rPr>
            </w:pPr>
          </w:p>
        </w:tc>
        <w:tc>
          <w:tcPr>
            <w:tcW w:w="11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51"/>
              <w:spacing w:after="0"/>
              <w:rPr>
                <w:sz w:val="20"/>
                <w:szCs w:val="20"/>
                <w:color w:val="auto"/>
              </w:rPr>
            </w:pPr>
            <w:r>
              <w:rPr>
                <w:rFonts w:ascii="Arial" w:cs="Arial" w:eastAsia="Arial" w:hAnsi="Arial"/>
                <w:sz w:val="14"/>
                <w:szCs w:val="14"/>
                <w:color w:val="auto"/>
              </w:rPr>
              <w:t>—</w:t>
            </w:r>
          </w:p>
        </w:tc>
        <w:tc>
          <w:tcPr>
            <w:tcW w:w="1300" w:type="dxa"/>
            <w:vAlign w:val="bottom"/>
          </w:tcPr>
          <w:p>
            <w:pPr>
              <w:ind w:left="98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3"/>
        </w:trPr>
        <w:tc>
          <w:tcPr>
            <w:tcW w:w="2340" w:type="dxa"/>
            <w:vAlign w:val="bottom"/>
          </w:tcPr>
          <w:p>
            <w:pPr>
              <w:spacing w:after="0"/>
              <w:rPr>
                <w:sz w:val="6"/>
                <w:szCs w:val="6"/>
                <w:color w:val="auto"/>
              </w:rPr>
            </w:pPr>
          </w:p>
        </w:tc>
        <w:tc>
          <w:tcPr>
            <w:tcW w:w="1680" w:type="dxa"/>
            <w:vAlign w:val="bottom"/>
            <w:tcBorders>
              <w:bottom w:val="single" w:sz="8" w:color="939598"/>
            </w:tcBorders>
          </w:tcPr>
          <w:p>
            <w:pPr>
              <w:spacing w:after="0"/>
              <w:rPr>
                <w:sz w:val="6"/>
                <w:szCs w:val="6"/>
                <w:color w:val="auto"/>
              </w:rPr>
            </w:pPr>
          </w:p>
        </w:tc>
        <w:tc>
          <w:tcPr>
            <w:tcW w:w="860" w:type="dxa"/>
            <w:vAlign w:val="bottom"/>
            <w:tcBorders>
              <w:bottom w:val="single" w:sz="8" w:color="939598"/>
            </w:tcBorders>
          </w:tcPr>
          <w:p>
            <w:pPr>
              <w:spacing w:after="0"/>
              <w:rPr>
                <w:sz w:val="6"/>
                <w:szCs w:val="6"/>
                <w:color w:val="auto"/>
              </w:rPr>
            </w:pPr>
          </w:p>
        </w:tc>
        <w:tc>
          <w:tcPr>
            <w:tcW w:w="1140" w:type="dxa"/>
            <w:vAlign w:val="bottom"/>
            <w:tcBorders>
              <w:bottom w:val="single" w:sz="8" w:color="939598"/>
            </w:tcBorders>
          </w:tcPr>
          <w:p>
            <w:pPr>
              <w:spacing w:after="0"/>
              <w:rPr>
                <w:sz w:val="6"/>
                <w:szCs w:val="6"/>
                <w:color w:val="auto"/>
              </w:rPr>
            </w:pPr>
          </w:p>
        </w:tc>
        <w:tc>
          <w:tcPr>
            <w:tcW w:w="1420" w:type="dxa"/>
            <w:vAlign w:val="bottom"/>
            <w:tcBorders>
              <w:bottom w:val="single" w:sz="8" w:color="939598"/>
            </w:tcBorders>
          </w:tcPr>
          <w:p>
            <w:pPr>
              <w:spacing w:after="0"/>
              <w:rPr>
                <w:sz w:val="6"/>
                <w:szCs w:val="6"/>
                <w:color w:val="auto"/>
              </w:rPr>
            </w:pPr>
          </w:p>
        </w:tc>
        <w:tc>
          <w:tcPr>
            <w:tcW w:w="1320" w:type="dxa"/>
            <w:vAlign w:val="bottom"/>
            <w:tcBorders>
              <w:bottom w:val="single" w:sz="8" w:color="939598"/>
            </w:tcBorders>
          </w:tcPr>
          <w:p>
            <w:pPr>
              <w:spacing w:after="0"/>
              <w:rPr>
                <w:sz w:val="6"/>
                <w:szCs w:val="6"/>
                <w:color w:val="auto"/>
              </w:rPr>
            </w:pPr>
          </w:p>
        </w:tc>
        <w:tc>
          <w:tcPr>
            <w:tcW w:w="1300" w:type="dxa"/>
            <w:vAlign w:val="bottom"/>
            <w:tcBorders>
              <w:bottom w:val="single" w:sz="8" w:color="939598"/>
            </w:tcBorders>
          </w:tcPr>
          <w:p>
            <w:pPr>
              <w:spacing w:after="0"/>
              <w:rPr>
                <w:sz w:val="6"/>
                <w:szCs w:val="6"/>
                <w:color w:val="auto"/>
              </w:rPr>
            </w:pPr>
          </w:p>
        </w:tc>
        <w:tc>
          <w:tcPr>
            <w:tcW w:w="1160" w:type="dxa"/>
            <w:vAlign w:val="bottom"/>
            <w:tcBorders>
              <w:bottom w:val="single" w:sz="8" w:color="939598"/>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6"/>
        </w:trPr>
        <w:tc>
          <w:tcPr>
            <w:tcW w:w="234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Arial" w:cs="Arial" w:eastAsia="Arial" w:hAnsi="Arial"/>
                <w:sz w:val="14"/>
                <w:szCs w:val="14"/>
                <w:color w:val="auto"/>
              </w:rPr>
              <w:t>DIC Plan</w:t>
            </w:r>
          </w:p>
        </w:tc>
        <w:tc>
          <w:tcPr>
            <w:tcW w:w="860" w:type="dxa"/>
            <w:vAlign w:val="bottom"/>
          </w:tcPr>
          <w:p>
            <w:pPr>
              <w:spacing w:after="0"/>
              <w:rPr>
                <w:sz w:val="24"/>
                <w:szCs w:val="24"/>
                <w:color w:val="auto"/>
              </w:rPr>
            </w:pPr>
          </w:p>
        </w:tc>
        <w:tc>
          <w:tcPr>
            <w:tcW w:w="11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51"/>
              <w:spacing w:after="0"/>
              <w:rPr>
                <w:sz w:val="20"/>
                <w:szCs w:val="20"/>
                <w:color w:val="auto"/>
              </w:rPr>
            </w:pPr>
            <w:r>
              <w:rPr>
                <w:rFonts w:ascii="Arial" w:cs="Arial" w:eastAsia="Arial" w:hAnsi="Arial"/>
                <w:sz w:val="14"/>
                <w:szCs w:val="14"/>
                <w:color w:val="auto"/>
              </w:rPr>
              <w:t>—</w:t>
            </w:r>
          </w:p>
        </w:tc>
        <w:tc>
          <w:tcPr>
            <w:tcW w:w="1300" w:type="dxa"/>
            <w:vAlign w:val="bottom"/>
          </w:tcPr>
          <w:p>
            <w:pPr>
              <w:ind w:left="98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340" w:type="dxa"/>
            <w:vAlign w:val="bottom"/>
          </w:tcPr>
          <w:p>
            <w:pPr>
              <w:spacing w:after="0"/>
              <w:rPr>
                <w:sz w:val="11"/>
                <w:szCs w:val="11"/>
                <w:color w:val="auto"/>
              </w:rPr>
            </w:pPr>
          </w:p>
        </w:tc>
        <w:tc>
          <w:tcPr>
            <w:tcW w:w="1680" w:type="dxa"/>
            <w:vAlign w:val="bottom"/>
            <w:tcBorders>
              <w:bottom w:val="single" w:sz="8" w:color="939598"/>
            </w:tcBorders>
          </w:tcPr>
          <w:p>
            <w:pPr>
              <w:spacing w:after="0"/>
              <w:rPr>
                <w:sz w:val="11"/>
                <w:szCs w:val="11"/>
                <w:color w:val="auto"/>
              </w:rPr>
            </w:pPr>
          </w:p>
        </w:tc>
        <w:tc>
          <w:tcPr>
            <w:tcW w:w="860" w:type="dxa"/>
            <w:vAlign w:val="bottom"/>
            <w:tcBorders>
              <w:bottom w:val="single" w:sz="8" w:color="939598"/>
            </w:tcBorders>
          </w:tcPr>
          <w:p>
            <w:pPr>
              <w:spacing w:after="0"/>
              <w:rPr>
                <w:sz w:val="11"/>
                <w:szCs w:val="11"/>
                <w:color w:val="auto"/>
              </w:rPr>
            </w:pPr>
          </w:p>
        </w:tc>
        <w:tc>
          <w:tcPr>
            <w:tcW w:w="1140" w:type="dxa"/>
            <w:vAlign w:val="bottom"/>
            <w:tcBorders>
              <w:bottom w:val="single" w:sz="8" w:color="939598"/>
            </w:tcBorders>
          </w:tcPr>
          <w:p>
            <w:pPr>
              <w:spacing w:after="0"/>
              <w:rPr>
                <w:sz w:val="11"/>
                <w:szCs w:val="11"/>
                <w:color w:val="auto"/>
              </w:rPr>
            </w:pPr>
          </w:p>
        </w:tc>
        <w:tc>
          <w:tcPr>
            <w:tcW w:w="1420" w:type="dxa"/>
            <w:vAlign w:val="bottom"/>
            <w:tcBorders>
              <w:bottom w:val="single" w:sz="8" w:color="939598"/>
            </w:tcBorders>
          </w:tcPr>
          <w:p>
            <w:pPr>
              <w:spacing w:after="0"/>
              <w:rPr>
                <w:sz w:val="11"/>
                <w:szCs w:val="11"/>
                <w:color w:val="auto"/>
              </w:rPr>
            </w:pPr>
          </w:p>
        </w:tc>
        <w:tc>
          <w:tcPr>
            <w:tcW w:w="1320" w:type="dxa"/>
            <w:vAlign w:val="bottom"/>
            <w:tcBorders>
              <w:bottom w:val="single" w:sz="8" w:color="939598"/>
            </w:tcBorders>
          </w:tcPr>
          <w:p>
            <w:pPr>
              <w:spacing w:after="0"/>
              <w:rPr>
                <w:sz w:val="11"/>
                <w:szCs w:val="11"/>
                <w:color w:val="auto"/>
              </w:rPr>
            </w:pPr>
          </w:p>
        </w:tc>
        <w:tc>
          <w:tcPr>
            <w:tcW w:w="1300" w:type="dxa"/>
            <w:vAlign w:val="bottom"/>
            <w:tcBorders>
              <w:bottom w:val="single" w:sz="8" w:color="939598"/>
            </w:tcBorders>
          </w:tcPr>
          <w:p>
            <w:pPr>
              <w:spacing w:after="0"/>
              <w:rPr>
                <w:sz w:val="11"/>
                <w:szCs w:val="11"/>
                <w:color w:val="auto"/>
              </w:rPr>
            </w:pPr>
          </w:p>
        </w:tc>
        <w:tc>
          <w:tcPr>
            <w:tcW w:w="1160" w:type="dxa"/>
            <w:vAlign w:val="bottom"/>
            <w:tcBorders>
              <w:bottom w:val="single" w:sz="8" w:color="939598"/>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34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Arial" w:cs="Arial" w:eastAsia="Arial" w:hAnsi="Arial"/>
                <w:sz w:val="14"/>
                <w:szCs w:val="14"/>
                <w:color w:val="auto"/>
              </w:rPr>
              <w:t>Deferred RSUs</w:t>
            </w:r>
          </w:p>
        </w:tc>
        <w:tc>
          <w:tcPr>
            <w:tcW w:w="860" w:type="dxa"/>
            <w:vAlign w:val="bottom"/>
          </w:tcPr>
          <w:p>
            <w:pPr>
              <w:spacing w:after="0"/>
              <w:rPr>
                <w:sz w:val="24"/>
                <w:szCs w:val="24"/>
                <w:color w:val="auto"/>
              </w:rPr>
            </w:pPr>
          </w:p>
        </w:tc>
        <w:tc>
          <w:tcPr>
            <w:tcW w:w="11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51"/>
              <w:spacing w:after="0"/>
              <w:rPr>
                <w:sz w:val="20"/>
                <w:szCs w:val="20"/>
                <w:color w:val="auto"/>
              </w:rPr>
            </w:pPr>
            <w:r>
              <w:rPr>
                <w:rFonts w:ascii="Arial" w:cs="Arial" w:eastAsia="Arial" w:hAnsi="Arial"/>
                <w:sz w:val="14"/>
                <w:szCs w:val="14"/>
                <w:color w:val="auto"/>
              </w:rPr>
              <w:t>—</w:t>
            </w:r>
          </w:p>
        </w:tc>
        <w:tc>
          <w:tcPr>
            <w:tcW w:w="1300" w:type="dxa"/>
            <w:vAlign w:val="bottom"/>
          </w:tcPr>
          <w:p>
            <w:pPr>
              <w:ind w:left="98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340" w:type="dxa"/>
            <w:vAlign w:val="bottom"/>
          </w:tcPr>
          <w:p>
            <w:pPr>
              <w:spacing w:after="0"/>
              <w:rPr>
                <w:sz w:val="11"/>
                <w:szCs w:val="11"/>
                <w:color w:val="auto"/>
              </w:rPr>
            </w:pPr>
          </w:p>
        </w:tc>
        <w:tc>
          <w:tcPr>
            <w:tcW w:w="1680" w:type="dxa"/>
            <w:vAlign w:val="bottom"/>
            <w:tcBorders>
              <w:bottom w:val="single" w:sz="8" w:color="939598"/>
            </w:tcBorders>
          </w:tcPr>
          <w:p>
            <w:pPr>
              <w:spacing w:after="0"/>
              <w:rPr>
                <w:sz w:val="11"/>
                <w:szCs w:val="11"/>
                <w:color w:val="auto"/>
              </w:rPr>
            </w:pPr>
          </w:p>
        </w:tc>
        <w:tc>
          <w:tcPr>
            <w:tcW w:w="860" w:type="dxa"/>
            <w:vAlign w:val="bottom"/>
            <w:tcBorders>
              <w:bottom w:val="single" w:sz="8" w:color="939598"/>
            </w:tcBorders>
          </w:tcPr>
          <w:p>
            <w:pPr>
              <w:spacing w:after="0"/>
              <w:rPr>
                <w:sz w:val="11"/>
                <w:szCs w:val="11"/>
                <w:color w:val="auto"/>
              </w:rPr>
            </w:pPr>
          </w:p>
        </w:tc>
        <w:tc>
          <w:tcPr>
            <w:tcW w:w="1140" w:type="dxa"/>
            <w:vAlign w:val="bottom"/>
            <w:tcBorders>
              <w:bottom w:val="single" w:sz="8" w:color="939598"/>
            </w:tcBorders>
          </w:tcPr>
          <w:p>
            <w:pPr>
              <w:spacing w:after="0"/>
              <w:rPr>
                <w:sz w:val="11"/>
                <w:szCs w:val="11"/>
                <w:color w:val="auto"/>
              </w:rPr>
            </w:pPr>
          </w:p>
        </w:tc>
        <w:tc>
          <w:tcPr>
            <w:tcW w:w="1420" w:type="dxa"/>
            <w:vAlign w:val="bottom"/>
            <w:tcBorders>
              <w:bottom w:val="single" w:sz="8" w:color="939598"/>
            </w:tcBorders>
          </w:tcPr>
          <w:p>
            <w:pPr>
              <w:spacing w:after="0"/>
              <w:rPr>
                <w:sz w:val="11"/>
                <w:szCs w:val="11"/>
                <w:color w:val="auto"/>
              </w:rPr>
            </w:pPr>
          </w:p>
        </w:tc>
        <w:tc>
          <w:tcPr>
            <w:tcW w:w="1320" w:type="dxa"/>
            <w:vAlign w:val="bottom"/>
            <w:tcBorders>
              <w:bottom w:val="single" w:sz="8" w:color="939598"/>
            </w:tcBorders>
          </w:tcPr>
          <w:p>
            <w:pPr>
              <w:spacing w:after="0"/>
              <w:rPr>
                <w:sz w:val="11"/>
                <w:szCs w:val="11"/>
                <w:color w:val="auto"/>
              </w:rPr>
            </w:pPr>
          </w:p>
        </w:tc>
        <w:tc>
          <w:tcPr>
            <w:tcW w:w="1300" w:type="dxa"/>
            <w:vAlign w:val="bottom"/>
            <w:tcBorders>
              <w:bottom w:val="single" w:sz="8" w:color="939598"/>
            </w:tcBorders>
          </w:tcPr>
          <w:p>
            <w:pPr>
              <w:spacing w:after="0"/>
              <w:rPr>
                <w:sz w:val="11"/>
                <w:szCs w:val="11"/>
                <w:color w:val="auto"/>
              </w:rPr>
            </w:pPr>
          </w:p>
        </w:tc>
        <w:tc>
          <w:tcPr>
            <w:tcW w:w="1160" w:type="dxa"/>
            <w:vAlign w:val="bottom"/>
            <w:tcBorders>
              <w:bottom w:val="single" w:sz="8" w:color="939598"/>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2"/>
        </w:trPr>
        <w:tc>
          <w:tcPr>
            <w:tcW w:w="234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860" w:type="dxa"/>
            <w:vAlign w:val="bottom"/>
          </w:tcPr>
          <w:p>
            <w:pPr>
              <w:spacing w:after="0"/>
              <w:rPr>
                <w:sz w:val="24"/>
                <w:szCs w:val="24"/>
                <w:color w:val="auto"/>
              </w:rPr>
            </w:pPr>
          </w:p>
        </w:tc>
        <w:tc>
          <w:tcPr>
            <w:tcW w:w="1140" w:type="dxa"/>
            <w:vAlign w:val="bottom"/>
          </w:tcPr>
          <w:p>
            <w:pPr>
              <w:jc w:val="right"/>
              <w:ind w:right="248"/>
              <w:spacing w:after="0"/>
              <w:rPr>
                <w:sz w:val="20"/>
                <w:szCs w:val="20"/>
                <w:color w:val="auto"/>
              </w:rPr>
            </w:pPr>
            <w:r>
              <w:rPr>
                <w:rFonts w:ascii="Arial" w:cs="Arial" w:eastAsia="Arial" w:hAnsi="Arial"/>
                <w:sz w:val="14"/>
                <w:szCs w:val="14"/>
                <w:b w:val="1"/>
                <w:bCs w:val="1"/>
                <w:color w:val="auto"/>
              </w:rPr>
              <w:t>—</w:t>
            </w:r>
          </w:p>
        </w:tc>
        <w:tc>
          <w:tcPr>
            <w:tcW w:w="142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251"/>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ind w:left="980"/>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23"/>
        </w:trPr>
        <w:tc>
          <w:tcPr>
            <w:tcW w:w="2340" w:type="dxa"/>
            <w:vAlign w:val="bottom"/>
            <w:tcBorders>
              <w:bottom w:val="single" w:sz="8" w:color="939598"/>
            </w:tcBorders>
          </w:tcPr>
          <w:p>
            <w:pPr>
              <w:spacing w:after="0"/>
              <w:rPr>
                <w:sz w:val="10"/>
                <w:szCs w:val="10"/>
                <w:color w:val="auto"/>
              </w:rPr>
            </w:pPr>
          </w:p>
        </w:tc>
        <w:tc>
          <w:tcPr>
            <w:tcW w:w="1680" w:type="dxa"/>
            <w:vAlign w:val="bottom"/>
            <w:tcBorders>
              <w:bottom w:val="single" w:sz="8" w:color="939598"/>
            </w:tcBorders>
          </w:tcPr>
          <w:p>
            <w:pPr>
              <w:spacing w:after="0"/>
              <w:rPr>
                <w:sz w:val="10"/>
                <w:szCs w:val="10"/>
                <w:color w:val="auto"/>
              </w:rPr>
            </w:pPr>
          </w:p>
        </w:tc>
        <w:tc>
          <w:tcPr>
            <w:tcW w:w="860" w:type="dxa"/>
            <w:vAlign w:val="bottom"/>
            <w:tcBorders>
              <w:bottom w:val="single" w:sz="8" w:color="939598"/>
            </w:tcBorders>
          </w:tcPr>
          <w:p>
            <w:pPr>
              <w:spacing w:after="0"/>
              <w:rPr>
                <w:sz w:val="10"/>
                <w:szCs w:val="10"/>
                <w:color w:val="auto"/>
              </w:rPr>
            </w:pPr>
          </w:p>
        </w:tc>
        <w:tc>
          <w:tcPr>
            <w:tcW w:w="1140" w:type="dxa"/>
            <w:vAlign w:val="bottom"/>
            <w:tcBorders>
              <w:bottom w:val="single" w:sz="8" w:color="939598"/>
            </w:tcBorders>
          </w:tcPr>
          <w:p>
            <w:pPr>
              <w:spacing w:after="0"/>
              <w:rPr>
                <w:sz w:val="10"/>
                <w:szCs w:val="10"/>
                <w:color w:val="auto"/>
              </w:rPr>
            </w:pPr>
          </w:p>
        </w:tc>
        <w:tc>
          <w:tcPr>
            <w:tcW w:w="1420" w:type="dxa"/>
            <w:vAlign w:val="bottom"/>
            <w:tcBorders>
              <w:bottom w:val="single" w:sz="8" w:color="939598"/>
            </w:tcBorders>
          </w:tcPr>
          <w:p>
            <w:pPr>
              <w:spacing w:after="0"/>
              <w:rPr>
                <w:sz w:val="10"/>
                <w:szCs w:val="10"/>
                <w:color w:val="auto"/>
              </w:rPr>
            </w:pPr>
          </w:p>
        </w:tc>
        <w:tc>
          <w:tcPr>
            <w:tcW w:w="1320" w:type="dxa"/>
            <w:vAlign w:val="bottom"/>
            <w:tcBorders>
              <w:bottom w:val="single" w:sz="8" w:color="939598"/>
            </w:tcBorders>
          </w:tcPr>
          <w:p>
            <w:pPr>
              <w:spacing w:after="0"/>
              <w:rPr>
                <w:sz w:val="10"/>
                <w:szCs w:val="10"/>
                <w:color w:val="auto"/>
              </w:rPr>
            </w:pPr>
          </w:p>
        </w:tc>
        <w:tc>
          <w:tcPr>
            <w:tcW w:w="1300" w:type="dxa"/>
            <w:vAlign w:val="bottom"/>
            <w:tcBorders>
              <w:bottom w:val="single" w:sz="8" w:color="939598"/>
            </w:tcBorders>
          </w:tcPr>
          <w:p>
            <w:pPr>
              <w:spacing w:after="0"/>
              <w:rPr>
                <w:sz w:val="10"/>
                <w:szCs w:val="10"/>
                <w:color w:val="auto"/>
              </w:rPr>
            </w:pPr>
          </w:p>
        </w:tc>
        <w:tc>
          <w:tcPr>
            <w:tcW w:w="1160" w:type="dxa"/>
            <w:vAlign w:val="bottom"/>
            <w:tcBorders>
              <w:bottom w:val="single" w:sz="8" w:color="939598"/>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3"/>
        </w:trPr>
        <w:tc>
          <w:tcPr>
            <w:tcW w:w="2340" w:type="dxa"/>
            <w:vAlign w:val="bottom"/>
          </w:tcPr>
          <w:p>
            <w:pPr>
              <w:ind w:left="20"/>
              <w:spacing w:after="0"/>
              <w:rPr>
                <w:sz w:val="20"/>
                <w:szCs w:val="20"/>
                <w:color w:val="auto"/>
              </w:rPr>
            </w:pPr>
            <w:r>
              <w:rPr>
                <w:rFonts w:ascii="Arial" w:cs="Arial" w:eastAsia="Arial" w:hAnsi="Arial"/>
                <w:sz w:val="14"/>
                <w:szCs w:val="14"/>
                <w:b w:val="1"/>
                <w:bCs w:val="1"/>
                <w:color w:val="auto"/>
              </w:rPr>
              <w:t>Billal Hammoud</w:t>
            </w:r>
          </w:p>
        </w:tc>
        <w:tc>
          <w:tcPr>
            <w:tcW w:w="1680" w:type="dxa"/>
            <w:vAlign w:val="bottom"/>
          </w:tcPr>
          <w:p>
            <w:pPr>
              <w:ind w:left="20"/>
              <w:spacing w:after="0"/>
              <w:rPr>
                <w:sz w:val="20"/>
                <w:szCs w:val="20"/>
                <w:color w:val="auto"/>
              </w:rPr>
            </w:pPr>
            <w:r>
              <w:rPr>
                <w:rFonts w:ascii="Arial" w:cs="Arial" w:eastAsia="Arial" w:hAnsi="Arial"/>
                <w:sz w:val="14"/>
                <w:szCs w:val="14"/>
                <w:color w:val="auto"/>
              </w:rPr>
              <w:t>SS Plan</w:t>
            </w:r>
            <w:r>
              <w:rPr>
                <w:rFonts w:ascii="Arial" w:cs="Arial" w:eastAsia="Arial" w:hAnsi="Arial"/>
                <w:sz w:val="18"/>
                <w:szCs w:val="18"/>
                <w:color w:val="auto"/>
                <w:vertAlign w:val="superscript"/>
              </w:rPr>
              <w:t>(1)</w:t>
            </w:r>
          </w:p>
        </w:tc>
        <w:tc>
          <w:tcPr>
            <w:tcW w:w="860" w:type="dxa"/>
            <w:vAlign w:val="bottom"/>
          </w:tcPr>
          <w:p>
            <w:pPr>
              <w:spacing w:after="0"/>
              <w:rPr>
                <w:sz w:val="24"/>
                <w:szCs w:val="24"/>
                <w:color w:val="auto"/>
              </w:rPr>
            </w:pPr>
          </w:p>
        </w:tc>
        <w:tc>
          <w:tcPr>
            <w:tcW w:w="1140" w:type="dxa"/>
            <w:vAlign w:val="bottom"/>
          </w:tcPr>
          <w:p>
            <w:pPr>
              <w:jc w:val="right"/>
              <w:ind w:right="248"/>
              <w:spacing w:after="0"/>
              <w:rPr>
                <w:sz w:val="20"/>
                <w:szCs w:val="20"/>
                <w:color w:val="auto"/>
              </w:rPr>
            </w:pPr>
            <w:r>
              <w:rPr>
                <w:rFonts w:ascii="Arial" w:cs="Arial" w:eastAsia="Arial" w:hAnsi="Arial"/>
                <w:sz w:val="14"/>
                <w:szCs w:val="14"/>
                <w:color w:val="auto"/>
              </w:rPr>
              <w:t>98,589</w:t>
            </w: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27,985</w:t>
            </w:r>
          </w:p>
        </w:tc>
        <w:tc>
          <w:tcPr>
            <w:tcW w:w="1320" w:type="dxa"/>
            <w:vAlign w:val="bottom"/>
          </w:tcPr>
          <w:p>
            <w:pPr>
              <w:jc w:val="right"/>
              <w:ind w:right="251"/>
              <w:spacing w:after="0"/>
              <w:rPr>
                <w:sz w:val="20"/>
                <w:szCs w:val="20"/>
                <w:color w:val="auto"/>
              </w:rPr>
            </w:pPr>
            <w:r>
              <w:rPr>
                <w:rFonts w:ascii="Arial" w:cs="Arial" w:eastAsia="Arial" w:hAnsi="Arial"/>
                <w:sz w:val="14"/>
                <w:szCs w:val="14"/>
                <w:color w:val="auto"/>
              </w:rPr>
              <w:t>8,017</w:t>
            </w:r>
          </w:p>
        </w:tc>
        <w:tc>
          <w:tcPr>
            <w:tcW w:w="1300" w:type="dxa"/>
            <w:vAlign w:val="bottom"/>
          </w:tcPr>
          <w:p>
            <w:pPr>
              <w:ind w:left="98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336,908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340" w:type="dxa"/>
            <w:vAlign w:val="bottom"/>
          </w:tcPr>
          <w:p>
            <w:pPr>
              <w:spacing w:after="0"/>
              <w:rPr>
                <w:sz w:val="6"/>
                <w:szCs w:val="6"/>
                <w:color w:val="auto"/>
              </w:rPr>
            </w:pPr>
          </w:p>
        </w:tc>
        <w:tc>
          <w:tcPr>
            <w:tcW w:w="1680" w:type="dxa"/>
            <w:vAlign w:val="bottom"/>
            <w:tcBorders>
              <w:bottom w:val="single" w:sz="8" w:color="939598"/>
            </w:tcBorders>
          </w:tcPr>
          <w:p>
            <w:pPr>
              <w:spacing w:after="0"/>
              <w:rPr>
                <w:sz w:val="6"/>
                <w:szCs w:val="6"/>
                <w:color w:val="auto"/>
              </w:rPr>
            </w:pPr>
          </w:p>
        </w:tc>
        <w:tc>
          <w:tcPr>
            <w:tcW w:w="860" w:type="dxa"/>
            <w:vAlign w:val="bottom"/>
            <w:tcBorders>
              <w:bottom w:val="single" w:sz="8" w:color="939598"/>
            </w:tcBorders>
          </w:tcPr>
          <w:p>
            <w:pPr>
              <w:spacing w:after="0"/>
              <w:rPr>
                <w:sz w:val="6"/>
                <w:szCs w:val="6"/>
                <w:color w:val="auto"/>
              </w:rPr>
            </w:pPr>
          </w:p>
        </w:tc>
        <w:tc>
          <w:tcPr>
            <w:tcW w:w="1140" w:type="dxa"/>
            <w:vAlign w:val="bottom"/>
            <w:tcBorders>
              <w:bottom w:val="single" w:sz="8" w:color="939598"/>
            </w:tcBorders>
          </w:tcPr>
          <w:p>
            <w:pPr>
              <w:spacing w:after="0"/>
              <w:rPr>
                <w:sz w:val="6"/>
                <w:szCs w:val="6"/>
                <w:color w:val="auto"/>
              </w:rPr>
            </w:pPr>
          </w:p>
        </w:tc>
        <w:tc>
          <w:tcPr>
            <w:tcW w:w="1420" w:type="dxa"/>
            <w:vAlign w:val="bottom"/>
            <w:tcBorders>
              <w:bottom w:val="single" w:sz="8" w:color="939598"/>
            </w:tcBorders>
          </w:tcPr>
          <w:p>
            <w:pPr>
              <w:spacing w:after="0"/>
              <w:rPr>
                <w:sz w:val="6"/>
                <w:szCs w:val="6"/>
                <w:color w:val="auto"/>
              </w:rPr>
            </w:pPr>
          </w:p>
        </w:tc>
        <w:tc>
          <w:tcPr>
            <w:tcW w:w="1320" w:type="dxa"/>
            <w:vAlign w:val="bottom"/>
            <w:tcBorders>
              <w:bottom w:val="single" w:sz="8" w:color="939598"/>
            </w:tcBorders>
          </w:tcPr>
          <w:p>
            <w:pPr>
              <w:spacing w:after="0"/>
              <w:rPr>
                <w:sz w:val="6"/>
                <w:szCs w:val="6"/>
                <w:color w:val="auto"/>
              </w:rPr>
            </w:pPr>
          </w:p>
        </w:tc>
        <w:tc>
          <w:tcPr>
            <w:tcW w:w="1300" w:type="dxa"/>
            <w:vAlign w:val="bottom"/>
            <w:tcBorders>
              <w:bottom w:val="single" w:sz="8" w:color="939598"/>
            </w:tcBorders>
          </w:tcPr>
          <w:p>
            <w:pPr>
              <w:spacing w:after="0"/>
              <w:rPr>
                <w:sz w:val="6"/>
                <w:szCs w:val="6"/>
                <w:color w:val="auto"/>
              </w:rPr>
            </w:pPr>
          </w:p>
        </w:tc>
        <w:tc>
          <w:tcPr>
            <w:tcW w:w="1160" w:type="dxa"/>
            <w:vAlign w:val="bottom"/>
            <w:tcBorders>
              <w:bottom w:val="single" w:sz="8" w:color="939598"/>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6"/>
        </w:trPr>
        <w:tc>
          <w:tcPr>
            <w:tcW w:w="234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Arial" w:cs="Arial" w:eastAsia="Arial" w:hAnsi="Arial"/>
                <w:sz w:val="14"/>
                <w:szCs w:val="14"/>
                <w:color w:val="auto"/>
              </w:rPr>
              <w:t>DIC Plan</w:t>
            </w:r>
          </w:p>
        </w:tc>
        <w:tc>
          <w:tcPr>
            <w:tcW w:w="860" w:type="dxa"/>
            <w:vAlign w:val="bottom"/>
          </w:tcPr>
          <w:p>
            <w:pPr>
              <w:spacing w:after="0"/>
              <w:rPr>
                <w:sz w:val="24"/>
                <w:szCs w:val="24"/>
                <w:color w:val="auto"/>
              </w:rPr>
            </w:pPr>
          </w:p>
        </w:tc>
        <w:tc>
          <w:tcPr>
            <w:tcW w:w="1140" w:type="dxa"/>
            <w:vAlign w:val="bottom"/>
          </w:tcPr>
          <w:p>
            <w:pPr>
              <w:jc w:val="right"/>
              <w:ind w:right="248"/>
              <w:spacing w:after="0"/>
              <w:rPr>
                <w:sz w:val="20"/>
                <w:szCs w:val="20"/>
                <w:color w:val="auto"/>
              </w:rPr>
            </w:pPr>
            <w:r>
              <w:rPr>
                <w:rFonts w:ascii="Arial" w:cs="Arial" w:eastAsia="Arial" w:hAnsi="Arial"/>
                <w:sz w:val="14"/>
                <w:szCs w:val="14"/>
                <w:color w:val="auto"/>
              </w:rPr>
              <w:t>65,660</w:t>
            </w: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51"/>
              <w:spacing w:after="0"/>
              <w:rPr>
                <w:sz w:val="20"/>
                <w:szCs w:val="20"/>
                <w:color w:val="auto"/>
              </w:rPr>
            </w:pPr>
            <w:r>
              <w:rPr>
                <w:rFonts w:ascii="Arial" w:cs="Arial" w:eastAsia="Arial" w:hAnsi="Arial"/>
                <w:sz w:val="14"/>
                <w:szCs w:val="14"/>
                <w:color w:val="auto"/>
              </w:rPr>
              <w:t>2,759</w:t>
            </w:r>
          </w:p>
        </w:tc>
        <w:tc>
          <w:tcPr>
            <w:tcW w:w="1300" w:type="dxa"/>
            <w:vAlign w:val="bottom"/>
          </w:tcPr>
          <w:p>
            <w:pPr>
              <w:ind w:left="98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68,419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340" w:type="dxa"/>
            <w:vAlign w:val="bottom"/>
          </w:tcPr>
          <w:p>
            <w:pPr>
              <w:spacing w:after="0"/>
              <w:rPr>
                <w:sz w:val="11"/>
                <w:szCs w:val="11"/>
                <w:color w:val="auto"/>
              </w:rPr>
            </w:pPr>
          </w:p>
        </w:tc>
        <w:tc>
          <w:tcPr>
            <w:tcW w:w="1680" w:type="dxa"/>
            <w:vAlign w:val="bottom"/>
            <w:tcBorders>
              <w:bottom w:val="single" w:sz="8" w:color="939598"/>
            </w:tcBorders>
          </w:tcPr>
          <w:p>
            <w:pPr>
              <w:spacing w:after="0"/>
              <w:rPr>
                <w:sz w:val="11"/>
                <w:szCs w:val="11"/>
                <w:color w:val="auto"/>
              </w:rPr>
            </w:pPr>
          </w:p>
        </w:tc>
        <w:tc>
          <w:tcPr>
            <w:tcW w:w="860" w:type="dxa"/>
            <w:vAlign w:val="bottom"/>
            <w:tcBorders>
              <w:bottom w:val="single" w:sz="8" w:color="939598"/>
            </w:tcBorders>
          </w:tcPr>
          <w:p>
            <w:pPr>
              <w:spacing w:after="0"/>
              <w:rPr>
                <w:sz w:val="11"/>
                <w:szCs w:val="11"/>
                <w:color w:val="auto"/>
              </w:rPr>
            </w:pPr>
          </w:p>
        </w:tc>
        <w:tc>
          <w:tcPr>
            <w:tcW w:w="1140" w:type="dxa"/>
            <w:vAlign w:val="bottom"/>
            <w:tcBorders>
              <w:bottom w:val="single" w:sz="8" w:color="939598"/>
            </w:tcBorders>
          </w:tcPr>
          <w:p>
            <w:pPr>
              <w:spacing w:after="0"/>
              <w:rPr>
                <w:sz w:val="11"/>
                <w:szCs w:val="11"/>
                <w:color w:val="auto"/>
              </w:rPr>
            </w:pPr>
          </w:p>
        </w:tc>
        <w:tc>
          <w:tcPr>
            <w:tcW w:w="1420" w:type="dxa"/>
            <w:vAlign w:val="bottom"/>
            <w:tcBorders>
              <w:bottom w:val="single" w:sz="8" w:color="939598"/>
            </w:tcBorders>
          </w:tcPr>
          <w:p>
            <w:pPr>
              <w:spacing w:after="0"/>
              <w:rPr>
                <w:sz w:val="11"/>
                <w:szCs w:val="11"/>
                <w:color w:val="auto"/>
              </w:rPr>
            </w:pPr>
          </w:p>
        </w:tc>
        <w:tc>
          <w:tcPr>
            <w:tcW w:w="1320" w:type="dxa"/>
            <w:vAlign w:val="bottom"/>
            <w:tcBorders>
              <w:bottom w:val="single" w:sz="8" w:color="939598"/>
            </w:tcBorders>
          </w:tcPr>
          <w:p>
            <w:pPr>
              <w:spacing w:after="0"/>
              <w:rPr>
                <w:sz w:val="11"/>
                <w:szCs w:val="11"/>
                <w:color w:val="auto"/>
              </w:rPr>
            </w:pPr>
          </w:p>
        </w:tc>
        <w:tc>
          <w:tcPr>
            <w:tcW w:w="1300" w:type="dxa"/>
            <w:vAlign w:val="bottom"/>
            <w:tcBorders>
              <w:bottom w:val="single" w:sz="8" w:color="939598"/>
            </w:tcBorders>
          </w:tcPr>
          <w:p>
            <w:pPr>
              <w:spacing w:after="0"/>
              <w:rPr>
                <w:sz w:val="11"/>
                <w:szCs w:val="11"/>
                <w:color w:val="auto"/>
              </w:rPr>
            </w:pPr>
          </w:p>
        </w:tc>
        <w:tc>
          <w:tcPr>
            <w:tcW w:w="1160" w:type="dxa"/>
            <w:vAlign w:val="bottom"/>
            <w:tcBorders>
              <w:bottom w:val="single" w:sz="8" w:color="939598"/>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34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Arial" w:cs="Arial" w:eastAsia="Arial" w:hAnsi="Arial"/>
                <w:sz w:val="14"/>
                <w:szCs w:val="14"/>
                <w:color w:val="auto"/>
              </w:rPr>
              <w:t>Deferred RSUs</w:t>
            </w:r>
          </w:p>
        </w:tc>
        <w:tc>
          <w:tcPr>
            <w:tcW w:w="860" w:type="dxa"/>
            <w:vAlign w:val="bottom"/>
          </w:tcPr>
          <w:p>
            <w:pPr>
              <w:spacing w:after="0"/>
              <w:rPr>
                <w:sz w:val="24"/>
                <w:szCs w:val="24"/>
                <w:color w:val="auto"/>
              </w:rPr>
            </w:pPr>
          </w:p>
        </w:tc>
        <w:tc>
          <w:tcPr>
            <w:tcW w:w="11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51"/>
              <w:spacing w:after="0"/>
              <w:rPr>
                <w:sz w:val="20"/>
                <w:szCs w:val="20"/>
                <w:color w:val="auto"/>
              </w:rPr>
            </w:pPr>
            <w:r>
              <w:rPr>
                <w:rFonts w:ascii="Arial" w:cs="Arial" w:eastAsia="Arial" w:hAnsi="Arial"/>
                <w:sz w:val="14"/>
                <w:szCs w:val="14"/>
                <w:color w:val="auto"/>
              </w:rPr>
              <w:t>—</w:t>
            </w:r>
          </w:p>
        </w:tc>
        <w:tc>
          <w:tcPr>
            <w:tcW w:w="1300" w:type="dxa"/>
            <w:vAlign w:val="bottom"/>
          </w:tcPr>
          <w:p>
            <w:pPr>
              <w:ind w:left="98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340" w:type="dxa"/>
            <w:vAlign w:val="bottom"/>
          </w:tcPr>
          <w:p>
            <w:pPr>
              <w:spacing w:after="0"/>
              <w:rPr>
                <w:sz w:val="11"/>
                <w:szCs w:val="11"/>
                <w:color w:val="auto"/>
              </w:rPr>
            </w:pPr>
          </w:p>
        </w:tc>
        <w:tc>
          <w:tcPr>
            <w:tcW w:w="1680" w:type="dxa"/>
            <w:vAlign w:val="bottom"/>
            <w:tcBorders>
              <w:bottom w:val="single" w:sz="8" w:color="939598"/>
            </w:tcBorders>
          </w:tcPr>
          <w:p>
            <w:pPr>
              <w:spacing w:after="0"/>
              <w:rPr>
                <w:sz w:val="11"/>
                <w:szCs w:val="11"/>
                <w:color w:val="auto"/>
              </w:rPr>
            </w:pPr>
          </w:p>
        </w:tc>
        <w:tc>
          <w:tcPr>
            <w:tcW w:w="860" w:type="dxa"/>
            <w:vAlign w:val="bottom"/>
            <w:tcBorders>
              <w:bottom w:val="single" w:sz="8" w:color="939598"/>
            </w:tcBorders>
          </w:tcPr>
          <w:p>
            <w:pPr>
              <w:spacing w:after="0"/>
              <w:rPr>
                <w:sz w:val="11"/>
                <w:szCs w:val="11"/>
                <w:color w:val="auto"/>
              </w:rPr>
            </w:pPr>
          </w:p>
        </w:tc>
        <w:tc>
          <w:tcPr>
            <w:tcW w:w="1140" w:type="dxa"/>
            <w:vAlign w:val="bottom"/>
            <w:tcBorders>
              <w:bottom w:val="single" w:sz="8" w:color="939598"/>
            </w:tcBorders>
          </w:tcPr>
          <w:p>
            <w:pPr>
              <w:spacing w:after="0"/>
              <w:rPr>
                <w:sz w:val="11"/>
                <w:szCs w:val="11"/>
                <w:color w:val="auto"/>
              </w:rPr>
            </w:pPr>
          </w:p>
        </w:tc>
        <w:tc>
          <w:tcPr>
            <w:tcW w:w="1420" w:type="dxa"/>
            <w:vAlign w:val="bottom"/>
            <w:tcBorders>
              <w:bottom w:val="single" w:sz="8" w:color="939598"/>
            </w:tcBorders>
          </w:tcPr>
          <w:p>
            <w:pPr>
              <w:spacing w:after="0"/>
              <w:rPr>
                <w:sz w:val="11"/>
                <w:szCs w:val="11"/>
                <w:color w:val="auto"/>
              </w:rPr>
            </w:pPr>
          </w:p>
        </w:tc>
        <w:tc>
          <w:tcPr>
            <w:tcW w:w="1320" w:type="dxa"/>
            <w:vAlign w:val="bottom"/>
            <w:tcBorders>
              <w:bottom w:val="single" w:sz="8" w:color="939598"/>
            </w:tcBorders>
          </w:tcPr>
          <w:p>
            <w:pPr>
              <w:spacing w:after="0"/>
              <w:rPr>
                <w:sz w:val="11"/>
                <w:szCs w:val="11"/>
                <w:color w:val="auto"/>
              </w:rPr>
            </w:pPr>
          </w:p>
        </w:tc>
        <w:tc>
          <w:tcPr>
            <w:tcW w:w="1300" w:type="dxa"/>
            <w:vAlign w:val="bottom"/>
            <w:tcBorders>
              <w:bottom w:val="single" w:sz="8" w:color="939598"/>
            </w:tcBorders>
          </w:tcPr>
          <w:p>
            <w:pPr>
              <w:spacing w:after="0"/>
              <w:rPr>
                <w:sz w:val="11"/>
                <w:szCs w:val="11"/>
                <w:color w:val="auto"/>
              </w:rPr>
            </w:pPr>
          </w:p>
        </w:tc>
        <w:tc>
          <w:tcPr>
            <w:tcW w:w="1160" w:type="dxa"/>
            <w:vAlign w:val="bottom"/>
            <w:tcBorders>
              <w:bottom w:val="single" w:sz="8" w:color="939598"/>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2"/>
        </w:trPr>
        <w:tc>
          <w:tcPr>
            <w:tcW w:w="234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860" w:type="dxa"/>
            <w:vAlign w:val="bottom"/>
          </w:tcPr>
          <w:p>
            <w:pPr>
              <w:spacing w:after="0"/>
              <w:rPr>
                <w:sz w:val="24"/>
                <w:szCs w:val="24"/>
                <w:color w:val="auto"/>
              </w:rPr>
            </w:pPr>
          </w:p>
        </w:tc>
        <w:tc>
          <w:tcPr>
            <w:tcW w:w="1140" w:type="dxa"/>
            <w:vAlign w:val="bottom"/>
          </w:tcPr>
          <w:p>
            <w:pPr>
              <w:jc w:val="right"/>
              <w:ind w:right="248"/>
              <w:spacing w:after="0"/>
              <w:rPr>
                <w:sz w:val="20"/>
                <w:szCs w:val="20"/>
                <w:color w:val="auto"/>
              </w:rPr>
            </w:pPr>
            <w:r>
              <w:rPr>
                <w:rFonts w:ascii="Arial" w:cs="Arial" w:eastAsia="Arial" w:hAnsi="Arial"/>
                <w:sz w:val="14"/>
                <w:szCs w:val="14"/>
                <w:b w:val="1"/>
                <w:bCs w:val="1"/>
                <w:color w:val="auto"/>
              </w:rPr>
              <w:t>164,249</w:t>
            </w:r>
          </w:p>
        </w:tc>
        <w:tc>
          <w:tcPr>
            <w:tcW w:w="1420" w:type="dxa"/>
            <w:vAlign w:val="bottom"/>
          </w:tcPr>
          <w:p>
            <w:pPr>
              <w:jc w:val="right"/>
              <w:ind w:right="188"/>
              <w:spacing w:after="0"/>
              <w:rPr>
                <w:sz w:val="20"/>
                <w:szCs w:val="20"/>
                <w:color w:val="auto"/>
              </w:rPr>
            </w:pPr>
            <w:r>
              <w:rPr>
                <w:rFonts w:ascii="Arial" w:cs="Arial" w:eastAsia="Arial" w:hAnsi="Arial"/>
                <w:sz w:val="14"/>
                <w:szCs w:val="14"/>
                <w:b w:val="1"/>
                <w:bCs w:val="1"/>
                <w:color w:val="auto"/>
              </w:rPr>
              <w:t>27,985</w:t>
            </w:r>
          </w:p>
        </w:tc>
        <w:tc>
          <w:tcPr>
            <w:tcW w:w="1320" w:type="dxa"/>
            <w:vAlign w:val="bottom"/>
          </w:tcPr>
          <w:p>
            <w:pPr>
              <w:jc w:val="right"/>
              <w:ind w:right="251"/>
              <w:spacing w:after="0"/>
              <w:rPr>
                <w:sz w:val="20"/>
                <w:szCs w:val="20"/>
                <w:color w:val="auto"/>
              </w:rPr>
            </w:pPr>
            <w:r>
              <w:rPr>
                <w:rFonts w:ascii="Arial" w:cs="Arial" w:eastAsia="Arial" w:hAnsi="Arial"/>
                <w:sz w:val="14"/>
                <w:szCs w:val="14"/>
                <w:b w:val="1"/>
                <w:bCs w:val="1"/>
                <w:color w:val="auto"/>
              </w:rPr>
              <w:t>10,776</w:t>
            </w:r>
          </w:p>
        </w:tc>
        <w:tc>
          <w:tcPr>
            <w:tcW w:w="1300" w:type="dxa"/>
            <w:vAlign w:val="bottom"/>
          </w:tcPr>
          <w:p>
            <w:pPr>
              <w:ind w:left="980"/>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405,327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340" w:type="dxa"/>
            <w:vAlign w:val="bottom"/>
            <w:tcBorders>
              <w:bottom w:val="single" w:sz="8" w:color="939598"/>
            </w:tcBorders>
          </w:tcPr>
          <w:p>
            <w:pPr>
              <w:spacing w:after="0"/>
              <w:rPr>
                <w:sz w:val="10"/>
                <w:szCs w:val="10"/>
                <w:color w:val="auto"/>
              </w:rPr>
            </w:pPr>
          </w:p>
        </w:tc>
        <w:tc>
          <w:tcPr>
            <w:tcW w:w="1680" w:type="dxa"/>
            <w:vAlign w:val="bottom"/>
            <w:tcBorders>
              <w:bottom w:val="single" w:sz="8" w:color="939598"/>
            </w:tcBorders>
          </w:tcPr>
          <w:p>
            <w:pPr>
              <w:spacing w:after="0"/>
              <w:rPr>
                <w:sz w:val="10"/>
                <w:szCs w:val="10"/>
                <w:color w:val="auto"/>
              </w:rPr>
            </w:pPr>
          </w:p>
        </w:tc>
        <w:tc>
          <w:tcPr>
            <w:tcW w:w="860" w:type="dxa"/>
            <w:vAlign w:val="bottom"/>
            <w:tcBorders>
              <w:bottom w:val="single" w:sz="8" w:color="939598"/>
            </w:tcBorders>
          </w:tcPr>
          <w:p>
            <w:pPr>
              <w:spacing w:after="0"/>
              <w:rPr>
                <w:sz w:val="10"/>
                <w:szCs w:val="10"/>
                <w:color w:val="auto"/>
              </w:rPr>
            </w:pPr>
          </w:p>
        </w:tc>
        <w:tc>
          <w:tcPr>
            <w:tcW w:w="1140" w:type="dxa"/>
            <w:vAlign w:val="bottom"/>
            <w:tcBorders>
              <w:bottom w:val="single" w:sz="8" w:color="939598"/>
            </w:tcBorders>
          </w:tcPr>
          <w:p>
            <w:pPr>
              <w:spacing w:after="0"/>
              <w:rPr>
                <w:sz w:val="10"/>
                <w:szCs w:val="10"/>
                <w:color w:val="auto"/>
              </w:rPr>
            </w:pPr>
          </w:p>
        </w:tc>
        <w:tc>
          <w:tcPr>
            <w:tcW w:w="1420" w:type="dxa"/>
            <w:vAlign w:val="bottom"/>
            <w:tcBorders>
              <w:bottom w:val="single" w:sz="8" w:color="939598"/>
            </w:tcBorders>
          </w:tcPr>
          <w:p>
            <w:pPr>
              <w:spacing w:after="0"/>
              <w:rPr>
                <w:sz w:val="10"/>
                <w:szCs w:val="10"/>
                <w:color w:val="auto"/>
              </w:rPr>
            </w:pPr>
          </w:p>
        </w:tc>
        <w:tc>
          <w:tcPr>
            <w:tcW w:w="1320" w:type="dxa"/>
            <w:vAlign w:val="bottom"/>
            <w:tcBorders>
              <w:bottom w:val="single" w:sz="8" w:color="939598"/>
            </w:tcBorders>
          </w:tcPr>
          <w:p>
            <w:pPr>
              <w:spacing w:after="0"/>
              <w:rPr>
                <w:sz w:val="10"/>
                <w:szCs w:val="10"/>
                <w:color w:val="auto"/>
              </w:rPr>
            </w:pPr>
          </w:p>
        </w:tc>
        <w:tc>
          <w:tcPr>
            <w:tcW w:w="1300" w:type="dxa"/>
            <w:vAlign w:val="bottom"/>
            <w:tcBorders>
              <w:bottom w:val="single" w:sz="8" w:color="939598"/>
            </w:tcBorders>
          </w:tcPr>
          <w:p>
            <w:pPr>
              <w:spacing w:after="0"/>
              <w:rPr>
                <w:sz w:val="10"/>
                <w:szCs w:val="10"/>
                <w:color w:val="auto"/>
              </w:rPr>
            </w:pPr>
          </w:p>
        </w:tc>
        <w:tc>
          <w:tcPr>
            <w:tcW w:w="1160" w:type="dxa"/>
            <w:vAlign w:val="bottom"/>
            <w:tcBorders>
              <w:bottom w:val="single" w:sz="8" w:color="939598"/>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3"/>
        </w:trPr>
        <w:tc>
          <w:tcPr>
            <w:tcW w:w="2340" w:type="dxa"/>
            <w:vAlign w:val="bottom"/>
          </w:tcPr>
          <w:p>
            <w:pPr>
              <w:ind w:left="20"/>
              <w:spacing w:after="0"/>
              <w:rPr>
                <w:sz w:val="20"/>
                <w:szCs w:val="20"/>
                <w:color w:val="auto"/>
              </w:rPr>
            </w:pPr>
            <w:r>
              <w:rPr>
                <w:rFonts w:ascii="Arial" w:cs="Arial" w:eastAsia="Arial" w:hAnsi="Arial"/>
                <w:sz w:val="14"/>
                <w:szCs w:val="14"/>
                <w:b w:val="1"/>
                <w:bCs w:val="1"/>
                <w:color w:val="auto"/>
              </w:rPr>
              <w:t>Gregory P. Lewis</w:t>
            </w:r>
          </w:p>
        </w:tc>
        <w:tc>
          <w:tcPr>
            <w:tcW w:w="1680" w:type="dxa"/>
            <w:vAlign w:val="bottom"/>
          </w:tcPr>
          <w:p>
            <w:pPr>
              <w:ind w:left="20"/>
              <w:spacing w:after="0"/>
              <w:rPr>
                <w:sz w:val="20"/>
                <w:szCs w:val="20"/>
                <w:color w:val="auto"/>
              </w:rPr>
            </w:pPr>
            <w:r>
              <w:rPr>
                <w:rFonts w:ascii="Arial" w:cs="Arial" w:eastAsia="Arial" w:hAnsi="Arial"/>
                <w:sz w:val="14"/>
                <w:szCs w:val="14"/>
                <w:color w:val="auto"/>
              </w:rPr>
              <w:t>SS Plan</w:t>
            </w:r>
            <w:r>
              <w:rPr>
                <w:rFonts w:ascii="Arial" w:cs="Arial" w:eastAsia="Arial" w:hAnsi="Arial"/>
                <w:sz w:val="18"/>
                <w:szCs w:val="18"/>
                <w:color w:val="auto"/>
                <w:vertAlign w:val="superscript"/>
              </w:rPr>
              <w:t>(1)</w:t>
            </w:r>
          </w:p>
        </w:tc>
        <w:tc>
          <w:tcPr>
            <w:tcW w:w="860" w:type="dxa"/>
            <w:vAlign w:val="bottom"/>
          </w:tcPr>
          <w:p>
            <w:pPr>
              <w:spacing w:after="0"/>
              <w:rPr>
                <w:sz w:val="24"/>
                <w:szCs w:val="24"/>
                <w:color w:val="auto"/>
              </w:rPr>
            </w:pPr>
          </w:p>
        </w:tc>
        <w:tc>
          <w:tcPr>
            <w:tcW w:w="1140" w:type="dxa"/>
            <w:vAlign w:val="bottom"/>
          </w:tcPr>
          <w:p>
            <w:pPr>
              <w:jc w:val="right"/>
              <w:ind w:right="248"/>
              <w:spacing w:after="0"/>
              <w:rPr>
                <w:sz w:val="20"/>
                <w:szCs w:val="20"/>
                <w:color w:val="auto"/>
              </w:rPr>
            </w:pPr>
            <w:r>
              <w:rPr>
                <w:rFonts w:ascii="Arial" w:cs="Arial" w:eastAsia="Arial" w:hAnsi="Arial"/>
                <w:sz w:val="14"/>
                <w:szCs w:val="14"/>
                <w:color w:val="auto"/>
              </w:rPr>
              <w:t>50,981</w:t>
            </w: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5,490</w:t>
            </w:r>
          </w:p>
        </w:tc>
        <w:tc>
          <w:tcPr>
            <w:tcW w:w="1320" w:type="dxa"/>
            <w:vAlign w:val="bottom"/>
          </w:tcPr>
          <w:p>
            <w:pPr>
              <w:jc w:val="right"/>
              <w:ind w:right="251"/>
              <w:spacing w:after="0"/>
              <w:rPr>
                <w:sz w:val="20"/>
                <w:szCs w:val="20"/>
                <w:color w:val="auto"/>
              </w:rPr>
            </w:pPr>
            <w:r>
              <w:rPr>
                <w:rFonts w:ascii="Arial" w:cs="Arial" w:eastAsia="Arial" w:hAnsi="Arial"/>
                <w:sz w:val="14"/>
                <w:szCs w:val="14"/>
                <w:color w:val="auto"/>
              </w:rPr>
              <w:t>29,673</w:t>
            </w:r>
          </w:p>
        </w:tc>
        <w:tc>
          <w:tcPr>
            <w:tcW w:w="1300" w:type="dxa"/>
            <w:vAlign w:val="bottom"/>
          </w:tcPr>
          <w:p>
            <w:pPr>
              <w:ind w:left="98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1,659,185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340" w:type="dxa"/>
            <w:vAlign w:val="bottom"/>
          </w:tcPr>
          <w:p>
            <w:pPr>
              <w:spacing w:after="0"/>
              <w:rPr>
                <w:sz w:val="6"/>
                <w:szCs w:val="6"/>
                <w:color w:val="auto"/>
              </w:rPr>
            </w:pPr>
          </w:p>
        </w:tc>
        <w:tc>
          <w:tcPr>
            <w:tcW w:w="1680" w:type="dxa"/>
            <w:vAlign w:val="bottom"/>
            <w:tcBorders>
              <w:bottom w:val="single" w:sz="8" w:color="939598"/>
            </w:tcBorders>
          </w:tcPr>
          <w:p>
            <w:pPr>
              <w:spacing w:after="0"/>
              <w:rPr>
                <w:sz w:val="6"/>
                <w:szCs w:val="6"/>
                <w:color w:val="auto"/>
              </w:rPr>
            </w:pPr>
          </w:p>
        </w:tc>
        <w:tc>
          <w:tcPr>
            <w:tcW w:w="860" w:type="dxa"/>
            <w:vAlign w:val="bottom"/>
            <w:tcBorders>
              <w:bottom w:val="single" w:sz="8" w:color="939598"/>
            </w:tcBorders>
          </w:tcPr>
          <w:p>
            <w:pPr>
              <w:spacing w:after="0"/>
              <w:rPr>
                <w:sz w:val="6"/>
                <w:szCs w:val="6"/>
                <w:color w:val="auto"/>
              </w:rPr>
            </w:pPr>
          </w:p>
        </w:tc>
        <w:tc>
          <w:tcPr>
            <w:tcW w:w="1140" w:type="dxa"/>
            <w:vAlign w:val="bottom"/>
            <w:tcBorders>
              <w:bottom w:val="single" w:sz="8" w:color="939598"/>
            </w:tcBorders>
          </w:tcPr>
          <w:p>
            <w:pPr>
              <w:spacing w:after="0"/>
              <w:rPr>
                <w:sz w:val="6"/>
                <w:szCs w:val="6"/>
                <w:color w:val="auto"/>
              </w:rPr>
            </w:pPr>
          </w:p>
        </w:tc>
        <w:tc>
          <w:tcPr>
            <w:tcW w:w="1420" w:type="dxa"/>
            <w:vAlign w:val="bottom"/>
            <w:tcBorders>
              <w:bottom w:val="single" w:sz="8" w:color="939598"/>
            </w:tcBorders>
          </w:tcPr>
          <w:p>
            <w:pPr>
              <w:spacing w:after="0"/>
              <w:rPr>
                <w:sz w:val="6"/>
                <w:szCs w:val="6"/>
                <w:color w:val="auto"/>
              </w:rPr>
            </w:pPr>
          </w:p>
        </w:tc>
        <w:tc>
          <w:tcPr>
            <w:tcW w:w="1320" w:type="dxa"/>
            <w:vAlign w:val="bottom"/>
            <w:tcBorders>
              <w:bottom w:val="single" w:sz="8" w:color="939598"/>
            </w:tcBorders>
          </w:tcPr>
          <w:p>
            <w:pPr>
              <w:spacing w:after="0"/>
              <w:rPr>
                <w:sz w:val="6"/>
                <w:szCs w:val="6"/>
                <w:color w:val="auto"/>
              </w:rPr>
            </w:pPr>
          </w:p>
        </w:tc>
        <w:tc>
          <w:tcPr>
            <w:tcW w:w="1300" w:type="dxa"/>
            <w:vAlign w:val="bottom"/>
            <w:tcBorders>
              <w:bottom w:val="single" w:sz="8" w:color="939598"/>
            </w:tcBorders>
          </w:tcPr>
          <w:p>
            <w:pPr>
              <w:spacing w:after="0"/>
              <w:rPr>
                <w:sz w:val="6"/>
                <w:szCs w:val="6"/>
                <w:color w:val="auto"/>
              </w:rPr>
            </w:pPr>
          </w:p>
        </w:tc>
        <w:tc>
          <w:tcPr>
            <w:tcW w:w="1160" w:type="dxa"/>
            <w:vAlign w:val="bottom"/>
            <w:tcBorders>
              <w:bottom w:val="single" w:sz="8" w:color="939598"/>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6"/>
        </w:trPr>
        <w:tc>
          <w:tcPr>
            <w:tcW w:w="234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Arial" w:cs="Arial" w:eastAsia="Arial" w:hAnsi="Arial"/>
                <w:sz w:val="14"/>
                <w:szCs w:val="14"/>
                <w:color w:val="auto"/>
              </w:rPr>
              <w:t>DIC Plan</w:t>
            </w:r>
          </w:p>
        </w:tc>
        <w:tc>
          <w:tcPr>
            <w:tcW w:w="860" w:type="dxa"/>
            <w:vAlign w:val="bottom"/>
          </w:tcPr>
          <w:p>
            <w:pPr>
              <w:spacing w:after="0"/>
              <w:rPr>
                <w:sz w:val="24"/>
                <w:szCs w:val="24"/>
                <w:color w:val="auto"/>
              </w:rPr>
            </w:pPr>
          </w:p>
        </w:tc>
        <w:tc>
          <w:tcPr>
            <w:tcW w:w="11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51"/>
              <w:spacing w:after="0"/>
              <w:rPr>
                <w:sz w:val="20"/>
                <w:szCs w:val="20"/>
                <w:color w:val="auto"/>
              </w:rPr>
            </w:pPr>
            <w:r>
              <w:rPr>
                <w:rFonts w:ascii="Arial" w:cs="Arial" w:eastAsia="Arial" w:hAnsi="Arial"/>
                <w:sz w:val="14"/>
                <w:szCs w:val="14"/>
                <w:color w:val="auto"/>
              </w:rPr>
              <w:t>6,993</w:t>
            </w:r>
          </w:p>
        </w:tc>
        <w:tc>
          <w:tcPr>
            <w:tcW w:w="1300" w:type="dxa"/>
            <w:vAlign w:val="bottom"/>
          </w:tcPr>
          <w:p>
            <w:pPr>
              <w:ind w:left="98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145,949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340" w:type="dxa"/>
            <w:vAlign w:val="bottom"/>
          </w:tcPr>
          <w:p>
            <w:pPr>
              <w:spacing w:after="0"/>
              <w:rPr>
                <w:sz w:val="11"/>
                <w:szCs w:val="11"/>
                <w:color w:val="auto"/>
              </w:rPr>
            </w:pPr>
          </w:p>
        </w:tc>
        <w:tc>
          <w:tcPr>
            <w:tcW w:w="1680" w:type="dxa"/>
            <w:vAlign w:val="bottom"/>
            <w:tcBorders>
              <w:bottom w:val="single" w:sz="8" w:color="939598"/>
            </w:tcBorders>
          </w:tcPr>
          <w:p>
            <w:pPr>
              <w:spacing w:after="0"/>
              <w:rPr>
                <w:sz w:val="11"/>
                <w:szCs w:val="11"/>
                <w:color w:val="auto"/>
              </w:rPr>
            </w:pPr>
          </w:p>
        </w:tc>
        <w:tc>
          <w:tcPr>
            <w:tcW w:w="860" w:type="dxa"/>
            <w:vAlign w:val="bottom"/>
            <w:tcBorders>
              <w:bottom w:val="single" w:sz="8" w:color="939598"/>
            </w:tcBorders>
          </w:tcPr>
          <w:p>
            <w:pPr>
              <w:spacing w:after="0"/>
              <w:rPr>
                <w:sz w:val="11"/>
                <w:szCs w:val="11"/>
                <w:color w:val="auto"/>
              </w:rPr>
            </w:pPr>
          </w:p>
        </w:tc>
        <w:tc>
          <w:tcPr>
            <w:tcW w:w="1140" w:type="dxa"/>
            <w:vAlign w:val="bottom"/>
            <w:tcBorders>
              <w:bottom w:val="single" w:sz="8" w:color="939598"/>
            </w:tcBorders>
          </w:tcPr>
          <w:p>
            <w:pPr>
              <w:spacing w:after="0"/>
              <w:rPr>
                <w:sz w:val="11"/>
                <w:szCs w:val="11"/>
                <w:color w:val="auto"/>
              </w:rPr>
            </w:pPr>
          </w:p>
        </w:tc>
        <w:tc>
          <w:tcPr>
            <w:tcW w:w="1420" w:type="dxa"/>
            <w:vAlign w:val="bottom"/>
            <w:tcBorders>
              <w:bottom w:val="single" w:sz="8" w:color="939598"/>
            </w:tcBorders>
          </w:tcPr>
          <w:p>
            <w:pPr>
              <w:spacing w:after="0"/>
              <w:rPr>
                <w:sz w:val="11"/>
                <w:szCs w:val="11"/>
                <w:color w:val="auto"/>
              </w:rPr>
            </w:pPr>
          </w:p>
        </w:tc>
        <w:tc>
          <w:tcPr>
            <w:tcW w:w="1320" w:type="dxa"/>
            <w:vAlign w:val="bottom"/>
            <w:tcBorders>
              <w:bottom w:val="single" w:sz="8" w:color="939598"/>
            </w:tcBorders>
          </w:tcPr>
          <w:p>
            <w:pPr>
              <w:spacing w:after="0"/>
              <w:rPr>
                <w:sz w:val="11"/>
                <w:szCs w:val="11"/>
                <w:color w:val="auto"/>
              </w:rPr>
            </w:pPr>
          </w:p>
        </w:tc>
        <w:tc>
          <w:tcPr>
            <w:tcW w:w="1300" w:type="dxa"/>
            <w:vAlign w:val="bottom"/>
            <w:tcBorders>
              <w:bottom w:val="single" w:sz="8" w:color="939598"/>
            </w:tcBorders>
          </w:tcPr>
          <w:p>
            <w:pPr>
              <w:spacing w:after="0"/>
              <w:rPr>
                <w:sz w:val="11"/>
                <w:szCs w:val="11"/>
                <w:color w:val="auto"/>
              </w:rPr>
            </w:pPr>
          </w:p>
        </w:tc>
        <w:tc>
          <w:tcPr>
            <w:tcW w:w="1160" w:type="dxa"/>
            <w:vAlign w:val="bottom"/>
            <w:tcBorders>
              <w:bottom w:val="single" w:sz="8" w:color="939598"/>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34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Arial" w:cs="Arial" w:eastAsia="Arial" w:hAnsi="Arial"/>
                <w:sz w:val="14"/>
                <w:szCs w:val="14"/>
                <w:color w:val="auto"/>
              </w:rPr>
              <w:t>Deferred RSUs</w:t>
            </w:r>
          </w:p>
        </w:tc>
        <w:tc>
          <w:tcPr>
            <w:tcW w:w="860" w:type="dxa"/>
            <w:vAlign w:val="bottom"/>
          </w:tcPr>
          <w:p>
            <w:pPr>
              <w:spacing w:after="0"/>
              <w:rPr>
                <w:sz w:val="24"/>
                <w:szCs w:val="24"/>
                <w:color w:val="auto"/>
              </w:rPr>
            </w:pPr>
          </w:p>
        </w:tc>
        <w:tc>
          <w:tcPr>
            <w:tcW w:w="11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51"/>
              <w:spacing w:after="0"/>
              <w:rPr>
                <w:sz w:val="20"/>
                <w:szCs w:val="20"/>
                <w:color w:val="auto"/>
              </w:rPr>
            </w:pPr>
            <w:r>
              <w:rPr>
                <w:rFonts w:ascii="Arial" w:cs="Arial" w:eastAsia="Arial" w:hAnsi="Arial"/>
                <w:sz w:val="14"/>
                <w:szCs w:val="14"/>
                <w:color w:val="auto"/>
              </w:rPr>
              <w:t>—</w:t>
            </w:r>
          </w:p>
        </w:tc>
        <w:tc>
          <w:tcPr>
            <w:tcW w:w="1300" w:type="dxa"/>
            <w:vAlign w:val="bottom"/>
          </w:tcPr>
          <w:p>
            <w:pPr>
              <w:ind w:left="98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340" w:type="dxa"/>
            <w:vAlign w:val="bottom"/>
          </w:tcPr>
          <w:p>
            <w:pPr>
              <w:spacing w:after="0"/>
              <w:rPr>
                <w:sz w:val="11"/>
                <w:szCs w:val="11"/>
                <w:color w:val="auto"/>
              </w:rPr>
            </w:pPr>
          </w:p>
        </w:tc>
        <w:tc>
          <w:tcPr>
            <w:tcW w:w="1680" w:type="dxa"/>
            <w:vAlign w:val="bottom"/>
            <w:tcBorders>
              <w:bottom w:val="single" w:sz="8" w:color="939598"/>
            </w:tcBorders>
          </w:tcPr>
          <w:p>
            <w:pPr>
              <w:spacing w:after="0"/>
              <w:rPr>
                <w:sz w:val="11"/>
                <w:szCs w:val="11"/>
                <w:color w:val="auto"/>
              </w:rPr>
            </w:pPr>
          </w:p>
        </w:tc>
        <w:tc>
          <w:tcPr>
            <w:tcW w:w="860" w:type="dxa"/>
            <w:vAlign w:val="bottom"/>
            <w:tcBorders>
              <w:bottom w:val="single" w:sz="8" w:color="939598"/>
            </w:tcBorders>
          </w:tcPr>
          <w:p>
            <w:pPr>
              <w:spacing w:after="0"/>
              <w:rPr>
                <w:sz w:val="11"/>
                <w:szCs w:val="11"/>
                <w:color w:val="auto"/>
              </w:rPr>
            </w:pPr>
          </w:p>
        </w:tc>
        <w:tc>
          <w:tcPr>
            <w:tcW w:w="1140" w:type="dxa"/>
            <w:vAlign w:val="bottom"/>
            <w:tcBorders>
              <w:bottom w:val="single" w:sz="8" w:color="939598"/>
            </w:tcBorders>
          </w:tcPr>
          <w:p>
            <w:pPr>
              <w:spacing w:after="0"/>
              <w:rPr>
                <w:sz w:val="11"/>
                <w:szCs w:val="11"/>
                <w:color w:val="auto"/>
              </w:rPr>
            </w:pPr>
          </w:p>
        </w:tc>
        <w:tc>
          <w:tcPr>
            <w:tcW w:w="1420" w:type="dxa"/>
            <w:vAlign w:val="bottom"/>
            <w:tcBorders>
              <w:bottom w:val="single" w:sz="8" w:color="939598"/>
            </w:tcBorders>
          </w:tcPr>
          <w:p>
            <w:pPr>
              <w:spacing w:after="0"/>
              <w:rPr>
                <w:sz w:val="11"/>
                <w:szCs w:val="11"/>
                <w:color w:val="auto"/>
              </w:rPr>
            </w:pPr>
          </w:p>
        </w:tc>
        <w:tc>
          <w:tcPr>
            <w:tcW w:w="1320" w:type="dxa"/>
            <w:vAlign w:val="bottom"/>
            <w:tcBorders>
              <w:bottom w:val="single" w:sz="8" w:color="939598"/>
            </w:tcBorders>
          </w:tcPr>
          <w:p>
            <w:pPr>
              <w:spacing w:after="0"/>
              <w:rPr>
                <w:sz w:val="11"/>
                <w:szCs w:val="11"/>
                <w:color w:val="auto"/>
              </w:rPr>
            </w:pPr>
          </w:p>
        </w:tc>
        <w:tc>
          <w:tcPr>
            <w:tcW w:w="1300" w:type="dxa"/>
            <w:vAlign w:val="bottom"/>
            <w:tcBorders>
              <w:bottom w:val="single" w:sz="8" w:color="939598"/>
            </w:tcBorders>
          </w:tcPr>
          <w:p>
            <w:pPr>
              <w:spacing w:after="0"/>
              <w:rPr>
                <w:sz w:val="11"/>
                <w:szCs w:val="11"/>
                <w:color w:val="auto"/>
              </w:rPr>
            </w:pPr>
          </w:p>
        </w:tc>
        <w:tc>
          <w:tcPr>
            <w:tcW w:w="1160" w:type="dxa"/>
            <w:vAlign w:val="bottom"/>
            <w:tcBorders>
              <w:bottom w:val="single" w:sz="8" w:color="939598"/>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2"/>
        </w:trPr>
        <w:tc>
          <w:tcPr>
            <w:tcW w:w="234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860" w:type="dxa"/>
            <w:vAlign w:val="bottom"/>
          </w:tcPr>
          <w:p>
            <w:pPr>
              <w:spacing w:after="0"/>
              <w:rPr>
                <w:sz w:val="24"/>
                <w:szCs w:val="24"/>
                <w:color w:val="auto"/>
              </w:rPr>
            </w:pPr>
          </w:p>
        </w:tc>
        <w:tc>
          <w:tcPr>
            <w:tcW w:w="1140" w:type="dxa"/>
            <w:vAlign w:val="bottom"/>
          </w:tcPr>
          <w:p>
            <w:pPr>
              <w:jc w:val="right"/>
              <w:ind w:right="248"/>
              <w:spacing w:after="0"/>
              <w:rPr>
                <w:sz w:val="20"/>
                <w:szCs w:val="20"/>
                <w:color w:val="auto"/>
              </w:rPr>
            </w:pPr>
            <w:r>
              <w:rPr>
                <w:rFonts w:ascii="Arial" w:cs="Arial" w:eastAsia="Arial" w:hAnsi="Arial"/>
                <w:sz w:val="14"/>
                <w:szCs w:val="14"/>
                <w:b w:val="1"/>
                <w:bCs w:val="1"/>
                <w:color w:val="auto"/>
              </w:rPr>
              <w:t>50,981</w:t>
            </w:r>
          </w:p>
        </w:tc>
        <w:tc>
          <w:tcPr>
            <w:tcW w:w="1420" w:type="dxa"/>
            <w:vAlign w:val="bottom"/>
          </w:tcPr>
          <w:p>
            <w:pPr>
              <w:jc w:val="right"/>
              <w:ind w:right="188"/>
              <w:spacing w:after="0"/>
              <w:rPr>
                <w:sz w:val="20"/>
                <w:szCs w:val="20"/>
                <w:color w:val="auto"/>
              </w:rPr>
            </w:pPr>
            <w:r>
              <w:rPr>
                <w:rFonts w:ascii="Arial" w:cs="Arial" w:eastAsia="Arial" w:hAnsi="Arial"/>
                <w:sz w:val="14"/>
                <w:szCs w:val="14"/>
                <w:b w:val="1"/>
                <w:bCs w:val="1"/>
                <w:color w:val="auto"/>
              </w:rPr>
              <w:t>5,490</w:t>
            </w:r>
          </w:p>
        </w:tc>
        <w:tc>
          <w:tcPr>
            <w:tcW w:w="1320" w:type="dxa"/>
            <w:vAlign w:val="bottom"/>
          </w:tcPr>
          <w:p>
            <w:pPr>
              <w:jc w:val="right"/>
              <w:ind w:right="251"/>
              <w:spacing w:after="0"/>
              <w:rPr>
                <w:sz w:val="20"/>
                <w:szCs w:val="20"/>
                <w:color w:val="auto"/>
              </w:rPr>
            </w:pPr>
            <w:r>
              <w:rPr>
                <w:rFonts w:ascii="Arial" w:cs="Arial" w:eastAsia="Arial" w:hAnsi="Arial"/>
                <w:sz w:val="14"/>
                <w:szCs w:val="14"/>
                <w:b w:val="1"/>
                <w:bCs w:val="1"/>
                <w:color w:val="auto"/>
              </w:rPr>
              <w:t>36,666</w:t>
            </w:r>
          </w:p>
        </w:tc>
        <w:tc>
          <w:tcPr>
            <w:tcW w:w="1300" w:type="dxa"/>
            <w:vAlign w:val="bottom"/>
          </w:tcPr>
          <w:p>
            <w:pPr>
              <w:ind w:left="980"/>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1,805,134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340" w:type="dxa"/>
            <w:vAlign w:val="bottom"/>
            <w:tcBorders>
              <w:bottom w:val="single" w:sz="8" w:color="D7282F"/>
            </w:tcBorders>
          </w:tcPr>
          <w:p>
            <w:pPr>
              <w:spacing w:after="0"/>
              <w:rPr>
                <w:sz w:val="10"/>
                <w:szCs w:val="10"/>
                <w:color w:val="auto"/>
              </w:rPr>
            </w:pPr>
          </w:p>
        </w:tc>
        <w:tc>
          <w:tcPr>
            <w:tcW w:w="1680" w:type="dxa"/>
            <w:vAlign w:val="bottom"/>
            <w:tcBorders>
              <w:bottom w:val="single" w:sz="8" w:color="D7282F"/>
            </w:tcBorders>
          </w:tcPr>
          <w:p>
            <w:pPr>
              <w:spacing w:after="0"/>
              <w:rPr>
                <w:sz w:val="10"/>
                <w:szCs w:val="10"/>
                <w:color w:val="auto"/>
              </w:rPr>
            </w:pPr>
          </w:p>
        </w:tc>
        <w:tc>
          <w:tcPr>
            <w:tcW w:w="860" w:type="dxa"/>
            <w:vAlign w:val="bottom"/>
            <w:tcBorders>
              <w:bottom w:val="single" w:sz="8" w:color="D7282F"/>
            </w:tcBorders>
          </w:tcPr>
          <w:p>
            <w:pPr>
              <w:spacing w:after="0"/>
              <w:rPr>
                <w:sz w:val="10"/>
                <w:szCs w:val="10"/>
                <w:color w:val="auto"/>
              </w:rPr>
            </w:pPr>
          </w:p>
        </w:tc>
        <w:tc>
          <w:tcPr>
            <w:tcW w:w="1140" w:type="dxa"/>
            <w:vAlign w:val="bottom"/>
            <w:tcBorders>
              <w:bottom w:val="single" w:sz="8" w:color="D7282F"/>
            </w:tcBorders>
          </w:tcPr>
          <w:p>
            <w:pPr>
              <w:spacing w:after="0"/>
              <w:rPr>
                <w:sz w:val="10"/>
                <w:szCs w:val="10"/>
                <w:color w:val="auto"/>
              </w:rPr>
            </w:pPr>
          </w:p>
        </w:tc>
        <w:tc>
          <w:tcPr>
            <w:tcW w:w="4040" w:type="dxa"/>
            <w:vAlign w:val="bottom"/>
            <w:tcBorders>
              <w:bottom w:val="single" w:sz="8" w:color="D7282F"/>
            </w:tcBorders>
            <w:gridSpan w:val="3"/>
          </w:tcPr>
          <w:p>
            <w:pPr>
              <w:spacing w:after="0"/>
              <w:rPr>
                <w:sz w:val="10"/>
                <w:szCs w:val="10"/>
                <w:color w:val="auto"/>
              </w:rPr>
            </w:pPr>
          </w:p>
        </w:tc>
        <w:tc>
          <w:tcPr>
            <w:tcW w:w="1160" w:type="dxa"/>
            <w:vAlign w:val="bottom"/>
            <w:tcBorders>
              <w:bottom w:val="single" w:sz="8" w:color="D7282F"/>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86"/>
        </w:trPr>
        <w:tc>
          <w:tcPr>
            <w:tcW w:w="2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40" w:type="dxa"/>
            <w:vAlign w:val="bottom"/>
            <w:gridSpan w:val="3"/>
          </w:tcPr>
          <w:p>
            <w:pPr>
              <w:jc w:val="right"/>
              <w:ind w:right="408"/>
              <w:spacing w:after="0"/>
              <w:rPr>
                <w:sz w:val="20"/>
                <w:szCs w:val="20"/>
                <w:color w:val="auto"/>
              </w:rPr>
            </w:pPr>
            <w:r>
              <w:rPr>
                <w:rFonts w:ascii="Arial" w:cs="Arial" w:eastAsia="Arial" w:hAnsi="Arial"/>
                <w:sz w:val="13"/>
                <w:szCs w:val="13"/>
                <w:b w:val="1"/>
                <w:bCs w:val="1"/>
                <w:color w:val="6D6E71"/>
              </w:rPr>
              <w:t>2026 NOTICE AND PROXY STATEMENT   |</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95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23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08" w:name="page109"/>
    <w:bookmarkEnd w:id="108"/>
    <w:p>
      <w:pPr>
        <w:spacing w:after="0"/>
        <w:rPr>
          <w:sz w:val="20"/>
          <w:szCs w:val="20"/>
          <w:color w:val="auto"/>
        </w:rPr>
      </w:pPr>
      <w:r>
        <w:rPr>
          <w:rFonts w:ascii="Arial" w:cs="Arial" w:eastAsia="Arial" w:hAnsi="Arial"/>
          <w:sz w:val="13"/>
          <w:szCs w:val="13"/>
          <w:b w:val="1"/>
          <w:bCs w:val="1"/>
          <w:color w:val="6D6E71"/>
        </w:rPr>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Named Executive</w:t>
            </w:r>
          </w:p>
        </w:tc>
        <w:tc>
          <w:tcPr>
            <w:tcW w:w="1720" w:type="dxa"/>
            <w:vAlign w:val="bottom"/>
          </w:tcPr>
          <w:p>
            <w:pPr>
              <w:spacing w:after="0"/>
              <w:rPr>
                <w:sz w:val="15"/>
                <w:szCs w:val="15"/>
                <w:color w:val="auto"/>
              </w:rPr>
            </w:pPr>
          </w:p>
        </w:tc>
        <w:tc>
          <w:tcPr>
            <w:tcW w:w="1960" w:type="dxa"/>
            <w:vAlign w:val="bottom"/>
          </w:tcPr>
          <w:p>
            <w:pPr>
              <w:jc w:val="right"/>
              <w:ind w:right="208"/>
              <w:spacing w:after="0"/>
              <w:rPr>
                <w:sz w:val="20"/>
                <w:szCs w:val="20"/>
                <w:color w:val="auto"/>
              </w:rPr>
            </w:pPr>
            <w:r>
              <w:rPr>
                <w:rFonts w:ascii="Arial" w:cs="Arial" w:eastAsia="Arial" w:hAnsi="Arial"/>
                <w:sz w:val="14"/>
                <w:szCs w:val="14"/>
                <w:b w:val="1"/>
                <w:bCs w:val="1"/>
                <w:color w:val="auto"/>
              </w:rPr>
              <w:t>Executive</w:t>
            </w:r>
          </w:p>
        </w:tc>
        <w:tc>
          <w:tcPr>
            <w:tcW w:w="1440" w:type="dxa"/>
            <w:vAlign w:val="bottom"/>
          </w:tcPr>
          <w:p>
            <w:pPr>
              <w:jc w:val="right"/>
              <w:ind w:right="168"/>
              <w:spacing w:after="0"/>
              <w:rPr>
                <w:sz w:val="20"/>
                <w:szCs w:val="20"/>
                <w:color w:val="auto"/>
              </w:rPr>
            </w:pPr>
            <w:r>
              <w:rPr>
                <w:rFonts w:ascii="Arial" w:cs="Arial" w:eastAsia="Arial" w:hAnsi="Arial"/>
                <w:sz w:val="14"/>
                <w:szCs w:val="14"/>
                <w:b w:val="1"/>
                <w:bCs w:val="1"/>
                <w:color w:val="auto"/>
              </w:rPr>
              <w:t>Registrant</w:t>
            </w:r>
          </w:p>
        </w:tc>
        <w:tc>
          <w:tcPr>
            <w:tcW w:w="1300" w:type="dxa"/>
            <w:vAlign w:val="bottom"/>
          </w:tcPr>
          <w:p>
            <w:pPr>
              <w:jc w:val="right"/>
              <w:ind w:right="208"/>
              <w:spacing w:after="0"/>
              <w:rPr>
                <w:sz w:val="20"/>
                <w:szCs w:val="20"/>
                <w:color w:val="auto"/>
              </w:rPr>
            </w:pPr>
            <w:r>
              <w:rPr>
                <w:rFonts w:ascii="Arial" w:cs="Arial" w:eastAsia="Arial" w:hAnsi="Arial"/>
                <w:sz w:val="14"/>
                <w:szCs w:val="14"/>
                <w:b w:val="1"/>
                <w:bCs w:val="1"/>
                <w:color w:val="auto"/>
              </w:rPr>
              <w:t>Aggregate</w:t>
            </w:r>
          </w:p>
        </w:tc>
        <w:tc>
          <w:tcPr>
            <w:tcW w:w="1440" w:type="dxa"/>
            <w:vAlign w:val="bottom"/>
          </w:tcPr>
          <w:p>
            <w:pPr>
              <w:jc w:val="right"/>
              <w:ind w:right="208"/>
              <w:spacing w:after="0"/>
              <w:rPr>
                <w:sz w:val="20"/>
                <w:szCs w:val="20"/>
                <w:color w:val="auto"/>
              </w:rPr>
            </w:pPr>
            <w:r>
              <w:rPr>
                <w:rFonts w:ascii="Arial" w:cs="Arial" w:eastAsia="Arial" w:hAnsi="Arial"/>
                <w:sz w:val="14"/>
                <w:szCs w:val="14"/>
                <w:b w:val="1"/>
                <w:bCs w:val="1"/>
                <w:color w:val="auto"/>
              </w:rPr>
              <w:t>Aggregate</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2340" w:type="dxa"/>
            <w:vAlign w:val="bottom"/>
            <w:vMerge w:val="continue"/>
          </w:tcPr>
          <w:p>
            <w:pPr>
              <w:spacing w:after="0"/>
              <w:rPr>
                <w:sz w:val="14"/>
                <w:szCs w:val="14"/>
                <w:color w:val="auto"/>
              </w:rPr>
            </w:pPr>
          </w:p>
        </w:tc>
        <w:tc>
          <w:tcPr>
            <w:tcW w:w="1720" w:type="dxa"/>
            <w:vAlign w:val="bottom"/>
          </w:tcPr>
          <w:p>
            <w:pPr>
              <w:spacing w:after="0"/>
              <w:rPr>
                <w:sz w:val="14"/>
                <w:szCs w:val="14"/>
                <w:color w:val="auto"/>
              </w:rPr>
            </w:pPr>
          </w:p>
        </w:tc>
        <w:tc>
          <w:tcPr>
            <w:tcW w:w="1960" w:type="dxa"/>
            <w:vAlign w:val="bottom"/>
          </w:tcPr>
          <w:p>
            <w:pPr>
              <w:jc w:val="right"/>
              <w:ind w:right="208"/>
              <w:spacing w:after="0"/>
              <w:rPr>
                <w:sz w:val="20"/>
                <w:szCs w:val="20"/>
                <w:color w:val="auto"/>
              </w:rPr>
            </w:pPr>
            <w:r>
              <w:rPr>
                <w:rFonts w:ascii="Arial" w:cs="Arial" w:eastAsia="Arial" w:hAnsi="Arial"/>
                <w:sz w:val="14"/>
                <w:szCs w:val="14"/>
                <w:b w:val="1"/>
                <w:bCs w:val="1"/>
                <w:color w:val="auto"/>
              </w:rPr>
              <w:t>Contributions</w:t>
            </w:r>
          </w:p>
        </w:tc>
        <w:tc>
          <w:tcPr>
            <w:tcW w:w="1440" w:type="dxa"/>
            <w:vAlign w:val="bottom"/>
          </w:tcPr>
          <w:p>
            <w:pPr>
              <w:jc w:val="right"/>
              <w:ind w:right="168"/>
              <w:spacing w:after="0"/>
              <w:rPr>
                <w:sz w:val="20"/>
                <w:szCs w:val="20"/>
                <w:color w:val="auto"/>
              </w:rPr>
            </w:pPr>
            <w:r>
              <w:rPr>
                <w:rFonts w:ascii="Arial" w:cs="Arial" w:eastAsia="Arial" w:hAnsi="Arial"/>
                <w:sz w:val="14"/>
                <w:szCs w:val="14"/>
                <w:b w:val="1"/>
                <w:bCs w:val="1"/>
                <w:color w:val="auto"/>
              </w:rPr>
              <w:t>Contributions</w:t>
            </w:r>
          </w:p>
        </w:tc>
        <w:tc>
          <w:tcPr>
            <w:tcW w:w="1300" w:type="dxa"/>
            <w:vAlign w:val="bottom"/>
          </w:tcPr>
          <w:p>
            <w:pPr>
              <w:jc w:val="right"/>
              <w:ind w:right="208"/>
              <w:spacing w:after="0"/>
              <w:rPr>
                <w:sz w:val="20"/>
                <w:szCs w:val="20"/>
                <w:color w:val="auto"/>
              </w:rPr>
            </w:pPr>
            <w:r>
              <w:rPr>
                <w:rFonts w:ascii="Arial" w:cs="Arial" w:eastAsia="Arial" w:hAnsi="Arial"/>
                <w:sz w:val="14"/>
                <w:szCs w:val="14"/>
                <w:b w:val="1"/>
                <w:bCs w:val="1"/>
                <w:color w:val="auto"/>
              </w:rPr>
              <w:t>Earnings</w:t>
            </w:r>
          </w:p>
        </w:tc>
        <w:tc>
          <w:tcPr>
            <w:tcW w:w="1440" w:type="dxa"/>
            <w:vAlign w:val="bottom"/>
          </w:tcPr>
          <w:p>
            <w:pPr>
              <w:jc w:val="right"/>
              <w:ind w:right="208"/>
              <w:spacing w:after="0"/>
              <w:rPr>
                <w:sz w:val="20"/>
                <w:szCs w:val="20"/>
                <w:color w:val="auto"/>
              </w:rPr>
            </w:pPr>
            <w:r>
              <w:rPr>
                <w:rFonts w:ascii="Arial" w:cs="Arial" w:eastAsia="Arial" w:hAnsi="Arial"/>
                <w:sz w:val="14"/>
                <w:szCs w:val="14"/>
                <w:b w:val="1"/>
                <w:bCs w:val="1"/>
                <w:color w:val="auto"/>
              </w:rPr>
              <w:t>Withdrawals/</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212"/>
        </w:trPr>
        <w:tc>
          <w:tcPr>
            <w:tcW w:w="23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Officer</w:t>
            </w:r>
          </w:p>
        </w:tc>
        <w:tc>
          <w:tcPr>
            <w:tcW w:w="17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Plan</w:t>
            </w:r>
          </w:p>
        </w:tc>
        <w:tc>
          <w:tcPr>
            <w:tcW w:w="196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in Last FY</w:t>
            </w:r>
            <w:r>
              <w:rPr>
                <w:rFonts w:ascii="Arial" w:cs="Arial" w:eastAsia="Arial" w:hAnsi="Arial"/>
                <w:sz w:val="18"/>
                <w:szCs w:val="18"/>
                <w:b w:val="1"/>
                <w:bCs w:val="1"/>
                <w:color w:val="auto"/>
                <w:vertAlign w:val="superscript"/>
              </w:rPr>
              <w:t>(2)</w:t>
            </w:r>
          </w:p>
        </w:tc>
        <w:tc>
          <w:tcPr>
            <w:tcW w:w="14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in Last FY</w:t>
            </w:r>
            <w:r>
              <w:rPr>
                <w:rFonts w:ascii="Arial" w:cs="Arial" w:eastAsia="Arial" w:hAnsi="Arial"/>
                <w:sz w:val="18"/>
                <w:szCs w:val="18"/>
                <w:b w:val="1"/>
                <w:bCs w:val="1"/>
                <w:color w:val="auto"/>
                <w:vertAlign w:val="superscript"/>
              </w:rPr>
              <w:t>(1)(2)</w:t>
            </w:r>
          </w:p>
        </w:tc>
        <w:tc>
          <w:tcPr>
            <w:tcW w:w="130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in Last FY</w:t>
            </w:r>
            <w:r>
              <w:rPr>
                <w:rFonts w:ascii="Arial" w:cs="Arial" w:eastAsia="Arial" w:hAnsi="Arial"/>
                <w:sz w:val="18"/>
                <w:szCs w:val="18"/>
                <w:b w:val="1"/>
                <w:bCs w:val="1"/>
                <w:color w:val="auto"/>
                <w:vertAlign w:val="superscript"/>
              </w:rPr>
              <w:t>(2)</w:t>
            </w:r>
          </w:p>
        </w:tc>
        <w:tc>
          <w:tcPr>
            <w:tcW w:w="144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Distributions</w:t>
            </w:r>
          </w:p>
        </w:tc>
        <w:tc>
          <w:tcPr>
            <w:tcW w:w="10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Last FYE</w:t>
            </w:r>
            <w:r>
              <w:rPr>
                <w:rFonts w:ascii="Arial" w:cs="Arial" w:eastAsia="Arial" w:hAnsi="Arial"/>
                <w:sz w:val="18"/>
                <w:szCs w:val="18"/>
                <w:b w:val="1"/>
                <w:bCs w:val="1"/>
                <w:color w:val="auto"/>
                <w:vertAlign w:val="superscript"/>
              </w:rPr>
              <w:t>(2)</w:t>
            </w:r>
          </w:p>
        </w:tc>
        <w:tc>
          <w:tcPr>
            <w:tcW w:w="0" w:type="dxa"/>
            <w:vAlign w:val="bottom"/>
          </w:tcPr>
          <w:p>
            <w:pPr>
              <w:spacing w:after="0"/>
              <w:rPr>
                <w:sz w:val="1"/>
                <w:szCs w:val="1"/>
                <w:color w:val="auto"/>
              </w:rPr>
            </w:pPr>
          </w:p>
        </w:tc>
      </w:tr>
      <w:tr>
        <w:trPr>
          <w:trHeight w:val="286"/>
        </w:trPr>
        <w:tc>
          <w:tcPr>
            <w:tcW w:w="2340" w:type="dxa"/>
            <w:vAlign w:val="bottom"/>
          </w:tcPr>
          <w:p>
            <w:pPr>
              <w:ind w:left="20"/>
              <w:spacing w:after="0"/>
              <w:rPr>
                <w:sz w:val="20"/>
                <w:szCs w:val="20"/>
                <w:color w:val="auto"/>
              </w:rPr>
            </w:pPr>
            <w:r>
              <w:rPr>
                <w:rFonts w:ascii="Arial" w:cs="Arial" w:eastAsia="Arial" w:hAnsi="Arial"/>
                <w:sz w:val="14"/>
                <w:szCs w:val="14"/>
                <w:b w:val="1"/>
                <w:bCs w:val="1"/>
                <w:color w:val="auto"/>
              </w:rPr>
              <w:t>Lucian Boldea</w:t>
            </w:r>
          </w:p>
        </w:tc>
        <w:tc>
          <w:tcPr>
            <w:tcW w:w="1720" w:type="dxa"/>
            <w:vAlign w:val="bottom"/>
          </w:tcPr>
          <w:p>
            <w:pPr>
              <w:ind w:left="20"/>
              <w:spacing w:after="0"/>
              <w:rPr>
                <w:sz w:val="20"/>
                <w:szCs w:val="20"/>
                <w:color w:val="auto"/>
              </w:rPr>
            </w:pPr>
            <w:r>
              <w:rPr>
                <w:rFonts w:ascii="Arial" w:cs="Arial" w:eastAsia="Arial" w:hAnsi="Arial"/>
                <w:sz w:val="14"/>
                <w:szCs w:val="14"/>
                <w:color w:val="auto"/>
              </w:rPr>
              <w:t>SS Plan</w:t>
            </w:r>
            <w:r>
              <w:rPr>
                <w:rFonts w:ascii="Arial" w:cs="Arial" w:eastAsia="Arial" w:hAnsi="Arial"/>
                <w:sz w:val="18"/>
                <w:szCs w:val="18"/>
                <w:color w:val="auto"/>
                <w:vertAlign w:val="superscript"/>
              </w:rPr>
              <w:t>(1)</w:t>
            </w:r>
          </w:p>
        </w:tc>
        <w:tc>
          <w:tcPr>
            <w:tcW w:w="1960" w:type="dxa"/>
            <w:vAlign w:val="bottom"/>
            <w:vMerge w:val="restart"/>
          </w:tcPr>
          <w:p>
            <w:pPr>
              <w:jc w:val="right"/>
              <w:ind w:right="248"/>
              <w:spacing w:after="0"/>
              <w:rPr>
                <w:sz w:val="20"/>
                <w:szCs w:val="20"/>
                <w:color w:val="auto"/>
              </w:rPr>
            </w:pPr>
            <w:r>
              <w:rPr>
                <w:rFonts w:ascii="Arial" w:cs="Arial" w:eastAsia="Arial" w:hAnsi="Arial"/>
                <w:sz w:val="14"/>
                <w:szCs w:val="14"/>
                <w:color w:val="auto"/>
              </w:rPr>
              <w:t>134,619</w:t>
            </w:r>
          </w:p>
        </w:tc>
        <w:tc>
          <w:tcPr>
            <w:tcW w:w="1440" w:type="dxa"/>
            <w:vAlign w:val="bottom"/>
            <w:vMerge w:val="restart"/>
          </w:tcPr>
          <w:p>
            <w:pPr>
              <w:ind w:left="1020"/>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ind w:right="248"/>
              <w:spacing w:after="0"/>
              <w:rPr>
                <w:sz w:val="20"/>
                <w:szCs w:val="20"/>
                <w:color w:val="auto"/>
              </w:rPr>
            </w:pPr>
            <w:r>
              <w:rPr>
                <w:rFonts w:ascii="Arial" w:cs="Arial" w:eastAsia="Arial" w:hAnsi="Arial"/>
                <w:sz w:val="14"/>
                <w:szCs w:val="14"/>
                <w:color w:val="auto"/>
              </w:rPr>
              <w:t>19,991</w:t>
            </w:r>
          </w:p>
        </w:tc>
        <w:tc>
          <w:tcPr>
            <w:tcW w:w="1440" w:type="dxa"/>
            <w:vAlign w:val="bottom"/>
            <w:vMerge w:val="restart"/>
          </w:tcPr>
          <w:p>
            <w:pPr>
              <w:ind w:left="98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642,763</w:t>
            </w:r>
          </w:p>
        </w:tc>
        <w:tc>
          <w:tcPr>
            <w:tcW w:w="0" w:type="dxa"/>
            <w:vAlign w:val="bottom"/>
          </w:tcPr>
          <w:p>
            <w:pPr>
              <w:spacing w:after="0"/>
              <w:rPr>
                <w:sz w:val="1"/>
                <w:szCs w:val="1"/>
                <w:color w:val="auto"/>
              </w:rPr>
            </w:pPr>
          </w:p>
        </w:tc>
      </w:tr>
      <w:tr>
        <w:trPr>
          <w:trHeight w:val="51"/>
        </w:trPr>
        <w:tc>
          <w:tcPr>
            <w:tcW w:w="23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9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340" w:type="dxa"/>
            <w:vAlign w:val="bottom"/>
          </w:tcPr>
          <w:p>
            <w:pPr>
              <w:spacing w:after="0"/>
              <w:rPr>
                <w:sz w:val="11"/>
                <w:szCs w:val="11"/>
                <w:color w:val="auto"/>
              </w:rPr>
            </w:pPr>
          </w:p>
        </w:tc>
        <w:tc>
          <w:tcPr>
            <w:tcW w:w="1720" w:type="dxa"/>
            <w:vAlign w:val="bottom"/>
            <w:tcBorders>
              <w:bottom w:val="single" w:sz="8" w:color="939598"/>
            </w:tcBorders>
          </w:tcPr>
          <w:p>
            <w:pPr>
              <w:spacing w:after="0"/>
              <w:rPr>
                <w:sz w:val="11"/>
                <w:szCs w:val="11"/>
                <w:color w:val="auto"/>
              </w:rPr>
            </w:pPr>
          </w:p>
        </w:tc>
        <w:tc>
          <w:tcPr>
            <w:tcW w:w="1960" w:type="dxa"/>
            <w:vAlign w:val="bottom"/>
            <w:tcBorders>
              <w:bottom w:val="single" w:sz="8" w:color="939598"/>
            </w:tcBorders>
          </w:tcPr>
          <w:p>
            <w:pPr>
              <w:spacing w:after="0"/>
              <w:rPr>
                <w:sz w:val="11"/>
                <w:szCs w:val="11"/>
                <w:color w:val="auto"/>
              </w:rPr>
            </w:pPr>
          </w:p>
        </w:tc>
        <w:tc>
          <w:tcPr>
            <w:tcW w:w="1440" w:type="dxa"/>
            <w:vAlign w:val="bottom"/>
            <w:tcBorders>
              <w:bottom w:val="single" w:sz="8" w:color="939598"/>
            </w:tcBorders>
          </w:tcPr>
          <w:p>
            <w:pPr>
              <w:spacing w:after="0"/>
              <w:rPr>
                <w:sz w:val="11"/>
                <w:szCs w:val="11"/>
                <w:color w:val="auto"/>
              </w:rPr>
            </w:pPr>
          </w:p>
        </w:tc>
        <w:tc>
          <w:tcPr>
            <w:tcW w:w="1300" w:type="dxa"/>
            <w:vAlign w:val="bottom"/>
            <w:tcBorders>
              <w:bottom w:val="single" w:sz="8" w:color="939598"/>
            </w:tcBorders>
          </w:tcPr>
          <w:p>
            <w:pPr>
              <w:spacing w:after="0"/>
              <w:rPr>
                <w:sz w:val="11"/>
                <w:szCs w:val="11"/>
                <w:color w:val="auto"/>
              </w:rPr>
            </w:pPr>
          </w:p>
        </w:tc>
        <w:tc>
          <w:tcPr>
            <w:tcW w:w="1440" w:type="dxa"/>
            <w:vAlign w:val="bottom"/>
            <w:tcBorders>
              <w:bottom w:val="single" w:sz="8" w:color="939598"/>
            </w:tcBorders>
          </w:tcPr>
          <w:p>
            <w:pPr>
              <w:spacing w:after="0"/>
              <w:rPr>
                <w:sz w:val="11"/>
                <w:szCs w:val="11"/>
                <w:color w:val="auto"/>
              </w:rPr>
            </w:pPr>
          </w:p>
        </w:tc>
        <w:tc>
          <w:tcPr>
            <w:tcW w:w="102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340" w:type="dxa"/>
            <w:vAlign w:val="bottom"/>
          </w:tcPr>
          <w:p>
            <w:pPr>
              <w:spacing w:after="0"/>
              <w:rPr>
                <w:sz w:val="24"/>
                <w:szCs w:val="24"/>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DIC Plan</w:t>
            </w:r>
          </w:p>
        </w:tc>
        <w:tc>
          <w:tcPr>
            <w:tcW w:w="1960" w:type="dxa"/>
            <w:vAlign w:val="bottom"/>
          </w:tcPr>
          <w:p>
            <w:pPr>
              <w:jc w:val="right"/>
              <w:ind w:right="248"/>
              <w:spacing w:after="0"/>
              <w:rPr>
                <w:sz w:val="20"/>
                <w:szCs w:val="20"/>
                <w:color w:val="auto"/>
              </w:rPr>
            </w:pPr>
            <w:r>
              <w:rPr>
                <w:rFonts w:ascii="Arial" w:cs="Arial" w:eastAsia="Arial" w:hAnsi="Arial"/>
                <w:sz w:val="14"/>
                <w:szCs w:val="14"/>
                <w:color w:val="auto"/>
              </w:rPr>
              <w:t>133,320</w:t>
            </w:r>
          </w:p>
        </w:tc>
        <w:tc>
          <w:tcPr>
            <w:tcW w:w="1440" w:type="dxa"/>
            <w:vAlign w:val="bottom"/>
          </w:tcPr>
          <w:p>
            <w:pPr>
              <w:ind w:left="1020"/>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48"/>
              <w:spacing w:after="0"/>
              <w:rPr>
                <w:sz w:val="20"/>
                <w:szCs w:val="20"/>
                <w:color w:val="auto"/>
              </w:rPr>
            </w:pPr>
            <w:r>
              <w:rPr>
                <w:rFonts w:ascii="Arial" w:cs="Arial" w:eastAsia="Arial" w:hAnsi="Arial"/>
                <w:sz w:val="14"/>
                <w:szCs w:val="14"/>
                <w:color w:val="auto"/>
              </w:rPr>
              <w:t>15,924</w:t>
            </w:r>
          </w:p>
        </w:tc>
        <w:tc>
          <w:tcPr>
            <w:tcW w:w="1440" w:type="dxa"/>
            <w:vAlign w:val="bottom"/>
          </w:tcPr>
          <w:p>
            <w:pPr>
              <w:ind w:left="98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354,361</w:t>
            </w:r>
          </w:p>
        </w:tc>
        <w:tc>
          <w:tcPr>
            <w:tcW w:w="0" w:type="dxa"/>
            <w:vAlign w:val="bottom"/>
          </w:tcPr>
          <w:p>
            <w:pPr>
              <w:spacing w:after="0"/>
              <w:rPr>
                <w:sz w:val="1"/>
                <w:szCs w:val="1"/>
                <w:color w:val="auto"/>
              </w:rPr>
            </w:pPr>
          </w:p>
        </w:tc>
      </w:tr>
      <w:tr>
        <w:trPr>
          <w:trHeight w:val="129"/>
        </w:trPr>
        <w:tc>
          <w:tcPr>
            <w:tcW w:w="2340" w:type="dxa"/>
            <w:vAlign w:val="bottom"/>
          </w:tcPr>
          <w:p>
            <w:pPr>
              <w:spacing w:after="0"/>
              <w:rPr>
                <w:sz w:val="11"/>
                <w:szCs w:val="11"/>
                <w:color w:val="auto"/>
              </w:rPr>
            </w:pPr>
          </w:p>
        </w:tc>
        <w:tc>
          <w:tcPr>
            <w:tcW w:w="1720" w:type="dxa"/>
            <w:vAlign w:val="bottom"/>
            <w:tcBorders>
              <w:bottom w:val="single" w:sz="8" w:color="939598"/>
            </w:tcBorders>
          </w:tcPr>
          <w:p>
            <w:pPr>
              <w:spacing w:after="0"/>
              <w:rPr>
                <w:sz w:val="11"/>
                <w:szCs w:val="11"/>
                <w:color w:val="auto"/>
              </w:rPr>
            </w:pPr>
          </w:p>
        </w:tc>
        <w:tc>
          <w:tcPr>
            <w:tcW w:w="1960" w:type="dxa"/>
            <w:vAlign w:val="bottom"/>
            <w:tcBorders>
              <w:bottom w:val="single" w:sz="8" w:color="939598"/>
            </w:tcBorders>
          </w:tcPr>
          <w:p>
            <w:pPr>
              <w:spacing w:after="0"/>
              <w:rPr>
                <w:sz w:val="11"/>
                <w:szCs w:val="11"/>
                <w:color w:val="auto"/>
              </w:rPr>
            </w:pPr>
          </w:p>
        </w:tc>
        <w:tc>
          <w:tcPr>
            <w:tcW w:w="1440" w:type="dxa"/>
            <w:vAlign w:val="bottom"/>
            <w:tcBorders>
              <w:bottom w:val="single" w:sz="8" w:color="939598"/>
            </w:tcBorders>
          </w:tcPr>
          <w:p>
            <w:pPr>
              <w:spacing w:after="0"/>
              <w:rPr>
                <w:sz w:val="11"/>
                <w:szCs w:val="11"/>
                <w:color w:val="auto"/>
              </w:rPr>
            </w:pPr>
          </w:p>
        </w:tc>
        <w:tc>
          <w:tcPr>
            <w:tcW w:w="1300" w:type="dxa"/>
            <w:vAlign w:val="bottom"/>
            <w:tcBorders>
              <w:bottom w:val="single" w:sz="8" w:color="939598"/>
            </w:tcBorders>
          </w:tcPr>
          <w:p>
            <w:pPr>
              <w:spacing w:after="0"/>
              <w:rPr>
                <w:sz w:val="11"/>
                <w:szCs w:val="11"/>
                <w:color w:val="auto"/>
              </w:rPr>
            </w:pPr>
          </w:p>
        </w:tc>
        <w:tc>
          <w:tcPr>
            <w:tcW w:w="1440" w:type="dxa"/>
            <w:vAlign w:val="bottom"/>
            <w:tcBorders>
              <w:bottom w:val="single" w:sz="8" w:color="939598"/>
            </w:tcBorders>
          </w:tcPr>
          <w:p>
            <w:pPr>
              <w:spacing w:after="0"/>
              <w:rPr>
                <w:sz w:val="11"/>
                <w:szCs w:val="11"/>
                <w:color w:val="auto"/>
              </w:rPr>
            </w:pPr>
          </w:p>
        </w:tc>
        <w:tc>
          <w:tcPr>
            <w:tcW w:w="102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340" w:type="dxa"/>
            <w:vAlign w:val="bottom"/>
          </w:tcPr>
          <w:p>
            <w:pPr>
              <w:spacing w:after="0"/>
              <w:rPr>
                <w:sz w:val="16"/>
                <w:szCs w:val="16"/>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Deferred RSUs</w:t>
            </w:r>
          </w:p>
        </w:tc>
        <w:tc>
          <w:tcPr>
            <w:tcW w:w="1960" w:type="dxa"/>
            <w:vAlign w:val="bottom"/>
            <w:vMerge w:val="restart"/>
          </w:tcPr>
          <w:p>
            <w:pPr>
              <w:jc w:val="right"/>
              <w:ind w:right="248"/>
              <w:spacing w:after="0"/>
              <w:rPr>
                <w:sz w:val="20"/>
                <w:szCs w:val="20"/>
                <w:color w:val="auto"/>
              </w:rPr>
            </w:pPr>
            <w:r>
              <w:rPr>
                <w:rFonts w:ascii="Arial" w:cs="Arial" w:eastAsia="Arial" w:hAnsi="Arial"/>
                <w:sz w:val="14"/>
                <w:szCs w:val="14"/>
                <w:color w:val="auto"/>
              </w:rPr>
              <w:t>—</w:t>
            </w:r>
          </w:p>
        </w:tc>
        <w:tc>
          <w:tcPr>
            <w:tcW w:w="1440" w:type="dxa"/>
            <w:vAlign w:val="bottom"/>
            <w:vMerge w:val="restart"/>
          </w:tcPr>
          <w:p>
            <w:pPr>
              <w:ind w:left="1020"/>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ind w:right="248"/>
              <w:spacing w:after="0"/>
              <w:rPr>
                <w:sz w:val="20"/>
                <w:szCs w:val="20"/>
                <w:color w:val="auto"/>
              </w:rPr>
            </w:pPr>
            <w:r>
              <w:rPr>
                <w:rFonts w:ascii="Arial" w:cs="Arial" w:eastAsia="Arial" w:hAnsi="Arial"/>
                <w:sz w:val="14"/>
                <w:szCs w:val="14"/>
                <w:color w:val="auto"/>
              </w:rPr>
              <w:t>—</w:t>
            </w:r>
          </w:p>
        </w:tc>
        <w:tc>
          <w:tcPr>
            <w:tcW w:w="1440" w:type="dxa"/>
            <w:vAlign w:val="bottom"/>
            <w:vMerge w:val="restart"/>
          </w:tcPr>
          <w:p>
            <w:pPr>
              <w:ind w:left="98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3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9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340" w:type="dxa"/>
            <w:vAlign w:val="bottom"/>
          </w:tcPr>
          <w:p>
            <w:pPr>
              <w:spacing w:after="0"/>
              <w:rPr>
                <w:sz w:val="11"/>
                <w:szCs w:val="11"/>
                <w:color w:val="auto"/>
              </w:rPr>
            </w:pPr>
          </w:p>
        </w:tc>
        <w:tc>
          <w:tcPr>
            <w:tcW w:w="1720" w:type="dxa"/>
            <w:vAlign w:val="bottom"/>
            <w:tcBorders>
              <w:bottom w:val="single" w:sz="8" w:color="939598"/>
            </w:tcBorders>
          </w:tcPr>
          <w:p>
            <w:pPr>
              <w:spacing w:after="0"/>
              <w:rPr>
                <w:sz w:val="11"/>
                <w:szCs w:val="11"/>
                <w:color w:val="auto"/>
              </w:rPr>
            </w:pPr>
          </w:p>
        </w:tc>
        <w:tc>
          <w:tcPr>
            <w:tcW w:w="1960" w:type="dxa"/>
            <w:vAlign w:val="bottom"/>
            <w:tcBorders>
              <w:bottom w:val="single" w:sz="8" w:color="939598"/>
            </w:tcBorders>
          </w:tcPr>
          <w:p>
            <w:pPr>
              <w:spacing w:after="0"/>
              <w:rPr>
                <w:sz w:val="11"/>
                <w:szCs w:val="11"/>
                <w:color w:val="auto"/>
              </w:rPr>
            </w:pPr>
          </w:p>
        </w:tc>
        <w:tc>
          <w:tcPr>
            <w:tcW w:w="1440" w:type="dxa"/>
            <w:vAlign w:val="bottom"/>
            <w:tcBorders>
              <w:bottom w:val="single" w:sz="8" w:color="939598"/>
            </w:tcBorders>
          </w:tcPr>
          <w:p>
            <w:pPr>
              <w:spacing w:after="0"/>
              <w:rPr>
                <w:sz w:val="11"/>
                <w:szCs w:val="11"/>
                <w:color w:val="auto"/>
              </w:rPr>
            </w:pPr>
          </w:p>
        </w:tc>
        <w:tc>
          <w:tcPr>
            <w:tcW w:w="1300" w:type="dxa"/>
            <w:vAlign w:val="bottom"/>
            <w:tcBorders>
              <w:bottom w:val="single" w:sz="8" w:color="939598"/>
            </w:tcBorders>
          </w:tcPr>
          <w:p>
            <w:pPr>
              <w:spacing w:after="0"/>
              <w:rPr>
                <w:sz w:val="11"/>
                <w:szCs w:val="11"/>
                <w:color w:val="auto"/>
              </w:rPr>
            </w:pPr>
          </w:p>
        </w:tc>
        <w:tc>
          <w:tcPr>
            <w:tcW w:w="1440" w:type="dxa"/>
            <w:vAlign w:val="bottom"/>
            <w:tcBorders>
              <w:bottom w:val="single" w:sz="8" w:color="939598"/>
            </w:tcBorders>
          </w:tcPr>
          <w:p>
            <w:pPr>
              <w:spacing w:after="0"/>
              <w:rPr>
                <w:sz w:val="11"/>
                <w:szCs w:val="11"/>
                <w:color w:val="auto"/>
              </w:rPr>
            </w:pPr>
          </w:p>
        </w:tc>
        <w:tc>
          <w:tcPr>
            <w:tcW w:w="102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302"/>
        </w:trPr>
        <w:tc>
          <w:tcPr>
            <w:tcW w:w="2340" w:type="dxa"/>
            <w:vAlign w:val="bottom"/>
          </w:tcPr>
          <w:p>
            <w:pPr>
              <w:spacing w:after="0"/>
              <w:rPr>
                <w:sz w:val="24"/>
                <w:szCs w:val="24"/>
                <w:color w:val="auto"/>
              </w:rPr>
            </w:pPr>
          </w:p>
        </w:tc>
        <w:tc>
          <w:tcPr>
            <w:tcW w:w="172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960" w:type="dxa"/>
            <w:vAlign w:val="bottom"/>
          </w:tcPr>
          <w:p>
            <w:pPr>
              <w:jc w:val="right"/>
              <w:ind w:right="248"/>
              <w:spacing w:after="0"/>
              <w:rPr>
                <w:sz w:val="20"/>
                <w:szCs w:val="20"/>
                <w:color w:val="auto"/>
              </w:rPr>
            </w:pPr>
            <w:r>
              <w:rPr>
                <w:rFonts w:ascii="Arial" w:cs="Arial" w:eastAsia="Arial" w:hAnsi="Arial"/>
                <w:sz w:val="14"/>
                <w:szCs w:val="14"/>
                <w:b w:val="1"/>
                <w:bCs w:val="1"/>
                <w:color w:val="auto"/>
              </w:rPr>
              <w:t>267,939</w:t>
            </w:r>
          </w:p>
        </w:tc>
        <w:tc>
          <w:tcPr>
            <w:tcW w:w="1440" w:type="dxa"/>
            <w:vAlign w:val="bottom"/>
          </w:tcPr>
          <w:p>
            <w:pPr>
              <w:ind w:left="1020"/>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ind w:right="248"/>
              <w:spacing w:after="0"/>
              <w:rPr>
                <w:sz w:val="20"/>
                <w:szCs w:val="20"/>
                <w:color w:val="auto"/>
              </w:rPr>
            </w:pPr>
            <w:r>
              <w:rPr>
                <w:rFonts w:ascii="Arial" w:cs="Arial" w:eastAsia="Arial" w:hAnsi="Arial"/>
                <w:sz w:val="14"/>
                <w:szCs w:val="14"/>
                <w:b w:val="1"/>
                <w:bCs w:val="1"/>
                <w:color w:val="auto"/>
              </w:rPr>
              <w:t>35,915</w:t>
            </w:r>
          </w:p>
        </w:tc>
        <w:tc>
          <w:tcPr>
            <w:tcW w:w="1440" w:type="dxa"/>
            <w:vAlign w:val="bottom"/>
          </w:tcPr>
          <w:p>
            <w:pPr>
              <w:ind w:left="980"/>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997,124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2343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All deferred compensation amounts, regardless of the plan, are unfunded and unsecured obligations of the Company and are subject to the same risks as any of the Company’s general obligations.</w:t>
      </w:r>
    </w:p>
    <w:p>
      <w:pPr>
        <w:spacing w:after="0" w:line="103" w:lineRule="exact"/>
        <w:rPr>
          <w:sz w:val="20"/>
          <w:szCs w:val="20"/>
          <w:color w:val="auto"/>
        </w:rPr>
      </w:pPr>
    </w:p>
    <w:p>
      <w:pPr>
        <w:ind w:left="200" w:right="140" w:hanging="192"/>
        <w:spacing w:after="0" w:line="230" w:lineRule="auto"/>
        <w:tabs>
          <w:tab w:leader="none" w:pos="200" w:val="left"/>
        </w:tabs>
        <w:numPr>
          <w:ilvl w:val="0"/>
          <w:numId w:val="197"/>
        </w:numPr>
        <w:rPr>
          <w:rFonts w:ascii="Arial" w:cs="Arial" w:eastAsia="Arial" w:hAnsi="Arial"/>
          <w:sz w:val="16"/>
          <w:szCs w:val="16"/>
          <w:color w:val="auto"/>
          <w:vertAlign w:val="superscript"/>
        </w:rPr>
      </w:pPr>
      <w:r>
        <w:rPr>
          <w:rFonts w:ascii="Arial" w:cs="Arial" w:eastAsia="Arial" w:hAnsi="Arial"/>
          <w:sz w:val="13"/>
          <w:szCs w:val="13"/>
          <w:color w:val="auto"/>
        </w:rPr>
        <w:t>For SS Plan deferrals, the Company's matching contributions are credited annually no later than the following January 31st if the Named Executive Officer was actively employed or on a disability leave of absence as of December 15th. The value of registrant contributions in the last fiscal year for the SS Plan includes annual matching contributions that were credited to the Named Executive Officers in January 2026 for the 2025 year.</w:t>
      </w:r>
    </w:p>
    <w:p>
      <w:pPr>
        <w:spacing w:after="0" w:line="63" w:lineRule="exact"/>
        <w:rPr>
          <w:rFonts w:ascii="Arial" w:cs="Arial" w:eastAsia="Arial" w:hAnsi="Arial"/>
          <w:sz w:val="16"/>
          <w:szCs w:val="16"/>
          <w:color w:val="auto"/>
          <w:vertAlign w:val="superscript"/>
        </w:rPr>
      </w:pPr>
    </w:p>
    <w:p>
      <w:pPr>
        <w:ind w:left="200" w:right="80" w:hanging="192"/>
        <w:spacing w:after="0" w:line="233" w:lineRule="auto"/>
        <w:tabs>
          <w:tab w:leader="none" w:pos="200" w:val="left"/>
        </w:tabs>
        <w:numPr>
          <w:ilvl w:val="0"/>
          <w:numId w:val="197"/>
        </w:numPr>
        <w:rPr>
          <w:rFonts w:ascii="Arial" w:cs="Arial" w:eastAsia="Arial" w:hAnsi="Arial"/>
          <w:sz w:val="16"/>
          <w:szCs w:val="16"/>
          <w:color w:val="auto"/>
          <w:vertAlign w:val="superscript"/>
        </w:rPr>
      </w:pPr>
      <w:r>
        <w:rPr>
          <w:rFonts w:ascii="Arial" w:cs="Arial" w:eastAsia="Arial" w:hAnsi="Arial"/>
          <w:sz w:val="13"/>
          <w:szCs w:val="13"/>
          <w:color w:val="auto"/>
        </w:rPr>
        <w:t>The following table details the extent to which amounts reported in the contributions and earnings columns are reported in the Summary Compensation Table and amounts reported in the aggregate balance column were reported in the Summary Compensation Table for previous years. In the table above, for the SS Plan, the “Aggregate Earnings in Last FY” column includes interest credits and changes in the value of the Company Common Stock Fund. The value of the Company Common Stock Fund increases or decreases in accordance with the Company’s stock price and the reinvestment of dividends. In the table above, for the deferred RSUs, the “Aggregate Earnings in Last FY” column includes dividend equivalent credits and any increase (or decrease) in the Company’s stock price:</w:t>
      </w:r>
    </w:p>
    <w:p>
      <w:pPr>
        <w:spacing w:after="0" w:line="117"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80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3"/>
                <w:szCs w:val="13"/>
                <w:b w:val="1"/>
                <w:bCs w:val="1"/>
                <w:color w:val="auto"/>
              </w:rPr>
              <w:t>Portion of Aggregate</w:t>
            </w:r>
          </w:p>
        </w:tc>
        <w:tc>
          <w:tcPr>
            <w:tcW w:w="0" w:type="dxa"/>
            <w:vAlign w:val="bottom"/>
          </w:tcPr>
          <w:p>
            <w:pPr>
              <w:spacing w:after="0"/>
              <w:rPr>
                <w:sz w:val="1"/>
                <w:szCs w:val="1"/>
                <w:color w:val="auto"/>
              </w:rPr>
            </w:pPr>
          </w:p>
        </w:tc>
      </w:tr>
      <w:tr>
        <w:trPr>
          <w:trHeight w:val="193"/>
        </w:trPr>
        <w:tc>
          <w:tcPr>
            <w:tcW w:w="2800" w:type="dxa"/>
            <w:vAlign w:val="bottom"/>
          </w:tcPr>
          <w:p>
            <w:pPr>
              <w:ind w:left="20"/>
              <w:spacing w:after="0"/>
              <w:rPr>
                <w:sz w:val="20"/>
                <w:szCs w:val="20"/>
                <w:color w:val="auto"/>
              </w:rPr>
            </w:pPr>
            <w:r>
              <w:rPr>
                <w:rFonts w:ascii="Arial" w:cs="Arial" w:eastAsia="Arial" w:hAnsi="Arial"/>
                <w:sz w:val="13"/>
                <w:szCs w:val="13"/>
                <w:b w:val="1"/>
                <w:bCs w:val="1"/>
                <w:color w:val="auto"/>
              </w:rPr>
              <w:t>NEO</w:t>
            </w:r>
          </w:p>
        </w:tc>
        <w:tc>
          <w:tcPr>
            <w:tcW w:w="3260" w:type="dxa"/>
            <w:vAlign w:val="bottom"/>
          </w:tcPr>
          <w:p>
            <w:pPr>
              <w:jc w:val="right"/>
              <w:ind w:right="177"/>
              <w:spacing w:after="0"/>
              <w:rPr>
                <w:sz w:val="20"/>
                <w:szCs w:val="20"/>
                <w:color w:val="auto"/>
              </w:rPr>
            </w:pPr>
            <w:r>
              <w:rPr>
                <w:rFonts w:ascii="Arial" w:cs="Arial" w:eastAsia="Arial" w:hAnsi="Arial"/>
                <w:sz w:val="13"/>
                <w:szCs w:val="13"/>
                <w:b w:val="1"/>
                <w:bCs w:val="1"/>
                <w:color w:val="auto"/>
              </w:rPr>
              <w:t>Executive</w:t>
            </w:r>
          </w:p>
        </w:tc>
        <w:tc>
          <w:tcPr>
            <w:tcW w:w="1720" w:type="dxa"/>
            <w:vAlign w:val="bottom"/>
          </w:tcPr>
          <w:p>
            <w:pPr>
              <w:jc w:val="right"/>
              <w:ind w:right="137"/>
              <w:spacing w:after="0"/>
              <w:rPr>
                <w:sz w:val="20"/>
                <w:szCs w:val="20"/>
                <w:color w:val="auto"/>
              </w:rPr>
            </w:pPr>
            <w:r>
              <w:rPr>
                <w:rFonts w:ascii="Arial" w:cs="Arial" w:eastAsia="Arial" w:hAnsi="Arial"/>
                <w:sz w:val="13"/>
                <w:szCs w:val="13"/>
                <w:b w:val="1"/>
                <w:bCs w:val="1"/>
                <w:color w:val="auto"/>
              </w:rPr>
              <w:t>Registrant</w:t>
            </w:r>
          </w:p>
        </w:tc>
        <w:tc>
          <w:tcPr>
            <w:tcW w:w="1440" w:type="dxa"/>
            <w:vAlign w:val="bottom"/>
            <w:gridSpan w:val="2"/>
          </w:tcPr>
          <w:p>
            <w:pPr>
              <w:ind w:left="200"/>
              <w:spacing w:after="0"/>
              <w:rPr>
                <w:sz w:val="20"/>
                <w:szCs w:val="20"/>
                <w:color w:val="auto"/>
              </w:rPr>
            </w:pPr>
            <w:r>
              <w:rPr>
                <w:rFonts w:ascii="Arial" w:cs="Arial" w:eastAsia="Arial" w:hAnsi="Arial"/>
                <w:sz w:val="13"/>
                <w:szCs w:val="13"/>
                <w:b w:val="1"/>
                <w:bCs w:val="1"/>
                <w:color w:val="auto"/>
              </w:rPr>
              <w:t>Earnings in SCT</w:t>
            </w:r>
          </w:p>
        </w:tc>
        <w:tc>
          <w:tcPr>
            <w:tcW w:w="1540" w:type="dxa"/>
            <w:vAlign w:val="bottom"/>
          </w:tcPr>
          <w:p>
            <w:pPr>
              <w:jc w:val="right"/>
              <w:spacing w:after="0"/>
              <w:rPr>
                <w:sz w:val="20"/>
                <w:szCs w:val="20"/>
                <w:color w:val="auto"/>
              </w:rPr>
            </w:pPr>
            <w:r>
              <w:rPr>
                <w:rFonts w:ascii="Arial" w:cs="Arial" w:eastAsia="Arial" w:hAnsi="Arial"/>
                <w:sz w:val="13"/>
                <w:szCs w:val="13"/>
                <w:b w:val="1"/>
                <w:bCs w:val="1"/>
                <w:color w:val="auto"/>
              </w:rPr>
              <w:t>Balance Included in</w:t>
            </w:r>
          </w:p>
        </w:tc>
        <w:tc>
          <w:tcPr>
            <w:tcW w:w="0" w:type="dxa"/>
            <w:vAlign w:val="bottom"/>
          </w:tcPr>
          <w:p>
            <w:pPr>
              <w:spacing w:after="0"/>
              <w:rPr>
                <w:sz w:val="1"/>
                <w:szCs w:val="1"/>
                <w:color w:val="auto"/>
              </w:rPr>
            </w:pPr>
          </w:p>
        </w:tc>
      </w:tr>
      <w:tr>
        <w:trPr>
          <w:trHeight w:val="162"/>
        </w:trPr>
        <w:tc>
          <w:tcPr>
            <w:tcW w:w="2800" w:type="dxa"/>
            <w:vAlign w:val="bottom"/>
            <w:tcBorders>
              <w:bottom w:val="single" w:sz="8" w:color="D7282F"/>
            </w:tcBorders>
          </w:tcPr>
          <w:p>
            <w:pPr>
              <w:spacing w:after="0"/>
              <w:rPr>
                <w:sz w:val="14"/>
                <w:szCs w:val="14"/>
                <w:color w:val="auto"/>
              </w:rPr>
            </w:pPr>
          </w:p>
        </w:tc>
        <w:tc>
          <w:tcPr>
            <w:tcW w:w="3260" w:type="dxa"/>
            <w:vAlign w:val="bottom"/>
            <w:tcBorders>
              <w:bottom w:val="single" w:sz="8" w:color="D7282F"/>
            </w:tcBorders>
          </w:tcPr>
          <w:p>
            <w:pPr>
              <w:jc w:val="right"/>
              <w:ind w:right="177"/>
              <w:spacing w:after="0"/>
              <w:rPr>
                <w:sz w:val="20"/>
                <w:szCs w:val="20"/>
                <w:color w:val="auto"/>
              </w:rPr>
            </w:pPr>
            <w:r>
              <w:rPr>
                <w:rFonts w:ascii="Arial" w:cs="Arial" w:eastAsia="Arial" w:hAnsi="Arial"/>
                <w:sz w:val="13"/>
                <w:szCs w:val="13"/>
                <w:b w:val="1"/>
                <w:bCs w:val="1"/>
                <w:color w:val="auto"/>
              </w:rPr>
              <w:t>Contributions in SCT</w:t>
            </w:r>
          </w:p>
        </w:tc>
        <w:tc>
          <w:tcPr>
            <w:tcW w:w="1720" w:type="dxa"/>
            <w:vAlign w:val="bottom"/>
            <w:tcBorders>
              <w:bottom w:val="single" w:sz="8" w:color="D7282F"/>
            </w:tcBorders>
          </w:tcPr>
          <w:p>
            <w:pPr>
              <w:jc w:val="right"/>
              <w:ind w:right="137"/>
              <w:spacing w:after="0"/>
              <w:rPr>
                <w:sz w:val="20"/>
                <w:szCs w:val="20"/>
                <w:color w:val="auto"/>
              </w:rPr>
            </w:pPr>
            <w:r>
              <w:rPr>
                <w:rFonts w:ascii="Arial" w:cs="Arial" w:eastAsia="Arial" w:hAnsi="Arial"/>
                <w:sz w:val="13"/>
                <w:szCs w:val="13"/>
                <w:b w:val="1"/>
                <w:bCs w:val="1"/>
                <w:color w:val="auto"/>
              </w:rPr>
              <w:t>Contributions in SCT</w:t>
            </w:r>
          </w:p>
        </w:tc>
        <w:tc>
          <w:tcPr>
            <w:tcW w:w="780" w:type="dxa"/>
            <w:vAlign w:val="bottom"/>
            <w:tcBorders>
              <w:bottom w:val="single" w:sz="8" w:color="D7282F"/>
            </w:tcBorders>
          </w:tcPr>
          <w:p>
            <w:pPr>
              <w:spacing w:after="0"/>
              <w:rPr>
                <w:sz w:val="14"/>
                <w:szCs w:val="14"/>
                <w:color w:val="auto"/>
              </w:rPr>
            </w:pPr>
          </w:p>
        </w:tc>
        <w:tc>
          <w:tcPr>
            <w:tcW w:w="660" w:type="dxa"/>
            <w:vAlign w:val="bottom"/>
            <w:tcBorders>
              <w:bottom w:val="single" w:sz="8" w:color="D7282F"/>
            </w:tcBorders>
          </w:tcPr>
          <w:p>
            <w:pPr>
              <w:spacing w:after="0"/>
              <w:rPr>
                <w:sz w:val="14"/>
                <w:szCs w:val="14"/>
                <w:color w:val="auto"/>
              </w:rPr>
            </w:pPr>
          </w:p>
        </w:tc>
        <w:tc>
          <w:tcPr>
            <w:tcW w:w="1540" w:type="dxa"/>
            <w:vAlign w:val="bottom"/>
            <w:tcBorders>
              <w:bottom w:val="single" w:sz="8" w:color="D7282F"/>
            </w:tcBorders>
          </w:tcPr>
          <w:p>
            <w:pPr>
              <w:jc w:val="right"/>
              <w:spacing w:after="0"/>
              <w:rPr>
                <w:sz w:val="20"/>
                <w:szCs w:val="20"/>
                <w:color w:val="auto"/>
              </w:rPr>
            </w:pPr>
            <w:r>
              <w:rPr>
                <w:rFonts w:ascii="Arial" w:cs="Arial" w:eastAsia="Arial" w:hAnsi="Arial"/>
                <w:sz w:val="13"/>
                <w:szCs w:val="13"/>
                <w:b w:val="1"/>
                <w:bCs w:val="1"/>
                <w:color w:val="auto"/>
              </w:rPr>
              <w:t>Prior SCTs</w:t>
            </w:r>
          </w:p>
        </w:tc>
        <w:tc>
          <w:tcPr>
            <w:tcW w:w="0" w:type="dxa"/>
            <w:vAlign w:val="bottom"/>
          </w:tcPr>
          <w:p>
            <w:pPr>
              <w:spacing w:after="0"/>
              <w:rPr>
                <w:sz w:val="1"/>
                <w:szCs w:val="1"/>
                <w:color w:val="auto"/>
              </w:rPr>
            </w:pPr>
          </w:p>
        </w:tc>
      </w:tr>
      <w:tr>
        <w:trPr>
          <w:trHeight w:val="282"/>
        </w:trPr>
        <w:tc>
          <w:tcPr>
            <w:tcW w:w="2800" w:type="dxa"/>
            <w:vAlign w:val="bottom"/>
          </w:tcPr>
          <w:p>
            <w:pPr>
              <w:ind w:left="20"/>
              <w:spacing w:after="0"/>
              <w:rPr>
                <w:sz w:val="20"/>
                <w:szCs w:val="20"/>
                <w:color w:val="auto"/>
              </w:rPr>
            </w:pPr>
            <w:r>
              <w:rPr>
                <w:rFonts w:ascii="Arial" w:cs="Arial" w:eastAsia="Arial" w:hAnsi="Arial"/>
                <w:sz w:val="13"/>
                <w:szCs w:val="13"/>
                <w:b w:val="1"/>
                <w:bCs w:val="1"/>
                <w:color w:val="auto"/>
              </w:rPr>
              <w:t>Vimal Kapur</w:t>
            </w:r>
          </w:p>
        </w:tc>
        <w:tc>
          <w:tcPr>
            <w:tcW w:w="3260" w:type="dxa"/>
            <w:vAlign w:val="bottom"/>
          </w:tcPr>
          <w:p>
            <w:pPr>
              <w:jc w:val="right"/>
              <w:ind w:right="217"/>
              <w:spacing w:after="0"/>
              <w:rPr>
                <w:sz w:val="20"/>
                <w:szCs w:val="20"/>
                <w:color w:val="auto"/>
              </w:rPr>
            </w:pPr>
            <w:r>
              <w:rPr>
                <w:rFonts w:ascii="Arial" w:cs="Arial" w:eastAsia="Arial" w:hAnsi="Arial"/>
                <w:sz w:val="13"/>
                <w:szCs w:val="13"/>
                <w:color w:val="auto"/>
              </w:rPr>
              <w:t>$   495,885</w:t>
            </w:r>
          </w:p>
        </w:tc>
        <w:tc>
          <w:tcPr>
            <w:tcW w:w="1720" w:type="dxa"/>
            <w:vAlign w:val="bottom"/>
          </w:tcPr>
          <w:p>
            <w:pPr>
              <w:jc w:val="right"/>
              <w:ind w:right="197"/>
              <w:spacing w:after="0"/>
              <w:rPr>
                <w:sz w:val="20"/>
                <w:szCs w:val="20"/>
                <w:color w:val="auto"/>
              </w:rPr>
            </w:pPr>
            <w:r>
              <w:rPr>
                <w:rFonts w:ascii="Arial" w:cs="Arial" w:eastAsia="Arial" w:hAnsi="Arial"/>
                <w:sz w:val="13"/>
                <w:szCs w:val="13"/>
                <w:color w:val="auto"/>
              </w:rPr>
              <w:t>$   87,500</w:t>
            </w:r>
          </w:p>
        </w:tc>
        <w:tc>
          <w:tcPr>
            <w:tcW w:w="78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660" w:type="dxa"/>
            <w:vAlign w:val="bottom"/>
          </w:tcPr>
          <w:p>
            <w:pPr>
              <w:ind w:left="220"/>
              <w:spacing w:after="0"/>
              <w:rPr>
                <w:sz w:val="20"/>
                <w:szCs w:val="20"/>
                <w:color w:val="auto"/>
              </w:rPr>
            </w:pPr>
            <w:r>
              <w:rPr>
                <w:rFonts w:ascii="Arial" w:cs="Arial" w:eastAsia="Arial" w:hAnsi="Arial"/>
                <w:sz w:val="13"/>
                <w:szCs w:val="13"/>
                <w:color w:val="auto"/>
              </w:rPr>
              <w:t>—</w:t>
            </w:r>
          </w:p>
        </w:tc>
        <w:tc>
          <w:tcPr>
            <w:tcW w:w="1540" w:type="dxa"/>
            <w:vAlign w:val="bottom"/>
          </w:tcPr>
          <w:p>
            <w:pPr>
              <w:jc w:val="right"/>
              <w:spacing w:after="0"/>
              <w:rPr>
                <w:sz w:val="20"/>
                <w:szCs w:val="20"/>
                <w:color w:val="auto"/>
              </w:rPr>
            </w:pPr>
            <w:r>
              <w:rPr>
                <w:rFonts w:ascii="Arial" w:cs="Arial" w:eastAsia="Arial" w:hAnsi="Arial"/>
                <w:sz w:val="13"/>
                <w:szCs w:val="13"/>
                <w:color w:val="auto"/>
              </w:rPr>
              <w:t>$   4,655,196</w:t>
            </w:r>
          </w:p>
        </w:tc>
        <w:tc>
          <w:tcPr>
            <w:tcW w:w="0" w:type="dxa"/>
            <w:vAlign w:val="bottom"/>
          </w:tcPr>
          <w:p>
            <w:pPr>
              <w:spacing w:after="0"/>
              <w:rPr>
                <w:sz w:val="1"/>
                <w:szCs w:val="1"/>
                <w:color w:val="auto"/>
              </w:rPr>
            </w:pPr>
          </w:p>
        </w:tc>
      </w:tr>
      <w:tr>
        <w:trPr>
          <w:trHeight w:val="116"/>
        </w:trPr>
        <w:tc>
          <w:tcPr>
            <w:tcW w:w="2800" w:type="dxa"/>
            <w:vAlign w:val="bottom"/>
            <w:tcBorders>
              <w:bottom w:val="single" w:sz="8" w:color="939598"/>
            </w:tcBorders>
          </w:tcPr>
          <w:p>
            <w:pPr>
              <w:spacing w:after="0"/>
              <w:rPr>
                <w:sz w:val="10"/>
                <w:szCs w:val="10"/>
                <w:color w:val="auto"/>
              </w:rPr>
            </w:pPr>
          </w:p>
        </w:tc>
        <w:tc>
          <w:tcPr>
            <w:tcW w:w="3260" w:type="dxa"/>
            <w:vAlign w:val="bottom"/>
            <w:tcBorders>
              <w:bottom w:val="single" w:sz="8" w:color="939598"/>
            </w:tcBorders>
          </w:tcPr>
          <w:p>
            <w:pPr>
              <w:spacing w:after="0"/>
              <w:rPr>
                <w:sz w:val="10"/>
                <w:szCs w:val="10"/>
                <w:color w:val="auto"/>
              </w:rPr>
            </w:pPr>
          </w:p>
        </w:tc>
        <w:tc>
          <w:tcPr>
            <w:tcW w:w="1720" w:type="dxa"/>
            <w:vAlign w:val="bottom"/>
            <w:tcBorders>
              <w:bottom w:val="single" w:sz="8" w:color="939598"/>
            </w:tcBorders>
          </w:tcPr>
          <w:p>
            <w:pPr>
              <w:spacing w:after="0"/>
              <w:rPr>
                <w:sz w:val="10"/>
                <w:szCs w:val="10"/>
                <w:color w:val="auto"/>
              </w:rPr>
            </w:pPr>
          </w:p>
        </w:tc>
        <w:tc>
          <w:tcPr>
            <w:tcW w:w="78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spacing w:after="0"/>
              <w:rPr>
                <w:sz w:val="10"/>
                <w:szCs w:val="10"/>
                <w:color w:val="auto"/>
              </w:rPr>
            </w:pPr>
          </w:p>
        </w:tc>
        <w:tc>
          <w:tcPr>
            <w:tcW w:w="154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800" w:type="dxa"/>
            <w:vAlign w:val="bottom"/>
          </w:tcPr>
          <w:p>
            <w:pPr>
              <w:ind w:left="20"/>
              <w:spacing w:after="0"/>
              <w:rPr>
                <w:sz w:val="20"/>
                <w:szCs w:val="20"/>
                <w:color w:val="auto"/>
              </w:rPr>
            </w:pPr>
            <w:r>
              <w:rPr>
                <w:rFonts w:ascii="Arial" w:cs="Arial" w:eastAsia="Arial" w:hAnsi="Arial"/>
                <w:sz w:val="13"/>
                <w:szCs w:val="13"/>
                <w:b w:val="1"/>
                <w:bCs w:val="1"/>
                <w:color w:val="auto"/>
              </w:rPr>
              <w:t>Michal Stepniak</w:t>
            </w:r>
          </w:p>
        </w:tc>
        <w:tc>
          <w:tcPr>
            <w:tcW w:w="3260" w:type="dxa"/>
            <w:vAlign w:val="bottom"/>
            <w:vMerge w:val="restart"/>
          </w:tcPr>
          <w:p>
            <w:pPr>
              <w:jc w:val="right"/>
              <w:ind w:right="217"/>
              <w:spacing w:after="0"/>
              <w:rPr>
                <w:sz w:val="20"/>
                <w:szCs w:val="20"/>
                <w:color w:val="auto"/>
              </w:rPr>
            </w:pPr>
            <w:r>
              <w:rPr>
                <w:rFonts w:ascii="Arial" w:cs="Arial" w:eastAsia="Arial" w:hAnsi="Arial"/>
                <w:sz w:val="13"/>
                <w:szCs w:val="13"/>
                <w:color w:val="auto"/>
              </w:rPr>
              <w:t>—</w:t>
            </w:r>
          </w:p>
        </w:tc>
        <w:tc>
          <w:tcPr>
            <w:tcW w:w="1720" w:type="dxa"/>
            <w:vAlign w:val="bottom"/>
            <w:vMerge w:val="restart"/>
          </w:tcPr>
          <w:p>
            <w:pPr>
              <w:jc w:val="right"/>
              <w:ind w:right="197"/>
              <w:spacing w:after="0"/>
              <w:rPr>
                <w:sz w:val="20"/>
                <w:szCs w:val="20"/>
                <w:color w:val="auto"/>
              </w:rPr>
            </w:pPr>
            <w:r>
              <w:rPr>
                <w:rFonts w:ascii="Arial" w:cs="Arial" w:eastAsia="Arial" w:hAnsi="Arial"/>
                <w:sz w:val="13"/>
                <w:szCs w:val="13"/>
                <w:color w:val="auto"/>
              </w:rPr>
              <w:t>—</w:t>
            </w:r>
          </w:p>
        </w:tc>
        <w:tc>
          <w:tcPr>
            <w:tcW w:w="780" w:type="dxa"/>
            <w:vAlign w:val="bottom"/>
          </w:tcPr>
          <w:p>
            <w:pPr>
              <w:spacing w:after="0"/>
              <w:rPr>
                <w:sz w:val="15"/>
                <w:szCs w:val="15"/>
                <w:color w:val="auto"/>
              </w:rPr>
            </w:pPr>
          </w:p>
        </w:tc>
        <w:tc>
          <w:tcPr>
            <w:tcW w:w="660" w:type="dxa"/>
            <w:vAlign w:val="bottom"/>
            <w:vMerge w:val="restart"/>
          </w:tcPr>
          <w:p>
            <w:pPr>
              <w:ind w:left="220"/>
              <w:spacing w:after="0"/>
              <w:rPr>
                <w:sz w:val="20"/>
                <w:szCs w:val="20"/>
                <w:color w:val="auto"/>
              </w:rPr>
            </w:pPr>
            <w:r>
              <w:rPr>
                <w:rFonts w:ascii="Arial" w:cs="Arial" w:eastAsia="Arial" w:hAnsi="Arial"/>
                <w:sz w:val="13"/>
                <w:szCs w:val="13"/>
                <w:color w:val="auto"/>
              </w:rPr>
              <w:t>—</w:t>
            </w:r>
          </w:p>
        </w:tc>
        <w:tc>
          <w:tcPr>
            <w:tcW w:w="1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2"/>
        </w:trPr>
        <w:tc>
          <w:tcPr>
            <w:tcW w:w="2800" w:type="dxa"/>
            <w:vAlign w:val="bottom"/>
          </w:tcPr>
          <w:p>
            <w:pPr>
              <w:spacing w:after="0"/>
              <w:rPr>
                <w:sz w:val="8"/>
                <w:szCs w:val="8"/>
                <w:color w:val="auto"/>
              </w:rPr>
            </w:pPr>
          </w:p>
        </w:tc>
        <w:tc>
          <w:tcPr>
            <w:tcW w:w="3260" w:type="dxa"/>
            <w:vAlign w:val="bottom"/>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800" w:type="dxa"/>
            <w:vAlign w:val="bottom"/>
            <w:tcBorders>
              <w:bottom w:val="single" w:sz="8" w:color="939598"/>
            </w:tcBorders>
          </w:tcPr>
          <w:p>
            <w:pPr>
              <w:spacing w:after="0"/>
              <w:rPr>
                <w:sz w:val="10"/>
                <w:szCs w:val="10"/>
                <w:color w:val="auto"/>
              </w:rPr>
            </w:pPr>
          </w:p>
        </w:tc>
        <w:tc>
          <w:tcPr>
            <w:tcW w:w="3260" w:type="dxa"/>
            <w:vAlign w:val="bottom"/>
            <w:tcBorders>
              <w:bottom w:val="single" w:sz="8" w:color="939598"/>
            </w:tcBorders>
          </w:tcPr>
          <w:p>
            <w:pPr>
              <w:spacing w:after="0"/>
              <w:rPr>
                <w:sz w:val="10"/>
                <w:szCs w:val="10"/>
                <w:color w:val="auto"/>
              </w:rPr>
            </w:pPr>
          </w:p>
        </w:tc>
        <w:tc>
          <w:tcPr>
            <w:tcW w:w="1720" w:type="dxa"/>
            <w:vAlign w:val="bottom"/>
            <w:tcBorders>
              <w:bottom w:val="single" w:sz="8" w:color="939598"/>
            </w:tcBorders>
          </w:tcPr>
          <w:p>
            <w:pPr>
              <w:spacing w:after="0"/>
              <w:rPr>
                <w:sz w:val="10"/>
                <w:szCs w:val="10"/>
                <w:color w:val="auto"/>
              </w:rPr>
            </w:pPr>
          </w:p>
        </w:tc>
        <w:tc>
          <w:tcPr>
            <w:tcW w:w="78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spacing w:after="0"/>
              <w:rPr>
                <w:sz w:val="10"/>
                <w:szCs w:val="10"/>
                <w:color w:val="auto"/>
              </w:rPr>
            </w:pPr>
          </w:p>
        </w:tc>
        <w:tc>
          <w:tcPr>
            <w:tcW w:w="154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800" w:type="dxa"/>
            <w:vAlign w:val="bottom"/>
          </w:tcPr>
          <w:p>
            <w:pPr>
              <w:ind w:left="20"/>
              <w:spacing w:after="0"/>
              <w:rPr>
                <w:sz w:val="20"/>
                <w:szCs w:val="20"/>
                <w:color w:val="auto"/>
              </w:rPr>
            </w:pPr>
            <w:r>
              <w:rPr>
                <w:rFonts w:ascii="Arial" w:cs="Arial" w:eastAsia="Arial" w:hAnsi="Arial"/>
                <w:sz w:val="13"/>
                <w:szCs w:val="13"/>
                <w:b w:val="1"/>
                <w:bCs w:val="1"/>
                <w:color w:val="auto"/>
              </w:rPr>
              <w:t>James Currier</w:t>
            </w:r>
          </w:p>
        </w:tc>
        <w:tc>
          <w:tcPr>
            <w:tcW w:w="3260" w:type="dxa"/>
            <w:vAlign w:val="bottom"/>
            <w:vMerge w:val="restart"/>
          </w:tcPr>
          <w:p>
            <w:pPr>
              <w:jc w:val="right"/>
              <w:ind w:right="217"/>
              <w:spacing w:after="0"/>
              <w:rPr>
                <w:sz w:val="20"/>
                <w:szCs w:val="20"/>
                <w:color w:val="auto"/>
              </w:rPr>
            </w:pPr>
            <w:r>
              <w:rPr>
                <w:rFonts w:ascii="Arial" w:cs="Arial" w:eastAsia="Arial" w:hAnsi="Arial"/>
                <w:sz w:val="13"/>
                <w:szCs w:val="13"/>
                <w:color w:val="auto"/>
              </w:rPr>
              <w:t>42,601</w:t>
            </w:r>
          </w:p>
        </w:tc>
        <w:tc>
          <w:tcPr>
            <w:tcW w:w="1720" w:type="dxa"/>
            <w:vAlign w:val="bottom"/>
            <w:vMerge w:val="restart"/>
          </w:tcPr>
          <w:p>
            <w:pPr>
              <w:jc w:val="right"/>
              <w:ind w:right="197"/>
              <w:spacing w:after="0"/>
              <w:rPr>
                <w:sz w:val="20"/>
                <w:szCs w:val="20"/>
                <w:color w:val="auto"/>
              </w:rPr>
            </w:pPr>
            <w:r>
              <w:rPr>
                <w:rFonts w:ascii="Arial" w:cs="Arial" w:eastAsia="Arial" w:hAnsi="Arial"/>
                <w:sz w:val="13"/>
                <w:szCs w:val="13"/>
                <w:color w:val="auto"/>
              </w:rPr>
              <w:t>37,276</w:t>
            </w:r>
          </w:p>
        </w:tc>
        <w:tc>
          <w:tcPr>
            <w:tcW w:w="780" w:type="dxa"/>
            <w:vAlign w:val="bottom"/>
          </w:tcPr>
          <w:p>
            <w:pPr>
              <w:spacing w:after="0"/>
              <w:rPr>
                <w:sz w:val="15"/>
                <w:szCs w:val="15"/>
                <w:color w:val="auto"/>
              </w:rPr>
            </w:pPr>
          </w:p>
        </w:tc>
        <w:tc>
          <w:tcPr>
            <w:tcW w:w="660" w:type="dxa"/>
            <w:vAlign w:val="bottom"/>
            <w:vMerge w:val="restart"/>
          </w:tcPr>
          <w:p>
            <w:pPr>
              <w:ind w:left="220"/>
              <w:spacing w:after="0"/>
              <w:rPr>
                <w:sz w:val="20"/>
                <w:szCs w:val="20"/>
                <w:color w:val="auto"/>
              </w:rPr>
            </w:pPr>
            <w:r>
              <w:rPr>
                <w:rFonts w:ascii="Arial" w:cs="Arial" w:eastAsia="Arial" w:hAnsi="Arial"/>
                <w:sz w:val="13"/>
                <w:szCs w:val="13"/>
                <w:color w:val="auto"/>
              </w:rPr>
              <w:t>—</w:t>
            </w:r>
          </w:p>
        </w:tc>
        <w:tc>
          <w:tcPr>
            <w:tcW w:w="1540" w:type="dxa"/>
            <w:vAlign w:val="bottom"/>
            <w:vMerge w:val="restart"/>
          </w:tcPr>
          <w:p>
            <w:pPr>
              <w:jc w:val="right"/>
              <w:spacing w:after="0"/>
              <w:rPr>
                <w:sz w:val="20"/>
                <w:szCs w:val="20"/>
                <w:color w:val="auto"/>
              </w:rPr>
            </w:pPr>
            <w:r>
              <w:rPr>
                <w:rFonts w:ascii="Arial" w:cs="Arial" w:eastAsia="Arial" w:hAnsi="Arial"/>
                <w:sz w:val="13"/>
                <w:szCs w:val="13"/>
                <w:color w:val="auto"/>
              </w:rPr>
              <w:t>114,251</w:t>
            </w:r>
          </w:p>
        </w:tc>
        <w:tc>
          <w:tcPr>
            <w:tcW w:w="0" w:type="dxa"/>
            <w:vAlign w:val="bottom"/>
          </w:tcPr>
          <w:p>
            <w:pPr>
              <w:spacing w:after="0"/>
              <w:rPr>
                <w:sz w:val="1"/>
                <w:szCs w:val="1"/>
                <w:color w:val="auto"/>
              </w:rPr>
            </w:pPr>
          </w:p>
        </w:tc>
      </w:tr>
      <w:tr>
        <w:trPr>
          <w:trHeight w:val="102"/>
        </w:trPr>
        <w:tc>
          <w:tcPr>
            <w:tcW w:w="2800" w:type="dxa"/>
            <w:vAlign w:val="bottom"/>
          </w:tcPr>
          <w:p>
            <w:pPr>
              <w:spacing w:after="0"/>
              <w:rPr>
                <w:sz w:val="8"/>
                <w:szCs w:val="8"/>
                <w:color w:val="auto"/>
              </w:rPr>
            </w:pPr>
          </w:p>
        </w:tc>
        <w:tc>
          <w:tcPr>
            <w:tcW w:w="3260" w:type="dxa"/>
            <w:vAlign w:val="bottom"/>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800" w:type="dxa"/>
            <w:vAlign w:val="bottom"/>
            <w:tcBorders>
              <w:bottom w:val="single" w:sz="8" w:color="939598"/>
            </w:tcBorders>
          </w:tcPr>
          <w:p>
            <w:pPr>
              <w:spacing w:after="0"/>
              <w:rPr>
                <w:sz w:val="10"/>
                <w:szCs w:val="10"/>
                <w:color w:val="auto"/>
              </w:rPr>
            </w:pPr>
          </w:p>
        </w:tc>
        <w:tc>
          <w:tcPr>
            <w:tcW w:w="3260" w:type="dxa"/>
            <w:vAlign w:val="bottom"/>
            <w:tcBorders>
              <w:bottom w:val="single" w:sz="8" w:color="939598"/>
            </w:tcBorders>
          </w:tcPr>
          <w:p>
            <w:pPr>
              <w:spacing w:after="0"/>
              <w:rPr>
                <w:sz w:val="10"/>
                <w:szCs w:val="10"/>
                <w:color w:val="auto"/>
              </w:rPr>
            </w:pPr>
          </w:p>
        </w:tc>
        <w:tc>
          <w:tcPr>
            <w:tcW w:w="1720" w:type="dxa"/>
            <w:vAlign w:val="bottom"/>
            <w:tcBorders>
              <w:bottom w:val="single" w:sz="8" w:color="939598"/>
            </w:tcBorders>
          </w:tcPr>
          <w:p>
            <w:pPr>
              <w:spacing w:after="0"/>
              <w:rPr>
                <w:sz w:val="10"/>
                <w:szCs w:val="10"/>
                <w:color w:val="auto"/>
              </w:rPr>
            </w:pPr>
          </w:p>
        </w:tc>
        <w:tc>
          <w:tcPr>
            <w:tcW w:w="78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spacing w:after="0"/>
              <w:rPr>
                <w:sz w:val="10"/>
                <w:szCs w:val="10"/>
                <w:color w:val="auto"/>
              </w:rPr>
            </w:pPr>
          </w:p>
        </w:tc>
        <w:tc>
          <w:tcPr>
            <w:tcW w:w="154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800" w:type="dxa"/>
            <w:vAlign w:val="bottom"/>
          </w:tcPr>
          <w:p>
            <w:pPr>
              <w:ind w:left="20"/>
              <w:spacing w:after="0"/>
              <w:rPr>
                <w:sz w:val="20"/>
                <w:szCs w:val="20"/>
                <w:color w:val="auto"/>
              </w:rPr>
            </w:pPr>
            <w:r>
              <w:rPr>
                <w:rFonts w:ascii="Arial" w:cs="Arial" w:eastAsia="Arial" w:hAnsi="Arial"/>
                <w:sz w:val="13"/>
                <w:szCs w:val="13"/>
                <w:b w:val="1"/>
                <w:bCs w:val="1"/>
                <w:color w:val="auto"/>
              </w:rPr>
              <w:t>James Masso</w:t>
            </w:r>
          </w:p>
        </w:tc>
        <w:tc>
          <w:tcPr>
            <w:tcW w:w="3260" w:type="dxa"/>
            <w:vAlign w:val="bottom"/>
            <w:vMerge w:val="restart"/>
          </w:tcPr>
          <w:p>
            <w:pPr>
              <w:jc w:val="right"/>
              <w:ind w:right="217"/>
              <w:spacing w:after="0"/>
              <w:rPr>
                <w:sz w:val="20"/>
                <w:szCs w:val="20"/>
                <w:color w:val="auto"/>
              </w:rPr>
            </w:pPr>
            <w:r>
              <w:rPr>
                <w:rFonts w:ascii="Arial" w:cs="Arial" w:eastAsia="Arial" w:hAnsi="Arial"/>
                <w:sz w:val="13"/>
                <w:szCs w:val="13"/>
                <w:color w:val="auto"/>
              </w:rPr>
              <w:t>—</w:t>
            </w:r>
          </w:p>
        </w:tc>
        <w:tc>
          <w:tcPr>
            <w:tcW w:w="1720" w:type="dxa"/>
            <w:vAlign w:val="bottom"/>
            <w:vMerge w:val="restart"/>
          </w:tcPr>
          <w:p>
            <w:pPr>
              <w:jc w:val="right"/>
              <w:ind w:right="197"/>
              <w:spacing w:after="0"/>
              <w:rPr>
                <w:sz w:val="20"/>
                <w:szCs w:val="20"/>
                <w:color w:val="auto"/>
              </w:rPr>
            </w:pPr>
            <w:r>
              <w:rPr>
                <w:rFonts w:ascii="Arial" w:cs="Arial" w:eastAsia="Arial" w:hAnsi="Arial"/>
                <w:sz w:val="13"/>
                <w:szCs w:val="13"/>
                <w:color w:val="auto"/>
              </w:rPr>
              <w:t>—</w:t>
            </w:r>
          </w:p>
        </w:tc>
        <w:tc>
          <w:tcPr>
            <w:tcW w:w="780" w:type="dxa"/>
            <w:vAlign w:val="bottom"/>
          </w:tcPr>
          <w:p>
            <w:pPr>
              <w:spacing w:after="0"/>
              <w:rPr>
                <w:sz w:val="15"/>
                <w:szCs w:val="15"/>
                <w:color w:val="auto"/>
              </w:rPr>
            </w:pPr>
          </w:p>
        </w:tc>
        <w:tc>
          <w:tcPr>
            <w:tcW w:w="660" w:type="dxa"/>
            <w:vAlign w:val="bottom"/>
            <w:vMerge w:val="restart"/>
          </w:tcPr>
          <w:p>
            <w:pPr>
              <w:ind w:left="220"/>
              <w:spacing w:after="0"/>
              <w:rPr>
                <w:sz w:val="20"/>
                <w:szCs w:val="20"/>
                <w:color w:val="auto"/>
              </w:rPr>
            </w:pPr>
            <w:r>
              <w:rPr>
                <w:rFonts w:ascii="Arial" w:cs="Arial" w:eastAsia="Arial" w:hAnsi="Arial"/>
                <w:sz w:val="13"/>
                <w:szCs w:val="13"/>
                <w:color w:val="auto"/>
              </w:rPr>
              <w:t>—</w:t>
            </w:r>
          </w:p>
        </w:tc>
        <w:tc>
          <w:tcPr>
            <w:tcW w:w="1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2"/>
        </w:trPr>
        <w:tc>
          <w:tcPr>
            <w:tcW w:w="2800" w:type="dxa"/>
            <w:vAlign w:val="bottom"/>
          </w:tcPr>
          <w:p>
            <w:pPr>
              <w:spacing w:after="0"/>
              <w:rPr>
                <w:sz w:val="8"/>
                <w:szCs w:val="8"/>
                <w:color w:val="auto"/>
              </w:rPr>
            </w:pPr>
          </w:p>
        </w:tc>
        <w:tc>
          <w:tcPr>
            <w:tcW w:w="3260" w:type="dxa"/>
            <w:vAlign w:val="bottom"/>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800" w:type="dxa"/>
            <w:vAlign w:val="bottom"/>
            <w:tcBorders>
              <w:bottom w:val="single" w:sz="8" w:color="939598"/>
            </w:tcBorders>
          </w:tcPr>
          <w:p>
            <w:pPr>
              <w:spacing w:after="0"/>
              <w:rPr>
                <w:sz w:val="10"/>
                <w:szCs w:val="10"/>
                <w:color w:val="auto"/>
              </w:rPr>
            </w:pPr>
          </w:p>
        </w:tc>
        <w:tc>
          <w:tcPr>
            <w:tcW w:w="3260" w:type="dxa"/>
            <w:vAlign w:val="bottom"/>
            <w:tcBorders>
              <w:bottom w:val="single" w:sz="8" w:color="939598"/>
            </w:tcBorders>
          </w:tcPr>
          <w:p>
            <w:pPr>
              <w:spacing w:after="0"/>
              <w:rPr>
                <w:sz w:val="10"/>
                <w:szCs w:val="10"/>
                <w:color w:val="auto"/>
              </w:rPr>
            </w:pPr>
          </w:p>
        </w:tc>
        <w:tc>
          <w:tcPr>
            <w:tcW w:w="1720" w:type="dxa"/>
            <w:vAlign w:val="bottom"/>
            <w:tcBorders>
              <w:bottom w:val="single" w:sz="8" w:color="939598"/>
            </w:tcBorders>
          </w:tcPr>
          <w:p>
            <w:pPr>
              <w:spacing w:after="0"/>
              <w:rPr>
                <w:sz w:val="10"/>
                <w:szCs w:val="10"/>
                <w:color w:val="auto"/>
              </w:rPr>
            </w:pPr>
          </w:p>
        </w:tc>
        <w:tc>
          <w:tcPr>
            <w:tcW w:w="78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spacing w:after="0"/>
              <w:rPr>
                <w:sz w:val="10"/>
                <w:szCs w:val="10"/>
                <w:color w:val="auto"/>
              </w:rPr>
            </w:pPr>
          </w:p>
        </w:tc>
        <w:tc>
          <w:tcPr>
            <w:tcW w:w="154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800" w:type="dxa"/>
            <w:vAlign w:val="bottom"/>
          </w:tcPr>
          <w:p>
            <w:pPr>
              <w:ind w:left="20"/>
              <w:spacing w:after="0"/>
              <w:rPr>
                <w:sz w:val="20"/>
                <w:szCs w:val="20"/>
                <w:color w:val="auto"/>
              </w:rPr>
            </w:pPr>
            <w:r>
              <w:rPr>
                <w:rFonts w:ascii="Arial" w:cs="Arial" w:eastAsia="Arial" w:hAnsi="Arial"/>
                <w:sz w:val="13"/>
                <w:szCs w:val="13"/>
                <w:b w:val="1"/>
                <w:bCs w:val="1"/>
                <w:color w:val="auto"/>
              </w:rPr>
              <w:t>Billal Hammoud</w:t>
            </w:r>
          </w:p>
        </w:tc>
        <w:tc>
          <w:tcPr>
            <w:tcW w:w="3260" w:type="dxa"/>
            <w:vAlign w:val="bottom"/>
            <w:vMerge w:val="restart"/>
          </w:tcPr>
          <w:p>
            <w:pPr>
              <w:jc w:val="right"/>
              <w:ind w:right="217"/>
              <w:spacing w:after="0"/>
              <w:rPr>
                <w:sz w:val="20"/>
                <w:szCs w:val="20"/>
                <w:color w:val="auto"/>
              </w:rPr>
            </w:pPr>
            <w:r>
              <w:rPr>
                <w:rFonts w:ascii="Arial" w:cs="Arial" w:eastAsia="Arial" w:hAnsi="Arial"/>
                <w:sz w:val="13"/>
                <w:szCs w:val="13"/>
                <w:color w:val="auto"/>
              </w:rPr>
              <w:t>98,589</w:t>
            </w:r>
          </w:p>
        </w:tc>
        <w:tc>
          <w:tcPr>
            <w:tcW w:w="1720" w:type="dxa"/>
            <w:vAlign w:val="bottom"/>
            <w:vMerge w:val="restart"/>
          </w:tcPr>
          <w:p>
            <w:pPr>
              <w:jc w:val="right"/>
              <w:ind w:right="197"/>
              <w:spacing w:after="0"/>
              <w:rPr>
                <w:sz w:val="20"/>
                <w:szCs w:val="20"/>
                <w:color w:val="auto"/>
              </w:rPr>
            </w:pPr>
            <w:r>
              <w:rPr>
                <w:rFonts w:ascii="Arial" w:cs="Arial" w:eastAsia="Arial" w:hAnsi="Arial"/>
                <w:sz w:val="13"/>
                <w:szCs w:val="13"/>
                <w:color w:val="auto"/>
              </w:rPr>
              <w:t>27,985</w:t>
            </w:r>
          </w:p>
        </w:tc>
        <w:tc>
          <w:tcPr>
            <w:tcW w:w="780" w:type="dxa"/>
            <w:vAlign w:val="bottom"/>
          </w:tcPr>
          <w:p>
            <w:pPr>
              <w:spacing w:after="0"/>
              <w:rPr>
                <w:sz w:val="15"/>
                <w:szCs w:val="15"/>
                <w:color w:val="auto"/>
              </w:rPr>
            </w:pPr>
          </w:p>
        </w:tc>
        <w:tc>
          <w:tcPr>
            <w:tcW w:w="660" w:type="dxa"/>
            <w:vAlign w:val="bottom"/>
            <w:vMerge w:val="restart"/>
          </w:tcPr>
          <w:p>
            <w:pPr>
              <w:ind w:left="220"/>
              <w:spacing w:after="0"/>
              <w:rPr>
                <w:sz w:val="20"/>
                <w:szCs w:val="20"/>
                <w:color w:val="auto"/>
              </w:rPr>
            </w:pPr>
            <w:r>
              <w:rPr>
                <w:rFonts w:ascii="Arial" w:cs="Arial" w:eastAsia="Arial" w:hAnsi="Arial"/>
                <w:sz w:val="13"/>
                <w:szCs w:val="13"/>
                <w:color w:val="auto"/>
              </w:rPr>
              <w:t>—</w:t>
            </w:r>
          </w:p>
        </w:tc>
        <w:tc>
          <w:tcPr>
            <w:tcW w:w="1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2"/>
        </w:trPr>
        <w:tc>
          <w:tcPr>
            <w:tcW w:w="2800" w:type="dxa"/>
            <w:vAlign w:val="bottom"/>
          </w:tcPr>
          <w:p>
            <w:pPr>
              <w:spacing w:after="0"/>
              <w:rPr>
                <w:sz w:val="8"/>
                <w:szCs w:val="8"/>
                <w:color w:val="auto"/>
              </w:rPr>
            </w:pPr>
          </w:p>
        </w:tc>
        <w:tc>
          <w:tcPr>
            <w:tcW w:w="3260" w:type="dxa"/>
            <w:vAlign w:val="bottom"/>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800" w:type="dxa"/>
            <w:vAlign w:val="bottom"/>
            <w:tcBorders>
              <w:bottom w:val="single" w:sz="8" w:color="939598"/>
            </w:tcBorders>
          </w:tcPr>
          <w:p>
            <w:pPr>
              <w:spacing w:after="0"/>
              <w:rPr>
                <w:sz w:val="10"/>
                <w:szCs w:val="10"/>
                <w:color w:val="auto"/>
              </w:rPr>
            </w:pPr>
          </w:p>
        </w:tc>
        <w:tc>
          <w:tcPr>
            <w:tcW w:w="3260" w:type="dxa"/>
            <w:vAlign w:val="bottom"/>
            <w:tcBorders>
              <w:bottom w:val="single" w:sz="8" w:color="939598"/>
            </w:tcBorders>
          </w:tcPr>
          <w:p>
            <w:pPr>
              <w:spacing w:after="0"/>
              <w:rPr>
                <w:sz w:val="10"/>
                <w:szCs w:val="10"/>
                <w:color w:val="auto"/>
              </w:rPr>
            </w:pPr>
          </w:p>
        </w:tc>
        <w:tc>
          <w:tcPr>
            <w:tcW w:w="1720" w:type="dxa"/>
            <w:vAlign w:val="bottom"/>
            <w:tcBorders>
              <w:bottom w:val="single" w:sz="8" w:color="939598"/>
            </w:tcBorders>
          </w:tcPr>
          <w:p>
            <w:pPr>
              <w:spacing w:after="0"/>
              <w:rPr>
                <w:sz w:val="10"/>
                <w:szCs w:val="10"/>
                <w:color w:val="auto"/>
              </w:rPr>
            </w:pPr>
          </w:p>
        </w:tc>
        <w:tc>
          <w:tcPr>
            <w:tcW w:w="78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spacing w:after="0"/>
              <w:rPr>
                <w:sz w:val="10"/>
                <w:szCs w:val="10"/>
                <w:color w:val="auto"/>
              </w:rPr>
            </w:pPr>
          </w:p>
        </w:tc>
        <w:tc>
          <w:tcPr>
            <w:tcW w:w="154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800" w:type="dxa"/>
            <w:vAlign w:val="bottom"/>
          </w:tcPr>
          <w:p>
            <w:pPr>
              <w:ind w:left="20"/>
              <w:spacing w:after="0"/>
              <w:rPr>
                <w:sz w:val="20"/>
                <w:szCs w:val="20"/>
                <w:color w:val="auto"/>
              </w:rPr>
            </w:pPr>
            <w:r>
              <w:rPr>
                <w:rFonts w:ascii="Arial" w:cs="Arial" w:eastAsia="Arial" w:hAnsi="Arial"/>
                <w:sz w:val="13"/>
                <w:szCs w:val="13"/>
                <w:b w:val="1"/>
                <w:bCs w:val="1"/>
                <w:color w:val="auto"/>
              </w:rPr>
              <w:t>Gregory P. Lewis</w:t>
            </w:r>
          </w:p>
        </w:tc>
        <w:tc>
          <w:tcPr>
            <w:tcW w:w="3260" w:type="dxa"/>
            <w:vAlign w:val="bottom"/>
            <w:vMerge w:val="restart"/>
          </w:tcPr>
          <w:p>
            <w:pPr>
              <w:jc w:val="right"/>
              <w:ind w:right="217"/>
              <w:spacing w:after="0"/>
              <w:rPr>
                <w:sz w:val="20"/>
                <w:szCs w:val="20"/>
                <w:color w:val="auto"/>
              </w:rPr>
            </w:pPr>
            <w:r>
              <w:rPr>
                <w:rFonts w:ascii="Arial" w:cs="Arial" w:eastAsia="Arial" w:hAnsi="Arial"/>
                <w:sz w:val="13"/>
                <w:szCs w:val="13"/>
                <w:color w:val="auto"/>
              </w:rPr>
              <w:t>50,981</w:t>
            </w:r>
          </w:p>
        </w:tc>
        <w:tc>
          <w:tcPr>
            <w:tcW w:w="1720" w:type="dxa"/>
            <w:vAlign w:val="bottom"/>
            <w:vMerge w:val="restart"/>
          </w:tcPr>
          <w:p>
            <w:pPr>
              <w:jc w:val="right"/>
              <w:ind w:right="197"/>
              <w:spacing w:after="0"/>
              <w:rPr>
                <w:sz w:val="20"/>
                <w:szCs w:val="20"/>
                <w:color w:val="auto"/>
              </w:rPr>
            </w:pPr>
            <w:r>
              <w:rPr>
                <w:rFonts w:ascii="Arial" w:cs="Arial" w:eastAsia="Arial" w:hAnsi="Arial"/>
                <w:sz w:val="13"/>
                <w:szCs w:val="13"/>
                <w:color w:val="auto"/>
              </w:rPr>
              <w:t>5,490</w:t>
            </w:r>
          </w:p>
        </w:tc>
        <w:tc>
          <w:tcPr>
            <w:tcW w:w="780" w:type="dxa"/>
            <w:vAlign w:val="bottom"/>
          </w:tcPr>
          <w:p>
            <w:pPr>
              <w:spacing w:after="0"/>
              <w:rPr>
                <w:sz w:val="15"/>
                <w:szCs w:val="15"/>
                <w:color w:val="auto"/>
              </w:rPr>
            </w:pPr>
          </w:p>
        </w:tc>
        <w:tc>
          <w:tcPr>
            <w:tcW w:w="660" w:type="dxa"/>
            <w:vAlign w:val="bottom"/>
            <w:vMerge w:val="restart"/>
          </w:tcPr>
          <w:p>
            <w:pPr>
              <w:ind w:left="220"/>
              <w:spacing w:after="0"/>
              <w:rPr>
                <w:sz w:val="20"/>
                <w:szCs w:val="20"/>
                <w:color w:val="auto"/>
              </w:rPr>
            </w:pPr>
            <w:r>
              <w:rPr>
                <w:rFonts w:ascii="Arial" w:cs="Arial" w:eastAsia="Arial" w:hAnsi="Arial"/>
                <w:sz w:val="13"/>
                <w:szCs w:val="13"/>
                <w:color w:val="auto"/>
              </w:rPr>
              <w:t>—</w:t>
            </w:r>
          </w:p>
        </w:tc>
        <w:tc>
          <w:tcPr>
            <w:tcW w:w="1540" w:type="dxa"/>
            <w:vAlign w:val="bottom"/>
            <w:vMerge w:val="restart"/>
          </w:tcPr>
          <w:p>
            <w:pPr>
              <w:jc w:val="right"/>
              <w:spacing w:after="0"/>
              <w:rPr>
                <w:sz w:val="20"/>
                <w:szCs w:val="20"/>
                <w:color w:val="auto"/>
              </w:rPr>
            </w:pPr>
            <w:r>
              <w:rPr>
                <w:rFonts w:ascii="Arial" w:cs="Arial" w:eastAsia="Arial" w:hAnsi="Arial"/>
                <w:sz w:val="13"/>
                <w:szCs w:val="13"/>
                <w:color w:val="auto"/>
              </w:rPr>
              <w:t>1,079,711</w:t>
            </w:r>
          </w:p>
        </w:tc>
        <w:tc>
          <w:tcPr>
            <w:tcW w:w="0" w:type="dxa"/>
            <w:vAlign w:val="bottom"/>
          </w:tcPr>
          <w:p>
            <w:pPr>
              <w:spacing w:after="0"/>
              <w:rPr>
                <w:sz w:val="1"/>
                <w:szCs w:val="1"/>
                <w:color w:val="auto"/>
              </w:rPr>
            </w:pPr>
          </w:p>
        </w:tc>
      </w:tr>
      <w:tr>
        <w:trPr>
          <w:trHeight w:val="102"/>
        </w:trPr>
        <w:tc>
          <w:tcPr>
            <w:tcW w:w="2800" w:type="dxa"/>
            <w:vAlign w:val="bottom"/>
          </w:tcPr>
          <w:p>
            <w:pPr>
              <w:spacing w:after="0"/>
              <w:rPr>
                <w:sz w:val="8"/>
                <w:szCs w:val="8"/>
                <w:color w:val="auto"/>
              </w:rPr>
            </w:pPr>
          </w:p>
        </w:tc>
        <w:tc>
          <w:tcPr>
            <w:tcW w:w="3260" w:type="dxa"/>
            <w:vAlign w:val="bottom"/>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800" w:type="dxa"/>
            <w:vAlign w:val="bottom"/>
            <w:tcBorders>
              <w:bottom w:val="single" w:sz="8" w:color="939598"/>
            </w:tcBorders>
          </w:tcPr>
          <w:p>
            <w:pPr>
              <w:spacing w:after="0"/>
              <w:rPr>
                <w:sz w:val="10"/>
                <w:szCs w:val="10"/>
                <w:color w:val="auto"/>
              </w:rPr>
            </w:pPr>
          </w:p>
        </w:tc>
        <w:tc>
          <w:tcPr>
            <w:tcW w:w="3260" w:type="dxa"/>
            <w:vAlign w:val="bottom"/>
            <w:tcBorders>
              <w:bottom w:val="single" w:sz="8" w:color="939598"/>
            </w:tcBorders>
          </w:tcPr>
          <w:p>
            <w:pPr>
              <w:spacing w:after="0"/>
              <w:rPr>
                <w:sz w:val="10"/>
                <w:szCs w:val="10"/>
                <w:color w:val="auto"/>
              </w:rPr>
            </w:pPr>
          </w:p>
        </w:tc>
        <w:tc>
          <w:tcPr>
            <w:tcW w:w="1720" w:type="dxa"/>
            <w:vAlign w:val="bottom"/>
            <w:tcBorders>
              <w:bottom w:val="single" w:sz="8" w:color="939598"/>
            </w:tcBorders>
          </w:tcPr>
          <w:p>
            <w:pPr>
              <w:spacing w:after="0"/>
              <w:rPr>
                <w:sz w:val="10"/>
                <w:szCs w:val="10"/>
                <w:color w:val="auto"/>
              </w:rPr>
            </w:pPr>
          </w:p>
        </w:tc>
        <w:tc>
          <w:tcPr>
            <w:tcW w:w="78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spacing w:after="0"/>
              <w:rPr>
                <w:sz w:val="10"/>
                <w:szCs w:val="10"/>
                <w:color w:val="auto"/>
              </w:rPr>
            </w:pPr>
          </w:p>
        </w:tc>
        <w:tc>
          <w:tcPr>
            <w:tcW w:w="154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2800" w:type="dxa"/>
            <w:vAlign w:val="bottom"/>
          </w:tcPr>
          <w:p>
            <w:pPr>
              <w:ind w:left="20"/>
              <w:spacing w:after="0"/>
              <w:rPr>
                <w:sz w:val="20"/>
                <w:szCs w:val="20"/>
                <w:color w:val="auto"/>
              </w:rPr>
            </w:pPr>
            <w:r>
              <w:rPr>
                <w:rFonts w:ascii="Arial" w:cs="Arial" w:eastAsia="Arial" w:hAnsi="Arial"/>
                <w:sz w:val="13"/>
                <w:szCs w:val="13"/>
                <w:b w:val="1"/>
                <w:bCs w:val="1"/>
                <w:color w:val="auto"/>
              </w:rPr>
              <w:t>Lucian Boldea</w:t>
            </w:r>
          </w:p>
        </w:tc>
        <w:tc>
          <w:tcPr>
            <w:tcW w:w="3260" w:type="dxa"/>
            <w:vAlign w:val="bottom"/>
          </w:tcPr>
          <w:p>
            <w:pPr>
              <w:jc w:val="right"/>
              <w:ind w:right="217"/>
              <w:spacing w:after="0"/>
              <w:rPr>
                <w:sz w:val="20"/>
                <w:szCs w:val="20"/>
                <w:color w:val="auto"/>
              </w:rPr>
            </w:pPr>
            <w:r>
              <w:rPr>
                <w:rFonts w:ascii="Arial" w:cs="Arial" w:eastAsia="Arial" w:hAnsi="Arial"/>
                <w:sz w:val="13"/>
                <w:szCs w:val="13"/>
                <w:color w:val="auto"/>
              </w:rPr>
              <w:t>134,619</w:t>
            </w:r>
          </w:p>
        </w:tc>
        <w:tc>
          <w:tcPr>
            <w:tcW w:w="172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78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w:t>
            </w:r>
          </w:p>
        </w:tc>
        <w:tc>
          <w:tcPr>
            <w:tcW w:w="1540" w:type="dxa"/>
            <w:vAlign w:val="bottom"/>
          </w:tcPr>
          <w:p>
            <w:pPr>
              <w:jc w:val="right"/>
              <w:spacing w:after="0"/>
              <w:rPr>
                <w:sz w:val="20"/>
                <w:szCs w:val="20"/>
                <w:color w:val="auto"/>
              </w:rPr>
            </w:pPr>
            <w:r>
              <w:rPr>
                <w:rFonts w:ascii="Arial" w:cs="Arial" w:eastAsia="Arial" w:hAnsi="Arial"/>
                <w:sz w:val="13"/>
                <w:szCs w:val="13"/>
                <w:color w:val="auto"/>
              </w:rPr>
              <w:t>794,927</w:t>
            </w:r>
          </w:p>
        </w:tc>
        <w:tc>
          <w:tcPr>
            <w:tcW w:w="0" w:type="dxa"/>
            <w:vAlign w:val="bottom"/>
          </w:tcPr>
          <w:p>
            <w:pPr>
              <w:spacing w:after="0"/>
              <w:rPr>
                <w:sz w:val="1"/>
                <w:szCs w:val="1"/>
                <w:color w:val="auto"/>
              </w:rPr>
            </w:pPr>
          </w:p>
        </w:tc>
      </w:tr>
      <w:tr>
        <w:trPr>
          <w:trHeight w:val="116"/>
        </w:trPr>
        <w:tc>
          <w:tcPr>
            <w:tcW w:w="2800" w:type="dxa"/>
            <w:vAlign w:val="bottom"/>
            <w:tcBorders>
              <w:bottom w:val="single" w:sz="8" w:color="D7282F"/>
            </w:tcBorders>
          </w:tcPr>
          <w:p>
            <w:pPr>
              <w:spacing w:after="0"/>
              <w:rPr>
                <w:sz w:val="10"/>
                <w:szCs w:val="10"/>
                <w:color w:val="auto"/>
              </w:rPr>
            </w:pPr>
          </w:p>
        </w:tc>
        <w:tc>
          <w:tcPr>
            <w:tcW w:w="3260" w:type="dxa"/>
            <w:vAlign w:val="bottom"/>
            <w:tcBorders>
              <w:bottom w:val="single" w:sz="8" w:color="D7282F"/>
            </w:tcBorders>
          </w:tcPr>
          <w:p>
            <w:pPr>
              <w:spacing w:after="0"/>
              <w:rPr>
                <w:sz w:val="10"/>
                <w:szCs w:val="10"/>
                <w:color w:val="auto"/>
              </w:rPr>
            </w:pPr>
          </w:p>
        </w:tc>
        <w:tc>
          <w:tcPr>
            <w:tcW w:w="1720" w:type="dxa"/>
            <w:vAlign w:val="bottom"/>
            <w:tcBorders>
              <w:bottom w:val="single" w:sz="8" w:color="D7282F"/>
            </w:tcBorders>
          </w:tcPr>
          <w:p>
            <w:pPr>
              <w:spacing w:after="0"/>
              <w:rPr>
                <w:sz w:val="10"/>
                <w:szCs w:val="10"/>
                <w:color w:val="auto"/>
              </w:rPr>
            </w:pPr>
          </w:p>
        </w:tc>
        <w:tc>
          <w:tcPr>
            <w:tcW w:w="78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spacing w:after="0"/>
              <w:rPr>
                <w:sz w:val="10"/>
                <w:szCs w:val="10"/>
                <w:color w:val="auto"/>
              </w:rPr>
            </w:pPr>
          </w:p>
        </w:tc>
        <w:tc>
          <w:tcPr>
            <w:tcW w:w="1540" w:type="dxa"/>
            <w:vAlign w:val="bottom"/>
            <w:tcBorders>
              <w:bottom w:val="single" w:sz="8" w:color="D7282F"/>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D7282F"/>
        </w:rPr>
        <w:t>HONEYWELL EXCESS BENEFIT PLAN AND HONEYWELL SUPPLEMENTAL SAVINGS PLAN</w:t>
      </w:r>
    </w:p>
    <w:p>
      <w:pPr>
        <w:spacing w:after="0" w:line="112"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The Supplemental Savings Plan allows Honeywell executives, including the NEOs, to defer the portion of their annual base salary that cannot be contributed to the Company’s tax-qualified 401(k) plan due to the annual deferral and compensation limits imposed by the Internal Revenue Code and/or up to an additional 25% of base annual salary for the plan year.</w:t>
      </w:r>
    </w:p>
    <w:p>
      <w:pPr>
        <w:spacing w:after="0" w:line="56"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To the extent amounts were not already matched on a similar basis under the Company’s 401(k) plan, Honeywell matched deferrals posted to the SS Plan at the rate of 87.5% on the first 8% of eligible pay. Matching contributions are always vested and are credited on an annual basis if the participant was actively employed or on a disability leave of absence as of December 15, 2025.</w:t>
      </w:r>
    </w:p>
    <w:p>
      <w:pPr>
        <w:spacing w:after="0" w:line="56"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b w:val="1"/>
          <w:bCs w:val="1"/>
          <w:color w:val="auto"/>
        </w:rPr>
        <w:t xml:space="preserve">Interest Rate. </w:t>
      </w:r>
      <w:r>
        <w:rPr>
          <w:rFonts w:ascii="Arial" w:cs="Arial" w:eastAsia="Arial" w:hAnsi="Arial"/>
          <w:sz w:val="16"/>
          <w:szCs w:val="16"/>
          <w:color w:val="auto"/>
        </w:rPr>
        <w:t>Participant deferrals for the 2005 plan year and later are credited with a rate of interest, compounded daily, based on the Company’s 15-year</w:t>
      </w:r>
      <w:r>
        <w:rPr>
          <w:rFonts w:ascii="Arial" w:cs="Arial" w:eastAsia="Arial" w:hAnsi="Arial"/>
          <w:sz w:val="16"/>
          <w:szCs w:val="16"/>
          <w:b w:val="1"/>
          <w:bCs w:val="1"/>
          <w:color w:val="auto"/>
        </w:rPr>
        <w:t xml:space="preserve"> </w:t>
      </w:r>
      <w:r>
        <w:rPr>
          <w:rFonts w:ascii="Arial" w:cs="Arial" w:eastAsia="Arial" w:hAnsi="Arial"/>
          <w:sz w:val="16"/>
          <w:szCs w:val="16"/>
          <w:color w:val="auto"/>
        </w:rPr>
        <w:t>cost of borrowing. The rate is subject to change annually, and for 2025, this rate was 4.91%. Participant deferrals for the 2004 plan year and earlier are credited with a rate of interest, compounded daily, that was set by the Management Development and Compensation Committee (MDCC) before the beginning of each plan year and is fixed until the deferral is distributed. Prior to the 2005 plan year, the MDCC would set the rate at an above-market rate to retain executives. Matching contributions are treated as invested in common stock. Dividends are treated as reinvested in additional shares of common stock.</w:t>
      </w:r>
    </w:p>
    <w:p>
      <w:pPr>
        <w:spacing w:after="0" w:line="278" w:lineRule="exact"/>
        <w:rPr>
          <w:sz w:val="20"/>
          <w:szCs w:val="20"/>
          <w:color w:val="auto"/>
        </w:rPr>
      </w:pPr>
    </w:p>
    <w:p>
      <w:pPr>
        <w:ind w:right="340"/>
        <w:spacing w:after="0" w:line="265" w:lineRule="auto"/>
        <w:rPr>
          <w:sz w:val="20"/>
          <w:szCs w:val="20"/>
          <w:color w:val="auto"/>
        </w:rPr>
      </w:pPr>
      <w:r>
        <w:rPr>
          <w:rFonts w:ascii="Arial" w:cs="Arial" w:eastAsia="Arial" w:hAnsi="Arial"/>
          <w:sz w:val="16"/>
          <w:szCs w:val="16"/>
          <w:b w:val="1"/>
          <w:bCs w:val="1"/>
          <w:color w:val="auto"/>
        </w:rPr>
        <w:t xml:space="preserve">Distribution. </w:t>
      </w:r>
      <w:r>
        <w:rPr>
          <w:rFonts w:ascii="Arial" w:cs="Arial" w:eastAsia="Arial" w:hAnsi="Arial"/>
          <w:sz w:val="16"/>
          <w:szCs w:val="16"/>
          <w:color w:val="auto"/>
        </w:rPr>
        <w:t>Amounts deferred for the 2005 plan year and later will be distributed in a lump sum in January of the year following the termination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participant’s active employment. For the 2020 plan year and later, a participant can elect to receive five, 10, or 15 installments in lieu of the lump sum payment, which election will take effect only if the participant terminates employment after reaching age 55 with 10 years of service; for the 2006 to 2019 plan years, a participant could elect up to 10 installments under the same terms.</w:t>
      </w:r>
    </w:p>
    <w:p>
      <w:pPr>
        <w:spacing w:after="0" w:line="65"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Except in hardship circumstances, amounts deferred for the 2004 plan year and earlier will be distributed either in January of any subsequent year or in January of the year following termination of employment, as elected by the participant. The participant could elect to receive distributions in a lump sum or up to 15 annual installments.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Participant deferrals to the SS Plan are distributed in cash only. Matching contributions are distributed in shares of Honeywell common stock.</w:t>
      </w:r>
    </w:p>
    <w:p>
      <w:pPr>
        <w:spacing w:after="0" w:line="127" w:lineRule="exact"/>
        <w:rPr>
          <w:sz w:val="20"/>
          <w:szCs w:val="20"/>
          <w:color w:val="auto"/>
        </w:rPr>
      </w:pPr>
    </w:p>
    <w:p>
      <w:pPr>
        <w:jc w:val="both"/>
        <w:ind w:right="80"/>
        <w:spacing w:after="0" w:line="286" w:lineRule="auto"/>
        <w:rPr>
          <w:sz w:val="20"/>
          <w:szCs w:val="20"/>
          <w:color w:val="auto"/>
        </w:rPr>
      </w:pPr>
      <w:r>
        <w:rPr>
          <w:rFonts w:ascii="Arial" w:cs="Arial" w:eastAsia="Arial" w:hAnsi="Arial"/>
          <w:sz w:val="16"/>
          <w:szCs w:val="16"/>
          <w:color w:val="auto"/>
        </w:rPr>
        <w:t>Amounts deferred for the 2005 plan year and later cannot be withdrawn before the distribution date for any reason. Amounts deferred for the 2004 plan year and earlier may be withdrawn before the distribution date if a hardship exists or the participant requests an immediate withdrawal subject to a penalty of 6%.</w:t>
      </w:r>
    </w:p>
    <w:p>
      <w:pPr>
        <w:spacing w:after="0" w:line="201"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96</w:t>
      </w:r>
      <w:r>
        <w:rPr>
          <w:sz w:val="20"/>
          <w:szCs w:val="20"/>
          <w:color w:val="auto"/>
        </w:rPr>
        <w:tab/>
      </w:r>
      <w:r>
        <w:rPr>
          <w:sz w:val="1"/>
          <w:szCs w:val="1"/>
          <w:color w:val="auto"/>
        </w:rPr>
        <w:drawing>
          <wp:inline distT="0" distB="0" distL="0" distR="0">
            <wp:extent cx="548640" cy="102870"/>
            <wp:effectExtent l="0" t="0" r="0" b="0"/>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2026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247015</wp:posOffset>
            </wp:positionV>
            <wp:extent cx="7157720" cy="425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3"/>
          <w:szCs w:val="13"/>
          <w:b w:val="1"/>
          <w:bCs w:val="1"/>
          <w:color w:val="6D6E71"/>
        </w:rPr>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D7282F"/>
        </w:rPr>
        <w:t>HONEYWELL SALARY AND INCENTIVE AWARD DEFERRAL PLAN FOR SELECTED EMPLOYEES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The Honeywell DIC Plan allows Honeywell executives, including the NEOs, to defer all or a portion of their annual cash incentive compensation.</w:t>
      </w:r>
    </w:p>
    <w:p>
      <w:pPr>
        <w:spacing w:after="0" w:line="113"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b w:val="1"/>
          <w:bCs w:val="1"/>
          <w:color w:val="auto"/>
        </w:rPr>
        <w:t xml:space="preserve">Interest Rate. </w:t>
      </w:r>
      <w:r>
        <w:rPr>
          <w:rFonts w:ascii="Arial" w:cs="Arial" w:eastAsia="Arial" w:hAnsi="Arial"/>
          <w:sz w:val="16"/>
          <w:szCs w:val="16"/>
          <w:color w:val="auto"/>
        </w:rPr>
        <w:t>Beginning in 2005, deferrals are credited with a rate of interest, based on Honeywell’s 15-year borrowing rate, which is set annually at the</w:t>
      </w:r>
      <w:r>
        <w:rPr>
          <w:rFonts w:ascii="Arial" w:cs="Arial" w:eastAsia="Arial" w:hAnsi="Arial"/>
          <w:sz w:val="16"/>
          <w:szCs w:val="16"/>
          <w:b w:val="1"/>
          <w:bCs w:val="1"/>
          <w:color w:val="auto"/>
        </w:rPr>
        <w:t xml:space="preserve"> </w:t>
      </w:r>
      <w:r>
        <w:rPr>
          <w:rFonts w:ascii="Arial" w:cs="Arial" w:eastAsia="Arial" w:hAnsi="Arial"/>
          <w:sz w:val="16"/>
          <w:szCs w:val="16"/>
          <w:color w:val="auto"/>
        </w:rPr>
        <w:t>beginning of the year (4.91% for 2025). Amounts deferred for the 2004 plan year and earlier are credited with a rate of interest, compounded daily, that was set by the MDCC before the beginning of each plan year and is fixed until the deferral is distributed. Prior to the 2005 plan year, the MDCC would set the total rate at an above-market rate to retain executives. Above-market interest credited on DIC Plan deferrals and reflected in the Summary Compensation Table on page 86 includes the difference between market interest rates determined by SEC rules and the interest credited under the DIC Plan. For 2025, no above market interest was earned for the NEOs.</w:t>
      </w:r>
    </w:p>
    <w:p>
      <w:pPr>
        <w:spacing w:after="0" w:line="69" w:lineRule="exact"/>
        <w:rPr>
          <w:sz w:val="20"/>
          <w:szCs w:val="20"/>
          <w:color w:val="auto"/>
        </w:rPr>
      </w:pPr>
    </w:p>
    <w:p>
      <w:pPr>
        <w:ind w:right="340"/>
        <w:spacing w:after="0" w:line="265" w:lineRule="auto"/>
        <w:rPr>
          <w:sz w:val="20"/>
          <w:szCs w:val="20"/>
          <w:color w:val="auto"/>
        </w:rPr>
      </w:pPr>
      <w:r>
        <w:rPr>
          <w:rFonts w:ascii="Arial" w:cs="Arial" w:eastAsia="Arial" w:hAnsi="Arial"/>
          <w:sz w:val="16"/>
          <w:szCs w:val="16"/>
          <w:b w:val="1"/>
          <w:bCs w:val="1"/>
          <w:color w:val="auto"/>
        </w:rPr>
        <w:t xml:space="preserve">Distribution. </w:t>
      </w:r>
      <w:r>
        <w:rPr>
          <w:rFonts w:ascii="Arial" w:cs="Arial" w:eastAsia="Arial" w:hAnsi="Arial"/>
          <w:sz w:val="16"/>
          <w:szCs w:val="16"/>
          <w:color w:val="auto"/>
        </w:rPr>
        <w:t>Amounts deferred for the 2006 plan year and later will be distributed in a lump sum in January of the year following the termination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participant’s active employment. For the 2020 plan year and later, a participant can elect to receive five, 10, or 15 installments in lieu of the lump sum payment, which election will take effect only if the participant terminates employment after reaching age 55 with 10 years of service; for the 2006 to 2019 plan years, a participant could elect up to 10 installments under the same terms.</w:t>
      </w:r>
    </w:p>
    <w:p>
      <w:pPr>
        <w:spacing w:after="0" w:line="65"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Except in hardship circumstances (if permitted), amounts deferred for the 2005 plan year and earlier will be distributed either in January of any year three years after the compensation was earned or in January of the year following termination of the participant’s employment, as elected by the participant. The participant could elect to receive non-hardship distributions in a lump sum or up to 15 annual installments.</w:t>
      </w:r>
    </w:p>
    <w:p>
      <w:pPr>
        <w:spacing w:after="0" w:line="63"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Amounts deferred for the 2002 plan year and later cannot be withdrawn before the distribution date for any reason. Amounts deferred for the 2001 plan year and earlier may be withdrawn before the distribution date if a hardship exists or the participant requests an immediate withdrawal subject to a penalty that ranges from 0% to 6% and that is based on the 10-year Treasury bond rate at the beginning of the calendar quarter.</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D7282F"/>
        </w:rPr>
        <w:t>DEFERRAL OF RSUs</w:t>
      </w:r>
    </w:p>
    <w:p>
      <w:pPr>
        <w:spacing w:after="0" w:line="112"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auto"/>
        </w:rPr>
        <w:t>The NEOs may defer the receipt of up to 100% of certain RSUs upon vesting based on an election made at the time of grant. The executive may defer payment to:</w:t>
      </w:r>
    </w:p>
    <w:p>
      <w:pPr>
        <w:spacing w:after="0" w:line="61" w:lineRule="exact"/>
        <w:rPr>
          <w:sz w:val="20"/>
          <w:szCs w:val="20"/>
          <w:color w:val="auto"/>
        </w:rPr>
      </w:pPr>
    </w:p>
    <w:p>
      <w:pPr>
        <w:ind w:left="200" w:hanging="192"/>
        <w:spacing w:after="0"/>
        <w:tabs>
          <w:tab w:leader="none" w:pos="200" w:val="left"/>
        </w:tabs>
        <w:numPr>
          <w:ilvl w:val="0"/>
          <w:numId w:val="198"/>
        </w:numPr>
        <w:rPr>
          <w:rFonts w:ascii="Arial" w:cs="Arial" w:eastAsia="Arial" w:hAnsi="Arial"/>
          <w:sz w:val="16"/>
          <w:szCs w:val="16"/>
          <w:b w:val="1"/>
          <w:bCs w:val="1"/>
          <w:color w:val="D7282F"/>
        </w:rPr>
      </w:pPr>
      <w:r>
        <w:rPr>
          <w:rFonts w:ascii="Arial" w:cs="Arial" w:eastAsia="Arial" w:hAnsi="Arial"/>
          <w:sz w:val="16"/>
          <w:szCs w:val="16"/>
          <w:color w:val="auto"/>
        </w:rPr>
        <w:t>A specific year after the vesting year; or</w:t>
      </w:r>
    </w:p>
    <w:p>
      <w:pPr>
        <w:spacing w:after="0" w:line="86" w:lineRule="exact"/>
        <w:rPr>
          <w:rFonts w:ascii="Arial" w:cs="Arial" w:eastAsia="Arial" w:hAnsi="Arial"/>
          <w:sz w:val="16"/>
          <w:szCs w:val="16"/>
          <w:b w:val="1"/>
          <w:bCs w:val="1"/>
          <w:color w:val="D7282F"/>
        </w:rPr>
      </w:pPr>
    </w:p>
    <w:p>
      <w:pPr>
        <w:ind w:left="200" w:hanging="192"/>
        <w:spacing w:after="0"/>
        <w:tabs>
          <w:tab w:leader="none" w:pos="200" w:val="left"/>
        </w:tabs>
        <w:numPr>
          <w:ilvl w:val="0"/>
          <w:numId w:val="198"/>
        </w:numPr>
        <w:rPr>
          <w:rFonts w:ascii="Arial" w:cs="Arial" w:eastAsia="Arial" w:hAnsi="Arial"/>
          <w:sz w:val="16"/>
          <w:szCs w:val="16"/>
          <w:b w:val="1"/>
          <w:bCs w:val="1"/>
          <w:color w:val="D7282F"/>
        </w:rPr>
      </w:pPr>
      <w:r>
        <w:rPr>
          <w:rFonts w:ascii="Arial" w:cs="Arial" w:eastAsia="Arial" w:hAnsi="Arial"/>
          <w:sz w:val="16"/>
          <w:szCs w:val="16"/>
          <w:color w:val="auto"/>
        </w:rPr>
        <w:t>The year following the executive’s termination of active employment.</w:t>
      </w:r>
    </w:p>
    <w:p>
      <w:pPr>
        <w:spacing w:after="0" w:line="113"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The executive can also choose to receive payment in a lump sum or up to 15 annual installments and can also elect at the time of grant to accelerate the form and timing of payment following a Change in Control to a lump sum paid no later than 90 days following the Change in Control. Cash dividend equivalents on deferred RSUs (determined at the same rate as a regular share of common stock) are converted to additional deferred RSUs as of the dividend payment date and are subject to the same payment schedule and restrictions as the underlying deferred RSUs. For grants made before July 2004, an executive could also defer dividend equivalents in cash and such amounts are credited with interest at a 10% rate, compounded daily, until payment. The practice of deferring dividend equivalents in cash ended in July 2004.</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D7282F"/>
        </w:rPr>
        <w:t>UNVESTED DIVIDEND EQUIVALENTS</w:t>
      </w:r>
    </w:p>
    <w:p>
      <w:pPr>
        <w:spacing w:after="0" w:line="112"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Cash dividend equivalents on unvested RSUs (determined at the same rate as a regular share of common stock) are converted to additional unvested RSUs as of the dividend payment date and are subject to the same vesting schedule and restrictions as the underlying RSUs.</w:t>
      </w:r>
    </w:p>
    <w:p>
      <w:pPr>
        <w:spacing w:after="0" w:line="33"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auto"/>
        </w:rPr>
        <w:t>The terms of the SERP Plan, the SS Plan, the DIC Plan, the deferred RSUs, and the unvested dividend equivalents are subject to the requirements of, and regulations and guidance published by, Section 409A of the Internal Revenue Code.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2026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97</w:t>
            </w:r>
          </w:p>
        </w:tc>
      </w:tr>
      <w:tr>
        <w:trPr>
          <w:trHeight w:val="373"/>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0" w:name="page111"/>
    <w:bookmarkEnd w:id="110"/>
    <w:p>
      <w:pPr>
        <w:spacing w:after="0"/>
        <w:rPr>
          <w:sz w:val="20"/>
          <w:szCs w:val="20"/>
          <w:color w:val="auto"/>
        </w:rPr>
      </w:pPr>
      <w:r>
        <w:rPr>
          <w:rFonts w:ascii="Arial" w:cs="Arial" w:eastAsia="Arial" w:hAnsi="Arial"/>
          <w:sz w:val="13"/>
          <w:szCs w:val="13"/>
          <w:b w:val="1"/>
          <w:bCs w:val="1"/>
          <w:color w:val="6D6E71"/>
        </w:rPr>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POTENTIAL PAYMENTS UPON TERMINATION OR CHANGE IN CONTROL</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This section describes the benefits payable to our NEOs in two circumstances:</w:t>
      </w:r>
    </w:p>
    <w:p>
      <w:pPr>
        <w:spacing w:after="0" w:line="113" w:lineRule="exact"/>
        <w:rPr>
          <w:sz w:val="20"/>
          <w:szCs w:val="20"/>
          <w:color w:val="auto"/>
        </w:rPr>
      </w:pPr>
    </w:p>
    <w:p>
      <w:pPr>
        <w:ind w:left="200" w:hanging="192"/>
        <w:spacing w:after="0"/>
        <w:tabs>
          <w:tab w:leader="none" w:pos="200" w:val="left"/>
        </w:tabs>
        <w:numPr>
          <w:ilvl w:val="0"/>
          <w:numId w:val="199"/>
        </w:numPr>
        <w:rPr>
          <w:rFonts w:ascii="Arial" w:cs="Arial" w:eastAsia="Arial" w:hAnsi="Arial"/>
          <w:sz w:val="16"/>
          <w:szCs w:val="16"/>
          <w:b w:val="1"/>
          <w:bCs w:val="1"/>
          <w:color w:val="D7282F"/>
        </w:rPr>
      </w:pPr>
      <w:r>
        <w:rPr>
          <w:rFonts w:ascii="Arial" w:cs="Arial" w:eastAsia="Arial" w:hAnsi="Arial"/>
          <w:sz w:val="16"/>
          <w:szCs w:val="16"/>
          <w:color w:val="auto"/>
        </w:rPr>
        <w:t>Termination of Employment</w:t>
      </w:r>
    </w:p>
    <w:p>
      <w:pPr>
        <w:spacing w:after="0" w:line="86" w:lineRule="exact"/>
        <w:rPr>
          <w:rFonts w:ascii="Arial" w:cs="Arial" w:eastAsia="Arial" w:hAnsi="Arial"/>
          <w:sz w:val="16"/>
          <w:szCs w:val="16"/>
          <w:b w:val="1"/>
          <w:bCs w:val="1"/>
          <w:color w:val="D7282F"/>
        </w:rPr>
      </w:pPr>
    </w:p>
    <w:p>
      <w:pPr>
        <w:ind w:left="200" w:hanging="192"/>
        <w:spacing w:after="0"/>
        <w:tabs>
          <w:tab w:leader="none" w:pos="200" w:val="left"/>
        </w:tabs>
        <w:numPr>
          <w:ilvl w:val="0"/>
          <w:numId w:val="199"/>
        </w:numPr>
        <w:rPr>
          <w:rFonts w:ascii="Arial" w:cs="Arial" w:eastAsia="Arial" w:hAnsi="Arial"/>
          <w:sz w:val="16"/>
          <w:szCs w:val="16"/>
          <w:b w:val="1"/>
          <w:bCs w:val="1"/>
          <w:color w:val="D7282F"/>
        </w:rPr>
      </w:pPr>
      <w:r>
        <w:rPr>
          <w:rFonts w:ascii="Arial" w:cs="Arial" w:eastAsia="Arial" w:hAnsi="Arial"/>
          <w:sz w:val="16"/>
          <w:szCs w:val="16"/>
          <w:color w:val="auto"/>
        </w:rPr>
        <w:t>Change in Control (CIC)</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D7282F"/>
        </w:rPr>
        <w:t>SENIOR SEVERANCE PLAN</w:t>
      </w:r>
    </w:p>
    <w:p>
      <w:pPr>
        <w:spacing w:after="0" w:line="112"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These benefits are determined primarily under a plan that we refer to as our Senior Severance Plan. In addition to the Senior Severance Plan, other of our benefits plans, such as our annual incentive compensation plan, also have provisions that impact these benefits.</w:t>
      </w:r>
    </w:p>
    <w:p>
      <w:pPr>
        <w:spacing w:after="0" w:line="61"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These benefits ensure that our executives are motivated primarily by the needs of the businesses for which they are responsible, rather than circumstances that are outside the ordinary course of business, i.e., circumstances that might lead to the termination of an executive’s employment or that might lead to a CIC of the Company. Generally, this is achieved by assuring our NEOs that they will receive a level of continued compensation if their employment is adversely affected in these circumstances, subject to certain conditions. We believe that these benefits help ensure that affected executives act in the best interests of our shareowners, even if such actions are otherwise contrary to their personal interests. This is critical because these are circumstances in which the actions of our NEOs may have a material impact upon our shareowners. Accordingly, we set the level and terms of these benefits in a way that we believe is necessary to obtain the desired results. The level of benefit and the rights to benefits are determined by the type of termination event, as described below. We believe that these benefits are generally in line with current market practices and are particularly important as we do not maintain employment agreements with our NEOs.</w:t>
      </w:r>
    </w:p>
    <w:p>
      <w:pPr>
        <w:spacing w:after="0" w:line="6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Benefits provided under the Senior Severance Plan are conditioned on the executive executing a full release of claims and certain non-competition and non-solicitation covenants in favor of the Company. The right to continued severance benefits under the plan ceases in the event of a violation of such covenants. In addition, we would seek to recover severance benefits already paid to any executive who violates such restrictive covenants.</w:t>
      </w:r>
    </w:p>
    <w:p>
      <w:pPr>
        <w:spacing w:after="0" w:line="56"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In the case of a CIC, severance benefits are payable only if both parts of the “double trigger” are satisfied. That is, (i) there must be a CIC of our Company, and (ii)(A) the NEO must be involuntarily terminated other than for cause, or (ii)(B) the NEO must initiate the termination of his own employment for good reason. Similarly, the Company also amended its stock incentive plan in 2014 to eliminate automatic single-trigger vesting of all new equity and Performance Plan Unit awards that are rolled-over upon a CIC.</w:t>
      </w:r>
    </w:p>
    <w:p>
      <w:pPr>
        <w:spacing w:after="0" w:line="78"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Upon his separation from Honeywell, Mr. Boldea received a separation package with a value $2,546,199 which included base salary continuation, annual ICP bonus and life insurance coverage over the course of 18 months.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D7282F"/>
        </w:rPr>
        <w:t>LONG-TERM INCENTIVE RETIREMENT PROVISION</w:t>
      </w:r>
    </w:p>
    <w:p>
      <w:pPr>
        <w:spacing w:after="0" w:line="99" w:lineRule="exact"/>
        <w:rPr>
          <w:sz w:val="20"/>
          <w:szCs w:val="20"/>
          <w:color w:val="auto"/>
        </w:rPr>
      </w:pPr>
    </w:p>
    <w:p>
      <w:pPr>
        <w:ind w:right="40"/>
        <w:spacing w:after="0" w:line="230" w:lineRule="auto"/>
        <w:rPr>
          <w:sz w:val="20"/>
          <w:szCs w:val="20"/>
          <w:color w:val="auto"/>
        </w:rPr>
      </w:pPr>
      <w:r>
        <w:rPr>
          <w:rFonts w:ascii="Arial" w:cs="Arial" w:eastAsia="Arial" w:hAnsi="Arial"/>
          <w:sz w:val="16"/>
          <w:szCs w:val="16"/>
          <w:color w:val="auto"/>
        </w:rPr>
        <w:t>The MDCC approved a long-term incentive retirement provision for Honeywell Executive Officers which applies to awards granted in 2025 and prospectively. To qualify for retirement treatment, officers must have achieved 70 points (age + years of service) at the time of retirement and provide at a minimum 120</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days of notice of their intent to retire.</w:t>
      </w:r>
    </w:p>
    <w:p>
      <w:pPr>
        <w:spacing w:after="0" w:line="97"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If the Officer meets the eligibility criteria, the Officer will receive prorated vesting based on time worked up to the retirement date and will have full term to exercise eligible stock options. Retirement treatment excludes discretionary awards and terminations deemed "for cause".</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2025, the NEOs eligible for retirement treatment based on the criteria are Mr. Kapur, Mr. Lewis, and Mr. Currier.</w:t>
      </w:r>
    </w:p>
    <w:p>
      <w:pPr>
        <w:spacing w:after="0" w:line="263"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98</w:t>
      </w:r>
      <w:r>
        <w:rPr>
          <w:sz w:val="20"/>
          <w:szCs w:val="20"/>
          <w:color w:val="auto"/>
        </w:rPr>
        <w:tab/>
      </w:r>
      <w:r>
        <w:rPr>
          <w:sz w:val="1"/>
          <w:szCs w:val="1"/>
          <w:color w:val="auto"/>
        </w:rPr>
        <w:drawing>
          <wp:inline distT="0" distB="0" distL="0" distR="0">
            <wp:extent cx="548640" cy="102870"/>
            <wp:effectExtent l="0" t="0" r="0" b="0"/>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2026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3"/>
          <w:szCs w:val="13"/>
          <w:b w:val="1"/>
          <w:bCs w:val="1"/>
          <w:color w:val="6D6E71"/>
        </w:rPr>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D7282F"/>
        </w:rPr>
        <w:t>SUMMARY OF BENEFITS — TERMINATION EVENTS</w:t>
      </w:r>
    </w:p>
    <w:p>
      <w:pPr>
        <w:spacing w:after="0" w:line="126"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The following table summarizes the termination of employment and CIC benefits payable to our NEOs. None of these termination benefits are payable to NEOs who voluntarily resign (other than voluntary resignations for good reason after a CIC) or whose employment is terminated by us for cause. The information in the table below assumes, in each case, that termination of employment occurred on December 31, 2025. Pension and non-qualified deferred compensation benefits, which are described elsewhere in this Proxy Statement, are not included in the table below in accordance with applicable SEC rules, even though they may become payable upon the occurrence of the events specified in the table. The effect of a termination of employment or CIC on outstanding stock options, RSUs, and PSUs is described in the section below entitled “Impact on Equity-Based Awards”:</w:t>
      </w:r>
    </w:p>
    <w:p>
      <w:pPr>
        <w:sectPr>
          <w:pgSz w:w="11900" w:h="16838" w:orient="portrait"/>
          <w:cols w:equalWidth="0" w:num="1">
            <w:col w:w="11240"/>
          </w:cols>
          <w:pgMar w:left="320" w:top="229" w:right="3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176"/>
        </w:trPr>
        <w:tc>
          <w:tcPr>
            <w:tcW w:w="2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Change in Control —</w:t>
            </w:r>
          </w:p>
        </w:tc>
        <w:tc>
          <w:tcPr>
            <w:tcW w:w="0" w:type="dxa"/>
            <w:vAlign w:val="bottom"/>
          </w:tcPr>
          <w:p>
            <w:pPr>
              <w:spacing w:after="0"/>
              <w:rPr>
                <w:sz w:val="1"/>
                <w:szCs w:val="1"/>
                <w:color w:val="auto"/>
              </w:rPr>
            </w:pPr>
          </w:p>
        </w:tc>
      </w:tr>
      <w:tr>
        <w:trPr>
          <w:trHeight w:val="175"/>
        </w:trPr>
        <w:tc>
          <w:tcPr>
            <w:tcW w:w="2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Termination of</w:t>
            </w: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Employment by</w:t>
            </w:r>
          </w:p>
        </w:tc>
        <w:tc>
          <w:tcPr>
            <w:tcW w:w="0" w:type="dxa"/>
            <w:vAlign w:val="bottom"/>
          </w:tcPr>
          <w:p>
            <w:pPr>
              <w:spacing w:after="0"/>
              <w:rPr>
                <w:sz w:val="1"/>
                <w:szCs w:val="1"/>
                <w:color w:val="auto"/>
              </w:rPr>
            </w:pPr>
          </w:p>
        </w:tc>
      </w:tr>
      <w:tr>
        <w:trPr>
          <w:trHeight w:val="175"/>
        </w:trPr>
        <w:tc>
          <w:tcPr>
            <w:tcW w:w="2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Company Without</w:t>
            </w:r>
          </w:p>
        </w:tc>
        <w:tc>
          <w:tcPr>
            <w:tcW w:w="0" w:type="dxa"/>
            <w:vAlign w:val="bottom"/>
          </w:tcPr>
          <w:p>
            <w:pPr>
              <w:spacing w:after="0"/>
              <w:rPr>
                <w:sz w:val="1"/>
                <w:szCs w:val="1"/>
                <w:color w:val="auto"/>
              </w:rPr>
            </w:pPr>
          </w:p>
        </w:tc>
      </w:tr>
      <w:tr>
        <w:trPr>
          <w:trHeight w:val="176"/>
        </w:trPr>
        <w:tc>
          <w:tcPr>
            <w:tcW w:w="2240" w:type="dxa"/>
            <w:vAlign w:val="bottom"/>
          </w:tcPr>
          <w:p>
            <w:pPr>
              <w:spacing w:after="0"/>
              <w:rPr>
                <w:sz w:val="15"/>
                <w:szCs w:val="15"/>
                <w:color w:val="auto"/>
              </w:rPr>
            </w:pPr>
          </w:p>
        </w:tc>
        <w:tc>
          <w:tcPr>
            <w:tcW w:w="1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Named Executive</w:t>
            </w:r>
          </w:p>
        </w:tc>
        <w:tc>
          <w:tcPr>
            <w:tcW w:w="1420" w:type="dxa"/>
            <w:vAlign w:val="bottom"/>
          </w:tcPr>
          <w:p>
            <w:pPr>
              <w:jc w:val="center"/>
              <w:ind w:left="168"/>
              <w:spacing w:after="0"/>
              <w:rPr>
                <w:sz w:val="20"/>
                <w:szCs w:val="20"/>
                <w:color w:val="auto"/>
              </w:rPr>
            </w:pPr>
            <w:r>
              <w:rPr>
                <w:rFonts w:ascii="Arial" w:cs="Arial" w:eastAsia="Arial" w:hAnsi="Arial"/>
                <w:sz w:val="14"/>
                <w:szCs w:val="14"/>
                <w:b w:val="1"/>
                <w:bCs w:val="1"/>
                <w:color w:val="auto"/>
              </w:rPr>
              <w:t>Termination by</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4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Change in Control —</w:t>
            </w: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Cause, by NEO for</w:t>
            </w:r>
          </w:p>
        </w:tc>
        <w:tc>
          <w:tcPr>
            <w:tcW w:w="0" w:type="dxa"/>
            <w:vAlign w:val="bottom"/>
          </w:tcPr>
          <w:p>
            <w:pPr>
              <w:spacing w:after="0"/>
              <w:rPr>
                <w:sz w:val="1"/>
                <w:szCs w:val="1"/>
                <w:color w:val="auto"/>
              </w:rPr>
            </w:pPr>
          </w:p>
        </w:tc>
      </w:tr>
      <w:tr>
        <w:trPr>
          <w:trHeight w:val="68"/>
        </w:trPr>
        <w:tc>
          <w:tcPr>
            <w:tcW w:w="224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1420" w:type="dxa"/>
            <w:vAlign w:val="bottom"/>
            <w:vMerge w:val="restart"/>
          </w:tcPr>
          <w:p>
            <w:pPr>
              <w:jc w:val="center"/>
              <w:ind w:left="188"/>
              <w:spacing w:after="0"/>
              <w:rPr>
                <w:sz w:val="20"/>
                <w:szCs w:val="20"/>
                <w:color w:val="auto"/>
              </w:rPr>
            </w:pPr>
            <w:r>
              <w:rPr>
                <w:rFonts w:ascii="Arial" w:cs="Arial" w:eastAsia="Arial" w:hAnsi="Arial"/>
                <w:sz w:val="14"/>
                <w:szCs w:val="14"/>
                <w:b w:val="1"/>
                <w:bCs w:val="1"/>
                <w:color w:val="auto"/>
              </w:rPr>
              <w:t>the Company</w:t>
            </w:r>
          </w:p>
        </w:tc>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40" w:type="dxa"/>
            <w:vAlign w:val="bottom"/>
            <w:gridSpan w:val="2"/>
            <w:vMerge w:val="restart"/>
          </w:tcPr>
          <w:p>
            <w:pPr>
              <w:jc w:val="right"/>
              <w:ind w:right="288"/>
              <w:spacing w:after="0"/>
              <w:rPr>
                <w:sz w:val="20"/>
                <w:szCs w:val="20"/>
                <w:color w:val="auto"/>
              </w:rPr>
            </w:pPr>
            <w:r>
              <w:rPr>
                <w:rFonts w:ascii="Arial" w:cs="Arial" w:eastAsia="Arial" w:hAnsi="Arial"/>
                <w:sz w:val="14"/>
                <w:szCs w:val="14"/>
                <w:b w:val="1"/>
                <w:bCs w:val="1"/>
                <w:color w:val="auto"/>
              </w:rPr>
              <w:t>No Termination of</w:t>
            </w:r>
          </w:p>
        </w:tc>
        <w:tc>
          <w:tcPr>
            <w:tcW w:w="1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Good Reason, or Due</w:t>
            </w:r>
          </w:p>
        </w:tc>
        <w:tc>
          <w:tcPr>
            <w:tcW w:w="0" w:type="dxa"/>
            <w:vAlign w:val="bottom"/>
          </w:tcPr>
          <w:p>
            <w:pPr>
              <w:spacing w:after="0"/>
              <w:rPr>
                <w:sz w:val="1"/>
                <w:szCs w:val="1"/>
                <w:color w:val="auto"/>
              </w:rPr>
            </w:pPr>
          </w:p>
        </w:tc>
      </w:tr>
      <w:tr>
        <w:trPr>
          <w:trHeight w:val="108"/>
        </w:trPr>
        <w:tc>
          <w:tcPr>
            <w:tcW w:w="2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Payments and Benefits</w:t>
            </w:r>
          </w:p>
        </w:tc>
        <w:tc>
          <w:tcPr>
            <w:tcW w:w="1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Officer</w:t>
            </w:r>
          </w:p>
        </w:tc>
        <w:tc>
          <w:tcPr>
            <w:tcW w:w="14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Death</w:t>
            </w:r>
          </w:p>
        </w:tc>
        <w:tc>
          <w:tcPr>
            <w:tcW w:w="10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Disability</w:t>
            </w:r>
          </w:p>
        </w:tc>
        <w:tc>
          <w:tcPr>
            <w:tcW w:w="2040" w:type="dxa"/>
            <w:vAlign w:val="bottom"/>
            <w:gridSpan w:val="2"/>
            <w:vMerge w:val="continue"/>
          </w:tcPr>
          <w:p>
            <w:pPr>
              <w:spacing w:after="0"/>
              <w:rPr>
                <w:sz w:val="9"/>
                <w:szCs w:val="9"/>
                <w:color w:val="auto"/>
              </w:rPr>
            </w:pPr>
          </w:p>
        </w:tc>
        <w:tc>
          <w:tcPr>
            <w:tcW w:w="1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2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1420" w:type="dxa"/>
            <w:vAlign w:val="bottom"/>
            <w:vMerge w:val="restart"/>
          </w:tcPr>
          <w:p>
            <w:pPr>
              <w:jc w:val="center"/>
              <w:ind w:left="188"/>
              <w:spacing w:after="0"/>
              <w:rPr>
                <w:sz w:val="20"/>
                <w:szCs w:val="20"/>
                <w:color w:val="auto"/>
              </w:rPr>
            </w:pPr>
            <w:r>
              <w:rPr>
                <w:rFonts w:ascii="Arial" w:cs="Arial" w:eastAsia="Arial" w:hAnsi="Arial"/>
                <w:sz w:val="14"/>
                <w:szCs w:val="14"/>
                <w:b w:val="1"/>
                <w:bCs w:val="1"/>
                <w:color w:val="auto"/>
              </w:rPr>
              <w:t>Without Cause</w:t>
            </w:r>
          </w:p>
        </w:tc>
        <w:tc>
          <w:tcPr>
            <w:tcW w:w="26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22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Employment</w:t>
            </w:r>
          </w:p>
        </w:tc>
        <w:tc>
          <w:tcPr>
            <w:tcW w:w="1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 Disability</w:t>
            </w:r>
          </w:p>
        </w:tc>
        <w:tc>
          <w:tcPr>
            <w:tcW w:w="0" w:type="dxa"/>
            <w:vAlign w:val="bottom"/>
          </w:tcPr>
          <w:p>
            <w:pPr>
              <w:spacing w:after="0"/>
              <w:rPr>
                <w:sz w:val="1"/>
                <w:szCs w:val="1"/>
                <w:color w:val="auto"/>
              </w:rPr>
            </w:pPr>
          </w:p>
        </w:tc>
      </w:tr>
      <w:tr>
        <w:trPr>
          <w:trHeight w:val="123"/>
        </w:trPr>
        <w:tc>
          <w:tcPr>
            <w:tcW w:w="2240" w:type="dxa"/>
            <w:vAlign w:val="bottom"/>
            <w:tcBorders>
              <w:bottom w:val="single" w:sz="8" w:color="D7282F"/>
            </w:tcBorders>
          </w:tcPr>
          <w:p>
            <w:pPr>
              <w:spacing w:after="0"/>
              <w:rPr>
                <w:sz w:val="10"/>
                <w:szCs w:val="10"/>
                <w:color w:val="auto"/>
              </w:rPr>
            </w:pPr>
          </w:p>
        </w:tc>
        <w:tc>
          <w:tcPr>
            <w:tcW w:w="1460" w:type="dxa"/>
            <w:vAlign w:val="bottom"/>
            <w:tcBorders>
              <w:bottom w:val="single" w:sz="8" w:color="D7282F"/>
            </w:tcBorders>
          </w:tcPr>
          <w:p>
            <w:pPr>
              <w:spacing w:after="0"/>
              <w:rPr>
                <w:sz w:val="10"/>
                <w:szCs w:val="10"/>
                <w:color w:val="auto"/>
              </w:rPr>
            </w:pPr>
          </w:p>
        </w:tc>
        <w:tc>
          <w:tcPr>
            <w:tcW w:w="1420" w:type="dxa"/>
            <w:vAlign w:val="bottom"/>
            <w:tcBorders>
              <w:bottom w:val="single" w:sz="8" w:color="D7282F"/>
            </w:tcBorders>
            <w:vMerge w:val="continue"/>
          </w:tcPr>
          <w:p>
            <w:pPr>
              <w:spacing w:after="0"/>
              <w:rPr>
                <w:sz w:val="10"/>
                <w:szCs w:val="10"/>
                <w:color w:val="auto"/>
              </w:rPr>
            </w:pPr>
          </w:p>
        </w:tc>
        <w:tc>
          <w:tcPr>
            <w:tcW w:w="260" w:type="dxa"/>
            <w:vAlign w:val="bottom"/>
            <w:tcBorders>
              <w:bottom w:val="single" w:sz="8" w:color="D7282F"/>
            </w:tcBorders>
          </w:tcPr>
          <w:p>
            <w:pPr>
              <w:spacing w:after="0"/>
              <w:rPr>
                <w:sz w:val="10"/>
                <w:szCs w:val="10"/>
                <w:color w:val="auto"/>
              </w:rPr>
            </w:pPr>
          </w:p>
        </w:tc>
        <w:tc>
          <w:tcPr>
            <w:tcW w:w="1000" w:type="dxa"/>
            <w:vAlign w:val="bottom"/>
            <w:tcBorders>
              <w:bottom w:val="single" w:sz="8" w:color="D7282F"/>
            </w:tcBorders>
          </w:tcPr>
          <w:p>
            <w:pPr>
              <w:spacing w:after="0"/>
              <w:rPr>
                <w:sz w:val="10"/>
                <w:szCs w:val="10"/>
                <w:color w:val="auto"/>
              </w:rPr>
            </w:pPr>
          </w:p>
        </w:tc>
        <w:tc>
          <w:tcPr>
            <w:tcW w:w="102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spacing w:after="0"/>
              <w:rPr>
                <w:sz w:val="10"/>
                <w:szCs w:val="10"/>
                <w:color w:val="auto"/>
              </w:rPr>
            </w:pPr>
          </w:p>
        </w:tc>
        <w:tc>
          <w:tcPr>
            <w:tcW w:w="1220" w:type="dxa"/>
            <w:vAlign w:val="bottom"/>
            <w:tcBorders>
              <w:bottom w:val="single" w:sz="8" w:color="D7282F"/>
            </w:tcBorders>
            <w:vMerge w:val="continue"/>
          </w:tcPr>
          <w:p>
            <w:pPr>
              <w:spacing w:after="0"/>
              <w:rPr>
                <w:sz w:val="10"/>
                <w:szCs w:val="10"/>
                <w:color w:val="auto"/>
              </w:rPr>
            </w:pPr>
          </w:p>
        </w:tc>
        <w:tc>
          <w:tcPr>
            <w:tcW w:w="1780" w:type="dxa"/>
            <w:vAlign w:val="bottom"/>
            <w:tcBorders>
              <w:bottom w:val="single" w:sz="8" w:color="D7282F"/>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17"/>
        </w:trPr>
        <w:tc>
          <w:tcPr>
            <w:tcW w:w="2240" w:type="dxa"/>
            <w:vAlign w:val="bottom"/>
          </w:tcPr>
          <w:p>
            <w:pPr>
              <w:ind w:left="20"/>
              <w:spacing w:after="0"/>
              <w:rPr>
                <w:sz w:val="20"/>
                <w:szCs w:val="20"/>
                <w:color w:val="auto"/>
              </w:rPr>
            </w:pPr>
            <w:r>
              <w:rPr>
                <w:rFonts w:ascii="Arial" w:cs="Arial" w:eastAsia="Arial" w:hAnsi="Arial"/>
                <w:sz w:val="14"/>
                <w:szCs w:val="14"/>
                <w:b w:val="1"/>
                <w:bCs w:val="1"/>
                <w:color w:val="auto"/>
              </w:rPr>
              <w:t>Cash Severance</w:t>
            </w:r>
          </w:p>
        </w:tc>
        <w:tc>
          <w:tcPr>
            <w:tcW w:w="1460" w:type="dxa"/>
            <w:vAlign w:val="bottom"/>
          </w:tcPr>
          <w:p>
            <w:pPr>
              <w:ind w:left="20"/>
              <w:spacing w:after="0"/>
              <w:rPr>
                <w:sz w:val="20"/>
                <w:szCs w:val="20"/>
                <w:color w:val="auto"/>
              </w:rPr>
            </w:pPr>
            <w:r>
              <w:rPr>
                <w:rFonts w:ascii="Arial" w:cs="Arial" w:eastAsia="Arial" w:hAnsi="Arial"/>
                <w:sz w:val="14"/>
                <w:szCs w:val="14"/>
                <w:color w:val="auto"/>
              </w:rPr>
              <w:t>Mr. Kapur</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   13,200,000</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   $</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780" w:type="dxa"/>
            <w:vAlign w:val="bottom"/>
          </w:tcPr>
          <w:p>
            <w:pPr>
              <w:jc w:val="right"/>
              <w:spacing w:after="0"/>
              <w:rPr>
                <w:sz w:val="20"/>
                <w:szCs w:val="20"/>
                <w:color w:val="auto"/>
              </w:rPr>
            </w:pPr>
            <w:r>
              <w:rPr>
                <w:rFonts w:ascii="Arial" w:cs="Arial" w:eastAsia="Arial" w:hAnsi="Arial"/>
                <w:sz w:val="14"/>
                <w:szCs w:val="14"/>
                <w:color w:val="auto"/>
              </w:rPr>
              <w:t>$    13,200,000</w:t>
            </w:r>
          </w:p>
        </w:tc>
        <w:tc>
          <w:tcPr>
            <w:tcW w:w="0" w:type="dxa"/>
            <w:vAlign w:val="bottom"/>
          </w:tcPr>
          <w:p>
            <w:pPr>
              <w:spacing w:after="0"/>
              <w:rPr>
                <w:sz w:val="1"/>
                <w:szCs w:val="1"/>
                <w:color w:val="auto"/>
              </w:rPr>
            </w:pPr>
          </w:p>
        </w:tc>
      </w:tr>
      <w:tr>
        <w:trPr>
          <w:trHeight w:val="123"/>
        </w:trPr>
        <w:tc>
          <w:tcPr>
            <w:tcW w:w="2240" w:type="dxa"/>
            <w:vAlign w:val="bottom"/>
            <w:vMerge w:val="restart"/>
          </w:tcPr>
          <w:p>
            <w:pPr>
              <w:ind w:left="20"/>
              <w:spacing w:after="0"/>
              <w:rPr>
                <w:sz w:val="20"/>
                <w:szCs w:val="20"/>
                <w:color w:val="auto"/>
              </w:rPr>
            </w:pPr>
            <w:r>
              <w:rPr>
                <w:rFonts w:ascii="Arial" w:cs="Arial" w:eastAsia="Arial" w:hAnsi="Arial"/>
                <w:sz w:val="14"/>
                <w:szCs w:val="14"/>
                <w:color w:val="auto"/>
              </w:rPr>
              <w:t>(Base Salary + Bonus)</w:t>
            </w:r>
          </w:p>
        </w:tc>
        <w:tc>
          <w:tcPr>
            <w:tcW w:w="1460" w:type="dxa"/>
            <w:vAlign w:val="bottom"/>
            <w:tcBorders>
              <w:bottom w:val="single" w:sz="8" w:color="939598"/>
            </w:tcBorders>
          </w:tcPr>
          <w:p>
            <w:pPr>
              <w:spacing w:after="0"/>
              <w:rPr>
                <w:sz w:val="10"/>
                <w:szCs w:val="10"/>
                <w:color w:val="auto"/>
              </w:rPr>
            </w:pPr>
          </w:p>
        </w:tc>
        <w:tc>
          <w:tcPr>
            <w:tcW w:w="1420" w:type="dxa"/>
            <w:vAlign w:val="bottom"/>
            <w:tcBorders>
              <w:bottom w:val="single" w:sz="8" w:color="939598"/>
            </w:tcBorders>
          </w:tcPr>
          <w:p>
            <w:pPr>
              <w:spacing w:after="0"/>
              <w:rPr>
                <w:sz w:val="10"/>
                <w:szCs w:val="10"/>
                <w:color w:val="auto"/>
              </w:rPr>
            </w:pPr>
          </w:p>
        </w:tc>
        <w:tc>
          <w:tcPr>
            <w:tcW w:w="260" w:type="dxa"/>
            <w:vAlign w:val="bottom"/>
            <w:tcBorders>
              <w:bottom w:val="single" w:sz="8" w:color="939598"/>
            </w:tcBorders>
          </w:tcPr>
          <w:p>
            <w:pPr>
              <w:spacing w:after="0"/>
              <w:rPr>
                <w:sz w:val="10"/>
                <w:szCs w:val="10"/>
                <w:color w:val="auto"/>
              </w:rPr>
            </w:pPr>
          </w:p>
        </w:tc>
        <w:tc>
          <w:tcPr>
            <w:tcW w:w="1000" w:type="dxa"/>
            <w:vAlign w:val="bottom"/>
            <w:tcBorders>
              <w:bottom w:val="single" w:sz="8" w:color="939598"/>
            </w:tcBorders>
          </w:tcPr>
          <w:p>
            <w:pPr>
              <w:spacing w:after="0"/>
              <w:rPr>
                <w:sz w:val="10"/>
                <w:szCs w:val="10"/>
                <w:color w:val="auto"/>
              </w:rPr>
            </w:pPr>
          </w:p>
        </w:tc>
        <w:tc>
          <w:tcPr>
            <w:tcW w:w="102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spacing w:after="0"/>
              <w:rPr>
                <w:sz w:val="10"/>
                <w:szCs w:val="10"/>
                <w:color w:val="auto"/>
              </w:rPr>
            </w:pPr>
          </w:p>
        </w:tc>
        <w:tc>
          <w:tcPr>
            <w:tcW w:w="1220" w:type="dxa"/>
            <w:vAlign w:val="bottom"/>
            <w:tcBorders>
              <w:bottom w:val="single" w:sz="8" w:color="939598"/>
            </w:tcBorders>
          </w:tcPr>
          <w:p>
            <w:pPr>
              <w:spacing w:after="0"/>
              <w:rPr>
                <w:sz w:val="10"/>
                <w:szCs w:val="10"/>
                <w:color w:val="auto"/>
              </w:rPr>
            </w:pPr>
          </w:p>
        </w:tc>
        <w:tc>
          <w:tcPr>
            <w:tcW w:w="178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310"/>
        </w:trPr>
        <w:tc>
          <w:tcPr>
            <w:tcW w:w="2240" w:type="dxa"/>
            <w:vAlign w:val="bottom"/>
            <w:vMerge w:val="continue"/>
          </w:tcPr>
          <w:p>
            <w:pPr>
              <w:spacing w:after="0"/>
              <w:rPr>
                <w:sz w:val="24"/>
                <w:szCs w:val="24"/>
                <w:color w:val="auto"/>
              </w:rPr>
            </w:pPr>
          </w:p>
        </w:tc>
        <w:tc>
          <w:tcPr>
            <w:tcW w:w="1460" w:type="dxa"/>
            <w:vAlign w:val="bottom"/>
          </w:tcPr>
          <w:p>
            <w:pPr>
              <w:ind w:left="20"/>
              <w:spacing w:after="0"/>
              <w:rPr>
                <w:sz w:val="20"/>
                <w:szCs w:val="20"/>
                <w:color w:val="auto"/>
              </w:rPr>
            </w:pPr>
            <w:r>
              <w:rPr>
                <w:rFonts w:ascii="Arial" w:cs="Arial" w:eastAsia="Arial" w:hAnsi="Arial"/>
                <w:sz w:val="14"/>
                <w:szCs w:val="14"/>
                <w:color w:val="auto"/>
              </w:rPr>
              <w:t>Mr. Stepniak</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1,850,000</w:t>
            </w:r>
          </w:p>
        </w:tc>
        <w:tc>
          <w:tcPr>
            <w:tcW w:w="260" w:type="dxa"/>
            <w:vAlign w:val="bottom"/>
          </w:tcPr>
          <w:p>
            <w:pPr>
              <w:spacing w:after="0"/>
              <w:rPr>
                <w:sz w:val="24"/>
                <w:szCs w:val="24"/>
                <w:color w:val="auto"/>
              </w:rPr>
            </w:pPr>
          </w:p>
        </w:tc>
        <w:tc>
          <w:tcPr>
            <w:tcW w:w="10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24"/>
                <w:szCs w:val="24"/>
                <w:color w:val="auto"/>
              </w:rPr>
            </w:pPr>
          </w:p>
        </w:tc>
        <w:tc>
          <w:tcPr>
            <w:tcW w:w="12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780" w:type="dxa"/>
            <w:vAlign w:val="bottom"/>
          </w:tcPr>
          <w:p>
            <w:pPr>
              <w:jc w:val="right"/>
              <w:spacing w:after="0"/>
              <w:rPr>
                <w:sz w:val="20"/>
                <w:szCs w:val="20"/>
                <w:color w:val="auto"/>
              </w:rPr>
            </w:pPr>
            <w:r>
              <w:rPr>
                <w:rFonts w:ascii="Arial" w:cs="Arial" w:eastAsia="Arial" w:hAnsi="Arial"/>
                <w:sz w:val="14"/>
                <w:szCs w:val="14"/>
                <w:color w:val="auto"/>
              </w:rPr>
              <w:t>3,700,000</w:t>
            </w:r>
          </w:p>
        </w:tc>
        <w:tc>
          <w:tcPr>
            <w:tcW w:w="0" w:type="dxa"/>
            <w:vAlign w:val="bottom"/>
          </w:tcPr>
          <w:p>
            <w:pPr>
              <w:spacing w:after="0"/>
              <w:rPr>
                <w:sz w:val="1"/>
                <w:szCs w:val="1"/>
                <w:color w:val="auto"/>
              </w:rPr>
            </w:pPr>
          </w:p>
        </w:tc>
      </w:tr>
      <w:tr>
        <w:trPr>
          <w:trHeight w:val="129"/>
        </w:trPr>
        <w:tc>
          <w:tcPr>
            <w:tcW w:w="2240" w:type="dxa"/>
            <w:vAlign w:val="bottom"/>
          </w:tcPr>
          <w:p>
            <w:pPr>
              <w:spacing w:after="0"/>
              <w:rPr>
                <w:sz w:val="11"/>
                <w:szCs w:val="11"/>
                <w:color w:val="auto"/>
              </w:rPr>
            </w:pPr>
          </w:p>
        </w:tc>
        <w:tc>
          <w:tcPr>
            <w:tcW w:w="1460" w:type="dxa"/>
            <w:vAlign w:val="bottom"/>
            <w:tcBorders>
              <w:bottom w:val="single" w:sz="8" w:color="939598"/>
            </w:tcBorders>
          </w:tcPr>
          <w:p>
            <w:pPr>
              <w:spacing w:after="0"/>
              <w:rPr>
                <w:sz w:val="11"/>
                <w:szCs w:val="11"/>
                <w:color w:val="auto"/>
              </w:rPr>
            </w:pPr>
          </w:p>
        </w:tc>
        <w:tc>
          <w:tcPr>
            <w:tcW w:w="1420" w:type="dxa"/>
            <w:vAlign w:val="bottom"/>
            <w:tcBorders>
              <w:bottom w:val="single" w:sz="8" w:color="939598"/>
            </w:tcBorders>
          </w:tcPr>
          <w:p>
            <w:pPr>
              <w:spacing w:after="0"/>
              <w:rPr>
                <w:sz w:val="11"/>
                <w:szCs w:val="11"/>
                <w:color w:val="auto"/>
              </w:rPr>
            </w:pPr>
          </w:p>
        </w:tc>
        <w:tc>
          <w:tcPr>
            <w:tcW w:w="260" w:type="dxa"/>
            <w:vAlign w:val="bottom"/>
            <w:tcBorders>
              <w:bottom w:val="single" w:sz="8" w:color="939598"/>
            </w:tcBorders>
          </w:tcPr>
          <w:p>
            <w:pPr>
              <w:spacing w:after="0"/>
              <w:rPr>
                <w:sz w:val="11"/>
                <w:szCs w:val="11"/>
                <w:color w:val="auto"/>
              </w:rPr>
            </w:pPr>
          </w:p>
        </w:tc>
        <w:tc>
          <w:tcPr>
            <w:tcW w:w="1000" w:type="dxa"/>
            <w:vAlign w:val="bottom"/>
            <w:tcBorders>
              <w:bottom w:val="single" w:sz="8" w:color="939598"/>
            </w:tcBorders>
          </w:tcPr>
          <w:p>
            <w:pPr>
              <w:spacing w:after="0"/>
              <w:rPr>
                <w:sz w:val="11"/>
                <w:szCs w:val="11"/>
                <w:color w:val="auto"/>
              </w:rPr>
            </w:pPr>
          </w:p>
        </w:tc>
        <w:tc>
          <w:tcPr>
            <w:tcW w:w="1020" w:type="dxa"/>
            <w:vAlign w:val="bottom"/>
            <w:tcBorders>
              <w:bottom w:val="single" w:sz="8" w:color="939598"/>
            </w:tcBorders>
          </w:tcPr>
          <w:p>
            <w:pPr>
              <w:spacing w:after="0"/>
              <w:rPr>
                <w:sz w:val="11"/>
                <w:szCs w:val="11"/>
                <w:color w:val="auto"/>
              </w:rPr>
            </w:pPr>
          </w:p>
        </w:tc>
        <w:tc>
          <w:tcPr>
            <w:tcW w:w="820" w:type="dxa"/>
            <w:vAlign w:val="bottom"/>
            <w:tcBorders>
              <w:bottom w:val="single" w:sz="8" w:color="939598"/>
            </w:tcBorders>
          </w:tcPr>
          <w:p>
            <w:pPr>
              <w:spacing w:after="0"/>
              <w:rPr>
                <w:sz w:val="11"/>
                <w:szCs w:val="11"/>
                <w:color w:val="auto"/>
              </w:rPr>
            </w:pPr>
          </w:p>
        </w:tc>
        <w:tc>
          <w:tcPr>
            <w:tcW w:w="1220" w:type="dxa"/>
            <w:vAlign w:val="bottom"/>
            <w:tcBorders>
              <w:bottom w:val="single" w:sz="8" w:color="939598"/>
            </w:tcBorders>
          </w:tcPr>
          <w:p>
            <w:pPr>
              <w:spacing w:after="0"/>
              <w:rPr>
                <w:sz w:val="11"/>
                <w:szCs w:val="11"/>
                <w:color w:val="auto"/>
              </w:rPr>
            </w:pPr>
          </w:p>
        </w:tc>
        <w:tc>
          <w:tcPr>
            <w:tcW w:w="178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309"/>
        </w:trPr>
        <w:tc>
          <w:tcPr>
            <w:tcW w:w="2240" w:type="dxa"/>
            <w:vAlign w:val="bottom"/>
          </w:tcPr>
          <w:p>
            <w:pPr>
              <w:spacing w:after="0"/>
              <w:rPr>
                <w:sz w:val="24"/>
                <w:szCs w:val="24"/>
                <w:color w:val="auto"/>
              </w:rPr>
            </w:pPr>
          </w:p>
        </w:tc>
        <w:tc>
          <w:tcPr>
            <w:tcW w:w="1460" w:type="dxa"/>
            <w:vAlign w:val="bottom"/>
          </w:tcPr>
          <w:p>
            <w:pPr>
              <w:ind w:left="20"/>
              <w:spacing w:after="0"/>
              <w:rPr>
                <w:sz w:val="20"/>
                <w:szCs w:val="20"/>
                <w:color w:val="auto"/>
              </w:rPr>
            </w:pPr>
            <w:r>
              <w:rPr>
                <w:rFonts w:ascii="Arial" w:cs="Arial" w:eastAsia="Arial" w:hAnsi="Arial"/>
                <w:sz w:val="14"/>
                <w:szCs w:val="14"/>
                <w:color w:val="auto"/>
              </w:rPr>
              <w:t>Mr. Currier</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1,694,000</w:t>
            </w:r>
          </w:p>
        </w:tc>
        <w:tc>
          <w:tcPr>
            <w:tcW w:w="260" w:type="dxa"/>
            <w:vAlign w:val="bottom"/>
          </w:tcPr>
          <w:p>
            <w:pPr>
              <w:spacing w:after="0"/>
              <w:rPr>
                <w:sz w:val="24"/>
                <w:szCs w:val="24"/>
                <w:color w:val="auto"/>
              </w:rPr>
            </w:pPr>
          </w:p>
        </w:tc>
        <w:tc>
          <w:tcPr>
            <w:tcW w:w="10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24"/>
                <w:szCs w:val="24"/>
                <w:color w:val="auto"/>
              </w:rPr>
            </w:pPr>
          </w:p>
        </w:tc>
        <w:tc>
          <w:tcPr>
            <w:tcW w:w="12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780" w:type="dxa"/>
            <w:vAlign w:val="bottom"/>
          </w:tcPr>
          <w:p>
            <w:pPr>
              <w:jc w:val="right"/>
              <w:spacing w:after="0"/>
              <w:rPr>
                <w:sz w:val="20"/>
                <w:szCs w:val="20"/>
                <w:color w:val="auto"/>
              </w:rPr>
            </w:pPr>
            <w:r>
              <w:rPr>
                <w:rFonts w:ascii="Arial" w:cs="Arial" w:eastAsia="Arial" w:hAnsi="Arial"/>
                <w:sz w:val="14"/>
                <w:szCs w:val="14"/>
                <w:color w:val="auto"/>
              </w:rPr>
              <w:t>3,388,000</w:t>
            </w:r>
          </w:p>
        </w:tc>
        <w:tc>
          <w:tcPr>
            <w:tcW w:w="0" w:type="dxa"/>
            <w:vAlign w:val="bottom"/>
          </w:tcPr>
          <w:p>
            <w:pPr>
              <w:spacing w:after="0"/>
              <w:rPr>
                <w:sz w:val="1"/>
                <w:szCs w:val="1"/>
                <w:color w:val="auto"/>
              </w:rPr>
            </w:pPr>
          </w:p>
        </w:tc>
      </w:tr>
      <w:tr>
        <w:trPr>
          <w:trHeight w:val="130"/>
        </w:trPr>
        <w:tc>
          <w:tcPr>
            <w:tcW w:w="2240" w:type="dxa"/>
            <w:vAlign w:val="bottom"/>
          </w:tcPr>
          <w:p>
            <w:pPr>
              <w:spacing w:after="0"/>
              <w:rPr>
                <w:sz w:val="11"/>
                <w:szCs w:val="11"/>
                <w:color w:val="auto"/>
              </w:rPr>
            </w:pPr>
          </w:p>
        </w:tc>
        <w:tc>
          <w:tcPr>
            <w:tcW w:w="1460" w:type="dxa"/>
            <w:vAlign w:val="bottom"/>
            <w:tcBorders>
              <w:bottom w:val="single" w:sz="8" w:color="939598"/>
            </w:tcBorders>
          </w:tcPr>
          <w:p>
            <w:pPr>
              <w:spacing w:after="0"/>
              <w:rPr>
                <w:sz w:val="11"/>
                <w:szCs w:val="11"/>
                <w:color w:val="auto"/>
              </w:rPr>
            </w:pPr>
          </w:p>
        </w:tc>
        <w:tc>
          <w:tcPr>
            <w:tcW w:w="1420" w:type="dxa"/>
            <w:vAlign w:val="bottom"/>
            <w:tcBorders>
              <w:bottom w:val="single" w:sz="8" w:color="939598"/>
            </w:tcBorders>
          </w:tcPr>
          <w:p>
            <w:pPr>
              <w:spacing w:after="0"/>
              <w:rPr>
                <w:sz w:val="11"/>
                <w:szCs w:val="11"/>
                <w:color w:val="auto"/>
              </w:rPr>
            </w:pPr>
          </w:p>
        </w:tc>
        <w:tc>
          <w:tcPr>
            <w:tcW w:w="260" w:type="dxa"/>
            <w:vAlign w:val="bottom"/>
            <w:tcBorders>
              <w:bottom w:val="single" w:sz="8" w:color="939598"/>
            </w:tcBorders>
          </w:tcPr>
          <w:p>
            <w:pPr>
              <w:spacing w:after="0"/>
              <w:rPr>
                <w:sz w:val="11"/>
                <w:szCs w:val="11"/>
                <w:color w:val="auto"/>
              </w:rPr>
            </w:pPr>
          </w:p>
        </w:tc>
        <w:tc>
          <w:tcPr>
            <w:tcW w:w="1000" w:type="dxa"/>
            <w:vAlign w:val="bottom"/>
            <w:tcBorders>
              <w:bottom w:val="single" w:sz="8" w:color="939598"/>
            </w:tcBorders>
          </w:tcPr>
          <w:p>
            <w:pPr>
              <w:spacing w:after="0"/>
              <w:rPr>
                <w:sz w:val="11"/>
                <w:szCs w:val="11"/>
                <w:color w:val="auto"/>
              </w:rPr>
            </w:pPr>
          </w:p>
        </w:tc>
        <w:tc>
          <w:tcPr>
            <w:tcW w:w="1020" w:type="dxa"/>
            <w:vAlign w:val="bottom"/>
            <w:tcBorders>
              <w:bottom w:val="single" w:sz="8" w:color="939598"/>
            </w:tcBorders>
          </w:tcPr>
          <w:p>
            <w:pPr>
              <w:spacing w:after="0"/>
              <w:rPr>
                <w:sz w:val="11"/>
                <w:szCs w:val="11"/>
                <w:color w:val="auto"/>
              </w:rPr>
            </w:pPr>
          </w:p>
        </w:tc>
        <w:tc>
          <w:tcPr>
            <w:tcW w:w="820" w:type="dxa"/>
            <w:vAlign w:val="bottom"/>
            <w:tcBorders>
              <w:bottom w:val="single" w:sz="8" w:color="939598"/>
            </w:tcBorders>
          </w:tcPr>
          <w:p>
            <w:pPr>
              <w:spacing w:after="0"/>
              <w:rPr>
                <w:sz w:val="11"/>
                <w:szCs w:val="11"/>
                <w:color w:val="auto"/>
              </w:rPr>
            </w:pPr>
          </w:p>
        </w:tc>
        <w:tc>
          <w:tcPr>
            <w:tcW w:w="1220" w:type="dxa"/>
            <w:vAlign w:val="bottom"/>
            <w:tcBorders>
              <w:bottom w:val="single" w:sz="8" w:color="939598"/>
            </w:tcBorders>
          </w:tcPr>
          <w:p>
            <w:pPr>
              <w:spacing w:after="0"/>
              <w:rPr>
                <w:sz w:val="11"/>
                <w:szCs w:val="11"/>
                <w:color w:val="auto"/>
              </w:rPr>
            </w:pPr>
          </w:p>
        </w:tc>
        <w:tc>
          <w:tcPr>
            <w:tcW w:w="178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309"/>
        </w:trPr>
        <w:tc>
          <w:tcPr>
            <w:tcW w:w="2240" w:type="dxa"/>
            <w:vAlign w:val="bottom"/>
          </w:tcPr>
          <w:p>
            <w:pPr>
              <w:spacing w:after="0"/>
              <w:rPr>
                <w:sz w:val="24"/>
                <w:szCs w:val="24"/>
                <w:color w:val="auto"/>
              </w:rPr>
            </w:pPr>
          </w:p>
        </w:tc>
        <w:tc>
          <w:tcPr>
            <w:tcW w:w="1460" w:type="dxa"/>
            <w:vAlign w:val="bottom"/>
          </w:tcPr>
          <w:p>
            <w:pPr>
              <w:ind w:left="20"/>
              <w:spacing w:after="0"/>
              <w:rPr>
                <w:sz w:val="20"/>
                <w:szCs w:val="20"/>
                <w:color w:val="auto"/>
              </w:rPr>
            </w:pPr>
            <w:r>
              <w:rPr>
                <w:rFonts w:ascii="Arial" w:cs="Arial" w:eastAsia="Arial" w:hAnsi="Arial"/>
                <w:sz w:val="14"/>
                <w:szCs w:val="14"/>
                <w:color w:val="auto"/>
              </w:rPr>
              <w:t>Mr. Masso</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1,350,000</w:t>
            </w:r>
          </w:p>
        </w:tc>
        <w:tc>
          <w:tcPr>
            <w:tcW w:w="260" w:type="dxa"/>
            <w:vAlign w:val="bottom"/>
          </w:tcPr>
          <w:p>
            <w:pPr>
              <w:spacing w:after="0"/>
              <w:rPr>
                <w:sz w:val="24"/>
                <w:szCs w:val="24"/>
                <w:color w:val="auto"/>
              </w:rPr>
            </w:pPr>
          </w:p>
        </w:tc>
        <w:tc>
          <w:tcPr>
            <w:tcW w:w="10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24"/>
                <w:szCs w:val="24"/>
                <w:color w:val="auto"/>
              </w:rPr>
            </w:pPr>
          </w:p>
        </w:tc>
        <w:tc>
          <w:tcPr>
            <w:tcW w:w="12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780" w:type="dxa"/>
            <w:vAlign w:val="bottom"/>
          </w:tcPr>
          <w:p>
            <w:pPr>
              <w:jc w:val="right"/>
              <w:spacing w:after="0"/>
              <w:rPr>
                <w:sz w:val="20"/>
                <w:szCs w:val="20"/>
                <w:color w:val="auto"/>
              </w:rPr>
            </w:pPr>
            <w:r>
              <w:rPr>
                <w:rFonts w:ascii="Arial" w:cs="Arial" w:eastAsia="Arial" w:hAnsi="Arial"/>
                <w:sz w:val="14"/>
                <w:szCs w:val="14"/>
                <w:color w:val="auto"/>
              </w:rPr>
              <w:t>2,700,000</w:t>
            </w:r>
          </w:p>
        </w:tc>
        <w:tc>
          <w:tcPr>
            <w:tcW w:w="0" w:type="dxa"/>
            <w:vAlign w:val="bottom"/>
          </w:tcPr>
          <w:p>
            <w:pPr>
              <w:spacing w:after="0"/>
              <w:rPr>
                <w:sz w:val="1"/>
                <w:szCs w:val="1"/>
                <w:color w:val="auto"/>
              </w:rPr>
            </w:pPr>
          </w:p>
        </w:tc>
      </w:tr>
      <w:tr>
        <w:trPr>
          <w:trHeight w:val="130"/>
        </w:trPr>
        <w:tc>
          <w:tcPr>
            <w:tcW w:w="2240" w:type="dxa"/>
            <w:vAlign w:val="bottom"/>
          </w:tcPr>
          <w:p>
            <w:pPr>
              <w:spacing w:after="0"/>
              <w:rPr>
                <w:sz w:val="11"/>
                <w:szCs w:val="11"/>
                <w:color w:val="auto"/>
              </w:rPr>
            </w:pPr>
          </w:p>
        </w:tc>
        <w:tc>
          <w:tcPr>
            <w:tcW w:w="1460" w:type="dxa"/>
            <w:vAlign w:val="bottom"/>
            <w:tcBorders>
              <w:bottom w:val="single" w:sz="8" w:color="939598"/>
            </w:tcBorders>
          </w:tcPr>
          <w:p>
            <w:pPr>
              <w:spacing w:after="0"/>
              <w:rPr>
                <w:sz w:val="11"/>
                <w:szCs w:val="11"/>
                <w:color w:val="auto"/>
              </w:rPr>
            </w:pPr>
          </w:p>
        </w:tc>
        <w:tc>
          <w:tcPr>
            <w:tcW w:w="1420" w:type="dxa"/>
            <w:vAlign w:val="bottom"/>
            <w:tcBorders>
              <w:bottom w:val="single" w:sz="8" w:color="939598"/>
            </w:tcBorders>
          </w:tcPr>
          <w:p>
            <w:pPr>
              <w:spacing w:after="0"/>
              <w:rPr>
                <w:sz w:val="11"/>
                <w:szCs w:val="11"/>
                <w:color w:val="auto"/>
              </w:rPr>
            </w:pPr>
          </w:p>
        </w:tc>
        <w:tc>
          <w:tcPr>
            <w:tcW w:w="260" w:type="dxa"/>
            <w:vAlign w:val="bottom"/>
            <w:tcBorders>
              <w:bottom w:val="single" w:sz="8" w:color="939598"/>
            </w:tcBorders>
          </w:tcPr>
          <w:p>
            <w:pPr>
              <w:spacing w:after="0"/>
              <w:rPr>
                <w:sz w:val="11"/>
                <w:szCs w:val="11"/>
                <w:color w:val="auto"/>
              </w:rPr>
            </w:pPr>
          </w:p>
        </w:tc>
        <w:tc>
          <w:tcPr>
            <w:tcW w:w="1000" w:type="dxa"/>
            <w:vAlign w:val="bottom"/>
            <w:tcBorders>
              <w:bottom w:val="single" w:sz="8" w:color="939598"/>
            </w:tcBorders>
          </w:tcPr>
          <w:p>
            <w:pPr>
              <w:spacing w:after="0"/>
              <w:rPr>
                <w:sz w:val="11"/>
                <w:szCs w:val="11"/>
                <w:color w:val="auto"/>
              </w:rPr>
            </w:pPr>
          </w:p>
        </w:tc>
        <w:tc>
          <w:tcPr>
            <w:tcW w:w="1020" w:type="dxa"/>
            <w:vAlign w:val="bottom"/>
            <w:tcBorders>
              <w:bottom w:val="single" w:sz="8" w:color="939598"/>
            </w:tcBorders>
          </w:tcPr>
          <w:p>
            <w:pPr>
              <w:spacing w:after="0"/>
              <w:rPr>
                <w:sz w:val="11"/>
                <w:szCs w:val="11"/>
                <w:color w:val="auto"/>
              </w:rPr>
            </w:pPr>
          </w:p>
        </w:tc>
        <w:tc>
          <w:tcPr>
            <w:tcW w:w="820" w:type="dxa"/>
            <w:vAlign w:val="bottom"/>
            <w:tcBorders>
              <w:bottom w:val="single" w:sz="8" w:color="939598"/>
            </w:tcBorders>
          </w:tcPr>
          <w:p>
            <w:pPr>
              <w:spacing w:after="0"/>
              <w:rPr>
                <w:sz w:val="11"/>
                <w:szCs w:val="11"/>
                <w:color w:val="auto"/>
              </w:rPr>
            </w:pPr>
          </w:p>
        </w:tc>
        <w:tc>
          <w:tcPr>
            <w:tcW w:w="1220" w:type="dxa"/>
            <w:vAlign w:val="bottom"/>
            <w:tcBorders>
              <w:bottom w:val="single" w:sz="8" w:color="939598"/>
            </w:tcBorders>
          </w:tcPr>
          <w:p>
            <w:pPr>
              <w:spacing w:after="0"/>
              <w:rPr>
                <w:sz w:val="11"/>
                <w:szCs w:val="11"/>
                <w:color w:val="auto"/>
              </w:rPr>
            </w:pPr>
          </w:p>
        </w:tc>
        <w:tc>
          <w:tcPr>
            <w:tcW w:w="178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309"/>
        </w:trPr>
        <w:tc>
          <w:tcPr>
            <w:tcW w:w="2240" w:type="dxa"/>
            <w:vAlign w:val="bottom"/>
          </w:tcPr>
          <w:p>
            <w:pPr>
              <w:spacing w:after="0"/>
              <w:rPr>
                <w:sz w:val="24"/>
                <w:szCs w:val="24"/>
                <w:color w:val="auto"/>
              </w:rPr>
            </w:pPr>
          </w:p>
        </w:tc>
        <w:tc>
          <w:tcPr>
            <w:tcW w:w="1460" w:type="dxa"/>
            <w:vAlign w:val="bottom"/>
          </w:tcPr>
          <w:p>
            <w:pPr>
              <w:ind w:left="20"/>
              <w:spacing w:after="0"/>
              <w:rPr>
                <w:sz w:val="20"/>
                <w:szCs w:val="20"/>
                <w:color w:val="auto"/>
              </w:rPr>
            </w:pPr>
            <w:r>
              <w:rPr>
                <w:rFonts w:ascii="Arial" w:cs="Arial" w:eastAsia="Arial" w:hAnsi="Arial"/>
                <w:sz w:val="14"/>
                <w:szCs w:val="14"/>
                <w:color w:val="auto"/>
              </w:rPr>
              <w:t>Mr. Hammoud</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1,400,000</w:t>
            </w:r>
          </w:p>
        </w:tc>
        <w:tc>
          <w:tcPr>
            <w:tcW w:w="260" w:type="dxa"/>
            <w:vAlign w:val="bottom"/>
          </w:tcPr>
          <w:p>
            <w:pPr>
              <w:spacing w:after="0"/>
              <w:rPr>
                <w:sz w:val="24"/>
                <w:szCs w:val="24"/>
                <w:color w:val="auto"/>
              </w:rPr>
            </w:pPr>
          </w:p>
        </w:tc>
        <w:tc>
          <w:tcPr>
            <w:tcW w:w="10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24"/>
                <w:szCs w:val="24"/>
                <w:color w:val="auto"/>
              </w:rPr>
            </w:pPr>
          </w:p>
        </w:tc>
        <w:tc>
          <w:tcPr>
            <w:tcW w:w="12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780" w:type="dxa"/>
            <w:vAlign w:val="bottom"/>
          </w:tcPr>
          <w:p>
            <w:pPr>
              <w:jc w:val="right"/>
              <w:spacing w:after="0"/>
              <w:rPr>
                <w:sz w:val="20"/>
                <w:szCs w:val="20"/>
                <w:color w:val="auto"/>
              </w:rPr>
            </w:pPr>
            <w:r>
              <w:rPr>
                <w:rFonts w:ascii="Arial" w:cs="Arial" w:eastAsia="Arial" w:hAnsi="Arial"/>
                <w:sz w:val="14"/>
                <w:szCs w:val="14"/>
                <w:color w:val="auto"/>
              </w:rPr>
              <w:t>2,800,000</w:t>
            </w:r>
          </w:p>
        </w:tc>
        <w:tc>
          <w:tcPr>
            <w:tcW w:w="0" w:type="dxa"/>
            <w:vAlign w:val="bottom"/>
          </w:tcPr>
          <w:p>
            <w:pPr>
              <w:spacing w:after="0"/>
              <w:rPr>
                <w:sz w:val="1"/>
                <w:szCs w:val="1"/>
                <w:color w:val="auto"/>
              </w:rPr>
            </w:pPr>
          </w:p>
        </w:tc>
      </w:tr>
      <w:tr>
        <w:trPr>
          <w:trHeight w:val="129"/>
        </w:trPr>
        <w:tc>
          <w:tcPr>
            <w:tcW w:w="2240" w:type="dxa"/>
            <w:vAlign w:val="bottom"/>
          </w:tcPr>
          <w:p>
            <w:pPr>
              <w:spacing w:after="0"/>
              <w:rPr>
                <w:sz w:val="11"/>
                <w:szCs w:val="11"/>
                <w:color w:val="auto"/>
              </w:rPr>
            </w:pPr>
          </w:p>
        </w:tc>
        <w:tc>
          <w:tcPr>
            <w:tcW w:w="1460" w:type="dxa"/>
            <w:vAlign w:val="bottom"/>
            <w:tcBorders>
              <w:bottom w:val="single" w:sz="8" w:color="939598"/>
            </w:tcBorders>
          </w:tcPr>
          <w:p>
            <w:pPr>
              <w:spacing w:after="0"/>
              <w:rPr>
                <w:sz w:val="11"/>
                <w:szCs w:val="11"/>
                <w:color w:val="auto"/>
              </w:rPr>
            </w:pPr>
          </w:p>
        </w:tc>
        <w:tc>
          <w:tcPr>
            <w:tcW w:w="1420" w:type="dxa"/>
            <w:vAlign w:val="bottom"/>
            <w:tcBorders>
              <w:bottom w:val="single" w:sz="8" w:color="939598"/>
            </w:tcBorders>
          </w:tcPr>
          <w:p>
            <w:pPr>
              <w:spacing w:after="0"/>
              <w:rPr>
                <w:sz w:val="11"/>
                <w:szCs w:val="11"/>
                <w:color w:val="auto"/>
              </w:rPr>
            </w:pPr>
          </w:p>
        </w:tc>
        <w:tc>
          <w:tcPr>
            <w:tcW w:w="260" w:type="dxa"/>
            <w:vAlign w:val="bottom"/>
            <w:tcBorders>
              <w:bottom w:val="single" w:sz="8" w:color="939598"/>
            </w:tcBorders>
          </w:tcPr>
          <w:p>
            <w:pPr>
              <w:spacing w:after="0"/>
              <w:rPr>
                <w:sz w:val="11"/>
                <w:szCs w:val="11"/>
                <w:color w:val="auto"/>
              </w:rPr>
            </w:pPr>
          </w:p>
        </w:tc>
        <w:tc>
          <w:tcPr>
            <w:tcW w:w="1000" w:type="dxa"/>
            <w:vAlign w:val="bottom"/>
            <w:tcBorders>
              <w:bottom w:val="single" w:sz="8" w:color="939598"/>
            </w:tcBorders>
          </w:tcPr>
          <w:p>
            <w:pPr>
              <w:spacing w:after="0"/>
              <w:rPr>
                <w:sz w:val="11"/>
                <w:szCs w:val="11"/>
                <w:color w:val="auto"/>
              </w:rPr>
            </w:pPr>
          </w:p>
        </w:tc>
        <w:tc>
          <w:tcPr>
            <w:tcW w:w="1020" w:type="dxa"/>
            <w:vAlign w:val="bottom"/>
            <w:tcBorders>
              <w:bottom w:val="single" w:sz="8" w:color="939598"/>
            </w:tcBorders>
          </w:tcPr>
          <w:p>
            <w:pPr>
              <w:spacing w:after="0"/>
              <w:rPr>
                <w:sz w:val="11"/>
                <w:szCs w:val="11"/>
                <w:color w:val="auto"/>
              </w:rPr>
            </w:pPr>
          </w:p>
        </w:tc>
        <w:tc>
          <w:tcPr>
            <w:tcW w:w="820" w:type="dxa"/>
            <w:vAlign w:val="bottom"/>
            <w:tcBorders>
              <w:bottom w:val="single" w:sz="8" w:color="939598"/>
            </w:tcBorders>
          </w:tcPr>
          <w:p>
            <w:pPr>
              <w:spacing w:after="0"/>
              <w:rPr>
                <w:sz w:val="11"/>
                <w:szCs w:val="11"/>
                <w:color w:val="auto"/>
              </w:rPr>
            </w:pPr>
          </w:p>
        </w:tc>
        <w:tc>
          <w:tcPr>
            <w:tcW w:w="1220" w:type="dxa"/>
            <w:vAlign w:val="bottom"/>
            <w:tcBorders>
              <w:bottom w:val="single" w:sz="8" w:color="939598"/>
            </w:tcBorders>
          </w:tcPr>
          <w:p>
            <w:pPr>
              <w:spacing w:after="0"/>
              <w:rPr>
                <w:sz w:val="11"/>
                <w:szCs w:val="11"/>
                <w:color w:val="auto"/>
              </w:rPr>
            </w:pPr>
          </w:p>
        </w:tc>
        <w:tc>
          <w:tcPr>
            <w:tcW w:w="178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367"/>
        </w:trPr>
        <w:tc>
          <w:tcPr>
            <w:tcW w:w="2240" w:type="dxa"/>
            <w:vAlign w:val="bottom"/>
          </w:tcPr>
          <w:p>
            <w:pPr>
              <w:spacing w:after="0"/>
              <w:rPr>
                <w:sz w:val="24"/>
                <w:szCs w:val="24"/>
                <w:color w:val="auto"/>
              </w:rPr>
            </w:pPr>
          </w:p>
        </w:tc>
        <w:tc>
          <w:tcPr>
            <w:tcW w:w="1460" w:type="dxa"/>
            <w:vAlign w:val="bottom"/>
          </w:tcPr>
          <w:p>
            <w:pPr>
              <w:ind w:left="20"/>
              <w:spacing w:after="0"/>
              <w:rPr>
                <w:sz w:val="20"/>
                <w:szCs w:val="20"/>
                <w:color w:val="auto"/>
              </w:rPr>
            </w:pPr>
            <w:r>
              <w:rPr>
                <w:rFonts w:ascii="Arial" w:cs="Arial" w:eastAsia="Arial" w:hAnsi="Arial"/>
                <w:sz w:val="14"/>
                <w:szCs w:val="14"/>
                <w:color w:val="auto"/>
              </w:rPr>
              <w:t>Mr. Lewis</w:t>
            </w:r>
            <w:r>
              <w:rPr>
                <w:rFonts w:ascii="Arial" w:cs="Arial" w:eastAsia="Arial" w:hAnsi="Arial"/>
                <w:sz w:val="18"/>
                <w:szCs w:val="18"/>
                <w:color w:val="auto"/>
                <w:vertAlign w:val="superscript"/>
              </w:rPr>
              <w:t>(1)</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24"/>
                <w:szCs w:val="24"/>
                <w:color w:val="auto"/>
              </w:rPr>
            </w:pPr>
          </w:p>
        </w:tc>
        <w:tc>
          <w:tcPr>
            <w:tcW w:w="12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2"/>
        </w:trPr>
        <w:tc>
          <w:tcPr>
            <w:tcW w:w="2240" w:type="dxa"/>
            <w:vAlign w:val="bottom"/>
            <w:tcBorders>
              <w:bottom w:val="single" w:sz="8" w:color="939598"/>
            </w:tcBorders>
          </w:tcPr>
          <w:p>
            <w:pPr>
              <w:spacing w:after="0"/>
              <w:rPr>
                <w:sz w:val="6"/>
                <w:szCs w:val="6"/>
                <w:color w:val="auto"/>
              </w:rPr>
            </w:pPr>
          </w:p>
        </w:tc>
        <w:tc>
          <w:tcPr>
            <w:tcW w:w="1460" w:type="dxa"/>
            <w:vAlign w:val="bottom"/>
            <w:tcBorders>
              <w:bottom w:val="single" w:sz="8" w:color="939598"/>
            </w:tcBorders>
          </w:tcPr>
          <w:p>
            <w:pPr>
              <w:spacing w:after="0"/>
              <w:rPr>
                <w:sz w:val="6"/>
                <w:szCs w:val="6"/>
                <w:color w:val="auto"/>
              </w:rPr>
            </w:pPr>
          </w:p>
        </w:tc>
        <w:tc>
          <w:tcPr>
            <w:tcW w:w="1420" w:type="dxa"/>
            <w:vAlign w:val="bottom"/>
            <w:tcBorders>
              <w:bottom w:val="single" w:sz="8" w:color="939598"/>
            </w:tcBorders>
          </w:tcPr>
          <w:p>
            <w:pPr>
              <w:spacing w:after="0"/>
              <w:rPr>
                <w:sz w:val="6"/>
                <w:szCs w:val="6"/>
                <w:color w:val="auto"/>
              </w:rPr>
            </w:pPr>
          </w:p>
        </w:tc>
        <w:tc>
          <w:tcPr>
            <w:tcW w:w="260" w:type="dxa"/>
            <w:vAlign w:val="bottom"/>
            <w:tcBorders>
              <w:bottom w:val="single" w:sz="8" w:color="939598"/>
            </w:tcBorders>
          </w:tcPr>
          <w:p>
            <w:pPr>
              <w:spacing w:after="0"/>
              <w:rPr>
                <w:sz w:val="6"/>
                <w:szCs w:val="6"/>
                <w:color w:val="auto"/>
              </w:rPr>
            </w:pPr>
          </w:p>
        </w:tc>
        <w:tc>
          <w:tcPr>
            <w:tcW w:w="1000" w:type="dxa"/>
            <w:vAlign w:val="bottom"/>
            <w:tcBorders>
              <w:bottom w:val="single" w:sz="8" w:color="939598"/>
            </w:tcBorders>
          </w:tcPr>
          <w:p>
            <w:pPr>
              <w:spacing w:after="0"/>
              <w:rPr>
                <w:sz w:val="6"/>
                <w:szCs w:val="6"/>
                <w:color w:val="auto"/>
              </w:rPr>
            </w:pPr>
          </w:p>
        </w:tc>
        <w:tc>
          <w:tcPr>
            <w:tcW w:w="1020" w:type="dxa"/>
            <w:vAlign w:val="bottom"/>
            <w:tcBorders>
              <w:bottom w:val="single" w:sz="8" w:color="939598"/>
            </w:tcBorders>
          </w:tcPr>
          <w:p>
            <w:pPr>
              <w:spacing w:after="0"/>
              <w:rPr>
                <w:sz w:val="6"/>
                <w:szCs w:val="6"/>
                <w:color w:val="auto"/>
              </w:rPr>
            </w:pPr>
          </w:p>
        </w:tc>
        <w:tc>
          <w:tcPr>
            <w:tcW w:w="820" w:type="dxa"/>
            <w:vAlign w:val="bottom"/>
            <w:tcBorders>
              <w:bottom w:val="single" w:sz="8" w:color="939598"/>
            </w:tcBorders>
          </w:tcPr>
          <w:p>
            <w:pPr>
              <w:spacing w:after="0"/>
              <w:rPr>
                <w:sz w:val="6"/>
                <w:szCs w:val="6"/>
                <w:color w:val="auto"/>
              </w:rPr>
            </w:pPr>
          </w:p>
        </w:tc>
        <w:tc>
          <w:tcPr>
            <w:tcW w:w="1220" w:type="dxa"/>
            <w:vAlign w:val="bottom"/>
            <w:tcBorders>
              <w:bottom w:val="single" w:sz="8" w:color="939598"/>
            </w:tcBorders>
          </w:tcPr>
          <w:p>
            <w:pPr>
              <w:spacing w:after="0"/>
              <w:rPr>
                <w:sz w:val="6"/>
                <w:szCs w:val="6"/>
                <w:color w:val="auto"/>
              </w:rPr>
            </w:pPr>
          </w:p>
        </w:tc>
        <w:tc>
          <w:tcPr>
            <w:tcW w:w="1780" w:type="dxa"/>
            <w:vAlign w:val="bottom"/>
            <w:tcBorders>
              <w:bottom w:val="single" w:sz="8" w:color="939598"/>
            </w:tcBorders>
          </w:tcPr>
          <w:p>
            <w:pPr>
              <w:spacing w:after="0"/>
              <w:rPr>
                <w:sz w:val="6"/>
                <w:szCs w:val="6"/>
                <w:color w:val="auto"/>
              </w:rPr>
            </w:pPr>
          </w:p>
        </w:tc>
        <w:tc>
          <w:tcPr>
            <w:tcW w:w="0" w:type="dxa"/>
            <w:vAlign w:val="bottom"/>
          </w:tcPr>
          <w:p>
            <w:pPr>
              <w:spacing w:after="0"/>
              <w:rPr>
                <w:sz w:val="1"/>
                <w:szCs w:val="1"/>
                <w:color w:val="auto"/>
              </w:rPr>
            </w:pPr>
          </w:p>
        </w:tc>
      </w:tr>
      <w:tr>
        <w:trPr>
          <w:trHeight w:val="315"/>
        </w:trPr>
        <w:tc>
          <w:tcPr>
            <w:tcW w:w="2240" w:type="dxa"/>
            <w:vAlign w:val="bottom"/>
          </w:tcPr>
          <w:p>
            <w:pPr>
              <w:ind w:left="20"/>
              <w:spacing w:after="0"/>
              <w:rPr>
                <w:sz w:val="20"/>
                <w:szCs w:val="20"/>
                <w:color w:val="auto"/>
              </w:rPr>
            </w:pPr>
            <w:r>
              <w:rPr>
                <w:rFonts w:ascii="Arial" w:cs="Arial" w:eastAsia="Arial" w:hAnsi="Arial"/>
                <w:sz w:val="14"/>
                <w:szCs w:val="14"/>
                <w:b w:val="1"/>
                <w:bCs w:val="1"/>
                <w:color w:val="auto"/>
              </w:rPr>
              <w:t>ICP</w:t>
            </w:r>
          </w:p>
        </w:tc>
        <w:tc>
          <w:tcPr>
            <w:tcW w:w="1460" w:type="dxa"/>
            <w:vAlign w:val="bottom"/>
          </w:tcPr>
          <w:p>
            <w:pPr>
              <w:ind w:left="20"/>
              <w:spacing w:after="0"/>
              <w:rPr>
                <w:sz w:val="20"/>
                <w:szCs w:val="20"/>
                <w:color w:val="auto"/>
              </w:rPr>
            </w:pPr>
            <w:r>
              <w:rPr>
                <w:rFonts w:ascii="Arial" w:cs="Arial" w:eastAsia="Arial" w:hAnsi="Arial"/>
                <w:sz w:val="14"/>
                <w:szCs w:val="14"/>
                <w:color w:val="auto"/>
              </w:rPr>
              <w:t>Mr. Kapur</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24"/>
                <w:szCs w:val="24"/>
                <w:color w:val="auto"/>
              </w:rPr>
            </w:pPr>
          </w:p>
        </w:tc>
        <w:tc>
          <w:tcPr>
            <w:tcW w:w="1220" w:type="dxa"/>
            <w:vAlign w:val="bottom"/>
          </w:tcPr>
          <w:p>
            <w:pPr>
              <w:jc w:val="right"/>
              <w:ind w:right="288"/>
              <w:spacing w:after="0"/>
              <w:rPr>
                <w:sz w:val="20"/>
                <w:szCs w:val="20"/>
                <w:color w:val="auto"/>
              </w:rPr>
            </w:pPr>
            <w:r>
              <w:rPr>
                <w:rFonts w:ascii="Arial" w:cs="Arial" w:eastAsia="Arial" w:hAnsi="Arial"/>
                <w:sz w:val="14"/>
                <w:szCs w:val="14"/>
                <w:color w:val="auto"/>
              </w:rPr>
              <w:t>3,516,800</w:t>
            </w:r>
          </w:p>
        </w:tc>
        <w:tc>
          <w:tcPr>
            <w:tcW w:w="1780" w:type="dxa"/>
            <w:vAlign w:val="bottom"/>
          </w:tcPr>
          <w:p>
            <w:pPr>
              <w:jc w:val="right"/>
              <w:spacing w:after="0"/>
              <w:rPr>
                <w:sz w:val="20"/>
                <w:szCs w:val="20"/>
                <w:color w:val="auto"/>
              </w:rPr>
            </w:pPr>
            <w:r>
              <w:rPr>
                <w:rFonts w:ascii="Arial" w:cs="Arial" w:eastAsia="Arial" w:hAnsi="Arial"/>
                <w:sz w:val="14"/>
                <w:szCs w:val="14"/>
                <w:color w:val="auto"/>
              </w:rPr>
              <w:t>3,516,800</w:t>
            </w:r>
          </w:p>
        </w:tc>
        <w:tc>
          <w:tcPr>
            <w:tcW w:w="0" w:type="dxa"/>
            <w:vAlign w:val="bottom"/>
          </w:tcPr>
          <w:p>
            <w:pPr>
              <w:spacing w:after="0"/>
              <w:rPr>
                <w:sz w:val="1"/>
                <w:szCs w:val="1"/>
                <w:color w:val="auto"/>
              </w:rPr>
            </w:pPr>
          </w:p>
        </w:tc>
      </w:tr>
      <w:tr>
        <w:trPr>
          <w:trHeight w:val="124"/>
        </w:trPr>
        <w:tc>
          <w:tcPr>
            <w:tcW w:w="2240" w:type="dxa"/>
            <w:vAlign w:val="bottom"/>
            <w:vMerge w:val="restart"/>
          </w:tcPr>
          <w:p>
            <w:pPr>
              <w:ind w:left="20"/>
              <w:spacing w:after="0"/>
              <w:rPr>
                <w:sz w:val="20"/>
                <w:szCs w:val="20"/>
                <w:color w:val="auto"/>
              </w:rPr>
            </w:pPr>
            <w:r>
              <w:rPr>
                <w:rFonts w:ascii="Arial" w:cs="Arial" w:eastAsia="Arial" w:hAnsi="Arial"/>
                <w:sz w:val="14"/>
                <w:szCs w:val="14"/>
                <w:color w:val="auto"/>
              </w:rPr>
              <w:t>(Year of Termination)</w:t>
            </w:r>
          </w:p>
        </w:tc>
        <w:tc>
          <w:tcPr>
            <w:tcW w:w="1460" w:type="dxa"/>
            <w:vAlign w:val="bottom"/>
            <w:tcBorders>
              <w:bottom w:val="single" w:sz="8" w:color="939598"/>
            </w:tcBorders>
          </w:tcPr>
          <w:p>
            <w:pPr>
              <w:spacing w:after="0"/>
              <w:rPr>
                <w:sz w:val="10"/>
                <w:szCs w:val="10"/>
                <w:color w:val="auto"/>
              </w:rPr>
            </w:pPr>
          </w:p>
        </w:tc>
        <w:tc>
          <w:tcPr>
            <w:tcW w:w="1420" w:type="dxa"/>
            <w:vAlign w:val="bottom"/>
            <w:tcBorders>
              <w:bottom w:val="single" w:sz="8" w:color="939598"/>
            </w:tcBorders>
          </w:tcPr>
          <w:p>
            <w:pPr>
              <w:spacing w:after="0"/>
              <w:rPr>
                <w:sz w:val="10"/>
                <w:szCs w:val="10"/>
                <w:color w:val="auto"/>
              </w:rPr>
            </w:pPr>
          </w:p>
        </w:tc>
        <w:tc>
          <w:tcPr>
            <w:tcW w:w="260" w:type="dxa"/>
            <w:vAlign w:val="bottom"/>
            <w:tcBorders>
              <w:bottom w:val="single" w:sz="8" w:color="939598"/>
            </w:tcBorders>
          </w:tcPr>
          <w:p>
            <w:pPr>
              <w:spacing w:after="0"/>
              <w:rPr>
                <w:sz w:val="10"/>
                <w:szCs w:val="10"/>
                <w:color w:val="auto"/>
              </w:rPr>
            </w:pPr>
          </w:p>
        </w:tc>
        <w:tc>
          <w:tcPr>
            <w:tcW w:w="1000" w:type="dxa"/>
            <w:vAlign w:val="bottom"/>
            <w:tcBorders>
              <w:bottom w:val="single" w:sz="8" w:color="939598"/>
            </w:tcBorders>
          </w:tcPr>
          <w:p>
            <w:pPr>
              <w:spacing w:after="0"/>
              <w:rPr>
                <w:sz w:val="10"/>
                <w:szCs w:val="10"/>
                <w:color w:val="auto"/>
              </w:rPr>
            </w:pPr>
          </w:p>
        </w:tc>
        <w:tc>
          <w:tcPr>
            <w:tcW w:w="102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spacing w:after="0"/>
              <w:rPr>
                <w:sz w:val="10"/>
                <w:szCs w:val="10"/>
                <w:color w:val="auto"/>
              </w:rPr>
            </w:pPr>
          </w:p>
        </w:tc>
        <w:tc>
          <w:tcPr>
            <w:tcW w:w="1220" w:type="dxa"/>
            <w:vAlign w:val="bottom"/>
            <w:tcBorders>
              <w:bottom w:val="single" w:sz="8" w:color="939598"/>
            </w:tcBorders>
          </w:tcPr>
          <w:p>
            <w:pPr>
              <w:spacing w:after="0"/>
              <w:rPr>
                <w:sz w:val="10"/>
                <w:szCs w:val="10"/>
                <w:color w:val="auto"/>
              </w:rPr>
            </w:pPr>
          </w:p>
        </w:tc>
        <w:tc>
          <w:tcPr>
            <w:tcW w:w="178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2240" w:type="dxa"/>
            <w:vAlign w:val="bottom"/>
            <w:vMerge w:val="continue"/>
          </w:tcPr>
          <w:p>
            <w:pPr>
              <w:spacing w:after="0"/>
              <w:rPr>
                <w:sz w:val="24"/>
                <w:szCs w:val="24"/>
                <w:color w:val="auto"/>
              </w:rPr>
            </w:pPr>
          </w:p>
        </w:tc>
        <w:tc>
          <w:tcPr>
            <w:tcW w:w="1460" w:type="dxa"/>
            <w:vAlign w:val="bottom"/>
          </w:tcPr>
          <w:p>
            <w:pPr>
              <w:ind w:left="20"/>
              <w:spacing w:after="0"/>
              <w:rPr>
                <w:sz w:val="20"/>
                <w:szCs w:val="20"/>
                <w:color w:val="auto"/>
              </w:rPr>
            </w:pPr>
            <w:r>
              <w:rPr>
                <w:rFonts w:ascii="Arial" w:cs="Arial" w:eastAsia="Arial" w:hAnsi="Arial"/>
                <w:sz w:val="14"/>
                <w:szCs w:val="14"/>
                <w:color w:val="auto"/>
              </w:rPr>
              <w:t>Mr. Stepniak</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24"/>
                <w:szCs w:val="24"/>
                <w:color w:val="auto"/>
              </w:rPr>
            </w:pPr>
          </w:p>
        </w:tc>
        <w:tc>
          <w:tcPr>
            <w:tcW w:w="1220" w:type="dxa"/>
            <w:vAlign w:val="bottom"/>
          </w:tcPr>
          <w:p>
            <w:pPr>
              <w:jc w:val="right"/>
              <w:ind w:right="288"/>
              <w:spacing w:after="0"/>
              <w:rPr>
                <w:sz w:val="20"/>
                <w:szCs w:val="20"/>
                <w:color w:val="auto"/>
              </w:rPr>
            </w:pPr>
            <w:r>
              <w:rPr>
                <w:rFonts w:ascii="Arial" w:cs="Arial" w:eastAsia="Arial" w:hAnsi="Arial"/>
                <w:sz w:val="14"/>
                <w:szCs w:val="14"/>
                <w:color w:val="auto"/>
              </w:rPr>
              <w:t>1,031,000</w:t>
            </w:r>
          </w:p>
        </w:tc>
        <w:tc>
          <w:tcPr>
            <w:tcW w:w="1780" w:type="dxa"/>
            <w:vAlign w:val="bottom"/>
          </w:tcPr>
          <w:p>
            <w:pPr>
              <w:jc w:val="right"/>
              <w:spacing w:after="0"/>
              <w:rPr>
                <w:sz w:val="20"/>
                <w:szCs w:val="20"/>
                <w:color w:val="auto"/>
              </w:rPr>
            </w:pPr>
            <w:r>
              <w:rPr>
                <w:rFonts w:ascii="Arial" w:cs="Arial" w:eastAsia="Arial" w:hAnsi="Arial"/>
                <w:sz w:val="14"/>
                <w:szCs w:val="14"/>
                <w:color w:val="auto"/>
              </w:rPr>
              <w:t>1,031,000</w:t>
            </w:r>
          </w:p>
        </w:tc>
        <w:tc>
          <w:tcPr>
            <w:tcW w:w="0" w:type="dxa"/>
            <w:vAlign w:val="bottom"/>
          </w:tcPr>
          <w:p>
            <w:pPr>
              <w:spacing w:after="0"/>
              <w:rPr>
                <w:sz w:val="1"/>
                <w:szCs w:val="1"/>
                <w:color w:val="auto"/>
              </w:rPr>
            </w:pPr>
          </w:p>
        </w:tc>
      </w:tr>
      <w:tr>
        <w:trPr>
          <w:trHeight w:val="130"/>
        </w:trPr>
        <w:tc>
          <w:tcPr>
            <w:tcW w:w="2240" w:type="dxa"/>
            <w:vAlign w:val="bottom"/>
          </w:tcPr>
          <w:p>
            <w:pPr>
              <w:spacing w:after="0"/>
              <w:rPr>
                <w:sz w:val="11"/>
                <w:szCs w:val="11"/>
                <w:color w:val="auto"/>
              </w:rPr>
            </w:pPr>
          </w:p>
        </w:tc>
        <w:tc>
          <w:tcPr>
            <w:tcW w:w="1460" w:type="dxa"/>
            <w:vAlign w:val="bottom"/>
            <w:tcBorders>
              <w:bottom w:val="single" w:sz="8" w:color="939598"/>
            </w:tcBorders>
          </w:tcPr>
          <w:p>
            <w:pPr>
              <w:spacing w:after="0"/>
              <w:rPr>
                <w:sz w:val="11"/>
                <w:szCs w:val="11"/>
                <w:color w:val="auto"/>
              </w:rPr>
            </w:pPr>
          </w:p>
        </w:tc>
        <w:tc>
          <w:tcPr>
            <w:tcW w:w="1420" w:type="dxa"/>
            <w:vAlign w:val="bottom"/>
            <w:tcBorders>
              <w:bottom w:val="single" w:sz="8" w:color="939598"/>
            </w:tcBorders>
          </w:tcPr>
          <w:p>
            <w:pPr>
              <w:spacing w:after="0"/>
              <w:rPr>
                <w:sz w:val="11"/>
                <w:szCs w:val="11"/>
                <w:color w:val="auto"/>
              </w:rPr>
            </w:pPr>
          </w:p>
        </w:tc>
        <w:tc>
          <w:tcPr>
            <w:tcW w:w="260" w:type="dxa"/>
            <w:vAlign w:val="bottom"/>
            <w:tcBorders>
              <w:bottom w:val="single" w:sz="8" w:color="939598"/>
            </w:tcBorders>
          </w:tcPr>
          <w:p>
            <w:pPr>
              <w:spacing w:after="0"/>
              <w:rPr>
                <w:sz w:val="11"/>
                <w:szCs w:val="11"/>
                <w:color w:val="auto"/>
              </w:rPr>
            </w:pPr>
          </w:p>
        </w:tc>
        <w:tc>
          <w:tcPr>
            <w:tcW w:w="1000" w:type="dxa"/>
            <w:vAlign w:val="bottom"/>
            <w:tcBorders>
              <w:bottom w:val="single" w:sz="8" w:color="939598"/>
            </w:tcBorders>
          </w:tcPr>
          <w:p>
            <w:pPr>
              <w:spacing w:after="0"/>
              <w:rPr>
                <w:sz w:val="11"/>
                <w:szCs w:val="11"/>
                <w:color w:val="auto"/>
              </w:rPr>
            </w:pPr>
          </w:p>
        </w:tc>
        <w:tc>
          <w:tcPr>
            <w:tcW w:w="1020" w:type="dxa"/>
            <w:vAlign w:val="bottom"/>
            <w:tcBorders>
              <w:bottom w:val="single" w:sz="8" w:color="939598"/>
            </w:tcBorders>
          </w:tcPr>
          <w:p>
            <w:pPr>
              <w:spacing w:after="0"/>
              <w:rPr>
                <w:sz w:val="11"/>
                <w:szCs w:val="11"/>
                <w:color w:val="auto"/>
              </w:rPr>
            </w:pPr>
          </w:p>
        </w:tc>
        <w:tc>
          <w:tcPr>
            <w:tcW w:w="820" w:type="dxa"/>
            <w:vAlign w:val="bottom"/>
            <w:tcBorders>
              <w:bottom w:val="single" w:sz="8" w:color="939598"/>
            </w:tcBorders>
          </w:tcPr>
          <w:p>
            <w:pPr>
              <w:spacing w:after="0"/>
              <w:rPr>
                <w:sz w:val="11"/>
                <w:szCs w:val="11"/>
                <w:color w:val="auto"/>
              </w:rPr>
            </w:pPr>
          </w:p>
        </w:tc>
        <w:tc>
          <w:tcPr>
            <w:tcW w:w="1220" w:type="dxa"/>
            <w:vAlign w:val="bottom"/>
            <w:tcBorders>
              <w:bottom w:val="single" w:sz="8" w:color="939598"/>
            </w:tcBorders>
          </w:tcPr>
          <w:p>
            <w:pPr>
              <w:spacing w:after="0"/>
              <w:rPr>
                <w:sz w:val="11"/>
                <w:szCs w:val="11"/>
                <w:color w:val="auto"/>
              </w:rPr>
            </w:pPr>
          </w:p>
        </w:tc>
        <w:tc>
          <w:tcPr>
            <w:tcW w:w="178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309"/>
        </w:trPr>
        <w:tc>
          <w:tcPr>
            <w:tcW w:w="2240" w:type="dxa"/>
            <w:vAlign w:val="bottom"/>
          </w:tcPr>
          <w:p>
            <w:pPr>
              <w:spacing w:after="0"/>
              <w:rPr>
                <w:sz w:val="24"/>
                <w:szCs w:val="24"/>
                <w:color w:val="auto"/>
              </w:rPr>
            </w:pPr>
          </w:p>
        </w:tc>
        <w:tc>
          <w:tcPr>
            <w:tcW w:w="1460" w:type="dxa"/>
            <w:vAlign w:val="bottom"/>
          </w:tcPr>
          <w:p>
            <w:pPr>
              <w:ind w:left="20"/>
              <w:spacing w:after="0"/>
              <w:rPr>
                <w:sz w:val="20"/>
                <w:szCs w:val="20"/>
                <w:color w:val="auto"/>
              </w:rPr>
            </w:pPr>
            <w:r>
              <w:rPr>
                <w:rFonts w:ascii="Arial" w:cs="Arial" w:eastAsia="Arial" w:hAnsi="Arial"/>
                <w:sz w:val="14"/>
                <w:szCs w:val="14"/>
                <w:color w:val="auto"/>
              </w:rPr>
              <w:t>Mr. Currier</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24"/>
                <w:szCs w:val="24"/>
                <w:color w:val="auto"/>
              </w:rPr>
            </w:pPr>
          </w:p>
        </w:tc>
        <w:tc>
          <w:tcPr>
            <w:tcW w:w="1220" w:type="dxa"/>
            <w:vAlign w:val="bottom"/>
          </w:tcPr>
          <w:p>
            <w:pPr>
              <w:jc w:val="right"/>
              <w:ind w:right="288"/>
              <w:spacing w:after="0"/>
              <w:rPr>
                <w:sz w:val="20"/>
                <w:szCs w:val="20"/>
                <w:color w:val="auto"/>
              </w:rPr>
            </w:pPr>
            <w:r>
              <w:rPr>
                <w:rFonts w:ascii="Arial" w:cs="Arial" w:eastAsia="Arial" w:hAnsi="Arial"/>
                <w:sz w:val="14"/>
                <w:szCs w:val="14"/>
                <w:color w:val="auto"/>
              </w:rPr>
              <w:t>1,033,600</w:t>
            </w:r>
          </w:p>
        </w:tc>
        <w:tc>
          <w:tcPr>
            <w:tcW w:w="1780" w:type="dxa"/>
            <w:vAlign w:val="bottom"/>
          </w:tcPr>
          <w:p>
            <w:pPr>
              <w:jc w:val="right"/>
              <w:spacing w:after="0"/>
              <w:rPr>
                <w:sz w:val="20"/>
                <w:szCs w:val="20"/>
                <w:color w:val="auto"/>
              </w:rPr>
            </w:pPr>
            <w:r>
              <w:rPr>
                <w:rFonts w:ascii="Arial" w:cs="Arial" w:eastAsia="Arial" w:hAnsi="Arial"/>
                <w:sz w:val="14"/>
                <w:szCs w:val="14"/>
                <w:color w:val="auto"/>
              </w:rPr>
              <w:t>1,033,600</w:t>
            </w:r>
          </w:p>
        </w:tc>
        <w:tc>
          <w:tcPr>
            <w:tcW w:w="0" w:type="dxa"/>
            <w:vAlign w:val="bottom"/>
          </w:tcPr>
          <w:p>
            <w:pPr>
              <w:spacing w:after="0"/>
              <w:rPr>
                <w:sz w:val="1"/>
                <w:szCs w:val="1"/>
                <w:color w:val="auto"/>
              </w:rPr>
            </w:pPr>
          </w:p>
        </w:tc>
      </w:tr>
      <w:tr>
        <w:trPr>
          <w:trHeight w:val="130"/>
        </w:trPr>
        <w:tc>
          <w:tcPr>
            <w:tcW w:w="2240" w:type="dxa"/>
            <w:vAlign w:val="bottom"/>
          </w:tcPr>
          <w:p>
            <w:pPr>
              <w:spacing w:after="0"/>
              <w:rPr>
                <w:sz w:val="11"/>
                <w:szCs w:val="11"/>
                <w:color w:val="auto"/>
              </w:rPr>
            </w:pPr>
          </w:p>
        </w:tc>
        <w:tc>
          <w:tcPr>
            <w:tcW w:w="1460" w:type="dxa"/>
            <w:vAlign w:val="bottom"/>
            <w:tcBorders>
              <w:bottom w:val="single" w:sz="8" w:color="939598"/>
            </w:tcBorders>
          </w:tcPr>
          <w:p>
            <w:pPr>
              <w:spacing w:after="0"/>
              <w:rPr>
                <w:sz w:val="11"/>
                <w:szCs w:val="11"/>
                <w:color w:val="auto"/>
              </w:rPr>
            </w:pPr>
          </w:p>
        </w:tc>
        <w:tc>
          <w:tcPr>
            <w:tcW w:w="1420" w:type="dxa"/>
            <w:vAlign w:val="bottom"/>
            <w:tcBorders>
              <w:bottom w:val="single" w:sz="8" w:color="939598"/>
            </w:tcBorders>
          </w:tcPr>
          <w:p>
            <w:pPr>
              <w:spacing w:after="0"/>
              <w:rPr>
                <w:sz w:val="11"/>
                <w:szCs w:val="11"/>
                <w:color w:val="auto"/>
              </w:rPr>
            </w:pPr>
          </w:p>
        </w:tc>
        <w:tc>
          <w:tcPr>
            <w:tcW w:w="260" w:type="dxa"/>
            <w:vAlign w:val="bottom"/>
            <w:tcBorders>
              <w:bottom w:val="single" w:sz="8" w:color="939598"/>
            </w:tcBorders>
          </w:tcPr>
          <w:p>
            <w:pPr>
              <w:spacing w:after="0"/>
              <w:rPr>
                <w:sz w:val="11"/>
                <w:szCs w:val="11"/>
                <w:color w:val="auto"/>
              </w:rPr>
            </w:pPr>
          </w:p>
        </w:tc>
        <w:tc>
          <w:tcPr>
            <w:tcW w:w="1000" w:type="dxa"/>
            <w:vAlign w:val="bottom"/>
            <w:tcBorders>
              <w:bottom w:val="single" w:sz="8" w:color="939598"/>
            </w:tcBorders>
          </w:tcPr>
          <w:p>
            <w:pPr>
              <w:spacing w:after="0"/>
              <w:rPr>
                <w:sz w:val="11"/>
                <w:szCs w:val="11"/>
                <w:color w:val="auto"/>
              </w:rPr>
            </w:pPr>
          </w:p>
        </w:tc>
        <w:tc>
          <w:tcPr>
            <w:tcW w:w="1020" w:type="dxa"/>
            <w:vAlign w:val="bottom"/>
            <w:tcBorders>
              <w:bottom w:val="single" w:sz="8" w:color="939598"/>
            </w:tcBorders>
          </w:tcPr>
          <w:p>
            <w:pPr>
              <w:spacing w:after="0"/>
              <w:rPr>
                <w:sz w:val="11"/>
                <w:szCs w:val="11"/>
                <w:color w:val="auto"/>
              </w:rPr>
            </w:pPr>
          </w:p>
        </w:tc>
        <w:tc>
          <w:tcPr>
            <w:tcW w:w="820" w:type="dxa"/>
            <w:vAlign w:val="bottom"/>
            <w:tcBorders>
              <w:bottom w:val="single" w:sz="8" w:color="939598"/>
            </w:tcBorders>
          </w:tcPr>
          <w:p>
            <w:pPr>
              <w:spacing w:after="0"/>
              <w:rPr>
                <w:sz w:val="11"/>
                <w:szCs w:val="11"/>
                <w:color w:val="auto"/>
              </w:rPr>
            </w:pPr>
          </w:p>
        </w:tc>
        <w:tc>
          <w:tcPr>
            <w:tcW w:w="1220" w:type="dxa"/>
            <w:vAlign w:val="bottom"/>
            <w:tcBorders>
              <w:bottom w:val="single" w:sz="8" w:color="939598"/>
            </w:tcBorders>
          </w:tcPr>
          <w:p>
            <w:pPr>
              <w:spacing w:after="0"/>
              <w:rPr>
                <w:sz w:val="11"/>
                <w:szCs w:val="11"/>
                <w:color w:val="auto"/>
              </w:rPr>
            </w:pPr>
          </w:p>
        </w:tc>
        <w:tc>
          <w:tcPr>
            <w:tcW w:w="178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309"/>
        </w:trPr>
        <w:tc>
          <w:tcPr>
            <w:tcW w:w="2240" w:type="dxa"/>
            <w:vAlign w:val="bottom"/>
          </w:tcPr>
          <w:p>
            <w:pPr>
              <w:spacing w:after="0"/>
              <w:rPr>
                <w:sz w:val="24"/>
                <w:szCs w:val="24"/>
                <w:color w:val="auto"/>
              </w:rPr>
            </w:pPr>
          </w:p>
        </w:tc>
        <w:tc>
          <w:tcPr>
            <w:tcW w:w="1460" w:type="dxa"/>
            <w:vAlign w:val="bottom"/>
          </w:tcPr>
          <w:p>
            <w:pPr>
              <w:ind w:left="20"/>
              <w:spacing w:after="0"/>
              <w:rPr>
                <w:sz w:val="20"/>
                <w:szCs w:val="20"/>
                <w:color w:val="auto"/>
              </w:rPr>
            </w:pPr>
            <w:r>
              <w:rPr>
                <w:rFonts w:ascii="Arial" w:cs="Arial" w:eastAsia="Arial" w:hAnsi="Arial"/>
                <w:sz w:val="14"/>
                <w:szCs w:val="14"/>
                <w:color w:val="auto"/>
              </w:rPr>
              <w:t>Mr. Masso</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24"/>
                <w:szCs w:val="24"/>
                <w:color w:val="auto"/>
              </w:rPr>
            </w:pPr>
          </w:p>
        </w:tc>
        <w:tc>
          <w:tcPr>
            <w:tcW w:w="1220" w:type="dxa"/>
            <w:vAlign w:val="bottom"/>
          </w:tcPr>
          <w:p>
            <w:pPr>
              <w:jc w:val="right"/>
              <w:ind w:right="288"/>
              <w:spacing w:after="0"/>
              <w:rPr>
                <w:sz w:val="20"/>
                <w:szCs w:val="20"/>
                <w:color w:val="auto"/>
              </w:rPr>
            </w:pPr>
            <w:r>
              <w:rPr>
                <w:rFonts w:ascii="Arial" w:cs="Arial" w:eastAsia="Arial" w:hAnsi="Arial"/>
                <w:sz w:val="14"/>
                <w:szCs w:val="14"/>
                <w:color w:val="auto"/>
              </w:rPr>
              <w:t>314,300</w:t>
            </w:r>
          </w:p>
        </w:tc>
        <w:tc>
          <w:tcPr>
            <w:tcW w:w="1780" w:type="dxa"/>
            <w:vAlign w:val="bottom"/>
          </w:tcPr>
          <w:p>
            <w:pPr>
              <w:jc w:val="right"/>
              <w:spacing w:after="0"/>
              <w:rPr>
                <w:sz w:val="20"/>
                <w:szCs w:val="20"/>
                <w:color w:val="auto"/>
              </w:rPr>
            </w:pPr>
            <w:r>
              <w:rPr>
                <w:rFonts w:ascii="Arial" w:cs="Arial" w:eastAsia="Arial" w:hAnsi="Arial"/>
                <w:sz w:val="14"/>
                <w:szCs w:val="14"/>
                <w:color w:val="auto"/>
              </w:rPr>
              <w:t>314,300</w:t>
            </w:r>
          </w:p>
        </w:tc>
        <w:tc>
          <w:tcPr>
            <w:tcW w:w="0" w:type="dxa"/>
            <w:vAlign w:val="bottom"/>
          </w:tcPr>
          <w:p>
            <w:pPr>
              <w:spacing w:after="0"/>
              <w:rPr>
                <w:sz w:val="1"/>
                <w:szCs w:val="1"/>
                <w:color w:val="auto"/>
              </w:rPr>
            </w:pPr>
          </w:p>
        </w:tc>
      </w:tr>
      <w:tr>
        <w:trPr>
          <w:trHeight w:val="129"/>
        </w:trPr>
        <w:tc>
          <w:tcPr>
            <w:tcW w:w="2240" w:type="dxa"/>
            <w:vAlign w:val="bottom"/>
          </w:tcPr>
          <w:p>
            <w:pPr>
              <w:spacing w:after="0"/>
              <w:rPr>
                <w:sz w:val="11"/>
                <w:szCs w:val="11"/>
                <w:color w:val="auto"/>
              </w:rPr>
            </w:pPr>
          </w:p>
        </w:tc>
        <w:tc>
          <w:tcPr>
            <w:tcW w:w="1460" w:type="dxa"/>
            <w:vAlign w:val="bottom"/>
            <w:tcBorders>
              <w:bottom w:val="single" w:sz="8" w:color="939598"/>
            </w:tcBorders>
          </w:tcPr>
          <w:p>
            <w:pPr>
              <w:spacing w:after="0"/>
              <w:rPr>
                <w:sz w:val="11"/>
                <w:szCs w:val="11"/>
                <w:color w:val="auto"/>
              </w:rPr>
            </w:pPr>
          </w:p>
        </w:tc>
        <w:tc>
          <w:tcPr>
            <w:tcW w:w="1420" w:type="dxa"/>
            <w:vAlign w:val="bottom"/>
            <w:tcBorders>
              <w:bottom w:val="single" w:sz="8" w:color="939598"/>
            </w:tcBorders>
          </w:tcPr>
          <w:p>
            <w:pPr>
              <w:spacing w:after="0"/>
              <w:rPr>
                <w:sz w:val="11"/>
                <w:szCs w:val="11"/>
                <w:color w:val="auto"/>
              </w:rPr>
            </w:pPr>
          </w:p>
        </w:tc>
        <w:tc>
          <w:tcPr>
            <w:tcW w:w="260" w:type="dxa"/>
            <w:vAlign w:val="bottom"/>
            <w:tcBorders>
              <w:bottom w:val="single" w:sz="8" w:color="939598"/>
            </w:tcBorders>
          </w:tcPr>
          <w:p>
            <w:pPr>
              <w:spacing w:after="0"/>
              <w:rPr>
                <w:sz w:val="11"/>
                <w:szCs w:val="11"/>
                <w:color w:val="auto"/>
              </w:rPr>
            </w:pPr>
          </w:p>
        </w:tc>
        <w:tc>
          <w:tcPr>
            <w:tcW w:w="1000" w:type="dxa"/>
            <w:vAlign w:val="bottom"/>
            <w:tcBorders>
              <w:bottom w:val="single" w:sz="8" w:color="939598"/>
            </w:tcBorders>
          </w:tcPr>
          <w:p>
            <w:pPr>
              <w:spacing w:after="0"/>
              <w:rPr>
                <w:sz w:val="11"/>
                <w:szCs w:val="11"/>
                <w:color w:val="auto"/>
              </w:rPr>
            </w:pPr>
          </w:p>
        </w:tc>
        <w:tc>
          <w:tcPr>
            <w:tcW w:w="1020" w:type="dxa"/>
            <w:vAlign w:val="bottom"/>
            <w:tcBorders>
              <w:bottom w:val="single" w:sz="8" w:color="939598"/>
            </w:tcBorders>
          </w:tcPr>
          <w:p>
            <w:pPr>
              <w:spacing w:after="0"/>
              <w:rPr>
                <w:sz w:val="11"/>
                <w:szCs w:val="11"/>
                <w:color w:val="auto"/>
              </w:rPr>
            </w:pPr>
          </w:p>
        </w:tc>
        <w:tc>
          <w:tcPr>
            <w:tcW w:w="820" w:type="dxa"/>
            <w:vAlign w:val="bottom"/>
            <w:tcBorders>
              <w:bottom w:val="single" w:sz="8" w:color="939598"/>
            </w:tcBorders>
          </w:tcPr>
          <w:p>
            <w:pPr>
              <w:spacing w:after="0"/>
              <w:rPr>
                <w:sz w:val="11"/>
                <w:szCs w:val="11"/>
                <w:color w:val="auto"/>
              </w:rPr>
            </w:pPr>
          </w:p>
        </w:tc>
        <w:tc>
          <w:tcPr>
            <w:tcW w:w="1220" w:type="dxa"/>
            <w:vAlign w:val="bottom"/>
            <w:tcBorders>
              <w:bottom w:val="single" w:sz="8" w:color="939598"/>
            </w:tcBorders>
          </w:tcPr>
          <w:p>
            <w:pPr>
              <w:spacing w:after="0"/>
              <w:rPr>
                <w:sz w:val="11"/>
                <w:szCs w:val="11"/>
                <w:color w:val="auto"/>
              </w:rPr>
            </w:pPr>
          </w:p>
        </w:tc>
        <w:tc>
          <w:tcPr>
            <w:tcW w:w="178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309"/>
        </w:trPr>
        <w:tc>
          <w:tcPr>
            <w:tcW w:w="2240" w:type="dxa"/>
            <w:vAlign w:val="bottom"/>
          </w:tcPr>
          <w:p>
            <w:pPr>
              <w:spacing w:after="0"/>
              <w:rPr>
                <w:sz w:val="24"/>
                <w:szCs w:val="24"/>
                <w:color w:val="auto"/>
              </w:rPr>
            </w:pPr>
          </w:p>
        </w:tc>
        <w:tc>
          <w:tcPr>
            <w:tcW w:w="1460" w:type="dxa"/>
            <w:vAlign w:val="bottom"/>
          </w:tcPr>
          <w:p>
            <w:pPr>
              <w:ind w:left="20"/>
              <w:spacing w:after="0"/>
              <w:rPr>
                <w:sz w:val="20"/>
                <w:szCs w:val="20"/>
                <w:color w:val="auto"/>
              </w:rPr>
            </w:pPr>
            <w:r>
              <w:rPr>
                <w:rFonts w:ascii="Arial" w:cs="Arial" w:eastAsia="Arial" w:hAnsi="Arial"/>
                <w:sz w:val="14"/>
                <w:szCs w:val="14"/>
                <w:color w:val="auto"/>
              </w:rPr>
              <w:t>Mr. Hammoud</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24"/>
                <w:szCs w:val="24"/>
                <w:color w:val="auto"/>
              </w:rPr>
            </w:pPr>
          </w:p>
        </w:tc>
        <w:tc>
          <w:tcPr>
            <w:tcW w:w="1220" w:type="dxa"/>
            <w:vAlign w:val="bottom"/>
          </w:tcPr>
          <w:p>
            <w:pPr>
              <w:jc w:val="right"/>
              <w:ind w:right="288"/>
              <w:spacing w:after="0"/>
              <w:rPr>
                <w:sz w:val="20"/>
                <w:szCs w:val="20"/>
                <w:color w:val="auto"/>
              </w:rPr>
            </w:pPr>
            <w:r>
              <w:rPr>
                <w:rFonts w:ascii="Arial" w:cs="Arial" w:eastAsia="Arial" w:hAnsi="Arial"/>
                <w:sz w:val="14"/>
                <w:szCs w:val="14"/>
                <w:color w:val="auto"/>
              </w:rPr>
              <w:t>877,400</w:t>
            </w:r>
          </w:p>
        </w:tc>
        <w:tc>
          <w:tcPr>
            <w:tcW w:w="1780" w:type="dxa"/>
            <w:vAlign w:val="bottom"/>
          </w:tcPr>
          <w:p>
            <w:pPr>
              <w:jc w:val="right"/>
              <w:spacing w:after="0"/>
              <w:rPr>
                <w:sz w:val="20"/>
                <w:szCs w:val="20"/>
                <w:color w:val="auto"/>
              </w:rPr>
            </w:pPr>
            <w:r>
              <w:rPr>
                <w:rFonts w:ascii="Arial" w:cs="Arial" w:eastAsia="Arial" w:hAnsi="Arial"/>
                <w:sz w:val="14"/>
                <w:szCs w:val="14"/>
                <w:color w:val="auto"/>
              </w:rPr>
              <w:t>877,400</w:t>
            </w:r>
          </w:p>
        </w:tc>
        <w:tc>
          <w:tcPr>
            <w:tcW w:w="0" w:type="dxa"/>
            <w:vAlign w:val="bottom"/>
          </w:tcPr>
          <w:p>
            <w:pPr>
              <w:spacing w:after="0"/>
              <w:rPr>
                <w:sz w:val="1"/>
                <w:szCs w:val="1"/>
                <w:color w:val="auto"/>
              </w:rPr>
            </w:pPr>
          </w:p>
        </w:tc>
      </w:tr>
      <w:tr>
        <w:trPr>
          <w:trHeight w:val="130"/>
        </w:trPr>
        <w:tc>
          <w:tcPr>
            <w:tcW w:w="2240" w:type="dxa"/>
            <w:vAlign w:val="bottom"/>
          </w:tcPr>
          <w:p>
            <w:pPr>
              <w:spacing w:after="0"/>
              <w:rPr>
                <w:sz w:val="11"/>
                <w:szCs w:val="11"/>
                <w:color w:val="auto"/>
              </w:rPr>
            </w:pPr>
          </w:p>
        </w:tc>
        <w:tc>
          <w:tcPr>
            <w:tcW w:w="1460" w:type="dxa"/>
            <w:vAlign w:val="bottom"/>
            <w:tcBorders>
              <w:bottom w:val="single" w:sz="8" w:color="939598"/>
            </w:tcBorders>
          </w:tcPr>
          <w:p>
            <w:pPr>
              <w:spacing w:after="0"/>
              <w:rPr>
                <w:sz w:val="11"/>
                <w:szCs w:val="11"/>
                <w:color w:val="auto"/>
              </w:rPr>
            </w:pPr>
          </w:p>
        </w:tc>
        <w:tc>
          <w:tcPr>
            <w:tcW w:w="1420" w:type="dxa"/>
            <w:vAlign w:val="bottom"/>
            <w:tcBorders>
              <w:bottom w:val="single" w:sz="8" w:color="939598"/>
            </w:tcBorders>
          </w:tcPr>
          <w:p>
            <w:pPr>
              <w:spacing w:after="0"/>
              <w:rPr>
                <w:sz w:val="11"/>
                <w:szCs w:val="11"/>
                <w:color w:val="auto"/>
              </w:rPr>
            </w:pPr>
          </w:p>
        </w:tc>
        <w:tc>
          <w:tcPr>
            <w:tcW w:w="260" w:type="dxa"/>
            <w:vAlign w:val="bottom"/>
            <w:tcBorders>
              <w:bottom w:val="single" w:sz="8" w:color="939598"/>
            </w:tcBorders>
          </w:tcPr>
          <w:p>
            <w:pPr>
              <w:spacing w:after="0"/>
              <w:rPr>
                <w:sz w:val="11"/>
                <w:szCs w:val="11"/>
                <w:color w:val="auto"/>
              </w:rPr>
            </w:pPr>
          </w:p>
        </w:tc>
        <w:tc>
          <w:tcPr>
            <w:tcW w:w="1000" w:type="dxa"/>
            <w:vAlign w:val="bottom"/>
            <w:tcBorders>
              <w:bottom w:val="single" w:sz="8" w:color="939598"/>
            </w:tcBorders>
          </w:tcPr>
          <w:p>
            <w:pPr>
              <w:spacing w:after="0"/>
              <w:rPr>
                <w:sz w:val="11"/>
                <w:szCs w:val="11"/>
                <w:color w:val="auto"/>
              </w:rPr>
            </w:pPr>
          </w:p>
        </w:tc>
        <w:tc>
          <w:tcPr>
            <w:tcW w:w="1020" w:type="dxa"/>
            <w:vAlign w:val="bottom"/>
            <w:tcBorders>
              <w:bottom w:val="single" w:sz="8" w:color="939598"/>
            </w:tcBorders>
          </w:tcPr>
          <w:p>
            <w:pPr>
              <w:spacing w:after="0"/>
              <w:rPr>
                <w:sz w:val="11"/>
                <w:szCs w:val="11"/>
                <w:color w:val="auto"/>
              </w:rPr>
            </w:pPr>
          </w:p>
        </w:tc>
        <w:tc>
          <w:tcPr>
            <w:tcW w:w="820" w:type="dxa"/>
            <w:vAlign w:val="bottom"/>
            <w:tcBorders>
              <w:bottom w:val="single" w:sz="8" w:color="939598"/>
            </w:tcBorders>
          </w:tcPr>
          <w:p>
            <w:pPr>
              <w:spacing w:after="0"/>
              <w:rPr>
                <w:sz w:val="11"/>
                <w:szCs w:val="11"/>
                <w:color w:val="auto"/>
              </w:rPr>
            </w:pPr>
          </w:p>
        </w:tc>
        <w:tc>
          <w:tcPr>
            <w:tcW w:w="1220" w:type="dxa"/>
            <w:vAlign w:val="bottom"/>
            <w:tcBorders>
              <w:bottom w:val="single" w:sz="8" w:color="939598"/>
            </w:tcBorders>
          </w:tcPr>
          <w:p>
            <w:pPr>
              <w:spacing w:after="0"/>
              <w:rPr>
                <w:sz w:val="11"/>
                <w:szCs w:val="11"/>
                <w:color w:val="auto"/>
              </w:rPr>
            </w:pPr>
          </w:p>
        </w:tc>
        <w:tc>
          <w:tcPr>
            <w:tcW w:w="178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309"/>
        </w:trPr>
        <w:tc>
          <w:tcPr>
            <w:tcW w:w="2240" w:type="dxa"/>
            <w:vAlign w:val="bottom"/>
          </w:tcPr>
          <w:p>
            <w:pPr>
              <w:spacing w:after="0"/>
              <w:rPr>
                <w:sz w:val="24"/>
                <w:szCs w:val="24"/>
                <w:color w:val="auto"/>
              </w:rPr>
            </w:pPr>
          </w:p>
        </w:tc>
        <w:tc>
          <w:tcPr>
            <w:tcW w:w="1460" w:type="dxa"/>
            <w:vAlign w:val="bottom"/>
          </w:tcPr>
          <w:p>
            <w:pPr>
              <w:ind w:left="20"/>
              <w:spacing w:after="0"/>
              <w:rPr>
                <w:sz w:val="20"/>
                <w:szCs w:val="20"/>
                <w:color w:val="auto"/>
              </w:rPr>
            </w:pPr>
            <w:r>
              <w:rPr>
                <w:rFonts w:ascii="Arial" w:cs="Arial" w:eastAsia="Arial" w:hAnsi="Arial"/>
                <w:sz w:val="14"/>
                <w:szCs w:val="14"/>
                <w:color w:val="auto"/>
              </w:rPr>
              <w:t>Mr. Lewis</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24"/>
                <w:szCs w:val="24"/>
                <w:color w:val="auto"/>
              </w:rPr>
            </w:pPr>
          </w:p>
        </w:tc>
        <w:tc>
          <w:tcPr>
            <w:tcW w:w="1220" w:type="dxa"/>
            <w:vAlign w:val="bottom"/>
          </w:tcPr>
          <w:p>
            <w:pPr>
              <w:jc w:val="right"/>
              <w:ind w:right="288"/>
              <w:spacing w:after="0"/>
              <w:rPr>
                <w:sz w:val="20"/>
                <w:szCs w:val="20"/>
                <w:color w:val="auto"/>
              </w:rPr>
            </w:pPr>
            <w:r>
              <w:rPr>
                <w:rFonts w:ascii="Arial" w:cs="Arial" w:eastAsia="Arial" w:hAnsi="Arial"/>
                <w:sz w:val="14"/>
                <w:szCs w:val="14"/>
                <w:color w:val="auto"/>
              </w:rPr>
              <w:t>381,000</w:t>
            </w:r>
          </w:p>
        </w:tc>
        <w:tc>
          <w:tcPr>
            <w:tcW w:w="1780" w:type="dxa"/>
            <w:vAlign w:val="bottom"/>
          </w:tcPr>
          <w:p>
            <w:pPr>
              <w:jc w:val="right"/>
              <w:spacing w:after="0"/>
              <w:rPr>
                <w:sz w:val="20"/>
                <w:szCs w:val="20"/>
                <w:color w:val="auto"/>
              </w:rPr>
            </w:pPr>
            <w:r>
              <w:rPr>
                <w:rFonts w:ascii="Arial" w:cs="Arial" w:eastAsia="Arial" w:hAnsi="Arial"/>
                <w:sz w:val="14"/>
                <w:szCs w:val="14"/>
                <w:color w:val="auto"/>
              </w:rPr>
              <w:t>381,000</w:t>
            </w:r>
          </w:p>
        </w:tc>
        <w:tc>
          <w:tcPr>
            <w:tcW w:w="0" w:type="dxa"/>
            <w:vAlign w:val="bottom"/>
          </w:tcPr>
          <w:p>
            <w:pPr>
              <w:spacing w:after="0"/>
              <w:rPr>
                <w:sz w:val="1"/>
                <w:szCs w:val="1"/>
                <w:color w:val="auto"/>
              </w:rPr>
            </w:pPr>
          </w:p>
        </w:tc>
      </w:tr>
      <w:tr>
        <w:trPr>
          <w:trHeight w:val="130"/>
        </w:trPr>
        <w:tc>
          <w:tcPr>
            <w:tcW w:w="2240" w:type="dxa"/>
            <w:vAlign w:val="bottom"/>
            <w:tcBorders>
              <w:bottom w:val="single" w:sz="8" w:color="939598"/>
            </w:tcBorders>
          </w:tcPr>
          <w:p>
            <w:pPr>
              <w:spacing w:after="0"/>
              <w:rPr>
                <w:sz w:val="11"/>
                <w:szCs w:val="11"/>
                <w:color w:val="auto"/>
              </w:rPr>
            </w:pPr>
          </w:p>
        </w:tc>
        <w:tc>
          <w:tcPr>
            <w:tcW w:w="1460" w:type="dxa"/>
            <w:vAlign w:val="bottom"/>
            <w:tcBorders>
              <w:bottom w:val="single" w:sz="8" w:color="939598"/>
            </w:tcBorders>
          </w:tcPr>
          <w:p>
            <w:pPr>
              <w:spacing w:after="0"/>
              <w:rPr>
                <w:sz w:val="11"/>
                <w:szCs w:val="11"/>
                <w:color w:val="auto"/>
              </w:rPr>
            </w:pPr>
          </w:p>
        </w:tc>
        <w:tc>
          <w:tcPr>
            <w:tcW w:w="1420" w:type="dxa"/>
            <w:vAlign w:val="bottom"/>
            <w:tcBorders>
              <w:bottom w:val="single" w:sz="8" w:color="939598"/>
            </w:tcBorders>
          </w:tcPr>
          <w:p>
            <w:pPr>
              <w:spacing w:after="0"/>
              <w:rPr>
                <w:sz w:val="11"/>
                <w:szCs w:val="11"/>
                <w:color w:val="auto"/>
              </w:rPr>
            </w:pPr>
          </w:p>
        </w:tc>
        <w:tc>
          <w:tcPr>
            <w:tcW w:w="260" w:type="dxa"/>
            <w:vAlign w:val="bottom"/>
            <w:tcBorders>
              <w:bottom w:val="single" w:sz="8" w:color="939598"/>
            </w:tcBorders>
          </w:tcPr>
          <w:p>
            <w:pPr>
              <w:spacing w:after="0"/>
              <w:rPr>
                <w:sz w:val="11"/>
                <w:szCs w:val="11"/>
                <w:color w:val="auto"/>
              </w:rPr>
            </w:pPr>
          </w:p>
        </w:tc>
        <w:tc>
          <w:tcPr>
            <w:tcW w:w="1000" w:type="dxa"/>
            <w:vAlign w:val="bottom"/>
            <w:tcBorders>
              <w:bottom w:val="single" w:sz="8" w:color="939598"/>
            </w:tcBorders>
          </w:tcPr>
          <w:p>
            <w:pPr>
              <w:spacing w:after="0"/>
              <w:rPr>
                <w:sz w:val="11"/>
                <w:szCs w:val="11"/>
                <w:color w:val="auto"/>
              </w:rPr>
            </w:pPr>
          </w:p>
        </w:tc>
        <w:tc>
          <w:tcPr>
            <w:tcW w:w="1020" w:type="dxa"/>
            <w:vAlign w:val="bottom"/>
            <w:tcBorders>
              <w:bottom w:val="single" w:sz="8" w:color="939598"/>
            </w:tcBorders>
          </w:tcPr>
          <w:p>
            <w:pPr>
              <w:spacing w:after="0"/>
              <w:rPr>
                <w:sz w:val="11"/>
                <w:szCs w:val="11"/>
                <w:color w:val="auto"/>
              </w:rPr>
            </w:pPr>
          </w:p>
        </w:tc>
        <w:tc>
          <w:tcPr>
            <w:tcW w:w="820" w:type="dxa"/>
            <w:vAlign w:val="bottom"/>
            <w:tcBorders>
              <w:bottom w:val="single" w:sz="8" w:color="939598"/>
            </w:tcBorders>
          </w:tcPr>
          <w:p>
            <w:pPr>
              <w:spacing w:after="0"/>
              <w:rPr>
                <w:sz w:val="11"/>
                <w:szCs w:val="11"/>
                <w:color w:val="auto"/>
              </w:rPr>
            </w:pPr>
          </w:p>
        </w:tc>
        <w:tc>
          <w:tcPr>
            <w:tcW w:w="1220" w:type="dxa"/>
            <w:vAlign w:val="bottom"/>
            <w:tcBorders>
              <w:bottom w:val="single" w:sz="8" w:color="939598"/>
            </w:tcBorders>
          </w:tcPr>
          <w:p>
            <w:pPr>
              <w:spacing w:after="0"/>
              <w:rPr>
                <w:sz w:val="11"/>
                <w:szCs w:val="11"/>
                <w:color w:val="auto"/>
              </w:rPr>
            </w:pPr>
          </w:p>
        </w:tc>
        <w:tc>
          <w:tcPr>
            <w:tcW w:w="178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315"/>
        </w:trPr>
        <w:tc>
          <w:tcPr>
            <w:tcW w:w="2240" w:type="dxa"/>
            <w:vAlign w:val="bottom"/>
          </w:tcPr>
          <w:p>
            <w:pPr>
              <w:ind w:left="20"/>
              <w:spacing w:after="0"/>
              <w:rPr>
                <w:sz w:val="20"/>
                <w:szCs w:val="20"/>
                <w:color w:val="auto"/>
              </w:rPr>
            </w:pPr>
            <w:r>
              <w:rPr>
                <w:rFonts w:ascii="Arial" w:cs="Arial" w:eastAsia="Arial" w:hAnsi="Arial"/>
                <w:sz w:val="14"/>
                <w:szCs w:val="14"/>
                <w:b w:val="1"/>
                <w:bCs w:val="1"/>
                <w:color w:val="auto"/>
              </w:rPr>
              <w:t>Benefits and Perquisites</w:t>
            </w:r>
          </w:p>
        </w:tc>
        <w:tc>
          <w:tcPr>
            <w:tcW w:w="1460" w:type="dxa"/>
            <w:vAlign w:val="bottom"/>
          </w:tcPr>
          <w:p>
            <w:pPr>
              <w:ind w:left="20"/>
              <w:spacing w:after="0"/>
              <w:rPr>
                <w:sz w:val="20"/>
                <w:szCs w:val="20"/>
                <w:color w:val="auto"/>
              </w:rPr>
            </w:pPr>
            <w:r>
              <w:rPr>
                <w:rFonts w:ascii="Arial" w:cs="Arial" w:eastAsia="Arial" w:hAnsi="Arial"/>
                <w:sz w:val="14"/>
                <w:szCs w:val="14"/>
                <w:color w:val="auto"/>
              </w:rPr>
              <w:t>Mr. Kapur</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20,416</w:t>
            </w:r>
          </w:p>
        </w:tc>
        <w:tc>
          <w:tcPr>
            <w:tcW w:w="260" w:type="dxa"/>
            <w:vAlign w:val="bottom"/>
          </w:tcPr>
          <w:p>
            <w:pPr>
              <w:spacing w:after="0"/>
              <w:rPr>
                <w:sz w:val="24"/>
                <w:szCs w:val="24"/>
                <w:color w:val="auto"/>
              </w:rPr>
            </w:pPr>
          </w:p>
        </w:tc>
        <w:tc>
          <w:tcPr>
            <w:tcW w:w="10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24"/>
                <w:szCs w:val="24"/>
                <w:color w:val="auto"/>
              </w:rPr>
            </w:pPr>
          </w:p>
        </w:tc>
        <w:tc>
          <w:tcPr>
            <w:tcW w:w="12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780" w:type="dxa"/>
            <w:vAlign w:val="bottom"/>
          </w:tcPr>
          <w:p>
            <w:pPr>
              <w:jc w:val="right"/>
              <w:spacing w:after="0"/>
              <w:rPr>
                <w:sz w:val="20"/>
                <w:szCs w:val="20"/>
                <w:color w:val="auto"/>
              </w:rPr>
            </w:pPr>
            <w:r>
              <w:rPr>
                <w:rFonts w:ascii="Arial" w:cs="Arial" w:eastAsia="Arial" w:hAnsi="Arial"/>
                <w:sz w:val="14"/>
                <w:szCs w:val="14"/>
                <w:color w:val="auto"/>
              </w:rPr>
              <w:t>20,416</w:t>
            </w:r>
          </w:p>
        </w:tc>
        <w:tc>
          <w:tcPr>
            <w:tcW w:w="0" w:type="dxa"/>
            <w:vAlign w:val="bottom"/>
          </w:tcPr>
          <w:p>
            <w:pPr>
              <w:spacing w:after="0"/>
              <w:rPr>
                <w:sz w:val="1"/>
                <w:szCs w:val="1"/>
                <w:color w:val="auto"/>
              </w:rPr>
            </w:pPr>
          </w:p>
        </w:tc>
      </w:tr>
      <w:tr>
        <w:trPr>
          <w:trHeight w:val="123"/>
        </w:trPr>
        <w:tc>
          <w:tcPr>
            <w:tcW w:w="2240" w:type="dxa"/>
            <w:vAlign w:val="bottom"/>
          </w:tcPr>
          <w:p>
            <w:pPr>
              <w:spacing w:after="0"/>
              <w:rPr>
                <w:sz w:val="10"/>
                <w:szCs w:val="10"/>
                <w:color w:val="auto"/>
              </w:rPr>
            </w:pPr>
          </w:p>
        </w:tc>
        <w:tc>
          <w:tcPr>
            <w:tcW w:w="1460" w:type="dxa"/>
            <w:vAlign w:val="bottom"/>
            <w:tcBorders>
              <w:bottom w:val="single" w:sz="8" w:color="939598"/>
            </w:tcBorders>
          </w:tcPr>
          <w:p>
            <w:pPr>
              <w:spacing w:after="0"/>
              <w:rPr>
                <w:sz w:val="10"/>
                <w:szCs w:val="10"/>
                <w:color w:val="auto"/>
              </w:rPr>
            </w:pPr>
          </w:p>
        </w:tc>
        <w:tc>
          <w:tcPr>
            <w:tcW w:w="1420" w:type="dxa"/>
            <w:vAlign w:val="bottom"/>
            <w:tcBorders>
              <w:bottom w:val="single" w:sz="8" w:color="939598"/>
            </w:tcBorders>
          </w:tcPr>
          <w:p>
            <w:pPr>
              <w:spacing w:after="0"/>
              <w:rPr>
                <w:sz w:val="10"/>
                <w:szCs w:val="10"/>
                <w:color w:val="auto"/>
              </w:rPr>
            </w:pPr>
          </w:p>
        </w:tc>
        <w:tc>
          <w:tcPr>
            <w:tcW w:w="260" w:type="dxa"/>
            <w:vAlign w:val="bottom"/>
            <w:tcBorders>
              <w:bottom w:val="single" w:sz="8" w:color="939598"/>
            </w:tcBorders>
          </w:tcPr>
          <w:p>
            <w:pPr>
              <w:spacing w:after="0"/>
              <w:rPr>
                <w:sz w:val="10"/>
                <w:szCs w:val="10"/>
                <w:color w:val="auto"/>
              </w:rPr>
            </w:pPr>
          </w:p>
        </w:tc>
        <w:tc>
          <w:tcPr>
            <w:tcW w:w="1000" w:type="dxa"/>
            <w:vAlign w:val="bottom"/>
            <w:tcBorders>
              <w:bottom w:val="single" w:sz="8" w:color="939598"/>
            </w:tcBorders>
          </w:tcPr>
          <w:p>
            <w:pPr>
              <w:spacing w:after="0"/>
              <w:rPr>
                <w:sz w:val="10"/>
                <w:szCs w:val="10"/>
                <w:color w:val="auto"/>
              </w:rPr>
            </w:pPr>
          </w:p>
        </w:tc>
        <w:tc>
          <w:tcPr>
            <w:tcW w:w="102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spacing w:after="0"/>
              <w:rPr>
                <w:sz w:val="10"/>
                <w:szCs w:val="10"/>
                <w:color w:val="auto"/>
              </w:rPr>
            </w:pPr>
          </w:p>
        </w:tc>
        <w:tc>
          <w:tcPr>
            <w:tcW w:w="1220" w:type="dxa"/>
            <w:vAlign w:val="bottom"/>
            <w:tcBorders>
              <w:bottom w:val="single" w:sz="8" w:color="939598"/>
            </w:tcBorders>
          </w:tcPr>
          <w:p>
            <w:pPr>
              <w:spacing w:after="0"/>
              <w:rPr>
                <w:sz w:val="10"/>
                <w:szCs w:val="10"/>
                <w:color w:val="auto"/>
              </w:rPr>
            </w:pPr>
          </w:p>
        </w:tc>
        <w:tc>
          <w:tcPr>
            <w:tcW w:w="178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2240" w:type="dxa"/>
            <w:vAlign w:val="bottom"/>
          </w:tcPr>
          <w:p>
            <w:pPr>
              <w:spacing w:after="0"/>
              <w:rPr>
                <w:sz w:val="24"/>
                <w:szCs w:val="24"/>
                <w:color w:val="auto"/>
              </w:rPr>
            </w:pPr>
          </w:p>
        </w:tc>
        <w:tc>
          <w:tcPr>
            <w:tcW w:w="1460" w:type="dxa"/>
            <w:vAlign w:val="bottom"/>
          </w:tcPr>
          <w:p>
            <w:pPr>
              <w:ind w:left="20"/>
              <w:spacing w:after="0"/>
              <w:rPr>
                <w:sz w:val="20"/>
                <w:szCs w:val="20"/>
                <w:color w:val="auto"/>
              </w:rPr>
            </w:pPr>
            <w:r>
              <w:rPr>
                <w:rFonts w:ascii="Arial" w:cs="Arial" w:eastAsia="Arial" w:hAnsi="Arial"/>
                <w:sz w:val="14"/>
                <w:szCs w:val="14"/>
                <w:color w:val="auto"/>
              </w:rPr>
              <w:t>Mr. Stepniak</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10,403</w:t>
            </w:r>
          </w:p>
        </w:tc>
        <w:tc>
          <w:tcPr>
            <w:tcW w:w="260" w:type="dxa"/>
            <w:vAlign w:val="bottom"/>
          </w:tcPr>
          <w:p>
            <w:pPr>
              <w:spacing w:after="0"/>
              <w:rPr>
                <w:sz w:val="24"/>
                <w:szCs w:val="24"/>
                <w:color w:val="auto"/>
              </w:rPr>
            </w:pPr>
          </w:p>
        </w:tc>
        <w:tc>
          <w:tcPr>
            <w:tcW w:w="10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24"/>
                <w:szCs w:val="24"/>
                <w:color w:val="auto"/>
              </w:rPr>
            </w:pPr>
          </w:p>
        </w:tc>
        <w:tc>
          <w:tcPr>
            <w:tcW w:w="12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780" w:type="dxa"/>
            <w:vAlign w:val="bottom"/>
          </w:tcPr>
          <w:p>
            <w:pPr>
              <w:jc w:val="right"/>
              <w:spacing w:after="0"/>
              <w:rPr>
                <w:sz w:val="20"/>
                <w:szCs w:val="20"/>
                <w:color w:val="auto"/>
              </w:rPr>
            </w:pPr>
            <w:r>
              <w:rPr>
                <w:rFonts w:ascii="Arial" w:cs="Arial" w:eastAsia="Arial" w:hAnsi="Arial"/>
                <w:sz w:val="14"/>
                <w:szCs w:val="14"/>
                <w:color w:val="auto"/>
              </w:rPr>
              <w:t>20,805</w:t>
            </w:r>
          </w:p>
        </w:tc>
        <w:tc>
          <w:tcPr>
            <w:tcW w:w="0" w:type="dxa"/>
            <w:vAlign w:val="bottom"/>
          </w:tcPr>
          <w:p>
            <w:pPr>
              <w:spacing w:after="0"/>
              <w:rPr>
                <w:sz w:val="1"/>
                <w:szCs w:val="1"/>
                <w:color w:val="auto"/>
              </w:rPr>
            </w:pPr>
          </w:p>
        </w:tc>
      </w:tr>
      <w:tr>
        <w:trPr>
          <w:trHeight w:val="130"/>
        </w:trPr>
        <w:tc>
          <w:tcPr>
            <w:tcW w:w="2240" w:type="dxa"/>
            <w:vAlign w:val="bottom"/>
          </w:tcPr>
          <w:p>
            <w:pPr>
              <w:spacing w:after="0"/>
              <w:rPr>
                <w:sz w:val="11"/>
                <w:szCs w:val="11"/>
                <w:color w:val="auto"/>
              </w:rPr>
            </w:pPr>
          </w:p>
        </w:tc>
        <w:tc>
          <w:tcPr>
            <w:tcW w:w="1460" w:type="dxa"/>
            <w:vAlign w:val="bottom"/>
            <w:tcBorders>
              <w:bottom w:val="single" w:sz="8" w:color="939598"/>
            </w:tcBorders>
          </w:tcPr>
          <w:p>
            <w:pPr>
              <w:spacing w:after="0"/>
              <w:rPr>
                <w:sz w:val="11"/>
                <w:szCs w:val="11"/>
                <w:color w:val="auto"/>
              </w:rPr>
            </w:pPr>
          </w:p>
        </w:tc>
        <w:tc>
          <w:tcPr>
            <w:tcW w:w="1420" w:type="dxa"/>
            <w:vAlign w:val="bottom"/>
            <w:tcBorders>
              <w:bottom w:val="single" w:sz="8" w:color="939598"/>
            </w:tcBorders>
          </w:tcPr>
          <w:p>
            <w:pPr>
              <w:spacing w:after="0"/>
              <w:rPr>
                <w:sz w:val="11"/>
                <w:szCs w:val="11"/>
                <w:color w:val="auto"/>
              </w:rPr>
            </w:pPr>
          </w:p>
        </w:tc>
        <w:tc>
          <w:tcPr>
            <w:tcW w:w="260" w:type="dxa"/>
            <w:vAlign w:val="bottom"/>
            <w:tcBorders>
              <w:bottom w:val="single" w:sz="8" w:color="939598"/>
            </w:tcBorders>
          </w:tcPr>
          <w:p>
            <w:pPr>
              <w:spacing w:after="0"/>
              <w:rPr>
                <w:sz w:val="11"/>
                <w:szCs w:val="11"/>
                <w:color w:val="auto"/>
              </w:rPr>
            </w:pPr>
          </w:p>
        </w:tc>
        <w:tc>
          <w:tcPr>
            <w:tcW w:w="1000" w:type="dxa"/>
            <w:vAlign w:val="bottom"/>
            <w:tcBorders>
              <w:bottom w:val="single" w:sz="8" w:color="939598"/>
            </w:tcBorders>
          </w:tcPr>
          <w:p>
            <w:pPr>
              <w:spacing w:after="0"/>
              <w:rPr>
                <w:sz w:val="11"/>
                <w:szCs w:val="11"/>
                <w:color w:val="auto"/>
              </w:rPr>
            </w:pPr>
          </w:p>
        </w:tc>
        <w:tc>
          <w:tcPr>
            <w:tcW w:w="1020" w:type="dxa"/>
            <w:vAlign w:val="bottom"/>
            <w:tcBorders>
              <w:bottom w:val="single" w:sz="8" w:color="939598"/>
            </w:tcBorders>
          </w:tcPr>
          <w:p>
            <w:pPr>
              <w:spacing w:after="0"/>
              <w:rPr>
                <w:sz w:val="11"/>
                <w:szCs w:val="11"/>
                <w:color w:val="auto"/>
              </w:rPr>
            </w:pPr>
          </w:p>
        </w:tc>
        <w:tc>
          <w:tcPr>
            <w:tcW w:w="820" w:type="dxa"/>
            <w:vAlign w:val="bottom"/>
            <w:tcBorders>
              <w:bottom w:val="single" w:sz="8" w:color="939598"/>
            </w:tcBorders>
          </w:tcPr>
          <w:p>
            <w:pPr>
              <w:spacing w:after="0"/>
              <w:rPr>
                <w:sz w:val="11"/>
                <w:szCs w:val="11"/>
                <w:color w:val="auto"/>
              </w:rPr>
            </w:pPr>
          </w:p>
        </w:tc>
        <w:tc>
          <w:tcPr>
            <w:tcW w:w="1220" w:type="dxa"/>
            <w:vAlign w:val="bottom"/>
            <w:tcBorders>
              <w:bottom w:val="single" w:sz="8" w:color="939598"/>
            </w:tcBorders>
          </w:tcPr>
          <w:p>
            <w:pPr>
              <w:spacing w:after="0"/>
              <w:rPr>
                <w:sz w:val="11"/>
                <w:szCs w:val="11"/>
                <w:color w:val="auto"/>
              </w:rPr>
            </w:pPr>
          </w:p>
        </w:tc>
        <w:tc>
          <w:tcPr>
            <w:tcW w:w="178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309"/>
        </w:trPr>
        <w:tc>
          <w:tcPr>
            <w:tcW w:w="2240" w:type="dxa"/>
            <w:vAlign w:val="bottom"/>
          </w:tcPr>
          <w:p>
            <w:pPr>
              <w:spacing w:after="0"/>
              <w:rPr>
                <w:sz w:val="24"/>
                <w:szCs w:val="24"/>
                <w:color w:val="auto"/>
              </w:rPr>
            </w:pPr>
          </w:p>
        </w:tc>
        <w:tc>
          <w:tcPr>
            <w:tcW w:w="1460" w:type="dxa"/>
            <w:vAlign w:val="bottom"/>
          </w:tcPr>
          <w:p>
            <w:pPr>
              <w:ind w:left="20"/>
              <w:spacing w:after="0"/>
              <w:rPr>
                <w:sz w:val="20"/>
                <w:szCs w:val="20"/>
                <w:color w:val="auto"/>
              </w:rPr>
            </w:pPr>
            <w:r>
              <w:rPr>
                <w:rFonts w:ascii="Arial" w:cs="Arial" w:eastAsia="Arial" w:hAnsi="Arial"/>
                <w:sz w:val="14"/>
                <w:szCs w:val="14"/>
                <w:color w:val="auto"/>
              </w:rPr>
              <w:t>Mr. Currier</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9,756</w:t>
            </w:r>
          </w:p>
        </w:tc>
        <w:tc>
          <w:tcPr>
            <w:tcW w:w="260" w:type="dxa"/>
            <w:vAlign w:val="bottom"/>
          </w:tcPr>
          <w:p>
            <w:pPr>
              <w:spacing w:after="0"/>
              <w:rPr>
                <w:sz w:val="24"/>
                <w:szCs w:val="24"/>
                <w:color w:val="auto"/>
              </w:rPr>
            </w:pPr>
          </w:p>
        </w:tc>
        <w:tc>
          <w:tcPr>
            <w:tcW w:w="10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24"/>
                <w:szCs w:val="24"/>
                <w:color w:val="auto"/>
              </w:rPr>
            </w:pPr>
          </w:p>
        </w:tc>
        <w:tc>
          <w:tcPr>
            <w:tcW w:w="12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780" w:type="dxa"/>
            <w:vAlign w:val="bottom"/>
          </w:tcPr>
          <w:p>
            <w:pPr>
              <w:jc w:val="right"/>
              <w:spacing w:after="0"/>
              <w:rPr>
                <w:sz w:val="20"/>
                <w:szCs w:val="20"/>
                <w:color w:val="auto"/>
              </w:rPr>
            </w:pPr>
            <w:r>
              <w:rPr>
                <w:rFonts w:ascii="Arial" w:cs="Arial" w:eastAsia="Arial" w:hAnsi="Arial"/>
                <w:sz w:val="14"/>
                <w:szCs w:val="14"/>
                <w:color w:val="auto"/>
              </w:rPr>
              <w:t>19,512</w:t>
            </w:r>
          </w:p>
        </w:tc>
        <w:tc>
          <w:tcPr>
            <w:tcW w:w="0" w:type="dxa"/>
            <w:vAlign w:val="bottom"/>
          </w:tcPr>
          <w:p>
            <w:pPr>
              <w:spacing w:after="0"/>
              <w:rPr>
                <w:sz w:val="1"/>
                <w:szCs w:val="1"/>
                <w:color w:val="auto"/>
              </w:rPr>
            </w:pPr>
          </w:p>
        </w:tc>
      </w:tr>
      <w:tr>
        <w:trPr>
          <w:trHeight w:val="130"/>
        </w:trPr>
        <w:tc>
          <w:tcPr>
            <w:tcW w:w="2240" w:type="dxa"/>
            <w:vAlign w:val="bottom"/>
          </w:tcPr>
          <w:p>
            <w:pPr>
              <w:spacing w:after="0"/>
              <w:rPr>
                <w:sz w:val="11"/>
                <w:szCs w:val="11"/>
                <w:color w:val="auto"/>
              </w:rPr>
            </w:pPr>
          </w:p>
        </w:tc>
        <w:tc>
          <w:tcPr>
            <w:tcW w:w="1460" w:type="dxa"/>
            <w:vAlign w:val="bottom"/>
            <w:tcBorders>
              <w:bottom w:val="single" w:sz="8" w:color="939598"/>
            </w:tcBorders>
          </w:tcPr>
          <w:p>
            <w:pPr>
              <w:spacing w:after="0"/>
              <w:rPr>
                <w:sz w:val="11"/>
                <w:szCs w:val="11"/>
                <w:color w:val="auto"/>
              </w:rPr>
            </w:pPr>
          </w:p>
        </w:tc>
        <w:tc>
          <w:tcPr>
            <w:tcW w:w="1420" w:type="dxa"/>
            <w:vAlign w:val="bottom"/>
            <w:tcBorders>
              <w:bottom w:val="single" w:sz="8" w:color="939598"/>
            </w:tcBorders>
          </w:tcPr>
          <w:p>
            <w:pPr>
              <w:spacing w:after="0"/>
              <w:rPr>
                <w:sz w:val="11"/>
                <w:szCs w:val="11"/>
                <w:color w:val="auto"/>
              </w:rPr>
            </w:pPr>
          </w:p>
        </w:tc>
        <w:tc>
          <w:tcPr>
            <w:tcW w:w="260" w:type="dxa"/>
            <w:vAlign w:val="bottom"/>
            <w:tcBorders>
              <w:bottom w:val="single" w:sz="8" w:color="939598"/>
            </w:tcBorders>
          </w:tcPr>
          <w:p>
            <w:pPr>
              <w:spacing w:after="0"/>
              <w:rPr>
                <w:sz w:val="11"/>
                <w:szCs w:val="11"/>
                <w:color w:val="auto"/>
              </w:rPr>
            </w:pPr>
          </w:p>
        </w:tc>
        <w:tc>
          <w:tcPr>
            <w:tcW w:w="1000" w:type="dxa"/>
            <w:vAlign w:val="bottom"/>
            <w:tcBorders>
              <w:bottom w:val="single" w:sz="8" w:color="939598"/>
            </w:tcBorders>
          </w:tcPr>
          <w:p>
            <w:pPr>
              <w:spacing w:after="0"/>
              <w:rPr>
                <w:sz w:val="11"/>
                <w:szCs w:val="11"/>
                <w:color w:val="auto"/>
              </w:rPr>
            </w:pPr>
          </w:p>
        </w:tc>
        <w:tc>
          <w:tcPr>
            <w:tcW w:w="1020" w:type="dxa"/>
            <w:vAlign w:val="bottom"/>
            <w:tcBorders>
              <w:bottom w:val="single" w:sz="8" w:color="939598"/>
            </w:tcBorders>
          </w:tcPr>
          <w:p>
            <w:pPr>
              <w:spacing w:after="0"/>
              <w:rPr>
                <w:sz w:val="11"/>
                <w:szCs w:val="11"/>
                <w:color w:val="auto"/>
              </w:rPr>
            </w:pPr>
          </w:p>
        </w:tc>
        <w:tc>
          <w:tcPr>
            <w:tcW w:w="820" w:type="dxa"/>
            <w:vAlign w:val="bottom"/>
            <w:tcBorders>
              <w:bottom w:val="single" w:sz="8" w:color="939598"/>
            </w:tcBorders>
          </w:tcPr>
          <w:p>
            <w:pPr>
              <w:spacing w:after="0"/>
              <w:rPr>
                <w:sz w:val="11"/>
                <w:szCs w:val="11"/>
                <w:color w:val="auto"/>
              </w:rPr>
            </w:pPr>
          </w:p>
        </w:tc>
        <w:tc>
          <w:tcPr>
            <w:tcW w:w="1220" w:type="dxa"/>
            <w:vAlign w:val="bottom"/>
            <w:tcBorders>
              <w:bottom w:val="single" w:sz="8" w:color="939598"/>
            </w:tcBorders>
          </w:tcPr>
          <w:p>
            <w:pPr>
              <w:spacing w:after="0"/>
              <w:rPr>
                <w:sz w:val="11"/>
                <w:szCs w:val="11"/>
                <w:color w:val="auto"/>
              </w:rPr>
            </w:pPr>
          </w:p>
        </w:tc>
        <w:tc>
          <w:tcPr>
            <w:tcW w:w="178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309"/>
        </w:trPr>
        <w:tc>
          <w:tcPr>
            <w:tcW w:w="2240" w:type="dxa"/>
            <w:vAlign w:val="bottom"/>
          </w:tcPr>
          <w:p>
            <w:pPr>
              <w:spacing w:after="0"/>
              <w:rPr>
                <w:sz w:val="24"/>
                <w:szCs w:val="24"/>
                <w:color w:val="auto"/>
              </w:rPr>
            </w:pPr>
          </w:p>
        </w:tc>
        <w:tc>
          <w:tcPr>
            <w:tcW w:w="1460" w:type="dxa"/>
            <w:vAlign w:val="bottom"/>
          </w:tcPr>
          <w:p>
            <w:pPr>
              <w:ind w:left="20"/>
              <w:spacing w:after="0"/>
              <w:rPr>
                <w:sz w:val="20"/>
                <w:szCs w:val="20"/>
                <w:color w:val="auto"/>
              </w:rPr>
            </w:pPr>
            <w:r>
              <w:rPr>
                <w:rFonts w:ascii="Arial" w:cs="Arial" w:eastAsia="Arial" w:hAnsi="Arial"/>
                <w:sz w:val="14"/>
                <w:szCs w:val="14"/>
                <w:color w:val="auto"/>
              </w:rPr>
              <w:t>Mr. Masso</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1,167</w:t>
            </w:r>
          </w:p>
        </w:tc>
        <w:tc>
          <w:tcPr>
            <w:tcW w:w="260" w:type="dxa"/>
            <w:vAlign w:val="bottom"/>
          </w:tcPr>
          <w:p>
            <w:pPr>
              <w:spacing w:after="0"/>
              <w:rPr>
                <w:sz w:val="24"/>
                <w:szCs w:val="24"/>
                <w:color w:val="auto"/>
              </w:rPr>
            </w:pPr>
          </w:p>
        </w:tc>
        <w:tc>
          <w:tcPr>
            <w:tcW w:w="10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24"/>
                <w:szCs w:val="24"/>
                <w:color w:val="auto"/>
              </w:rPr>
            </w:pPr>
          </w:p>
        </w:tc>
        <w:tc>
          <w:tcPr>
            <w:tcW w:w="12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780" w:type="dxa"/>
            <w:vAlign w:val="bottom"/>
          </w:tcPr>
          <w:p>
            <w:pPr>
              <w:jc w:val="right"/>
              <w:spacing w:after="0"/>
              <w:rPr>
                <w:sz w:val="20"/>
                <w:szCs w:val="20"/>
                <w:color w:val="auto"/>
              </w:rPr>
            </w:pPr>
            <w:r>
              <w:rPr>
                <w:rFonts w:ascii="Arial" w:cs="Arial" w:eastAsia="Arial" w:hAnsi="Arial"/>
                <w:sz w:val="14"/>
                <w:szCs w:val="14"/>
                <w:color w:val="auto"/>
              </w:rPr>
              <w:t>2,334</w:t>
            </w:r>
          </w:p>
        </w:tc>
        <w:tc>
          <w:tcPr>
            <w:tcW w:w="0" w:type="dxa"/>
            <w:vAlign w:val="bottom"/>
          </w:tcPr>
          <w:p>
            <w:pPr>
              <w:spacing w:after="0"/>
              <w:rPr>
                <w:sz w:val="1"/>
                <w:szCs w:val="1"/>
                <w:color w:val="auto"/>
              </w:rPr>
            </w:pPr>
          </w:p>
        </w:tc>
      </w:tr>
      <w:tr>
        <w:trPr>
          <w:trHeight w:val="130"/>
        </w:trPr>
        <w:tc>
          <w:tcPr>
            <w:tcW w:w="2240" w:type="dxa"/>
            <w:vAlign w:val="bottom"/>
          </w:tcPr>
          <w:p>
            <w:pPr>
              <w:spacing w:after="0"/>
              <w:rPr>
                <w:sz w:val="11"/>
                <w:szCs w:val="11"/>
                <w:color w:val="auto"/>
              </w:rPr>
            </w:pPr>
          </w:p>
        </w:tc>
        <w:tc>
          <w:tcPr>
            <w:tcW w:w="1460" w:type="dxa"/>
            <w:vAlign w:val="bottom"/>
            <w:tcBorders>
              <w:bottom w:val="single" w:sz="8" w:color="939598"/>
            </w:tcBorders>
          </w:tcPr>
          <w:p>
            <w:pPr>
              <w:spacing w:after="0"/>
              <w:rPr>
                <w:sz w:val="11"/>
                <w:szCs w:val="11"/>
                <w:color w:val="auto"/>
              </w:rPr>
            </w:pPr>
          </w:p>
        </w:tc>
        <w:tc>
          <w:tcPr>
            <w:tcW w:w="1420" w:type="dxa"/>
            <w:vAlign w:val="bottom"/>
            <w:tcBorders>
              <w:bottom w:val="single" w:sz="8" w:color="939598"/>
            </w:tcBorders>
          </w:tcPr>
          <w:p>
            <w:pPr>
              <w:spacing w:after="0"/>
              <w:rPr>
                <w:sz w:val="11"/>
                <w:szCs w:val="11"/>
                <w:color w:val="auto"/>
              </w:rPr>
            </w:pPr>
          </w:p>
        </w:tc>
        <w:tc>
          <w:tcPr>
            <w:tcW w:w="260" w:type="dxa"/>
            <w:vAlign w:val="bottom"/>
            <w:tcBorders>
              <w:bottom w:val="single" w:sz="8" w:color="939598"/>
            </w:tcBorders>
          </w:tcPr>
          <w:p>
            <w:pPr>
              <w:spacing w:after="0"/>
              <w:rPr>
                <w:sz w:val="11"/>
                <w:szCs w:val="11"/>
                <w:color w:val="auto"/>
              </w:rPr>
            </w:pPr>
          </w:p>
        </w:tc>
        <w:tc>
          <w:tcPr>
            <w:tcW w:w="1000" w:type="dxa"/>
            <w:vAlign w:val="bottom"/>
            <w:tcBorders>
              <w:bottom w:val="single" w:sz="8" w:color="939598"/>
            </w:tcBorders>
          </w:tcPr>
          <w:p>
            <w:pPr>
              <w:spacing w:after="0"/>
              <w:rPr>
                <w:sz w:val="11"/>
                <w:szCs w:val="11"/>
                <w:color w:val="auto"/>
              </w:rPr>
            </w:pPr>
          </w:p>
        </w:tc>
        <w:tc>
          <w:tcPr>
            <w:tcW w:w="1020" w:type="dxa"/>
            <w:vAlign w:val="bottom"/>
            <w:tcBorders>
              <w:bottom w:val="single" w:sz="8" w:color="939598"/>
            </w:tcBorders>
          </w:tcPr>
          <w:p>
            <w:pPr>
              <w:spacing w:after="0"/>
              <w:rPr>
                <w:sz w:val="11"/>
                <w:szCs w:val="11"/>
                <w:color w:val="auto"/>
              </w:rPr>
            </w:pPr>
          </w:p>
        </w:tc>
        <w:tc>
          <w:tcPr>
            <w:tcW w:w="820" w:type="dxa"/>
            <w:vAlign w:val="bottom"/>
            <w:tcBorders>
              <w:bottom w:val="single" w:sz="8" w:color="939598"/>
            </w:tcBorders>
          </w:tcPr>
          <w:p>
            <w:pPr>
              <w:spacing w:after="0"/>
              <w:rPr>
                <w:sz w:val="11"/>
                <w:szCs w:val="11"/>
                <w:color w:val="auto"/>
              </w:rPr>
            </w:pPr>
          </w:p>
        </w:tc>
        <w:tc>
          <w:tcPr>
            <w:tcW w:w="1220" w:type="dxa"/>
            <w:vAlign w:val="bottom"/>
            <w:tcBorders>
              <w:bottom w:val="single" w:sz="8" w:color="939598"/>
            </w:tcBorders>
          </w:tcPr>
          <w:p>
            <w:pPr>
              <w:spacing w:after="0"/>
              <w:rPr>
                <w:sz w:val="11"/>
                <w:szCs w:val="11"/>
                <w:color w:val="auto"/>
              </w:rPr>
            </w:pPr>
          </w:p>
        </w:tc>
        <w:tc>
          <w:tcPr>
            <w:tcW w:w="178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309"/>
        </w:trPr>
        <w:tc>
          <w:tcPr>
            <w:tcW w:w="2240" w:type="dxa"/>
            <w:vAlign w:val="bottom"/>
          </w:tcPr>
          <w:p>
            <w:pPr>
              <w:spacing w:after="0"/>
              <w:rPr>
                <w:sz w:val="24"/>
                <w:szCs w:val="24"/>
                <w:color w:val="auto"/>
              </w:rPr>
            </w:pPr>
          </w:p>
        </w:tc>
        <w:tc>
          <w:tcPr>
            <w:tcW w:w="1460" w:type="dxa"/>
            <w:vAlign w:val="bottom"/>
          </w:tcPr>
          <w:p>
            <w:pPr>
              <w:ind w:left="20"/>
              <w:spacing w:after="0"/>
              <w:rPr>
                <w:sz w:val="20"/>
                <w:szCs w:val="20"/>
                <w:color w:val="auto"/>
              </w:rPr>
            </w:pPr>
            <w:r>
              <w:rPr>
                <w:rFonts w:ascii="Arial" w:cs="Arial" w:eastAsia="Arial" w:hAnsi="Arial"/>
                <w:sz w:val="14"/>
                <w:szCs w:val="14"/>
                <w:color w:val="auto"/>
              </w:rPr>
              <w:t>Mr. Hammoud</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10,277</w:t>
            </w:r>
          </w:p>
        </w:tc>
        <w:tc>
          <w:tcPr>
            <w:tcW w:w="260" w:type="dxa"/>
            <w:vAlign w:val="bottom"/>
          </w:tcPr>
          <w:p>
            <w:pPr>
              <w:spacing w:after="0"/>
              <w:rPr>
                <w:sz w:val="24"/>
                <w:szCs w:val="24"/>
                <w:color w:val="auto"/>
              </w:rPr>
            </w:pPr>
          </w:p>
        </w:tc>
        <w:tc>
          <w:tcPr>
            <w:tcW w:w="10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24"/>
                <w:szCs w:val="24"/>
                <w:color w:val="auto"/>
              </w:rPr>
            </w:pPr>
          </w:p>
        </w:tc>
        <w:tc>
          <w:tcPr>
            <w:tcW w:w="12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780" w:type="dxa"/>
            <w:vAlign w:val="bottom"/>
          </w:tcPr>
          <w:p>
            <w:pPr>
              <w:jc w:val="right"/>
              <w:spacing w:after="0"/>
              <w:rPr>
                <w:sz w:val="20"/>
                <w:szCs w:val="20"/>
                <w:color w:val="auto"/>
              </w:rPr>
            </w:pPr>
            <w:r>
              <w:rPr>
                <w:rFonts w:ascii="Arial" w:cs="Arial" w:eastAsia="Arial" w:hAnsi="Arial"/>
                <w:sz w:val="14"/>
                <w:szCs w:val="14"/>
                <w:color w:val="auto"/>
              </w:rPr>
              <w:t>20,554</w:t>
            </w:r>
          </w:p>
        </w:tc>
        <w:tc>
          <w:tcPr>
            <w:tcW w:w="0" w:type="dxa"/>
            <w:vAlign w:val="bottom"/>
          </w:tcPr>
          <w:p>
            <w:pPr>
              <w:spacing w:after="0"/>
              <w:rPr>
                <w:sz w:val="1"/>
                <w:szCs w:val="1"/>
                <w:color w:val="auto"/>
              </w:rPr>
            </w:pPr>
          </w:p>
        </w:tc>
      </w:tr>
      <w:tr>
        <w:trPr>
          <w:trHeight w:val="130"/>
        </w:trPr>
        <w:tc>
          <w:tcPr>
            <w:tcW w:w="2240" w:type="dxa"/>
            <w:vAlign w:val="bottom"/>
          </w:tcPr>
          <w:p>
            <w:pPr>
              <w:spacing w:after="0"/>
              <w:rPr>
                <w:sz w:val="11"/>
                <w:szCs w:val="11"/>
                <w:color w:val="auto"/>
              </w:rPr>
            </w:pPr>
          </w:p>
        </w:tc>
        <w:tc>
          <w:tcPr>
            <w:tcW w:w="1460" w:type="dxa"/>
            <w:vAlign w:val="bottom"/>
            <w:tcBorders>
              <w:bottom w:val="single" w:sz="8" w:color="939598"/>
            </w:tcBorders>
          </w:tcPr>
          <w:p>
            <w:pPr>
              <w:spacing w:after="0"/>
              <w:rPr>
                <w:sz w:val="11"/>
                <w:szCs w:val="11"/>
                <w:color w:val="auto"/>
              </w:rPr>
            </w:pPr>
          </w:p>
        </w:tc>
        <w:tc>
          <w:tcPr>
            <w:tcW w:w="1420" w:type="dxa"/>
            <w:vAlign w:val="bottom"/>
            <w:tcBorders>
              <w:bottom w:val="single" w:sz="8" w:color="939598"/>
            </w:tcBorders>
          </w:tcPr>
          <w:p>
            <w:pPr>
              <w:spacing w:after="0"/>
              <w:rPr>
                <w:sz w:val="11"/>
                <w:szCs w:val="11"/>
                <w:color w:val="auto"/>
              </w:rPr>
            </w:pPr>
          </w:p>
        </w:tc>
        <w:tc>
          <w:tcPr>
            <w:tcW w:w="260" w:type="dxa"/>
            <w:vAlign w:val="bottom"/>
            <w:tcBorders>
              <w:bottom w:val="single" w:sz="8" w:color="939598"/>
            </w:tcBorders>
          </w:tcPr>
          <w:p>
            <w:pPr>
              <w:spacing w:after="0"/>
              <w:rPr>
                <w:sz w:val="11"/>
                <w:szCs w:val="11"/>
                <w:color w:val="auto"/>
              </w:rPr>
            </w:pPr>
          </w:p>
        </w:tc>
        <w:tc>
          <w:tcPr>
            <w:tcW w:w="1000" w:type="dxa"/>
            <w:vAlign w:val="bottom"/>
            <w:tcBorders>
              <w:bottom w:val="single" w:sz="8" w:color="939598"/>
            </w:tcBorders>
          </w:tcPr>
          <w:p>
            <w:pPr>
              <w:spacing w:after="0"/>
              <w:rPr>
                <w:sz w:val="11"/>
                <w:szCs w:val="11"/>
                <w:color w:val="auto"/>
              </w:rPr>
            </w:pPr>
          </w:p>
        </w:tc>
        <w:tc>
          <w:tcPr>
            <w:tcW w:w="1020" w:type="dxa"/>
            <w:vAlign w:val="bottom"/>
            <w:tcBorders>
              <w:bottom w:val="single" w:sz="8" w:color="939598"/>
            </w:tcBorders>
          </w:tcPr>
          <w:p>
            <w:pPr>
              <w:spacing w:after="0"/>
              <w:rPr>
                <w:sz w:val="11"/>
                <w:szCs w:val="11"/>
                <w:color w:val="auto"/>
              </w:rPr>
            </w:pPr>
          </w:p>
        </w:tc>
        <w:tc>
          <w:tcPr>
            <w:tcW w:w="820" w:type="dxa"/>
            <w:vAlign w:val="bottom"/>
            <w:tcBorders>
              <w:bottom w:val="single" w:sz="8" w:color="939598"/>
            </w:tcBorders>
          </w:tcPr>
          <w:p>
            <w:pPr>
              <w:spacing w:after="0"/>
              <w:rPr>
                <w:sz w:val="11"/>
                <w:szCs w:val="11"/>
                <w:color w:val="auto"/>
              </w:rPr>
            </w:pPr>
          </w:p>
        </w:tc>
        <w:tc>
          <w:tcPr>
            <w:tcW w:w="1220" w:type="dxa"/>
            <w:vAlign w:val="bottom"/>
            <w:tcBorders>
              <w:bottom w:val="single" w:sz="8" w:color="939598"/>
            </w:tcBorders>
          </w:tcPr>
          <w:p>
            <w:pPr>
              <w:spacing w:after="0"/>
              <w:rPr>
                <w:sz w:val="11"/>
                <w:szCs w:val="11"/>
                <w:color w:val="auto"/>
              </w:rPr>
            </w:pPr>
          </w:p>
        </w:tc>
        <w:tc>
          <w:tcPr>
            <w:tcW w:w="178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310"/>
        </w:trPr>
        <w:tc>
          <w:tcPr>
            <w:tcW w:w="2240" w:type="dxa"/>
            <w:vAlign w:val="bottom"/>
          </w:tcPr>
          <w:p>
            <w:pPr>
              <w:spacing w:after="0"/>
              <w:rPr>
                <w:sz w:val="24"/>
                <w:szCs w:val="24"/>
                <w:color w:val="auto"/>
              </w:rPr>
            </w:pPr>
          </w:p>
        </w:tc>
        <w:tc>
          <w:tcPr>
            <w:tcW w:w="1460" w:type="dxa"/>
            <w:vAlign w:val="bottom"/>
          </w:tcPr>
          <w:p>
            <w:pPr>
              <w:ind w:left="20"/>
              <w:spacing w:after="0"/>
              <w:rPr>
                <w:sz w:val="20"/>
                <w:szCs w:val="20"/>
                <w:color w:val="auto"/>
              </w:rPr>
            </w:pPr>
            <w:r>
              <w:rPr>
                <w:rFonts w:ascii="Arial" w:cs="Arial" w:eastAsia="Arial" w:hAnsi="Arial"/>
                <w:sz w:val="14"/>
                <w:szCs w:val="14"/>
                <w:color w:val="auto"/>
              </w:rPr>
              <w:t>Mr. Lewis</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24"/>
                <w:szCs w:val="24"/>
                <w:color w:val="auto"/>
              </w:rPr>
            </w:pPr>
          </w:p>
        </w:tc>
        <w:tc>
          <w:tcPr>
            <w:tcW w:w="12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240" w:type="dxa"/>
            <w:vAlign w:val="bottom"/>
            <w:tcBorders>
              <w:bottom w:val="single" w:sz="8" w:color="939598"/>
            </w:tcBorders>
          </w:tcPr>
          <w:p>
            <w:pPr>
              <w:spacing w:after="0"/>
              <w:rPr>
                <w:sz w:val="11"/>
                <w:szCs w:val="11"/>
                <w:color w:val="auto"/>
              </w:rPr>
            </w:pPr>
          </w:p>
        </w:tc>
        <w:tc>
          <w:tcPr>
            <w:tcW w:w="1460" w:type="dxa"/>
            <w:vAlign w:val="bottom"/>
            <w:tcBorders>
              <w:bottom w:val="single" w:sz="8" w:color="939598"/>
            </w:tcBorders>
          </w:tcPr>
          <w:p>
            <w:pPr>
              <w:spacing w:after="0"/>
              <w:rPr>
                <w:sz w:val="11"/>
                <w:szCs w:val="11"/>
                <w:color w:val="auto"/>
              </w:rPr>
            </w:pPr>
          </w:p>
        </w:tc>
        <w:tc>
          <w:tcPr>
            <w:tcW w:w="1420" w:type="dxa"/>
            <w:vAlign w:val="bottom"/>
            <w:tcBorders>
              <w:bottom w:val="single" w:sz="8" w:color="939598"/>
            </w:tcBorders>
          </w:tcPr>
          <w:p>
            <w:pPr>
              <w:spacing w:after="0"/>
              <w:rPr>
                <w:sz w:val="11"/>
                <w:szCs w:val="11"/>
                <w:color w:val="auto"/>
              </w:rPr>
            </w:pPr>
          </w:p>
        </w:tc>
        <w:tc>
          <w:tcPr>
            <w:tcW w:w="260" w:type="dxa"/>
            <w:vAlign w:val="bottom"/>
            <w:tcBorders>
              <w:bottom w:val="single" w:sz="8" w:color="939598"/>
            </w:tcBorders>
          </w:tcPr>
          <w:p>
            <w:pPr>
              <w:spacing w:after="0"/>
              <w:rPr>
                <w:sz w:val="11"/>
                <w:szCs w:val="11"/>
                <w:color w:val="auto"/>
              </w:rPr>
            </w:pPr>
          </w:p>
        </w:tc>
        <w:tc>
          <w:tcPr>
            <w:tcW w:w="1000" w:type="dxa"/>
            <w:vAlign w:val="bottom"/>
            <w:tcBorders>
              <w:bottom w:val="single" w:sz="8" w:color="939598"/>
            </w:tcBorders>
          </w:tcPr>
          <w:p>
            <w:pPr>
              <w:spacing w:after="0"/>
              <w:rPr>
                <w:sz w:val="11"/>
                <w:szCs w:val="11"/>
                <w:color w:val="auto"/>
              </w:rPr>
            </w:pPr>
          </w:p>
        </w:tc>
        <w:tc>
          <w:tcPr>
            <w:tcW w:w="1020" w:type="dxa"/>
            <w:vAlign w:val="bottom"/>
            <w:tcBorders>
              <w:bottom w:val="single" w:sz="8" w:color="939598"/>
            </w:tcBorders>
          </w:tcPr>
          <w:p>
            <w:pPr>
              <w:spacing w:after="0"/>
              <w:rPr>
                <w:sz w:val="11"/>
                <w:szCs w:val="11"/>
                <w:color w:val="auto"/>
              </w:rPr>
            </w:pPr>
          </w:p>
        </w:tc>
        <w:tc>
          <w:tcPr>
            <w:tcW w:w="820" w:type="dxa"/>
            <w:vAlign w:val="bottom"/>
            <w:tcBorders>
              <w:bottom w:val="single" w:sz="8" w:color="939598"/>
            </w:tcBorders>
          </w:tcPr>
          <w:p>
            <w:pPr>
              <w:spacing w:after="0"/>
              <w:rPr>
                <w:sz w:val="11"/>
                <w:szCs w:val="11"/>
                <w:color w:val="auto"/>
              </w:rPr>
            </w:pPr>
          </w:p>
        </w:tc>
        <w:tc>
          <w:tcPr>
            <w:tcW w:w="1220" w:type="dxa"/>
            <w:vAlign w:val="bottom"/>
            <w:tcBorders>
              <w:bottom w:val="single" w:sz="8" w:color="939598"/>
            </w:tcBorders>
          </w:tcPr>
          <w:p>
            <w:pPr>
              <w:spacing w:after="0"/>
              <w:rPr>
                <w:sz w:val="11"/>
                <w:szCs w:val="11"/>
                <w:color w:val="auto"/>
              </w:rPr>
            </w:pPr>
          </w:p>
        </w:tc>
        <w:tc>
          <w:tcPr>
            <w:tcW w:w="178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315"/>
        </w:trPr>
        <w:tc>
          <w:tcPr>
            <w:tcW w:w="2240" w:type="dxa"/>
            <w:vAlign w:val="bottom"/>
          </w:tcPr>
          <w:p>
            <w:pPr>
              <w:ind w:left="20"/>
              <w:spacing w:after="0"/>
              <w:rPr>
                <w:sz w:val="20"/>
                <w:szCs w:val="20"/>
                <w:color w:val="auto"/>
              </w:rPr>
            </w:pPr>
            <w:r>
              <w:rPr>
                <w:rFonts w:ascii="Arial" w:cs="Arial" w:eastAsia="Arial" w:hAnsi="Arial"/>
                <w:sz w:val="14"/>
                <w:szCs w:val="14"/>
                <w:b w:val="1"/>
                <w:bCs w:val="1"/>
                <w:color w:val="auto"/>
              </w:rPr>
              <w:t>All Other Payments/Benefits</w:t>
            </w:r>
          </w:p>
        </w:tc>
        <w:tc>
          <w:tcPr>
            <w:tcW w:w="1460" w:type="dxa"/>
            <w:vAlign w:val="bottom"/>
          </w:tcPr>
          <w:p>
            <w:pPr>
              <w:ind w:left="20"/>
              <w:spacing w:after="0"/>
              <w:rPr>
                <w:sz w:val="20"/>
                <w:szCs w:val="20"/>
                <w:color w:val="auto"/>
              </w:rPr>
            </w:pPr>
            <w:r>
              <w:rPr>
                <w:rFonts w:ascii="Arial" w:cs="Arial" w:eastAsia="Arial" w:hAnsi="Arial"/>
                <w:sz w:val="14"/>
                <w:szCs w:val="14"/>
                <w:color w:val="auto"/>
              </w:rPr>
              <w:t>Mr. Kapur</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24"/>
                <w:szCs w:val="24"/>
                <w:color w:val="auto"/>
              </w:rPr>
            </w:pPr>
          </w:p>
        </w:tc>
        <w:tc>
          <w:tcPr>
            <w:tcW w:w="12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3"/>
        </w:trPr>
        <w:tc>
          <w:tcPr>
            <w:tcW w:w="2240" w:type="dxa"/>
            <w:vAlign w:val="bottom"/>
          </w:tcPr>
          <w:p>
            <w:pPr>
              <w:spacing w:after="0"/>
              <w:rPr>
                <w:sz w:val="10"/>
                <w:szCs w:val="10"/>
                <w:color w:val="auto"/>
              </w:rPr>
            </w:pPr>
          </w:p>
        </w:tc>
        <w:tc>
          <w:tcPr>
            <w:tcW w:w="1460" w:type="dxa"/>
            <w:vAlign w:val="bottom"/>
            <w:tcBorders>
              <w:bottom w:val="single" w:sz="8" w:color="939598"/>
            </w:tcBorders>
          </w:tcPr>
          <w:p>
            <w:pPr>
              <w:spacing w:after="0"/>
              <w:rPr>
                <w:sz w:val="10"/>
                <w:szCs w:val="10"/>
                <w:color w:val="auto"/>
              </w:rPr>
            </w:pPr>
          </w:p>
        </w:tc>
        <w:tc>
          <w:tcPr>
            <w:tcW w:w="1420" w:type="dxa"/>
            <w:vAlign w:val="bottom"/>
            <w:tcBorders>
              <w:bottom w:val="single" w:sz="8" w:color="939598"/>
            </w:tcBorders>
          </w:tcPr>
          <w:p>
            <w:pPr>
              <w:spacing w:after="0"/>
              <w:rPr>
                <w:sz w:val="10"/>
                <w:szCs w:val="10"/>
                <w:color w:val="auto"/>
              </w:rPr>
            </w:pPr>
          </w:p>
        </w:tc>
        <w:tc>
          <w:tcPr>
            <w:tcW w:w="260" w:type="dxa"/>
            <w:vAlign w:val="bottom"/>
            <w:tcBorders>
              <w:bottom w:val="single" w:sz="8" w:color="939598"/>
            </w:tcBorders>
          </w:tcPr>
          <w:p>
            <w:pPr>
              <w:spacing w:after="0"/>
              <w:rPr>
                <w:sz w:val="10"/>
                <w:szCs w:val="10"/>
                <w:color w:val="auto"/>
              </w:rPr>
            </w:pPr>
          </w:p>
        </w:tc>
        <w:tc>
          <w:tcPr>
            <w:tcW w:w="1000" w:type="dxa"/>
            <w:vAlign w:val="bottom"/>
            <w:tcBorders>
              <w:bottom w:val="single" w:sz="8" w:color="939598"/>
            </w:tcBorders>
          </w:tcPr>
          <w:p>
            <w:pPr>
              <w:spacing w:after="0"/>
              <w:rPr>
                <w:sz w:val="10"/>
                <w:szCs w:val="10"/>
                <w:color w:val="auto"/>
              </w:rPr>
            </w:pPr>
          </w:p>
        </w:tc>
        <w:tc>
          <w:tcPr>
            <w:tcW w:w="102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spacing w:after="0"/>
              <w:rPr>
                <w:sz w:val="10"/>
                <w:szCs w:val="10"/>
                <w:color w:val="auto"/>
              </w:rPr>
            </w:pPr>
          </w:p>
        </w:tc>
        <w:tc>
          <w:tcPr>
            <w:tcW w:w="1220" w:type="dxa"/>
            <w:vAlign w:val="bottom"/>
            <w:tcBorders>
              <w:bottom w:val="single" w:sz="8" w:color="939598"/>
            </w:tcBorders>
          </w:tcPr>
          <w:p>
            <w:pPr>
              <w:spacing w:after="0"/>
              <w:rPr>
                <w:sz w:val="10"/>
                <w:szCs w:val="10"/>
                <w:color w:val="auto"/>
              </w:rPr>
            </w:pPr>
          </w:p>
        </w:tc>
        <w:tc>
          <w:tcPr>
            <w:tcW w:w="178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310"/>
        </w:trPr>
        <w:tc>
          <w:tcPr>
            <w:tcW w:w="2240" w:type="dxa"/>
            <w:vAlign w:val="bottom"/>
          </w:tcPr>
          <w:p>
            <w:pPr>
              <w:spacing w:after="0"/>
              <w:rPr>
                <w:sz w:val="24"/>
                <w:szCs w:val="24"/>
                <w:color w:val="auto"/>
              </w:rPr>
            </w:pPr>
          </w:p>
        </w:tc>
        <w:tc>
          <w:tcPr>
            <w:tcW w:w="1460" w:type="dxa"/>
            <w:vAlign w:val="bottom"/>
          </w:tcPr>
          <w:p>
            <w:pPr>
              <w:ind w:left="20"/>
              <w:spacing w:after="0"/>
              <w:rPr>
                <w:sz w:val="20"/>
                <w:szCs w:val="20"/>
                <w:color w:val="auto"/>
              </w:rPr>
            </w:pPr>
            <w:r>
              <w:rPr>
                <w:rFonts w:ascii="Arial" w:cs="Arial" w:eastAsia="Arial" w:hAnsi="Arial"/>
                <w:sz w:val="14"/>
                <w:szCs w:val="14"/>
                <w:color w:val="auto"/>
              </w:rPr>
              <w:t>Mr. Stepniak</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00" w:type="dxa"/>
            <w:vAlign w:val="bottom"/>
          </w:tcPr>
          <w:p>
            <w:pPr>
              <w:jc w:val="right"/>
              <w:ind w:right="288"/>
              <w:spacing w:after="0"/>
              <w:rPr>
                <w:sz w:val="20"/>
                <w:szCs w:val="20"/>
                <w:color w:val="auto"/>
              </w:rPr>
            </w:pPr>
            <w:r>
              <w:rPr>
                <w:rFonts w:ascii="Arial" w:cs="Arial" w:eastAsia="Arial" w:hAnsi="Arial"/>
                <w:sz w:val="14"/>
                <w:szCs w:val="14"/>
                <w:color w:val="auto"/>
              </w:rPr>
              <w:t>391,997</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391,997</w:t>
            </w:r>
          </w:p>
        </w:tc>
        <w:tc>
          <w:tcPr>
            <w:tcW w:w="820" w:type="dxa"/>
            <w:vAlign w:val="bottom"/>
          </w:tcPr>
          <w:p>
            <w:pPr>
              <w:spacing w:after="0"/>
              <w:rPr>
                <w:sz w:val="24"/>
                <w:szCs w:val="24"/>
                <w:color w:val="auto"/>
              </w:rPr>
            </w:pPr>
          </w:p>
        </w:tc>
        <w:tc>
          <w:tcPr>
            <w:tcW w:w="12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780" w:type="dxa"/>
            <w:vAlign w:val="bottom"/>
          </w:tcPr>
          <w:p>
            <w:pPr>
              <w:jc w:val="right"/>
              <w:spacing w:after="0"/>
              <w:rPr>
                <w:sz w:val="20"/>
                <w:szCs w:val="20"/>
                <w:color w:val="auto"/>
              </w:rPr>
            </w:pPr>
            <w:r>
              <w:rPr>
                <w:rFonts w:ascii="Arial" w:cs="Arial" w:eastAsia="Arial" w:hAnsi="Arial"/>
                <w:sz w:val="14"/>
                <w:szCs w:val="14"/>
                <w:color w:val="auto"/>
              </w:rPr>
              <w:t>391,997</w:t>
            </w:r>
          </w:p>
        </w:tc>
        <w:tc>
          <w:tcPr>
            <w:tcW w:w="0" w:type="dxa"/>
            <w:vAlign w:val="bottom"/>
          </w:tcPr>
          <w:p>
            <w:pPr>
              <w:spacing w:after="0"/>
              <w:rPr>
                <w:sz w:val="1"/>
                <w:szCs w:val="1"/>
                <w:color w:val="auto"/>
              </w:rPr>
            </w:pPr>
          </w:p>
        </w:tc>
      </w:tr>
      <w:tr>
        <w:trPr>
          <w:trHeight w:val="130"/>
        </w:trPr>
        <w:tc>
          <w:tcPr>
            <w:tcW w:w="2240" w:type="dxa"/>
            <w:vAlign w:val="bottom"/>
          </w:tcPr>
          <w:p>
            <w:pPr>
              <w:spacing w:after="0"/>
              <w:rPr>
                <w:sz w:val="11"/>
                <w:szCs w:val="11"/>
                <w:color w:val="auto"/>
              </w:rPr>
            </w:pPr>
          </w:p>
        </w:tc>
        <w:tc>
          <w:tcPr>
            <w:tcW w:w="1460" w:type="dxa"/>
            <w:vAlign w:val="bottom"/>
            <w:tcBorders>
              <w:bottom w:val="single" w:sz="8" w:color="939598"/>
            </w:tcBorders>
          </w:tcPr>
          <w:p>
            <w:pPr>
              <w:spacing w:after="0"/>
              <w:rPr>
                <w:sz w:val="11"/>
                <w:szCs w:val="11"/>
                <w:color w:val="auto"/>
              </w:rPr>
            </w:pPr>
          </w:p>
        </w:tc>
        <w:tc>
          <w:tcPr>
            <w:tcW w:w="1420" w:type="dxa"/>
            <w:vAlign w:val="bottom"/>
            <w:tcBorders>
              <w:bottom w:val="single" w:sz="8" w:color="939598"/>
            </w:tcBorders>
          </w:tcPr>
          <w:p>
            <w:pPr>
              <w:spacing w:after="0"/>
              <w:rPr>
                <w:sz w:val="11"/>
                <w:szCs w:val="11"/>
                <w:color w:val="auto"/>
              </w:rPr>
            </w:pPr>
          </w:p>
        </w:tc>
        <w:tc>
          <w:tcPr>
            <w:tcW w:w="260" w:type="dxa"/>
            <w:vAlign w:val="bottom"/>
            <w:tcBorders>
              <w:bottom w:val="single" w:sz="8" w:color="939598"/>
            </w:tcBorders>
          </w:tcPr>
          <w:p>
            <w:pPr>
              <w:spacing w:after="0"/>
              <w:rPr>
                <w:sz w:val="11"/>
                <w:szCs w:val="11"/>
                <w:color w:val="auto"/>
              </w:rPr>
            </w:pPr>
          </w:p>
        </w:tc>
        <w:tc>
          <w:tcPr>
            <w:tcW w:w="1000" w:type="dxa"/>
            <w:vAlign w:val="bottom"/>
            <w:tcBorders>
              <w:bottom w:val="single" w:sz="8" w:color="939598"/>
            </w:tcBorders>
          </w:tcPr>
          <w:p>
            <w:pPr>
              <w:spacing w:after="0"/>
              <w:rPr>
                <w:sz w:val="11"/>
                <w:szCs w:val="11"/>
                <w:color w:val="auto"/>
              </w:rPr>
            </w:pPr>
          </w:p>
        </w:tc>
        <w:tc>
          <w:tcPr>
            <w:tcW w:w="1020" w:type="dxa"/>
            <w:vAlign w:val="bottom"/>
            <w:tcBorders>
              <w:bottom w:val="single" w:sz="8" w:color="939598"/>
            </w:tcBorders>
          </w:tcPr>
          <w:p>
            <w:pPr>
              <w:spacing w:after="0"/>
              <w:rPr>
                <w:sz w:val="11"/>
                <w:szCs w:val="11"/>
                <w:color w:val="auto"/>
              </w:rPr>
            </w:pPr>
          </w:p>
        </w:tc>
        <w:tc>
          <w:tcPr>
            <w:tcW w:w="820" w:type="dxa"/>
            <w:vAlign w:val="bottom"/>
            <w:tcBorders>
              <w:bottom w:val="single" w:sz="8" w:color="939598"/>
            </w:tcBorders>
          </w:tcPr>
          <w:p>
            <w:pPr>
              <w:spacing w:after="0"/>
              <w:rPr>
                <w:sz w:val="11"/>
                <w:szCs w:val="11"/>
                <w:color w:val="auto"/>
              </w:rPr>
            </w:pPr>
          </w:p>
        </w:tc>
        <w:tc>
          <w:tcPr>
            <w:tcW w:w="1220" w:type="dxa"/>
            <w:vAlign w:val="bottom"/>
            <w:tcBorders>
              <w:bottom w:val="single" w:sz="8" w:color="939598"/>
            </w:tcBorders>
          </w:tcPr>
          <w:p>
            <w:pPr>
              <w:spacing w:after="0"/>
              <w:rPr>
                <w:sz w:val="11"/>
                <w:szCs w:val="11"/>
                <w:color w:val="auto"/>
              </w:rPr>
            </w:pPr>
          </w:p>
        </w:tc>
        <w:tc>
          <w:tcPr>
            <w:tcW w:w="178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309"/>
        </w:trPr>
        <w:tc>
          <w:tcPr>
            <w:tcW w:w="2240" w:type="dxa"/>
            <w:vAlign w:val="bottom"/>
          </w:tcPr>
          <w:p>
            <w:pPr>
              <w:spacing w:after="0"/>
              <w:rPr>
                <w:sz w:val="24"/>
                <w:szCs w:val="24"/>
                <w:color w:val="auto"/>
              </w:rPr>
            </w:pPr>
          </w:p>
        </w:tc>
        <w:tc>
          <w:tcPr>
            <w:tcW w:w="1460" w:type="dxa"/>
            <w:vAlign w:val="bottom"/>
          </w:tcPr>
          <w:p>
            <w:pPr>
              <w:ind w:left="20"/>
              <w:spacing w:after="0"/>
              <w:rPr>
                <w:sz w:val="20"/>
                <w:szCs w:val="20"/>
                <w:color w:val="auto"/>
              </w:rPr>
            </w:pPr>
            <w:r>
              <w:rPr>
                <w:rFonts w:ascii="Arial" w:cs="Arial" w:eastAsia="Arial" w:hAnsi="Arial"/>
                <w:sz w:val="14"/>
                <w:szCs w:val="14"/>
                <w:color w:val="auto"/>
              </w:rPr>
              <w:t>Mr. Currier</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77,868</w:t>
            </w:r>
          </w:p>
        </w:tc>
        <w:tc>
          <w:tcPr>
            <w:tcW w:w="260" w:type="dxa"/>
            <w:vAlign w:val="bottom"/>
          </w:tcPr>
          <w:p>
            <w:pPr>
              <w:spacing w:after="0"/>
              <w:rPr>
                <w:sz w:val="24"/>
                <w:szCs w:val="24"/>
                <w:color w:val="auto"/>
              </w:rPr>
            </w:pPr>
          </w:p>
        </w:tc>
        <w:tc>
          <w:tcPr>
            <w:tcW w:w="1000" w:type="dxa"/>
            <w:vAlign w:val="bottom"/>
          </w:tcPr>
          <w:p>
            <w:pPr>
              <w:jc w:val="right"/>
              <w:ind w:right="288"/>
              <w:spacing w:after="0"/>
              <w:rPr>
                <w:sz w:val="20"/>
                <w:szCs w:val="20"/>
                <w:color w:val="auto"/>
              </w:rPr>
            </w:pPr>
            <w:r>
              <w:rPr>
                <w:rFonts w:ascii="Arial" w:cs="Arial" w:eastAsia="Arial" w:hAnsi="Arial"/>
                <w:sz w:val="14"/>
                <w:szCs w:val="14"/>
                <w:color w:val="auto"/>
              </w:rPr>
              <w:t>129,600</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129,600</w:t>
            </w:r>
          </w:p>
        </w:tc>
        <w:tc>
          <w:tcPr>
            <w:tcW w:w="820" w:type="dxa"/>
            <w:vAlign w:val="bottom"/>
          </w:tcPr>
          <w:p>
            <w:pPr>
              <w:spacing w:after="0"/>
              <w:rPr>
                <w:sz w:val="24"/>
                <w:szCs w:val="24"/>
                <w:color w:val="auto"/>
              </w:rPr>
            </w:pPr>
          </w:p>
        </w:tc>
        <w:tc>
          <w:tcPr>
            <w:tcW w:w="12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780" w:type="dxa"/>
            <w:vAlign w:val="bottom"/>
          </w:tcPr>
          <w:p>
            <w:pPr>
              <w:jc w:val="right"/>
              <w:spacing w:after="0"/>
              <w:rPr>
                <w:sz w:val="20"/>
                <w:szCs w:val="20"/>
                <w:color w:val="auto"/>
              </w:rPr>
            </w:pPr>
            <w:r>
              <w:rPr>
                <w:rFonts w:ascii="Arial" w:cs="Arial" w:eastAsia="Arial" w:hAnsi="Arial"/>
                <w:sz w:val="14"/>
                <w:szCs w:val="14"/>
                <w:color w:val="auto"/>
              </w:rPr>
              <w:t>207,468</w:t>
            </w:r>
          </w:p>
        </w:tc>
        <w:tc>
          <w:tcPr>
            <w:tcW w:w="0" w:type="dxa"/>
            <w:vAlign w:val="bottom"/>
          </w:tcPr>
          <w:p>
            <w:pPr>
              <w:spacing w:after="0"/>
              <w:rPr>
                <w:sz w:val="1"/>
                <w:szCs w:val="1"/>
                <w:color w:val="auto"/>
              </w:rPr>
            </w:pPr>
          </w:p>
        </w:tc>
      </w:tr>
      <w:tr>
        <w:trPr>
          <w:trHeight w:val="130"/>
        </w:trPr>
        <w:tc>
          <w:tcPr>
            <w:tcW w:w="2240" w:type="dxa"/>
            <w:vAlign w:val="bottom"/>
          </w:tcPr>
          <w:p>
            <w:pPr>
              <w:spacing w:after="0"/>
              <w:rPr>
                <w:sz w:val="11"/>
                <w:szCs w:val="11"/>
                <w:color w:val="auto"/>
              </w:rPr>
            </w:pPr>
          </w:p>
        </w:tc>
        <w:tc>
          <w:tcPr>
            <w:tcW w:w="1460" w:type="dxa"/>
            <w:vAlign w:val="bottom"/>
            <w:tcBorders>
              <w:bottom w:val="single" w:sz="8" w:color="939598"/>
            </w:tcBorders>
          </w:tcPr>
          <w:p>
            <w:pPr>
              <w:spacing w:after="0"/>
              <w:rPr>
                <w:sz w:val="11"/>
                <w:szCs w:val="11"/>
                <w:color w:val="auto"/>
              </w:rPr>
            </w:pPr>
          </w:p>
        </w:tc>
        <w:tc>
          <w:tcPr>
            <w:tcW w:w="1420" w:type="dxa"/>
            <w:vAlign w:val="bottom"/>
            <w:tcBorders>
              <w:bottom w:val="single" w:sz="8" w:color="939598"/>
            </w:tcBorders>
          </w:tcPr>
          <w:p>
            <w:pPr>
              <w:spacing w:after="0"/>
              <w:rPr>
                <w:sz w:val="11"/>
                <w:szCs w:val="11"/>
                <w:color w:val="auto"/>
              </w:rPr>
            </w:pPr>
          </w:p>
        </w:tc>
        <w:tc>
          <w:tcPr>
            <w:tcW w:w="260" w:type="dxa"/>
            <w:vAlign w:val="bottom"/>
            <w:tcBorders>
              <w:bottom w:val="single" w:sz="8" w:color="939598"/>
            </w:tcBorders>
          </w:tcPr>
          <w:p>
            <w:pPr>
              <w:spacing w:after="0"/>
              <w:rPr>
                <w:sz w:val="11"/>
                <w:szCs w:val="11"/>
                <w:color w:val="auto"/>
              </w:rPr>
            </w:pPr>
          </w:p>
        </w:tc>
        <w:tc>
          <w:tcPr>
            <w:tcW w:w="1000" w:type="dxa"/>
            <w:vAlign w:val="bottom"/>
            <w:tcBorders>
              <w:bottom w:val="single" w:sz="8" w:color="939598"/>
            </w:tcBorders>
          </w:tcPr>
          <w:p>
            <w:pPr>
              <w:spacing w:after="0"/>
              <w:rPr>
                <w:sz w:val="11"/>
                <w:szCs w:val="11"/>
                <w:color w:val="auto"/>
              </w:rPr>
            </w:pPr>
          </w:p>
        </w:tc>
        <w:tc>
          <w:tcPr>
            <w:tcW w:w="1020" w:type="dxa"/>
            <w:vAlign w:val="bottom"/>
            <w:tcBorders>
              <w:bottom w:val="single" w:sz="8" w:color="939598"/>
            </w:tcBorders>
          </w:tcPr>
          <w:p>
            <w:pPr>
              <w:spacing w:after="0"/>
              <w:rPr>
                <w:sz w:val="11"/>
                <w:szCs w:val="11"/>
                <w:color w:val="auto"/>
              </w:rPr>
            </w:pPr>
          </w:p>
        </w:tc>
        <w:tc>
          <w:tcPr>
            <w:tcW w:w="820" w:type="dxa"/>
            <w:vAlign w:val="bottom"/>
            <w:tcBorders>
              <w:bottom w:val="single" w:sz="8" w:color="939598"/>
            </w:tcBorders>
          </w:tcPr>
          <w:p>
            <w:pPr>
              <w:spacing w:after="0"/>
              <w:rPr>
                <w:sz w:val="11"/>
                <w:szCs w:val="11"/>
                <w:color w:val="auto"/>
              </w:rPr>
            </w:pPr>
          </w:p>
        </w:tc>
        <w:tc>
          <w:tcPr>
            <w:tcW w:w="1220" w:type="dxa"/>
            <w:vAlign w:val="bottom"/>
            <w:tcBorders>
              <w:bottom w:val="single" w:sz="8" w:color="939598"/>
            </w:tcBorders>
          </w:tcPr>
          <w:p>
            <w:pPr>
              <w:spacing w:after="0"/>
              <w:rPr>
                <w:sz w:val="11"/>
                <w:szCs w:val="11"/>
                <w:color w:val="auto"/>
              </w:rPr>
            </w:pPr>
          </w:p>
        </w:tc>
        <w:tc>
          <w:tcPr>
            <w:tcW w:w="178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310"/>
        </w:trPr>
        <w:tc>
          <w:tcPr>
            <w:tcW w:w="2240" w:type="dxa"/>
            <w:vAlign w:val="bottom"/>
          </w:tcPr>
          <w:p>
            <w:pPr>
              <w:spacing w:after="0"/>
              <w:rPr>
                <w:sz w:val="24"/>
                <w:szCs w:val="24"/>
                <w:color w:val="auto"/>
              </w:rPr>
            </w:pPr>
          </w:p>
        </w:tc>
        <w:tc>
          <w:tcPr>
            <w:tcW w:w="1460" w:type="dxa"/>
            <w:vAlign w:val="bottom"/>
          </w:tcPr>
          <w:p>
            <w:pPr>
              <w:ind w:left="20"/>
              <w:spacing w:after="0"/>
              <w:rPr>
                <w:sz w:val="20"/>
                <w:szCs w:val="20"/>
                <w:color w:val="auto"/>
              </w:rPr>
            </w:pPr>
            <w:r>
              <w:rPr>
                <w:rFonts w:ascii="Arial" w:cs="Arial" w:eastAsia="Arial" w:hAnsi="Arial"/>
                <w:sz w:val="14"/>
                <w:szCs w:val="14"/>
                <w:color w:val="auto"/>
              </w:rPr>
              <w:t>Mr. Masso</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24"/>
                <w:szCs w:val="24"/>
                <w:color w:val="auto"/>
              </w:rPr>
            </w:pPr>
          </w:p>
        </w:tc>
        <w:tc>
          <w:tcPr>
            <w:tcW w:w="12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240" w:type="dxa"/>
            <w:vAlign w:val="bottom"/>
          </w:tcPr>
          <w:p>
            <w:pPr>
              <w:spacing w:after="0"/>
              <w:rPr>
                <w:sz w:val="11"/>
                <w:szCs w:val="11"/>
                <w:color w:val="auto"/>
              </w:rPr>
            </w:pPr>
          </w:p>
        </w:tc>
        <w:tc>
          <w:tcPr>
            <w:tcW w:w="1460" w:type="dxa"/>
            <w:vAlign w:val="bottom"/>
            <w:tcBorders>
              <w:bottom w:val="single" w:sz="8" w:color="939598"/>
            </w:tcBorders>
          </w:tcPr>
          <w:p>
            <w:pPr>
              <w:spacing w:after="0"/>
              <w:rPr>
                <w:sz w:val="11"/>
                <w:szCs w:val="11"/>
                <w:color w:val="auto"/>
              </w:rPr>
            </w:pPr>
          </w:p>
        </w:tc>
        <w:tc>
          <w:tcPr>
            <w:tcW w:w="1420" w:type="dxa"/>
            <w:vAlign w:val="bottom"/>
            <w:tcBorders>
              <w:bottom w:val="single" w:sz="8" w:color="939598"/>
            </w:tcBorders>
          </w:tcPr>
          <w:p>
            <w:pPr>
              <w:spacing w:after="0"/>
              <w:rPr>
                <w:sz w:val="11"/>
                <w:szCs w:val="11"/>
                <w:color w:val="auto"/>
              </w:rPr>
            </w:pPr>
          </w:p>
        </w:tc>
        <w:tc>
          <w:tcPr>
            <w:tcW w:w="260" w:type="dxa"/>
            <w:vAlign w:val="bottom"/>
            <w:tcBorders>
              <w:bottom w:val="single" w:sz="8" w:color="939598"/>
            </w:tcBorders>
          </w:tcPr>
          <w:p>
            <w:pPr>
              <w:spacing w:after="0"/>
              <w:rPr>
                <w:sz w:val="11"/>
                <w:szCs w:val="11"/>
                <w:color w:val="auto"/>
              </w:rPr>
            </w:pPr>
          </w:p>
        </w:tc>
        <w:tc>
          <w:tcPr>
            <w:tcW w:w="1000" w:type="dxa"/>
            <w:vAlign w:val="bottom"/>
            <w:tcBorders>
              <w:bottom w:val="single" w:sz="8" w:color="939598"/>
            </w:tcBorders>
          </w:tcPr>
          <w:p>
            <w:pPr>
              <w:spacing w:after="0"/>
              <w:rPr>
                <w:sz w:val="11"/>
                <w:szCs w:val="11"/>
                <w:color w:val="auto"/>
              </w:rPr>
            </w:pPr>
          </w:p>
        </w:tc>
        <w:tc>
          <w:tcPr>
            <w:tcW w:w="1020" w:type="dxa"/>
            <w:vAlign w:val="bottom"/>
            <w:tcBorders>
              <w:bottom w:val="single" w:sz="8" w:color="939598"/>
            </w:tcBorders>
          </w:tcPr>
          <w:p>
            <w:pPr>
              <w:spacing w:after="0"/>
              <w:rPr>
                <w:sz w:val="11"/>
                <w:szCs w:val="11"/>
                <w:color w:val="auto"/>
              </w:rPr>
            </w:pPr>
          </w:p>
        </w:tc>
        <w:tc>
          <w:tcPr>
            <w:tcW w:w="820" w:type="dxa"/>
            <w:vAlign w:val="bottom"/>
            <w:tcBorders>
              <w:bottom w:val="single" w:sz="8" w:color="939598"/>
            </w:tcBorders>
          </w:tcPr>
          <w:p>
            <w:pPr>
              <w:spacing w:after="0"/>
              <w:rPr>
                <w:sz w:val="11"/>
                <w:szCs w:val="11"/>
                <w:color w:val="auto"/>
              </w:rPr>
            </w:pPr>
          </w:p>
        </w:tc>
        <w:tc>
          <w:tcPr>
            <w:tcW w:w="1220" w:type="dxa"/>
            <w:vAlign w:val="bottom"/>
            <w:tcBorders>
              <w:bottom w:val="single" w:sz="8" w:color="939598"/>
            </w:tcBorders>
          </w:tcPr>
          <w:p>
            <w:pPr>
              <w:spacing w:after="0"/>
              <w:rPr>
                <w:sz w:val="11"/>
                <w:szCs w:val="11"/>
                <w:color w:val="auto"/>
              </w:rPr>
            </w:pPr>
          </w:p>
        </w:tc>
        <w:tc>
          <w:tcPr>
            <w:tcW w:w="178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309"/>
        </w:trPr>
        <w:tc>
          <w:tcPr>
            <w:tcW w:w="2240" w:type="dxa"/>
            <w:vAlign w:val="bottom"/>
          </w:tcPr>
          <w:p>
            <w:pPr>
              <w:spacing w:after="0"/>
              <w:rPr>
                <w:sz w:val="24"/>
                <w:szCs w:val="24"/>
                <w:color w:val="auto"/>
              </w:rPr>
            </w:pPr>
          </w:p>
        </w:tc>
        <w:tc>
          <w:tcPr>
            <w:tcW w:w="1460" w:type="dxa"/>
            <w:vAlign w:val="bottom"/>
          </w:tcPr>
          <w:p>
            <w:pPr>
              <w:ind w:left="20"/>
              <w:spacing w:after="0"/>
              <w:rPr>
                <w:sz w:val="20"/>
                <w:szCs w:val="20"/>
                <w:color w:val="auto"/>
              </w:rPr>
            </w:pPr>
            <w:r>
              <w:rPr>
                <w:rFonts w:ascii="Arial" w:cs="Arial" w:eastAsia="Arial" w:hAnsi="Arial"/>
                <w:sz w:val="14"/>
                <w:szCs w:val="14"/>
                <w:color w:val="auto"/>
              </w:rPr>
              <w:t>Mr. Hammoud</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00" w:type="dxa"/>
            <w:vAlign w:val="bottom"/>
          </w:tcPr>
          <w:p>
            <w:pPr>
              <w:jc w:val="right"/>
              <w:ind w:right="288"/>
              <w:spacing w:after="0"/>
              <w:rPr>
                <w:sz w:val="20"/>
                <w:szCs w:val="20"/>
                <w:color w:val="auto"/>
              </w:rPr>
            </w:pPr>
            <w:r>
              <w:rPr>
                <w:rFonts w:ascii="Arial" w:cs="Arial" w:eastAsia="Arial" w:hAnsi="Arial"/>
                <w:sz w:val="14"/>
                <w:szCs w:val="14"/>
                <w:color w:val="auto"/>
              </w:rPr>
              <w:t>131,437</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131,437</w:t>
            </w:r>
          </w:p>
        </w:tc>
        <w:tc>
          <w:tcPr>
            <w:tcW w:w="820" w:type="dxa"/>
            <w:vAlign w:val="bottom"/>
          </w:tcPr>
          <w:p>
            <w:pPr>
              <w:spacing w:after="0"/>
              <w:rPr>
                <w:sz w:val="24"/>
                <w:szCs w:val="24"/>
                <w:color w:val="auto"/>
              </w:rPr>
            </w:pPr>
          </w:p>
        </w:tc>
        <w:tc>
          <w:tcPr>
            <w:tcW w:w="12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780" w:type="dxa"/>
            <w:vAlign w:val="bottom"/>
          </w:tcPr>
          <w:p>
            <w:pPr>
              <w:jc w:val="right"/>
              <w:spacing w:after="0"/>
              <w:rPr>
                <w:sz w:val="20"/>
                <w:szCs w:val="20"/>
                <w:color w:val="auto"/>
              </w:rPr>
            </w:pPr>
            <w:r>
              <w:rPr>
                <w:rFonts w:ascii="Arial" w:cs="Arial" w:eastAsia="Arial" w:hAnsi="Arial"/>
                <w:sz w:val="14"/>
                <w:szCs w:val="14"/>
                <w:color w:val="auto"/>
              </w:rPr>
              <w:t>131,437</w:t>
            </w:r>
          </w:p>
        </w:tc>
        <w:tc>
          <w:tcPr>
            <w:tcW w:w="0" w:type="dxa"/>
            <w:vAlign w:val="bottom"/>
          </w:tcPr>
          <w:p>
            <w:pPr>
              <w:spacing w:after="0"/>
              <w:rPr>
                <w:sz w:val="1"/>
                <w:szCs w:val="1"/>
                <w:color w:val="auto"/>
              </w:rPr>
            </w:pPr>
          </w:p>
        </w:tc>
      </w:tr>
      <w:tr>
        <w:trPr>
          <w:trHeight w:val="130"/>
        </w:trPr>
        <w:tc>
          <w:tcPr>
            <w:tcW w:w="2240" w:type="dxa"/>
            <w:vAlign w:val="bottom"/>
          </w:tcPr>
          <w:p>
            <w:pPr>
              <w:spacing w:after="0"/>
              <w:rPr>
                <w:sz w:val="11"/>
                <w:szCs w:val="11"/>
                <w:color w:val="auto"/>
              </w:rPr>
            </w:pPr>
          </w:p>
        </w:tc>
        <w:tc>
          <w:tcPr>
            <w:tcW w:w="1460" w:type="dxa"/>
            <w:vAlign w:val="bottom"/>
            <w:tcBorders>
              <w:bottom w:val="single" w:sz="8" w:color="939598"/>
            </w:tcBorders>
          </w:tcPr>
          <w:p>
            <w:pPr>
              <w:spacing w:after="0"/>
              <w:rPr>
                <w:sz w:val="11"/>
                <w:szCs w:val="11"/>
                <w:color w:val="auto"/>
              </w:rPr>
            </w:pPr>
          </w:p>
        </w:tc>
        <w:tc>
          <w:tcPr>
            <w:tcW w:w="1420" w:type="dxa"/>
            <w:vAlign w:val="bottom"/>
            <w:tcBorders>
              <w:bottom w:val="single" w:sz="8" w:color="939598"/>
            </w:tcBorders>
          </w:tcPr>
          <w:p>
            <w:pPr>
              <w:spacing w:after="0"/>
              <w:rPr>
                <w:sz w:val="11"/>
                <w:szCs w:val="11"/>
                <w:color w:val="auto"/>
              </w:rPr>
            </w:pPr>
          </w:p>
        </w:tc>
        <w:tc>
          <w:tcPr>
            <w:tcW w:w="260" w:type="dxa"/>
            <w:vAlign w:val="bottom"/>
            <w:tcBorders>
              <w:bottom w:val="single" w:sz="8" w:color="939598"/>
            </w:tcBorders>
          </w:tcPr>
          <w:p>
            <w:pPr>
              <w:spacing w:after="0"/>
              <w:rPr>
                <w:sz w:val="11"/>
                <w:szCs w:val="11"/>
                <w:color w:val="auto"/>
              </w:rPr>
            </w:pPr>
          </w:p>
        </w:tc>
        <w:tc>
          <w:tcPr>
            <w:tcW w:w="1000" w:type="dxa"/>
            <w:vAlign w:val="bottom"/>
            <w:tcBorders>
              <w:bottom w:val="single" w:sz="8" w:color="939598"/>
            </w:tcBorders>
          </w:tcPr>
          <w:p>
            <w:pPr>
              <w:spacing w:after="0"/>
              <w:rPr>
                <w:sz w:val="11"/>
                <w:szCs w:val="11"/>
                <w:color w:val="auto"/>
              </w:rPr>
            </w:pPr>
          </w:p>
        </w:tc>
        <w:tc>
          <w:tcPr>
            <w:tcW w:w="1020" w:type="dxa"/>
            <w:vAlign w:val="bottom"/>
            <w:tcBorders>
              <w:bottom w:val="single" w:sz="8" w:color="939598"/>
            </w:tcBorders>
          </w:tcPr>
          <w:p>
            <w:pPr>
              <w:spacing w:after="0"/>
              <w:rPr>
                <w:sz w:val="11"/>
                <w:szCs w:val="11"/>
                <w:color w:val="auto"/>
              </w:rPr>
            </w:pPr>
          </w:p>
        </w:tc>
        <w:tc>
          <w:tcPr>
            <w:tcW w:w="820" w:type="dxa"/>
            <w:vAlign w:val="bottom"/>
            <w:tcBorders>
              <w:bottom w:val="single" w:sz="8" w:color="939598"/>
            </w:tcBorders>
          </w:tcPr>
          <w:p>
            <w:pPr>
              <w:spacing w:after="0"/>
              <w:rPr>
                <w:sz w:val="11"/>
                <w:szCs w:val="11"/>
                <w:color w:val="auto"/>
              </w:rPr>
            </w:pPr>
          </w:p>
        </w:tc>
        <w:tc>
          <w:tcPr>
            <w:tcW w:w="1220" w:type="dxa"/>
            <w:vAlign w:val="bottom"/>
            <w:tcBorders>
              <w:bottom w:val="single" w:sz="8" w:color="939598"/>
            </w:tcBorders>
          </w:tcPr>
          <w:p>
            <w:pPr>
              <w:spacing w:after="0"/>
              <w:rPr>
                <w:sz w:val="11"/>
                <w:szCs w:val="11"/>
                <w:color w:val="auto"/>
              </w:rPr>
            </w:pPr>
          </w:p>
        </w:tc>
        <w:tc>
          <w:tcPr>
            <w:tcW w:w="178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309"/>
        </w:trPr>
        <w:tc>
          <w:tcPr>
            <w:tcW w:w="2240" w:type="dxa"/>
            <w:vAlign w:val="bottom"/>
          </w:tcPr>
          <w:p>
            <w:pPr>
              <w:spacing w:after="0"/>
              <w:rPr>
                <w:sz w:val="24"/>
                <w:szCs w:val="24"/>
                <w:color w:val="auto"/>
              </w:rPr>
            </w:pPr>
          </w:p>
        </w:tc>
        <w:tc>
          <w:tcPr>
            <w:tcW w:w="1460" w:type="dxa"/>
            <w:vAlign w:val="bottom"/>
          </w:tcPr>
          <w:p>
            <w:pPr>
              <w:ind w:left="20"/>
              <w:spacing w:after="0"/>
              <w:rPr>
                <w:sz w:val="20"/>
                <w:szCs w:val="20"/>
                <w:color w:val="auto"/>
              </w:rPr>
            </w:pPr>
            <w:r>
              <w:rPr>
                <w:rFonts w:ascii="Arial" w:cs="Arial" w:eastAsia="Arial" w:hAnsi="Arial"/>
                <w:sz w:val="14"/>
                <w:szCs w:val="14"/>
                <w:color w:val="auto"/>
              </w:rPr>
              <w:t>Mr. Lewis</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24"/>
                <w:szCs w:val="24"/>
                <w:color w:val="auto"/>
              </w:rPr>
            </w:pPr>
          </w:p>
        </w:tc>
        <w:tc>
          <w:tcPr>
            <w:tcW w:w="12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240" w:type="dxa"/>
            <w:vAlign w:val="bottom"/>
            <w:tcBorders>
              <w:bottom w:val="single" w:sz="8" w:color="939598"/>
            </w:tcBorders>
          </w:tcPr>
          <w:p>
            <w:pPr>
              <w:spacing w:after="0"/>
              <w:rPr>
                <w:sz w:val="11"/>
                <w:szCs w:val="11"/>
                <w:color w:val="auto"/>
              </w:rPr>
            </w:pPr>
          </w:p>
        </w:tc>
        <w:tc>
          <w:tcPr>
            <w:tcW w:w="1460" w:type="dxa"/>
            <w:vAlign w:val="bottom"/>
            <w:tcBorders>
              <w:bottom w:val="single" w:sz="8" w:color="939598"/>
            </w:tcBorders>
          </w:tcPr>
          <w:p>
            <w:pPr>
              <w:spacing w:after="0"/>
              <w:rPr>
                <w:sz w:val="11"/>
                <w:szCs w:val="11"/>
                <w:color w:val="auto"/>
              </w:rPr>
            </w:pPr>
          </w:p>
        </w:tc>
        <w:tc>
          <w:tcPr>
            <w:tcW w:w="1420" w:type="dxa"/>
            <w:vAlign w:val="bottom"/>
            <w:tcBorders>
              <w:bottom w:val="single" w:sz="8" w:color="939598"/>
            </w:tcBorders>
          </w:tcPr>
          <w:p>
            <w:pPr>
              <w:spacing w:after="0"/>
              <w:rPr>
                <w:sz w:val="11"/>
                <w:szCs w:val="11"/>
                <w:color w:val="auto"/>
              </w:rPr>
            </w:pPr>
          </w:p>
        </w:tc>
        <w:tc>
          <w:tcPr>
            <w:tcW w:w="260" w:type="dxa"/>
            <w:vAlign w:val="bottom"/>
            <w:tcBorders>
              <w:bottom w:val="single" w:sz="8" w:color="939598"/>
            </w:tcBorders>
          </w:tcPr>
          <w:p>
            <w:pPr>
              <w:spacing w:after="0"/>
              <w:rPr>
                <w:sz w:val="11"/>
                <w:szCs w:val="11"/>
                <w:color w:val="auto"/>
              </w:rPr>
            </w:pPr>
          </w:p>
        </w:tc>
        <w:tc>
          <w:tcPr>
            <w:tcW w:w="1000" w:type="dxa"/>
            <w:vAlign w:val="bottom"/>
            <w:tcBorders>
              <w:bottom w:val="single" w:sz="8" w:color="939598"/>
            </w:tcBorders>
          </w:tcPr>
          <w:p>
            <w:pPr>
              <w:spacing w:after="0"/>
              <w:rPr>
                <w:sz w:val="11"/>
                <w:szCs w:val="11"/>
                <w:color w:val="auto"/>
              </w:rPr>
            </w:pPr>
          </w:p>
        </w:tc>
        <w:tc>
          <w:tcPr>
            <w:tcW w:w="1020" w:type="dxa"/>
            <w:vAlign w:val="bottom"/>
            <w:tcBorders>
              <w:bottom w:val="single" w:sz="8" w:color="939598"/>
            </w:tcBorders>
          </w:tcPr>
          <w:p>
            <w:pPr>
              <w:spacing w:after="0"/>
              <w:rPr>
                <w:sz w:val="11"/>
                <w:szCs w:val="11"/>
                <w:color w:val="auto"/>
              </w:rPr>
            </w:pPr>
          </w:p>
        </w:tc>
        <w:tc>
          <w:tcPr>
            <w:tcW w:w="820" w:type="dxa"/>
            <w:vAlign w:val="bottom"/>
            <w:tcBorders>
              <w:bottom w:val="single" w:sz="8" w:color="939598"/>
            </w:tcBorders>
          </w:tcPr>
          <w:p>
            <w:pPr>
              <w:spacing w:after="0"/>
              <w:rPr>
                <w:sz w:val="11"/>
                <w:szCs w:val="11"/>
                <w:color w:val="auto"/>
              </w:rPr>
            </w:pPr>
          </w:p>
        </w:tc>
        <w:tc>
          <w:tcPr>
            <w:tcW w:w="1220" w:type="dxa"/>
            <w:vAlign w:val="bottom"/>
            <w:tcBorders>
              <w:bottom w:val="single" w:sz="8" w:color="939598"/>
            </w:tcBorders>
          </w:tcPr>
          <w:p>
            <w:pPr>
              <w:spacing w:after="0"/>
              <w:rPr>
                <w:sz w:val="11"/>
                <w:szCs w:val="11"/>
                <w:color w:val="auto"/>
              </w:rPr>
            </w:pPr>
          </w:p>
        </w:tc>
        <w:tc>
          <w:tcPr>
            <w:tcW w:w="178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315"/>
        </w:trPr>
        <w:tc>
          <w:tcPr>
            <w:tcW w:w="224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460" w:type="dxa"/>
            <w:vAlign w:val="bottom"/>
          </w:tcPr>
          <w:p>
            <w:pPr>
              <w:ind w:left="20"/>
              <w:spacing w:after="0"/>
              <w:rPr>
                <w:sz w:val="20"/>
                <w:szCs w:val="20"/>
                <w:color w:val="auto"/>
              </w:rPr>
            </w:pPr>
            <w:r>
              <w:rPr>
                <w:rFonts w:ascii="Arial" w:cs="Arial" w:eastAsia="Arial" w:hAnsi="Arial"/>
                <w:sz w:val="14"/>
                <w:szCs w:val="14"/>
                <w:color w:val="auto"/>
              </w:rPr>
              <w:t>Mr. Kapur</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13,220,416</w:t>
            </w:r>
          </w:p>
        </w:tc>
        <w:tc>
          <w:tcPr>
            <w:tcW w:w="260" w:type="dxa"/>
            <w:vAlign w:val="bottom"/>
          </w:tcPr>
          <w:p>
            <w:pPr>
              <w:spacing w:after="0"/>
              <w:rPr>
                <w:sz w:val="24"/>
                <w:szCs w:val="24"/>
                <w:color w:val="auto"/>
              </w:rPr>
            </w:pPr>
          </w:p>
        </w:tc>
        <w:tc>
          <w:tcPr>
            <w:tcW w:w="10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24"/>
                <w:szCs w:val="24"/>
                <w:color w:val="auto"/>
              </w:rPr>
            </w:pPr>
          </w:p>
        </w:tc>
        <w:tc>
          <w:tcPr>
            <w:tcW w:w="1220" w:type="dxa"/>
            <w:vAlign w:val="bottom"/>
          </w:tcPr>
          <w:p>
            <w:pPr>
              <w:jc w:val="right"/>
              <w:ind w:right="288"/>
              <w:spacing w:after="0"/>
              <w:rPr>
                <w:sz w:val="20"/>
                <w:szCs w:val="20"/>
                <w:color w:val="auto"/>
              </w:rPr>
            </w:pPr>
            <w:r>
              <w:rPr>
                <w:rFonts w:ascii="Arial" w:cs="Arial" w:eastAsia="Arial" w:hAnsi="Arial"/>
                <w:sz w:val="14"/>
                <w:szCs w:val="14"/>
                <w:color w:val="auto"/>
              </w:rPr>
              <w:t>3,516,800</w:t>
            </w:r>
          </w:p>
        </w:tc>
        <w:tc>
          <w:tcPr>
            <w:tcW w:w="1780" w:type="dxa"/>
            <w:vAlign w:val="bottom"/>
          </w:tcPr>
          <w:p>
            <w:pPr>
              <w:jc w:val="right"/>
              <w:spacing w:after="0"/>
              <w:rPr>
                <w:sz w:val="20"/>
                <w:szCs w:val="20"/>
                <w:color w:val="auto"/>
              </w:rPr>
            </w:pPr>
            <w:r>
              <w:rPr>
                <w:rFonts w:ascii="Arial" w:cs="Arial" w:eastAsia="Arial" w:hAnsi="Arial"/>
                <w:sz w:val="14"/>
                <w:szCs w:val="14"/>
                <w:color w:val="auto"/>
              </w:rPr>
              <w:t>16,737,216</w:t>
            </w:r>
          </w:p>
        </w:tc>
        <w:tc>
          <w:tcPr>
            <w:tcW w:w="0" w:type="dxa"/>
            <w:vAlign w:val="bottom"/>
          </w:tcPr>
          <w:p>
            <w:pPr>
              <w:spacing w:after="0"/>
              <w:rPr>
                <w:sz w:val="1"/>
                <w:szCs w:val="1"/>
                <w:color w:val="auto"/>
              </w:rPr>
            </w:pPr>
          </w:p>
        </w:tc>
      </w:tr>
      <w:tr>
        <w:trPr>
          <w:trHeight w:val="124"/>
        </w:trPr>
        <w:tc>
          <w:tcPr>
            <w:tcW w:w="2240" w:type="dxa"/>
            <w:vAlign w:val="bottom"/>
          </w:tcPr>
          <w:p>
            <w:pPr>
              <w:spacing w:after="0"/>
              <w:rPr>
                <w:sz w:val="10"/>
                <w:szCs w:val="10"/>
                <w:color w:val="auto"/>
              </w:rPr>
            </w:pPr>
          </w:p>
        </w:tc>
        <w:tc>
          <w:tcPr>
            <w:tcW w:w="1460" w:type="dxa"/>
            <w:vAlign w:val="bottom"/>
            <w:tcBorders>
              <w:bottom w:val="single" w:sz="8" w:color="939598"/>
            </w:tcBorders>
          </w:tcPr>
          <w:p>
            <w:pPr>
              <w:spacing w:after="0"/>
              <w:rPr>
                <w:sz w:val="10"/>
                <w:szCs w:val="10"/>
                <w:color w:val="auto"/>
              </w:rPr>
            </w:pPr>
          </w:p>
        </w:tc>
        <w:tc>
          <w:tcPr>
            <w:tcW w:w="1420" w:type="dxa"/>
            <w:vAlign w:val="bottom"/>
            <w:tcBorders>
              <w:bottom w:val="single" w:sz="8" w:color="939598"/>
            </w:tcBorders>
          </w:tcPr>
          <w:p>
            <w:pPr>
              <w:spacing w:after="0"/>
              <w:rPr>
                <w:sz w:val="10"/>
                <w:szCs w:val="10"/>
                <w:color w:val="auto"/>
              </w:rPr>
            </w:pPr>
          </w:p>
        </w:tc>
        <w:tc>
          <w:tcPr>
            <w:tcW w:w="260" w:type="dxa"/>
            <w:vAlign w:val="bottom"/>
            <w:tcBorders>
              <w:bottom w:val="single" w:sz="8" w:color="939598"/>
            </w:tcBorders>
          </w:tcPr>
          <w:p>
            <w:pPr>
              <w:spacing w:after="0"/>
              <w:rPr>
                <w:sz w:val="10"/>
                <w:szCs w:val="10"/>
                <w:color w:val="auto"/>
              </w:rPr>
            </w:pPr>
          </w:p>
        </w:tc>
        <w:tc>
          <w:tcPr>
            <w:tcW w:w="1000" w:type="dxa"/>
            <w:vAlign w:val="bottom"/>
            <w:tcBorders>
              <w:bottom w:val="single" w:sz="8" w:color="939598"/>
            </w:tcBorders>
          </w:tcPr>
          <w:p>
            <w:pPr>
              <w:spacing w:after="0"/>
              <w:rPr>
                <w:sz w:val="10"/>
                <w:szCs w:val="10"/>
                <w:color w:val="auto"/>
              </w:rPr>
            </w:pPr>
          </w:p>
        </w:tc>
        <w:tc>
          <w:tcPr>
            <w:tcW w:w="102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spacing w:after="0"/>
              <w:rPr>
                <w:sz w:val="10"/>
                <w:szCs w:val="10"/>
                <w:color w:val="auto"/>
              </w:rPr>
            </w:pPr>
          </w:p>
        </w:tc>
        <w:tc>
          <w:tcPr>
            <w:tcW w:w="1220" w:type="dxa"/>
            <w:vAlign w:val="bottom"/>
            <w:tcBorders>
              <w:bottom w:val="single" w:sz="8" w:color="939598"/>
            </w:tcBorders>
          </w:tcPr>
          <w:p>
            <w:pPr>
              <w:spacing w:after="0"/>
              <w:rPr>
                <w:sz w:val="10"/>
                <w:szCs w:val="10"/>
                <w:color w:val="auto"/>
              </w:rPr>
            </w:pPr>
          </w:p>
        </w:tc>
        <w:tc>
          <w:tcPr>
            <w:tcW w:w="178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2240" w:type="dxa"/>
            <w:vAlign w:val="bottom"/>
          </w:tcPr>
          <w:p>
            <w:pPr>
              <w:spacing w:after="0"/>
              <w:rPr>
                <w:sz w:val="24"/>
                <w:szCs w:val="24"/>
                <w:color w:val="auto"/>
              </w:rPr>
            </w:pPr>
          </w:p>
        </w:tc>
        <w:tc>
          <w:tcPr>
            <w:tcW w:w="1460" w:type="dxa"/>
            <w:vAlign w:val="bottom"/>
          </w:tcPr>
          <w:p>
            <w:pPr>
              <w:ind w:left="20"/>
              <w:spacing w:after="0"/>
              <w:rPr>
                <w:sz w:val="20"/>
                <w:szCs w:val="20"/>
                <w:color w:val="auto"/>
              </w:rPr>
            </w:pPr>
            <w:r>
              <w:rPr>
                <w:rFonts w:ascii="Arial" w:cs="Arial" w:eastAsia="Arial" w:hAnsi="Arial"/>
                <w:sz w:val="14"/>
                <w:szCs w:val="14"/>
                <w:color w:val="auto"/>
              </w:rPr>
              <w:t>Mr. Stepniak</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1,860,403</w:t>
            </w:r>
          </w:p>
        </w:tc>
        <w:tc>
          <w:tcPr>
            <w:tcW w:w="260" w:type="dxa"/>
            <w:vAlign w:val="bottom"/>
          </w:tcPr>
          <w:p>
            <w:pPr>
              <w:spacing w:after="0"/>
              <w:rPr>
                <w:sz w:val="24"/>
                <w:szCs w:val="24"/>
                <w:color w:val="auto"/>
              </w:rPr>
            </w:pPr>
          </w:p>
        </w:tc>
        <w:tc>
          <w:tcPr>
            <w:tcW w:w="1000" w:type="dxa"/>
            <w:vAlign w:val="bottom"/>
          </w:tcPr>
          <w:p>
            <w:pPr>
              <w:jc w:val="right"/>
              <w:ind w:right="288"/>
              <w:spacing w:after="0"/>
              <w:rPr>
                <w:sz w:val="20"/>
                <w:szCs w:val="20"/>
                <w:color w:val="auto"/>
              </w:rPr>
            </w:pPr>
            <w:r>
              <w:rPr>
                <w:rFonts w:ascii="Arial" w:cs="Arial" w:eastAsia="Arial" w:hAnsi="Arial"/>
                <w:sz w:val="14"/>
                <w:szCs w:val="14"/>
                <w:color w:val="auto"/>
              </w:rPr>
              <w:t>391,997</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391,997</w:t>
            </w:r>
          </w:p>
        </w:tc>
        <w:tc>
          <w:tcPr>
            <w:tcW w:w="820" w:type="dxa"/>
            <w:vAlign w:val="bottom"/>
          </w:tcPr>
          <w:p>
            <w:pPr>
              <w:spacing w:after="0"/>
              <w:rPr>
                <w:sz w:val="24"/>
                <w:szCs w:val="24"/>
                <w:color w:val="auto"/>
              </w:rPr>
            </w:pPr>
          </w:p>
        </w:tc>
        <w:tc>
          <w:tcPr>
            <w:tcW w:w="1220" w:type="dxa"/>
            <w:vAlign w:val="bottom"/>
          </w:tcPr>
          <w:p>
            <w:pPr>
              <w:jc w:val="right"/>
              <w:ind w:right="288"/>
              <w:spacing w:after="0"/>
              <w:rPr>
                <w:sz w:val="20"/>
                <w:szCs w:val="20"/>
                <w:color w:val="auto"/>
              </w:rPr>
            </w:pPr>
            <w:r>
              <w:rPr>
                <w:rFonts w:ascii="Arial" w:cs="Arial" w:eastAsia="Arial" w:hAnsi="Arial"/>
                <w:sz w:val="14"/>
                <w:szCs w:val="14"/>
                <w:color w:val="auto"/>
              </w:rPr>
              <w:t>1,031,000</w:t>
            </w:r>
          </w:p>
        </w:tc>
        <w:tc>
          <w:tcPr>
            <w:tcW w:w="1780" w:type="dxa"/>
            <w:vAlign w:val="bottom"/>
          </w:tcPr>
          <w:p>
            <w:pPr>
              <w:jc w:val="right"/>
              <w:spacing w:after="0"/>
              <w:rPr>
                <w:sz w:val="20"/>
                <w:szCs w:val="20"/>
                <w:color w:val="auto"/>
              </w:rPr>
            </w:pPr>
            <w:r>
              <w:rPr>
                <w:rFonts w:ascii="Arial" w:cs="Arial" w:eastAsia="Arial" w:hAnsi="Arial"/>
                <w:sz w:val="14"/>
                <w:szCs w:val="14"/>
                <w:color w:val="auto"/>
              </w:rPr>
              <w:t>5,143,802</w:t>
            </w:r>
          </w:p>
        </w:tc>
        <w:tc>
          <w:tcPr>
            <w:tcW w:w="0" w:type="dxa"/>
            <w:vAlign w:val="bottom"/>
          </w:tcPr>
          <w:p>
            <w:pPr>
              <w:spacing w:after="0"/>
              <w:rPr>
                <w:sz w:val="1"/>
                <w:szCs w:val="1"/>
                <w:color w:val="auto"/>
              </w:rPr>
            </w:pPr>
          </w:p>
        </w:tc>
      </w:tr>
      <w:tr>
        <w:trPr>
          <w:trHeight w:val="130"/>
        </w:trPr>
        <w:tc>
          <w:tcPr>
            <w:tcW w:w="2240" w:type="dxa"/>
            <w:vAlign w:val="bottom"/>
          </w:tcPr>
          <w:p>
            <w:pPr>
              <w:spacing w:after="0"/>
              <w:rPr>
                <w:sz w:val="11"/>
                <w:szCs w:val="11"/>
                <w:color w:val="auto"/>
              </w:rPr>
            </w:pPr>
          </w:p>
        </w:tc>
        <w:tc>
          <w:tcPr>
            <w:tcW w:w="1460" w:type="dxa"/>
            <w:vAlign w:val="bottom"/>
            <w:tcBorders>
              <w:bottom w:val="single" w:sz="8" w:color="939598"/>
            </w:tcBorders>
          </w:tcPr>
          <w:p>
            <w:pPr>
              <w:spacing w:after="0"/>
              <w:rPr>
                <w:sz w:val="11"/>
                <w:szCs w:val="11"/>
                <w:color w:val="auto"/>
              </w:rPr>
            </w:pPr>
          </w:p>
        </w:tc>
        <w:tc>
          <w:tcPr>
            <w:tcW w:w="1420" w:type="dxa"/>
            <w:vAlign w:val="bottom"/>
            <w:tcBorders>
              <w:bottom w:val="single" w:sz="8" w:color="939598"/>
            </w:tcBorders>
          </w:tcPr>
          <w:p>
            <w:pPr>
              <w:spacing w:after="0"/>
              <w:rPr>
                <w:sz w:val="11"/>
                <w:szCs w:val="11"/>
                <w:color w:val="auto"/>
              </w:rPr>
            </w:pPr>
          </w:p>
        </w:tc>
        <w:tc>
          <w:tcPr>
            <w:tcW w:w="260" w:type="dxa"/>
            <w:vAlign w:val="bottom"/>
            <w:tcBorders>
              <w:bottom w:val="single" w:sz="8" w:color="939598"/>
            </w:tcBorders>
          </w:tcPr>
          <w:p>
            <w:pPr>
              <w:spacing w:after="0"/>
              <w:rPr>
                <w:sz w:val="11"/>
                <w:szCs w:val="11"/>
                <w:color w:val="auto"/>
              </w:rPr>
            </w:pPr>
          </w:p>
        </w:tc>
        <w:tc>
          <w:tcPr>
            <w:tcW w:w="1000" w:type="dxa"/>
            <w:vAlign w:val="bottom"/>
            <w:tcBorders>
              <w:bottom w:val="single" w:sz="8" w:color="939598"/>
            </w:tcBorders>
          </w:tcPr>
          <w:p>
            <w:pPr>
              <w:spacing w:after="0"/>
              <w:rPr>
                <w:sz w:val="11"/>
                <w:szCs w:val="11"/>
                <w:color w:val="auto"/>
              </w:rPr>
            </w:pPr>
          </w:p>
        </w:tc>
        <w:tc>
          <w:tcPr>
            <w:tcW w:w="1020" w:type="dxa"/>
            <w:vAlign w:val="bottom"/>
            <w:tcBorders>
              <w:bottom w:val="single" w:sz="8" w:color="939598"/>
            </w:tcBorders>
          </w:tcPr>
          <w:p>
            <w:pPr>
              <w:spacing w:after="0"/>
              <w:rPr>
                <w:sz w:val="11"/>
                <w:szCs w:val="11"/>
                <w:color w:val="auto"/>
              </w:rPr>
            </w:pPr>
          </w:p>
        </w:tc>
        <w:tc>
          <w:tcPr>
            <w:tcW w:w="820" w:type="dxa"/>
            <w:vAlign w:val="bottom"/>
            <w:tcBorders>
              <w:bottom w:val="single" w:sz="8" w:color="939598"/>
            </w:tcBorders>
          </w:tcPr>
          <w:p>
            <w:pPr>
              <w:spacing w:after="0"/>
              <w:rPr>
                <w:sz w:val="11"/>
                <w:szCs w:val="11"/>
                <w:color w:val="auto"/>
              </w:rPr>
            </w:pPr>
          </w:p>
        </w:tc>
        <w:tc>
          <w:tcPr>
            <w:tcW w:w="1220" w:type="dxa"/>
            <w:vAlign w:val="bottom"/>
            <w:tcBorders>
              <w:bottom w:val="single" w:sz="8" w:color="939598"/>
            </w:tcBorders>
          </w:tcPr>
          <w:p>
            <w:pPr>
              <w:spacing w:after="0"/>
              <w:rPr>
                <w:sz w:val="11"/>
                <w:szCs w:val="11"/>
                <w:color w:val="auto"/>
              </w:rPr>
            </w:pPr>
          </w:p>
        </w:tc>
        <w:tc>
          <w:tcPr>
            <w:tcW w:w="178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309"/>
        </w:trPr>
        <w:tc>
          <w:tcPr>
            <w:tcW w:w="2240" w:type="dxa"/>
            <w:vAlign w:val="bottom"/>
          </w:tcPr>
          <w:p>
            <w:pPr>
              <w:spacing w:after="0"/>
              <w:rPr>
                <w:sz w:val="24"/>
                <w:szCs w:val="24"/>
                <w:color w:val="auto"/>
              </w:rPr>
            </w:pPr>
          </w:p>
        </w:tc>
        <w:tc>
          <w:tcPr>
            <w:tcW w:w="1460" w:type="dxa"/>
            <w:vAlign w:val="bottom"/>
          </w:tcPr>
          <w:p>
            <w:pPr>
              <w:ind w:left="20"/>
              <w:spacing w:after="0"/>
              <w:rPr>
                <w:sz w:val="20"/>
                <w:szCs w:val="20"/>
                <w:color w:val="auto"/>
              </w:rPr>
            </w:pPr>
            <w:r>
              <w:rPr>
                <w:rFonts w:ascii="Arial" w:cs="Arial" w:eastAsia="Arial" w:hAnsi="Arial"/>
                <w:sz w:val="14"/>
                <w:szCs w:val="14"/>
                <w:color w:val="auto"/>
              </w:rPr>
              <w:t>Mr. Currier</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1,781,624</w:t>
            </w:r>
          </w:p>
        </w:tc>
        <w:tc>
          <w:tcPr>
            <w:tcW w:w="260" w:type="dxa"/>
            <w:vAlign w:val="bottom"/>
          </w:tcPr>
          <w:p>
            <w:pPr>
              <w:spacing w:after="0"/>
              <w:rPr>
                <w:sz w:val="24"/>
                <w:szCs w:val="24"/>
                <w:color w:val="auto"/>
              </w:rPr>
            </w:pPr>
          </w:p>
        </w:tc>
        <w:tc>
          <w:tcPr>
            <w:tcW w:w="1000" w:type="dxa"/>
            <w:vAlign w:val="bottom"/>
          </w:tcPr>
          <w:p>
            <w:pPr>
              <w:jc w:val="right"/>
              <w:ind w:right="288"/>
              <w:spacing w:after="0"/>
              <w:rPr>
                <w:sz w:val="20"/>
                <w:szCs w:val="20"/>
                <w:color w:val="auto"/>
              </w:rPr>
            </w:pPr>
            <w:r>
              <w:rPr>
                <w:rFonts w:ascii="Arial" w:cs="Arial" w:eastAsia="Arial" w:hAnsi="Arial"/>
                <w:sz w:val="14"/>
                <w:szCs w:val="14"/>
                <w:color w:val="auto"/>
              </w:rPr>
              <w:t>129,600</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129,600</w:t>
            </w:r>
          </w:p>
        </w:tc>
        <w:tc>
          <w:tcPr>
            <w:tcW w:w="820" w:type="dxa"/>
            <w:vAlign w:val="bottom"/>
          </w:tcPr>
          <w:p>
            <w:pPr>
              <w:spacing w:after="0"/>
              <w:rPr>
                <w:sz w:val="24"/>
                <w:szCs w:val="24"/>
                <w:color w:val="auto"/>
              </w:rPr>
            </w:pPr>
          </w:p>
        </w:tc>
        <w:tc>
          <w:tcPr>
            <w:tcW w:w="1220" w:type="dxa"/>
            <w:vAlign w:val="bottom"/>
          </w:tcPr>
          <w:p>
            <w:pPr>
              <w:jc w:val="right"/>
              <w:ind w:right="288"/>
              <w:spacing w:after="0"/>
              <w:rPr>
                <w:sz w:val="20"/>
                <w:szCs w:val="20"/>
                <w:color w:val="auto"/>
              </w:rPr>
            </w:pPr>
            <w:r>
              <w:rPr>
                <w:rFonts w:ascii="Arial" w:cs="Arial" w:eastAsia="Arial" w:hAnsi="Arial"/>
                <w:sz w:val="14"/>
                <w:szCs w:val="14"/>
                <w:color w:val="auto"/>
              </w:rPr>
              <w:t>1,033,600</w:t>
            </w:r>
          </w:p>
        </w:tc>
        <w:tc>
          <w:tcPr>
            <w:tcW w:w="1780" w:type="dxa"/>
            <w:vAlign w:val="bottom"/>
          </w:tcPr>
          <w:p>
            <w:pPr>
              <w:jc w:val="right"/>
              <w:spacing w:after="0"/>
              <w:rPr>
                <w:sz w:val="20"/>
                <w:szCs w:val="20"/>
                <w:color w:val="auto"/>
              </w:rPr>
            </w:pPr>
            <w:r>
              <w:rPr>
                <w:rFonts w:ascii="Arial" w:cs="Arial" w:eastAsia="Arial" w:hAnsi="Arial"/>
                <w:sz w:val="14"/>
                <w:szCs w:val="14"/>
                <w:color w:val="auto"/>
              </w:rPr>
              <w:t>4,648,580</w:t>
            </w:r>
          </w:p>
        </w:tc>
        <w:tc>
          <w:tcPr>
            <w:tcW w:w="0" w:type="dxa"/>
            <w:vAlign w:val="bottom"/>
          </w:tcPr>
          <w:p>
            <w:pPr>
              <w:spacing w:after="0"/>
              <w:rPr>
                <w:sz w:val="1"/>
                <w:szCs w:val="1"/>
                <w:color w:val="auto"/>
              </w:rPr>
            </w:pPr>
          </w:p>
        </w:tc>
      </w:tr>
      <w:tr>
        <w:trPr>
          <w:trHeight w:val="130"/>
        </w:trPr>
        <w:tc>
          <w:tcPr>
            <w:tcW w:w="2240" w:type="dxa"/>
            <w:vAlign w:val="bottom"/>
          </w:tcPr>
          <w:p>
            <w:pPr>
              <w:spacing w:after="0"/>
              <w:rPr>
                <w:sz w:val="11"/>
                <w:szCs w:val="11"/>
                <w:color w:val="auto"/>
              </w:rPr>
            </w:pPr>
          </w:p>
        </w:tc>
        <w:tc>
          <w:tcPr>
            <w:tcW w:w="1460" w:type="dxa"/>
            <w:vAlign w:val="bottom"/>
            <w:tcBorders>
              <w:bottom w:val="single" w:sz="8" w:color="939598"/>
            </w:tcBorders>
          </w:tcPr>
          <w:p>
            <w:pPr>
              <w:spacing w:after="0"/>
              <w:rPr>
                <w:sz w:val="11"/>
                <w:szCs w:val="11"/>
                <w:color w:val="auto"/>
              </w:rPr>
            </w:pPr>
          </w:p>
        </w:tc>
        <w:tc>
          <w:tcPr>
            <w:tcW w:w="1420" w:type="dxa"/>
            <w:vAlign w:val="bottom"/>
            <w:tcBorders>
              <w:bottom w:val="single" w:sz="8" w:color="939598"/>
            </w:tcBorders>
          </w:tcPr>
          <w:p>
            <w:pPr>
              <w:spacing w:after="0"/>
              <w:rPr>
                <w:sz w:val="11"/>
                <w:szCs w:val="11"/>
                <w:color w:val="auto"/>
              </w:rPr>
            </w:pPr>
          </w:p>
        </w:tc>
        <w:tc>
          <w:tcPr>
            <w:tcW w:w="260" w:type="dxa"/>
            <w:vAlign w:val="bottom"/>
            <w:tcBorders>
              <w:bottom w:val="single" w:sz="8" w:color="939598"/>
            </w:tcBorders>
          </w:tcPr>
          <w:p>
            <w:pPr>
              <w:spacing w:after="0"/>
              <w:rPr>
                <w:sz w:val="11"/>
                <w:szCs w:val="11"/>
                <w:color w:val="auto"/>
              </w:rPr>
            </w:pPr>
          </w:p>
        </w:tc>
        <w:tc>
          <w:tcPr>
            <w:tcW w:w="1000" w:type="dxa"/>
            <w:vAlign w:val="bottom"/>
            <w:tcBorders>
              <w:bottom w:val="single" w:sz="8" w:color="939598"/>
            </w:tcBorders>
          </w:tcPr>
          <w:p>
            <w:pPr>
              <w:spacing w:after="0"/>
              <w:rPr>
                <w:sz w:val="11"/>
                <w:szCs w:val="11"/>
                <w:color w:val="auto"/>
              </w:rPr>
            </w:pPr>
          </w:p>
        </w:tc>
        <w:tc>
          <w:tcPr>
            <w:tcW w:w="1020" w:type="dxa"/>
            <w:vAlign w:val="bottom"/>
            <w:tcBorders>
              <w:bottom w:val="single" w:sz="8" w:color="939598"/>
            </w:tcBorders>
          </w:tcPr>
          <w:p>
            <w:pPr>
              <w:spacing w:after="0"/>
              <w:rPr>
                <w:sz w:val="11"/>
                <w:szCs w:val="11"/>
                <w:color w:val="auto"/>
              </w:rPr>
            </w:pPr>
          </w:p>
        </w:tc>
        <w:tc>
          <w:tcPr>
            <w:tcW w:w="820" w:type="dxa"/>
            <w:vAlign w:val="bottom"/>
            <w:tcBorders>
              <w:bottom w:val="single" w:sz="8" w:color="939598"/>
            </w:tcBorders>
          </w:tcPr>
          <w:p>
            <w:pPr>
              <w:spacing w:after="0"/>
              <w:rPr>
                <w:sz w:val="11"/>
                <w:szCs w:val="11"/>
                <w:color w:val="auto"/>
              </w:rPr>
            </w:pPr>
          </w:p>
        </w:tc>
        <w:tc>
          <w:tcPr>
            <w:tcW w:w="1220" w:type="dxa"/>
            <w:vAlign w:val="bottom"/>
            <w:tcBorders>
              <w:bottom w:val="single" w:sz="8" w:color="939598"/>
            </w:tcBorders>
          </w:tcPr>
          <w:p>
            <w:pPr>
              <w:spacing w:after="0"/>
              <w:rPr>
                <w:sz w:val="11"/>
                <w:szCs w:val="11"/>
                <w:color w:val="auto"/>
              </w:rPr>
            </w:pPr>
          </w:p>
        </w:tc>
        <w:tc>
          <w:tcPr>
            <w:tcW w:w="178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309"/>
        </w:trPr>
        <w:tc>
          <w:tcPr>
            <w:tcW w:w="2240" w:type="dxa"/>
            <w:vAlign w:val="bottom"/>
          </w:tcPr>
          <w:p>
            <w:pPr>
              <w:spacing w:after="0"/>
              <w:rPr>
                <w:sz w:val="24"/>
                <w:szCs w:val="24"/>
                <w:color w:val="auto"/>
              </w:rPr>
            </w:pPr>
          </w:p>
        </w:tc>
        <w:tc>
          <w:tcPr>
            <w:tcW w:w="1460" w:type="dxa"/>
            <w:vAlign w:val="bottom"/>
          </w:tcPr>
          <w:p>
            <w:pPr>
              <w:ind w:left="20"/>
              <w:spacing w:after="0"/>
              <w:rPr>
                <w:sz w:val="20"/>
                <w:szCs w:val="20"/>
                <w:color w:val="auto"/>
              </w:rPr>
            </w:pPr>
            <w:r>
              <w:rPr>
                <w:rFonts w:ascii="Arial" w:cs="Arial" w:eastAsia="Arial" w:hAnsi="Arial"/>
                <w:sz w:val="14"/>
                <w:szCs w:val="14"/>
                <w:color w:val="auto"/>
              </w:rPr>
              <w:t>Mr. Masso</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1,351,167</w:t>
            </w:r>
          </w:p>
        </w:tc>
        <w:tc>
          <w:tcPr>
            <w:tcW w:w="260" w:type="dxa"/>
            <w:vAlign w:val="bottom"/>
          </w:tcPr>
          <w:p>
            <w:pPr>
              <w:spacing w:after="0"/>
              <w:rPr>
                <w:sz w:val="24"/>
                <w:szCs w:val="24"/>
                <w:color w:val="auto"/>
              </w:rPr>
            </w:pPr>
          </w:p>
        </w:tc>
        <w:tc>
          <w:tcPr>
            <w:tcW w:w="10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24"/>
                <w:szCs w:val="24"/>
                <w:color w:val="auto"/>
              </w:rPr>
            </w:pPr>
          </w:p>
        </w:tc>
        <w:tc>
          <w:tcPr>
            <w:tcW w:w="1220" w:type="dxa"/>
            <w:vAlign w:val="bottom"/>
          </w:tcPr>
          <w:p>
            <w:pPr>
              <w:jc w:val="right"/>
              <w:ind w:right="288"/>
              <w:spacing w:after="0"/>
              <w:rPr>
                <w:sz w:val="20"/>
                <w:szCs w:val="20"/>
                <w:color w:val="auto"/>
              </w:rPr>
            </w:pPr>
            <w:r>
              <w:rPr>
                <w:rFonts w:ascii="Arial" w:cs="Arial" w:eastAsia="Arial" w:hAnsi="Arial"/>
                <w:sz w:val="14"/>
                <w:szCs w:val="14"/>
                <w:color w:val="auto"/>
              </w:rPr>
              <w:t>314,300</w:t>
            </w:r>
          </w:p>
        </w:tc>
        <w:tc>
          <w:tcPr>
            <w:tcW w:w="1780" w:type="dxa"/>
            <w:vAlign w:val="bottom"/>
          </w:tcPr>
          <w:p>
            <w:pPr>
              <w:jc w:val="right"/>
              <w:spacing w:after="0"/>
              <w:rPr>
                <w:sz w:val="20"/>
                <w:szCs w:val="20"/>
                <w:color w:val="auto"/>
              </w:rPr>
            </w:pPr>
            <w:r>
              <w:rPr>
                <w:rFonts w:ascii="Arial" w:cs="Arial" w:eastAsia="Arial" w:hAnsi="Arial"/>
                <w:sz w:val="14"/>
                <w:szCs w:val="14"/>
                <w:color w:val="auto"/>
              </w:rPr>
              <w:t>3,016,634</w:t>
            </w:r>
          </w:p>
        </w:tc>
        <w:tc>
          <w:tcPr>
            <w:tcW w:w="0" w:type="dxa"/>
            <w:vAlign w:val="bottom"/>
          </w:tcPr>
          <w:p>
            <w:pPr>
              <w:spacing w:after="0"/>
              <w:rPr>
                <w:sz w:val="1"/>
                <w:szCs w:val="1"/>
                <w:color w:val="auto"/>
              </w:rPr>
            </w:pPr>
          </w:p>
        </w:tc>
      </w:tr>
      <w:tr>
        <w:trPr>
          <w:trHeight w:val="129"/>
        </w:trPr>
        <w:tc>
          <w:tcPr>
            <w:tcW w:w="2240" w:type="dxa"/>
            <w:vAlign w:val="bottom"/>
          </w:tcPr>
          <w:p>
            <w:pPr>
              <w:spacing w:after="0"/>
              <w:rPr>
                <w:sz w:val="11"/>
                <w:szCs w:val="11"/>
                <w:color w:val="auto"/>
              </w:rPr>
            </w:pPr>
          </w:p>
        </w:tc>
        <w:tc>
          <w:tcPr>
            <w:tcW w:w="1460" w:type="dxa"/>
            <w:vAlign w:val="bottom"/>
            <w:tcBorders>
              <w:bottom w:val="single" w:sz="8" w:color="939598"/>
            </w:tcBorders>
          </w:tcPr>
          <w:p>
            <w:pPr>
              <w:spacing w:after="0"/>
              <w:rPr>
                <w:sz w:val="11"/>
                <w:szCs w:val="11"/>
                <w:color w:val="auto"/>
              </w:rPr>
            </w:pPr>
          </w:p>
        </w:tc>
        <w:tc>
          <w:tcPr>
            <w:tcW w:w="1420" w:type="dxa"/>
            <w:vAlign w:val="bottom"/>
            <w:tcBorders>
              <w:bottom w:val="single" w:sz="8" w:color="939598"/>
            </w:tcBorders>
          </w:tcPr>
          <w:p>
            <w:pPr>
              <w:spacing w:after="0"/>
              <w:rPr>
                <w:sz w:val="11"/>
                <w:szCs w:val="11"/>
                <w:color w:val="auto"/>
              </w:rPr>
            </w:pPr>
          </w:p>
        </w:tc>
        <w:tc>
          <w:tcPr>
            <w:tcW w:w="260" w:type="dxa"/>
            <w:vAlign w:val="bottom"/>
            <w:tcBorders>
              <w:bottom w:val="single" w:sz="8" w:color="939598"/>
            </w:tcBorders>
          </w:tcPr>
          <w:p>
            <w:pPr>
              <w:spacing w:after="0"/>
              <w:rPr>
                <w:sz w:val="11"/>
                <w:szCs w:val="11"/>
                <w:color w:val="auto"/>
              </w:rPr>
            </w:pPr>
          </w:p>
        </w:tc>
        <w:tc>
          <w:tcPr>
            <w:tcW w:w="1000" w:type="dxa"/>
            <w:vAlign w:val="bottom"/>
            <w:tcBorders>
              <w:bottom w:val="single" w:sz="8" w:color="939598"/>
            </w:tcBorders>
          </w:tcPr>
          <w:p>
            <w:pPr>
              <w:spacing w:after="0"/>
              <w:rPr>
                <w:sz w:val="11"/>
                <w:szCs w:val="11"/>
                <w:color w:val="auto"/>
              </w:rPr>
            </w:pPr>
          </w:p>
        </w:tc>
        <w:tc>
          <w:tcPr>
            <w:tcW w:w="1020" w:type="dxa"/>
            <w:vAlign w:val="bottom"/>
            <w:tcBorders>
              <w:bottom w:val="single" w:sz="8" w:color="939598"/>
            </w:tcBorders>
          </w:tcPr>
          <w:p>
            <w:pPr>
              <w:spacing w:after="0"/>
              <w:rPr>
                <w:sz w:val="11"/>
                <w:szCs w:val="11"/>
                <w:color w:val="auto"/>
              </w:rPr>
            </w:pPr>
          </w:p>
        </w:tc>
        <w:tc>
          <w:tcPr>
            <w:tcW w:w="820" w:type="dxa"/>
            <w:vAlign w:val="bottom"/>
            <w:tcBorders>
              <w:bottom w:val="single" w:sz="8" w:color="939598"/>
            </w:tcBorders>
          </w:tcPr>
          <w:p>
            <w:pPr>
              <w:spacing w:after="0"/>
              <w:rPr>
                <w:sz w:val="11"/>
                <w:szCs w:val="11"/>
                <w:color w:val="auto"/>
              </w:rPr>
            </w:pPr>
          </w:p>
        </w:tc>
        <w:tc>
          <w:tcPr>
            <w:tcW w:w="1220" w:type="dxa"/>
            <w:vAlign w:val="bottom"/>
            <w:tcBorders>
              <w:bottom w:val="single" w:sz="8" w:color="939598"/>
            </w:tcBorders>
          </w:tcPr>
          <w:p>
            <w:pPr>
              <w:spacing w:after="0"/>
              <w:rPr>
                <w:sz w:val="11"/>
                <w:szCs w:val="11"/>
                <w:color w:val="auto"/>
              </w:rPr>
            </w:pPr>
          </w:p>
        </w:tc>
        <w:tc>
          <w:tcPr>
            <w:tcW w:w="178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310"/>
        </w:trPr>
        <w:tc>
          <w:tcPr>
            <w:tcW w:w="2240" w:type="dxa"/>
            <w:vAlign w:val="bottom"/>
          </w:tcPr>
          <w:p>
            <w:pPr>
              <w:spacing w:after="0"/>
              <w:rPr>
                <w:sz w:val="24"/>
                <w:szCs w:val="24"/>
                <w:color w:val="auto"/>
              </w:rPr>
            </w:pPr>
          </w:p>
        </w:tc>
        <w:tc>
          <w:tcPr>
            <w:tcW w:w="1460" w:type="dxa"/>
            <w:vAlign w:val="bottom"/>
          </w:tcPr>
          <w:p>
            <w:pPr>
              <w:ind w:left="20"/>
              <w:spacing w:after="0"/>
              <w:rPr>
                <w:sz w:val="20"/>
                <w:szCs w:val="20"/>
                <w:color w:val="auto"/>
              </w:rPr>
            </w:pPr>
            <w:r>
              <w:rPr>
                <w:rFonts w:ascii="Arial" w:cs="Arial" w:eastAsia="Arial" w:hAnsi="Arial"/>
                <w:sz w:val="14"/>
                <w:szCs w:val="14"/>
                <w:color w:val="auto"/>
              </w:rPr>
              <w:t>Mr. Hammoud</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1,410,277</w:t>
            </w:r>
          </w:p>
        </w:tc>
        <w:tc>
          <w:tcPr>
            <w:tcW w:w="260" w:type="dxa"/>
            <w:vAlign w:val="bottom"/>
          </w:tcPr>
          <w:p>
            <w:pPr>
              <w:spacing w:after="0"/>
              <w:rPr>
                <w:sz w:val="24"/>
                <w:szCs w:val="24"/>
                <w:color w:val="auto"/>
              </w:rPr>
            </w:pPr>
          </w:p>
        </w:tc>
        <w:tc>
          <w:tcPr>
            <w:tcW w:w="1000" w:type="dxa"/>
            <w:vAlign w:val="bottom"/>
          </w:tcPr>
          <w:p>
            <w:pPr>
              <w:jc w:val="right"/>
              <w:ind w:right="288"/>
              <w:spacing w:after="0"/>
              <w:rPr>
                <w:sz w:val="20"/>
                <w:szCs w:val="20"/>
                <w:color w:val="auto"/>
              </w:rPr>
            </w:pPr>
            <w:r>
              <w:rPr>
                <w:rFonts w:ascii="Arial" w:cs="Arial" w:eastAsia="Arial" w:hAnsi="Arial"/>
                <w:sz w:val="14"/>
                <w:szCs w:val="14"/>
                <w:color w:val="auto"/>
              </w:rPr>
              <w:t>131,437</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131,437</w:t>
            </w:r>
          </w:p>
        </w:tc>
        <w:tc>
          <w:tcPr>
            <w:tcW w:w="820" w:type="dxa"/>
            <w:vAlign w:val="bottom"/>
          </w:tcPr>
          <w:p>
            <w:pPr>
              <w:spacing w:after="0"/>
              <w:rPr>
                <w:sz w:val="24"/>
                <w:szCs w:val="24"/>
                <w:color w:val="auto"/>
              </w:rPr>
            </w:pPr>
          </w:p>
        </w:tc>
        <w:tc>
          <w:tcPr>
            <w:tcW w:w="1220" w:type="dxa"/>
            <w:vAlign w:val="bottom"/>
          </w:tcPr>
          <w:p>
            <w:pPr>
              <w:jc w:val="right"/>
              <w:ind w:right="288"/>
              <w:spacing w:after="0"/>
              <w:rPr>
                <w:sz w:val="20"/>
                <w:szCs w:val="20"/>
                <w:color w:val="auto"/>
              </w:rPr>
            </w:pPr>
            <w:r>
              <w:rPr>
                <w:rFonts w:ascii="Arial" w:cs="Arial" w:eastAsia="Arial" w:hAnsi="Arial"/>
                <w:sz w:val="14"/>
                <w:szCs w:val="14"/>
                <w:color w:val="auto"/>
              </w:rPr>
              <w:t>877,400</w:t>
            </w:r>
          </w:p>
        </w:tc>
        <w:tc>
          <w:tcPr>
            <w:tcW w:w="1780" w:type="dxa"/>
            <w:vAlign w:val="bottom"/>
          </w:tcPr>
          <w:p>
            <w:pPr>
              <w:jc w:val="right"/>
              <w:spacing w:after="0"/>
              <w:rPr>
                <w:sz w:val="20"/>
                <w:szCs w:val="20"/>
                <w:color w:val="auto"/>
              </w:rPr>
            </w:pPr>
            <w:r>
              <w:rPr>
                <w:rFonts w:ascii="Arial" w:cs="Arial" w:eastAsia="Arial" w:hAnsi="Arial"/>
                <w:sz w:val="14"/>
                <w:szCs w:val="14"/>
                <w:color w:val="auto"/>
              </w:rPr>
              <w:t>3,829,391</w:t>
            </w:r>
          </w:p>
        </w:tc>
        <w:tc>
          <w:tcPr>
            <w:tcW w:w="0" w:type="dxa"/>
            <w:vAlign w:val="bottom"/>
          </w:tcPr>
          <w:p>
            <w:pPr>
              <w:spacing w:after="0"/>
              <w:rPr>
                <w:sz w:val="1"/>
                <w:szCs w:val="1"/>
                <w:color w:val="auto"/>
              </w:rPr>
            </w:pPr>
          </w:p>
        </w:tc>
      </w:tr>
      <w:tr>
        <w:trPr>
          <w:trHeight w:val="129"/>
        </w:trPr>
        <w:tc>
          <w:tcPr>
            <w:tcW w:w="2240" w:type="dxa"/>
            <w:vAlign w:val="bottom"/>
          </w:tcPr>
          <w:p>
            <w:pPr>
              <w:spacing w:after="0"/>
              <w:rPr>
                <w:sz w:val="11"/>
                <w:szCs w:val="11"/>
                <w:color w:val="auto"/>
              </w:rPr>
            </w:pPr>
          </w:p>
        </w:tc>
        <w:tc>
          <w:tcPr>
            <w:tcW w:w="1460" w:type="dxa"/>
            <w:vAlign w:val="bottom"/>
            <w:tcBorders>
              <w:bottom w:val="single" w:sz="8" w:color="939598"/>
            </w:tcBorders>
          </w:tcPr>
          <w:p>
            <w:pPr>
              <w:spacing w:after="0"/>
              <w:rPr>
                <w:sz w:val="11"/>
                <w:szCs w:val="11"/>
                <w:color w:val="auto"/>
              </w:rPr>
            </w:pPr>
          </w:p>
        </w:tc>
        <w:tc>
          <w:tcPr>
            <w:tcW w:w="1420" w:type="dxa"/>
            <w:vAlign w:val="bottom"/>
            <w:tcBorders>
              <w:bottom w:val="single" w:sz="8" w:color="939598"/>
            </w:tcBorders>
          </w:tcPr>
          <w:p>
            <w:pPr>
              <w:spacing w:after="0"/>
              <w:rPr>
                <w:sz w:val="11"/>
                <w:szCs w:val="11"/>
                <w:color w:val="auto"/>
              </w:rPr>
            </w:pPr>
          </w:p>
        </w:tc>
        <w:tc>
          <w:tcPr>
            <w:tcW w:w="260" w:type="dxa"/>
            <w:vAlign w:val="bottom"/>
            <w:tcBorders>
              <w:bottom w:val="single" w:sz="8" w:color="939598"/>
            </w:tcBorders>
          </w:tcPr>
          <w:p>
            <w:pPr>
              <w:spacing w:after="0"/>
              <w:rPr>
                <w:sz w:val="11"/>
                <w:szCs w:val="11"/>
                <w:color w:val="auto"/>
              </w:rPr>
            </w:pPr>
          </w:p>
        </w:tc>
        <w:tc>
          <w:tcPr>
            <w:tcW w:w="1000" w:type="dxa"/>
            <w:vAlign w:val="bottom"/>
            <w:tcBorders>
              <w:bottom w:val="single" w:sz="8" w:color="939598"/>
            </w:tcBorders>
          </w:tcPr>
          <w:p>
            <w:pPr>
              <w:spacing w:after="0"/>
              <w:rPr>
                <w:sz w:val="11"/>
                <w:szCs w:val="11"/>
                <w:color w:val="auto"/>
              </w:rPr>
            </w:pPr>
          </w:p>
        </w:tc>
        <w:tc>
          <w:tcPr>
            <w:tcW w:w="1020" w:type="dxa"/>
            <w:vAlign w:val="bottom"/>
            <w:tcBorders>
              <w:bottom w:val="single" w:sz="8" w:color="939598"/>
            </w:tcBorders>
          </w:tcPr>
          <w:p>
            <w:pPr>
              <w:spacing w:after="0"/>
              <w:rPr>
                <w:sz w:val="11"/>
                <w:szCs w:val="11"/>
                <w:color w:val="auto"/>
              </w:rPr>
            </w:pPr>
          </w:p>
        </w:tc>
        <w:tc>
          <w:tcPr>
            <w:tcW w:w="820" w:type="dxa"/>
            <w:vAlign w:val="bottom"/>
            <w:tcBorders>
              <w:bottom w:val="single" w:sz="8" w:color="939598"/>
            </w:tcBorders>
          </w:tcPr>
          <w:p>
            <w:pPr>
              <w:spacing w:after="0"/>
              <w:rPr>
                <w:sz w:val="11"/>
                <w:szCs w:val="11"/>
                <w:color w:val="auto"/>
              </w:rPr>
            </w:pPr>
          </w:p>
        </w:tc>
        <w:tc>
          <w:tcPr>
            <w:tcW w:w="1220" w:type="dxa"/>
            <w:vAlign w:val="bottom"/>
            <w:tcBorders>
              <w:bottom w:val="single" w:sz="8" w:color="939598"/>
            </w:tcBorders>
          </w:tcPr>
          <w:p>
            <w:pPr>
              <w:spacing w:after="0"/>
              <w:rPr>
                <w:sz w:val="11"/>
                <w:szCs w:val="11"/>
                <w:color w:val="auto"/>
              </w:rPr>
            </w:pPr>
          </w:p>
        </w:tc>
        <w:tc>
          <w:tcPr>
            <w:tcW w:w="178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310"/>
        </w:trPr>
        <w:tc>
          <w:tcPr>
            <w:tcW w:w="2240" w:type="dxa"/>
            <w:vAlign w:val="bottom"/>
          </w:tcPr>
          <w:p>
            <w:pPr>
              <w:spacing w:after="0"/>
              <w:rPr>
                <w:sz w:val="24"/>
                <w:szCs w:val="24"/>
                <w:color w:val="auto"/>
              </w:rPr>
            </w:pPr>
          </w:p>
        </w:tc>
        <w:tc>
          <w:tcPr>
            <w:tcW w:w="1460" w:type="dxa"/>
            <w:vAlign w:val="bottom"/>
          </w:tcPr>
          <w:p>
            <w:pPr>
              <w:ind w:left="20"/>
              <w:spacing w:after="0"/>
              <w:rPr>
                <w:sz w:val="20"/>
                <w:szCs w:val="20"/>
                <w:color w:val="auto"/>
              </w:rPr>
            </w:pPr>
            <w:r>
              <w:rPr>
                <w:rFonts w:ascii="Arial" w:cs="Arial" w:eastAsia="Arial" w:hAnsi="Arial"/>
                <w:sz w:val="14"/>
                <w:szCs w:val="14"/>
                <w:color w:val="auto"/>
              </w:rPr>
              <w:t>Mr. Lewis</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24"/>
                <w:szCs w:val="24"/>
                <w:color w:val="auto"/>
              </w:rPr>
            </w:pPr>
          </w:p>
        </w:tc>
        <w:tc>
          <w:tcPr>
            <w:tcW w:w="1220" w:type="dxa"/>
            <w:vAlign w:val="bottom"/>
          </w:tcPr>
          <w:p>
            <w:pPr>
              <w:jc w:val="right"/>
              <w:ind w:right="288"/>
              <w:spacing w:after="0"/>
              <w:rPr>
                <w:sz w:val="20"/>
                <w:szCs w:val="20"/>
                <w:color w:val="auto"/>
              </w:rPr>
            </w:pPr>
            <w:r>
              <w:rPr>
                <w:rFonts w:ascii="Arial" w:cs="Arial" w:eastAsia="Arial" w:hAnsi="Arial"/>
                <w:sz w:val="14"/>
                <w:szCs w:val="14"/>
                <w:color w:val="auto"/>
              </w:rPr>
              <w:t>381,000</w:t>
            </w:r>
          </w:p>
        </w:tc>
        <w:tc>
          <w:tcPr>
            <w:tcW w:w="1780" w:type="dxa"/>
            <w:vAlign w:val="bottom"/>
          </w:tcPr>
          <w:p>
            <w:pPr>
              <w:jc w:val="right"/>
              <w:spacing w:after="0"/>
              <w:rPr>
                <w:sz w:val="20"/>
                <w:szCs w:val="20"/>
                <w:color w:val="auto"/>
              </w:rPr>
            </w:pPr>
            <w:r>
              <w:rPr>
                <w:rFonts w:ascii="Arial" w:cs="Arial" w:eastAsia="Arial" w:hAnsi="Arial"/>
                <w:sz w:val="14"/>
                <w:szCs w:val="14"/>
                <w:color w:val="auto"/>
              </w:rPr>
              <w:t>381,000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23430"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49" w:lineRule="exact"/>
        <w:rPr>
          <w:sz w:val="20"/>
          <w:szCs w:val="20"/>
          <w:color w:val="auto"/>
        </w:rPr>
      </w:pPr>
    </w:p>
    <w:p>
      <w:pPr>
        <w:ind w:left="200" w:hanging="192"/>
        <w:spacing w:after="0"/>
        <w:tabs>
          <w:tab w:leader="none" w:pos="200" w:val="left"/>
        </w:tabs>
        <w:numPr>
          <w:ilvl w:val="0"/>
          <w:numId w:val="200"/>
        </w:numPr>
        <w:rPr>
          <w:rFonts w:ascii="Arial" w:cs="Arial" w:eastAsia="Arial" w:hAnsi="Arial"/>
          <w:sz w:val="16"/>
          <w:szCs w:val="16"/>
          <w:color w:val="auto"/>
          <w:vertAlign w:val="superscript"/>
        </w:rPr>
      </w:pPr>
      <w:r>
        <w:rPr>
          <w:rFonts w:ascii="Arial" w:cs="Arial" w:eastAsia="Arial" w:hAnsi="Arial"/>
          <w:sz w:val="13"/>
          <w:szCs w:val="13"/>
          <w:color w:val="auto"/>
        </w:rPr>
        <w:t>As of May 31, 2025, Mr. Lewis is no longer eligible for severance benefits as part of his transition to the role of Senior Advisor.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2026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99</w:t>
            </w:r>
          </w:p>
        </w:tc>
      </w:tr>
      <w:tr>
        <w:trPr>
          <w:trHeight w:val="373"/>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184" w:right="339" w:bottom="0" w:gutter="0" w:footer="0" w:header="0"/>
        </w:sectPr>
      </w:pPr>
    </w:p>
    <w:bookmarkStart w:id="113" w:name="page114"/>
    <w:bookmarkEnd w:id="113"/>
    <w:p>
      <w:pPr>
        <w:spacing w:after="0"/>
        <w:rPr>
          <w:sz w:val="20"/>
          <w:szCs w:val="20"/>
          <w:color w:val="auto"/>
        </w:rPr>
      </w:pPr>
      <w:r>
        <w:rPr>
          <w:rFonts w:ascii="Arial" w:cs="Arial" w:eastAsia="Arial" w:hAnsi="Arial"/>
          <w:sz w:val="13"/>
          <w:szCs w:val="13"/>
          <w:b w:val="1"/>
          <w:bCs w:val="1"/>
          <w:color w:val="6D6E71"/>
        </w:rPr>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b w:val="1"/>
          <w:bCs w:val="1"/>
          <w:color w:val="D7282F"/>
        </w:rPr>
        <w:t>EXPLANATION OF BENEFITS — TERMINATION EVENTS</w:t>
      </w:r>
    </w:p>
    <w:p>
      <w:pPr>
        <w:spacing w:after="0" w:line="99"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 following describes the benefits that are quantified in the table above assuming the event occurred on December 31, 2025. In regard to each portion of the benefit, the benefits that are paid in the context of a CIC are, except as noted, the same as the benefits paid other than as a result of a CIC.</w:t>
      </w:r>
    </w:p>
    <w:p>
      <w:pPr>
        <w:spacing w:after="0" w:line="120" w:lineRule="exact"/>
        <w:rPr>
          <w:sz w:val="20"/>
          <w:szCs w:val="20"/>
          <w:color w:val="auto"/>
        </w:rPr>
      </w:pPr>
    </w:p>
    <w:p>
      <w:pPr>
        <w:jc w:val="center"/>
        <w:ind w:right="2140"/>
        <w:spacing w:after="0"/>
        <w:rPr>
          <w:sz w:val="20"/>
          <w:szCs w:val="20"/>
          <w:color w:val="auto"/>
        </w:rPr>
      </w:pPr>
      <w:r>
        <w:rPr>
          <w:rFonts w:ascii="Arial" w:cs="Arial" w:eastAsia="Arial" w:hAnsi="Arial"/>
          <w:sz w:val="14"/>
          <w:szCs w:val="14"/>
          <w:b w:val="1"/>
          <w:bCs w:val="1"/>
          <w:color w:val="auto"/>
        </w:rPr>
        <w:t>Amount and Terms of Payments</w:t>
      </w:r>
    </w:p>
    <w:p>
      <w:pPr>
        <w:spacing w:after="0" w:line="29" w:lineRule="exact"/>
        <w:rPr>
          <w:sz w:val="20"/>
          <w:szCs w:val="20"/>
          <w:color w:val="auto"/>
        </w:rPr>
      </w:pPr>
    </w:p>
    <w:p>
      <w:pPr>
        <w:ind w:left="20"/>
        <w:spacing w:after="0"/>
        <w:tabs>
          <w:tab w:leader="none" w:pos="3420" w:val="left"/>
          <w:tab w:leader="none" w:pos="7320" w:val="left"/>
        </w:tabs>
        <w:rPr>
          <w:sz w:val="20"/>
          <w:szCs w:val="20"/>
          <w:color w:val="auto"/>
        </w:rPr>
      </w:pPr>
      <w:r>
        <w:rPr>
          <w:rFonts w:ascii="Arial" w:cs="Arial" w:eastAsia="Arial" w:hAnsi="Arial"/>
          <w:sz w:val="14"/>
          <w:szCs w:val="14"/>
          <w:b w:val="1"/>
          <w:bCs w:val="1"/>
          <w:color w:val="auto"/>
        </w:rPr>
        <w:t>Benefit/Event</w:t>
      </w:r>
      <w:r>
        <w:rPr>
          <w:sz w:val="20"/>
          <w:szCs w:val="20"/>
          <w:color w:val="auto"/>
        </w:rPr>
        <w:tab/>
      </w:r>
      <w:r>
        <w:rPr>
          <w:rFonts w:ascii="Arial" w:cs="Arial" w:eastAsia="Arial" w:hAnsi="Arial"/>
          <w:sz w:val="14"/>
          <w:szCs w:val="14"/>
          <w:b w:val="1"/>
          <w:bCs w:val="1"/>
          <w:color w:val="auto"/>
        </w:rPr>
        <w:t>(Other Than Upon a Change in Control)</w:t>
      </w:r>
      <w:r>
        <w:rPr>
          <w:sz w:val="20"/>
          <w:szCs w:val="20"/>
          <w:color w:val="auto"/>
        </w:rPr>
        <w:tab/>
      </w:r>
      <w:r>
        <w:rPr>
          <w:rFonts w:ascii="Arial" w:cs="Arial" w:eastAsia="Arial" w:hAnsi="Arial"/>
          <w:sz w:val="14"/>
          <w:szCs w:val="14"/>
          <w:b w:val="1"/>
          <w:bCs w:val="1"/>
          <w:color w:val="auto"/>
        </w:rPr>
        <w:t>Change in Control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2343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p>
      <w:pPr>
        <w:spacing w:after="0" w:line="158" w:lineRule="exact"/>
        <w:rPr>
          <w:sz w:val="20"/>
          <w:szCs w:val="20"/>
          <w:color w:val="auto"/>
        </w:rPr>
      </w:pPr>
    </w:p>
    <w:p>
      <w:pPr>
        <w:ind w:left="20"/>
        <w:spacing w:after="0" w:line="259" w:lineRule="auto"/>
        <w:rPr>
          <w:sz w:val="20"/>
          <w:szCs w:val="20"/>
          <w:color w:val="auto"/>
        </w:rPr>
      </w:pPr>
      <w:r>
        <w:rPr>
          <w:rFonts w:ascii="Arial" w:cs="Arial" w:eastAsia="Arial" w:hAnsi="Arial"/>
          <w:sz w:val="16"/>
          <w:szCs w:val="16"/>
          <w:b w:val="1"/>
          <w:bCs w:val="1"/>
          <w:color w:val="auto"/>
        </w:rPr>
        <w:t xml:space="preserve">Severance Benefits — Cash Payment </w:t>
      </w:r>
      <w:r>
        <w:rPr>
          <w:rFonts w:ascii="Arial" w:cs="Arial" w:eastAsia="Arial" w:hAnsi="Arial"/>
          <w:sz w:val="16"/>
          <w:szCs w:val="16"/>
          <w:color w:val="auto"/>
        </w:rPr>
        <w:t>Involuntary termination without cause; CIC termination without cause or by an NEO for good reason.</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left="199" w:right="20" w:hanging="199"/>
        <w:spacing w:after="0" w:line="257" w:lineRule="auto"/>
        <w:tabs>
          <w:tab w:leader="none" w:pos="196" w:val="left"/>
        </w:tabs>
        <w:numPr>
          <w:ilvl w:val="0"/>
          <w:numId w:val="201"/>
        </w:numPr>
        <w:rPr>
          <w:rFonts w:ascii="Arial" w:cs="Arial" w:eastAsia="Arial" w:hAnsi="Arial"/>
          <w:sz w:val="16"/>
          <w:szCs w:val="16"/>
          <w:b w:val="1"/>
          <w:bCs w:val="1"/>
          <w:color w:val="D7282F"/>
        </w:rPr>
      </w:pPr>
      <w:r>
        <w:rPr>
          <w:rFonts w:ascii="Arial" w:cs="Arial" w:eastAsia="Arial" w:hAnsi="Arial"/>
          <w:sz w:val="16"/>
          <w:szCs w:val="16"/>
          <w:color w:val="auto"/>
        </w:rPr>
        <w:t>Three years of base salary and bonus for Mr. Kapur, 18 months for Mr. Lewis, and 12 months for Messrs. Stepniak, Currier, Masso and Hammoud.</w:t>
      </w:r>
    </w:p>
    <w:p>
      <w:pPr>
        <w:spacing w:after="0" w:line="43" w:lineRule="exact"/>
        <w:rPr>
          <w:rFonts w:ascii="Arial" w:cs="Arial" w:eastAsia="Arial" w:hAnsi="Arial"/>
          <w:sz w:val="16"/>
          <w:szCs w:val="16"/>
          <w:b w:val="1"/>
          <w:bCs w:val="1"/>
          <w:color w:val="D7282F"/>
        </w:rPr>
      </w:pPr>
    </w:p>
    <w:p>
      <w:pPr>
        <w:ind w:left="199" w:hanging="199"/>
        <w:spacing w:after="0"/>
        <w:tabs>
          <w:tab w:leader="none" w:pos="199" w:val="left"/>
        </w:tabs>
        <w:numPr>
          <w:ilvl w:val="0"/>
          <w:numId w:val="201"/>
        </w:numPr>
        <w:rPr>
          <w:rFonts w:ascii="Arial" w:cs="Arial" w:eastAsia="Arial" w:hAnsi="Arial"/>
          <w:sz w:val="16"/>
          <w:szCs w:val="16"/>
          <w:b w:val="1"/>
          <w:bCs w:val="1"/>
          <w:color w:val="D7282F"/>
        </w:rPr>
      </w:pPr>
      <w:r>
        <w:rPr>
          <w:rFonts w:ascii="Arial" w:cs="Arial" w:eastAsia="Arial" w:hAnsi="Arial"/>
          <w:sz w:val="16"/>
          <w:szCs w:val="16"/>
          <w:color w:val="auto"/>
        </w:rPr>
        <w:t>Paid periodically, in cash.</w:t>
      </w:r>
    </w:p>
    <w:p>
      <w:pPr>
        <w:spacing w:after="0" w:line="72" w:lineRule="exact"/>
        <w:rPr>
          <w:rFonts w:ascii="Arial" w:cs="Arial" w:eastAsia="Arial" w:hAnsi="Arial"/>
          <w:sz w:val="16"/>
          <w:szCs w:val="16"/>
          <w:b w:val="1"/>
          <w:bCs w:val="1"/>
          <w:color w:val="D7282F"/>
        </w:rPr>
      </w:pPr>
    </w:p>
    <w:p>
      <w:pPr>
        <w:ind w:left="199" w:hanging="199"/>
        <w:spacing w:after="0"/>
        <w:tabs>
          <w:tab w:leader="none" w:pos="199" w:val="left"/>
        </w:tabs>
        <w:numPr>
          <w:ilvl w:val="0"/>
          <w:numId w:val="201"/>
        </w:numPr>
        <w:rPr>
          <w:rFonts w:ascii="Arial" w:cs="Arial" w:eastAsia="Arial" w:hAnsi="Arial"/>
          <w:sz w:val="16"/>
          <w:szCs w:val="16"/>
          <w:b w:val="1"/>
          <w:bCs w:val="1"/>
          <w:color w:val="D7282F"/>
        </w:rPr>
      </w:pPr>
      <w:r>
        <w:rPr>
          <w:rFonts w:ascii="Arial" w:cs="Arial" w:eastAsia="Arial" w:hAnsi="Arial"/>
          <w:sz w:val="16"/>
          <w:szCs w:val="16"/>
          <w:color w:val="auto"/>
        </w:rPr>
        <w:t>Bonus is equal to target percentage of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-2179320</wp:posOffset>
            </wp:positionH>
            <wp:positionV relativeFrom="paragraph">
              <wp:posOffset>140970</wp:posOffset>
            </wp:positionV>
            <wp:extent cx="7123430"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left="197" w:right="80" w:hanging="197"/>
        <w:spacing w:after="0" w:line="257" w:lineRule="auto"/>
        <w:tabs>
          <w:tab w:leader="none" w:pos="194" w:val="left"/>
        </w:tabs>
        <w:numPr>
          <w:ilvl w:val="0"/>
          <w:numId w:val="202"/>
        </w:numPr>
        <w:rPr>
          <w:rFonts w:ascii="Arial" w:cs="Arial" w:eastAsia="Arial" w:hAnsi="Arial"/>
          <w:sz w:val="16"/>
          <w:szCs w:val="16"/>
          <w:b w:val="1"/>
          <w:bCs w:val="1"/>
          <w:color w:val="D7282F"/>
        </w:rPr>
      </w:pPr>
      <w:r>
        <w:rPr>
          <w:rFonts w:ascii="Arial" w:cs="Arial" w:eastAsia="Arial" w:hAnsi="Arial"/>
          <w:sz w:val="16"/>
          <w:szCs w:val="16"/>
          <w:color w:val="auto"/>
        </w:rPr>
        <w:t>Three years of base salary and bonus for Mr. Kapur, and two years of base salary and bonus for the Other NEOs.</w:t>
      </w:r>
    </w:p>
    <w:p>
      <w:pPr>
        <w:spacing w:after="0" w:line="43" w:lineRule="exact"/>
        <w:rPr>
          <w:rFonts w:ascii="Arial" w:cs="Arial" w:eastAsia="Arial" w:hAnsi="Arial"/>
          <w:sz w:val="16"/>
          <w:szCs w:val="16"/>
          <w:b w:val="1"/>
          <w:bCs w:val="1"/>
          <w:color w:val="D7282F"/>
        </w:rPr>
      </w:pPr>
    </w:p>
    <w:p>
      <w:pPr>
        <w:ind w:left="197" w:right="120" w:hanging="197"/>
        <w:spacing w:after="0" w:line="257" w:lineRule="auto"/>
        <w:tabs>
          <w:tab w:leader="none" w:pos="194" w:val="left"/>
        </w:tabs>
        <w:numPr>
          <w:ilvl w:val="0"/>
          <w:numId w:val="202"/>
        </w:numPr>
        <w:rPr>
          <w:rFonts w:ascii="Arial" w:cs="Arial" w:eastAsia="Arial" w:hAnsi="Arial"/>
          <w:sz w:val="16"/>
          <w:szCs w:val="16"/>
          <w:b w:val="1"/>
          <w:bCs w:val="1"/>
          <w:color w:val="D7282F"/>
        </w:rPr>
      </w:pPr>
      <w:r>
        <w:rPr>
          <w:rFonts w:ascii="Arial" w:cs="Arial" w:eastAsia="Arial" w:hAnsi="Arial"/>
          <w:sz w:val="16"/>
          <w:szCs w:val="16"/>
          <w:color w:val="auto"/>
        </w:rPr>
        <w:t>Amounts are paid in a lump sum within 60 days following the later of the date of termination or the CIC date.</w:t>
      </w:r>
    </w:p>
    <w:p>
      <w:pPr>
        <w:spacing w:after="0" w:line="124" w:lineRule="exact"/>
        <w:rPr>
          <w:sz w:val="20"/>
          <w:szCs w:val="20"/>
          <w:color w:val="auto"/>
        </w:rPr>
      </w:pPr>
    </w:p>
    <w:p>
      <w:pPr>
        <w:sectPr>
          <w:pgSz w:w="11900" w:h="16838" w:orient="portrait"/>
          <w:cols w:equalWidth="0" w:num="3">
            <w:col w:w="3120" w:space="321"/>
            <w:col w:w="3839" w:space="63"/>
            <w:col w:w="3877"/>
          </w:cols>
          <w:pgMar w:left="320" w:top="229" w:right="35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3400" w:type="dxa"/>
            <w:vAlign w:val="bottom"/>
          </w:tcPr>
          <w:p>
            <w:pPr>
              <w:ind w:left="20"/>
              <w:spacing w:after="0"/>
              <w:rPr>
                <w:sz w:val="20"/>
                <w:szCs w:val="20"/>
                <w:color w:val="auto"/>
              </w:rPr>
            </w:pPr>
            <w:r>
              <w:rPr>
                <w:rFonts w:ascii="Arial" w:cs="Arial" w:eastAsia="Arial" w:hAnsi="Arial"/>
                <w:sz w:val="16"/>
                <w:szCs w:val="16"/>
                <w:b w:val="1"/>
                <w:bCs w:val="1"/>
                <w:color w:val="auto"/>
              </w:rPr>
              <w:t>Annual Bonus for the Year of Termination</w:t>
            </w:r>
          </w:p>
        </w:tc>
        <w:tc>
          <w:tcPr>
            <w:tcW w:w="3920" w:type="dxa"/>
            <w:vAlign w:val="bottom"/>
          </w:tcPr>
          <w:p>
            <w:pPr>
              <w:ind w:left="4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N/A</w:t>
            </w:r>
          </w:p>
        </w:tc>
        <w:tc>
          <w:tcPr>
            <w:tcW w:w="3900" w:type="dxa"/>
            <w:vAlign w:val="bottom"/>
          </w:tcPr>
          <w:p>
            <w:pPr>
              <w:ind w:left="2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Based on achievement of pre-established ICP</w:t>
            </w:r>
          </w:p>
        </w:tc>
        <w:tc>
          <w:tcPr>
            <w:tcW w:w="0" w:type="dxa"/>
            <w:vAlign w:val="bottom"/>
          </w:tcPr>
          <w:p>
            <w:pPr>
              <w:spacing w:after="0"/>
              <w:rPr>
                <w:sz w:val="1"/>
                <w:szCs w:val="1"/>
                <w:color w:val="auto"/>
              </w:rPr>
            </w:pPr>
          </w:p>
        </w:tc>
      </w:tr>
      <w:tr>
        <w:trPr>
          <w:trHeight w:val="175"/>
        </w:trPr>
        <w:tc>
          <w:tcPr>
            <w:tcW w:w="3400" w:type="dxa"/>
            <w:vAlign w:val="bottom"/>
          </w:tcPr>
          <w:p>
            <w:pPr>
              <w:ind w:left="20"/>
              <w:spacing w:after="0" w:line="175" w:lineRule="exact"/>
              <w:rPr>
                <w:sz w:val="20"/>
                <w:szCs w:val="20"/>
                <w:color w:val="auto"/>
              </w:rPr>
            </w:pPr>
            <w:r>
              <w:rPr>
                <w:rFonts w:ascii="Arial" w:cs="Arial" w:eastAsia="Arial" w:hAnsi="Arial"/>
                <w:sz w:val="16"/>
                <w:szCs w:val="16"/>
                <w:b w:val="1"/>
                <w:bCs w:val="1"/>
                <w:color w:val="auto"/>
              </w:rPr>
              <w:t>— Cash Payment</w:t>
            </w:r>
          </w:p>
        </w:tc>
        <w:tc>
          <w:tcPr>
            <w:tcW w:w="3920" w:type="dxa"/>
            <w:vAlign w:val="bottom"/>
          </w:tcPr>
          <w:p>
            <w:pPr>
              <w:spacing w:after="0"/>
              <w:rPr>
                <w:sz w:val="15"/>
                <w:szCs w:val="15"/>
                <w:color w:val="auto"/>
              </w:rPr>
            </w:pPr>
          </w:p>
        </w:tc>
        <w:tc>
          <w:tcPr>
            <w:tcW w:w="3900" w:type="dxa"/>
            <w:vAlign w:val="bottom"/>
          </w:tcPr>
          <w:p>
            <w:pPr>
              <w:ind w:left="220"/>
              <w:spacing w:after="0" w:line="175" w:lineRule="exact"/>
              <w:rPr>
                <w:sz w:val="20"/>
                <w:szCs w:val="20"/>
                <w:color w:val="auto"/>
              </w:rPr>
            </w:pPr>
            <w:r>
              <w:rPr>
                <w:rFonts w:ascii="Arial" w:cs="Arial" w:eastAsia="Arial" w:hAnsi="Arial"/>
                <w:sz w:val="16"/>
                <w:szCs w:val="16"/>
                <w:color w:val="auto"/>
              </w:rPr>
              <w:t>goals and the MDCC’s assessment of other</w:t>
            </w:r>
          </w:p>
        </w:tc>
        <w:tc>
          <w:tcPr>
            <w:tcW w:w="0" w:type="dxa"/>
            <w:vAlign w:val="bottom"/>
          </w:tcPr>
          <w:p>
            <w:pPr>
              <w:spacing w:after="0"/>
              <w:rPr>
                <w:sz w:val="1"/>
                <w:szCs w:val="1"/>
                <w:color w:val="auto"/>
              </w:rPr>
            </w:pPr>
          </w:p>
        </w:tc>
      </w:tr>
      <w:tr>
        <w:trPr>
          <w:trHeight w:val="189"/>
        </w:trPr>
        <w:tc>
          <w:tcPr>
            <w:tcW w:w="3400" w:type="dxa"/>
            <w:vAlign w:val="bottom"/>
          </w:tcPr>
          <w:p>
            <w:pPr>
              <w:ind w:left="20"/>
              <w:spacing w:after="0"/>
              <w:rPr>
                <w:sz w:val="20"/>
                <w:szCs w:val="20"/>
                <w:color w:val="auto"/>
              </w:rPr>
            </w:pPr>
            <w:r>
              <w:rPr>
                <w:rFonts w:ascii="Arial" w:cs="Arial" w:eastAsia="Arial" w:hAnsi="Arial"/>
                <w:sz w:val="16"/>
                <w:szCs w:val="16"/>
                <w:color w:val="auto"/>
              </w:rPr>
              <w:t>Annual ICP Plan bonus is payable to NEOs for</w:t>
            </w:r>
          </w:p>
        </w:tc>
        <w:tc>
          <w:tcPr>
            <w:tcW w:w="3920" w:type="dxa"/>
            <w:vAlign w:val="bottom"/>
          </w:tcPr>
          <w:p>
            <w:pPr>
              <w:spacing w:after="0"/>
              <w:rPr>
                <w:sz w:val="16"/>
                <w:szCs w:val="16"/>
                <w:color w:val="auto"/>
              </w:rPr>
            </w:pPr>
          </w:p>
        </w:tc>
        <w:tc>
          <w:tcPr>
            <w:tcW w:w="3900" w:type="dxa"/>
            <w:vAlign w:val="bottom"/>
          </w:tcPr>
          <w:p>
            <w:pPr>
              <w:ind w:left="220"/>
              <w:spacing w:after="0"/>
              <w:rPr>
                <w:sz w:val="20"/>
                <w:szCs w:val="20"/>
                <w:color w:val="auto"/>
              </w:rPr>
            </w:pPr>
            <w:r>
              <w:rPr>
                <w:rFonts w:ascii="Arial" w:cs="Arial" w:eastAsia="Arial" w:hAnsi="Arial"/>
                <w:sz w:val="16"/>
                <w:szCs w:val="16"/>
                <w:color w:val="auto"/>
              </w:rPr>
              <w:t>relevant criteria, for the stub period ending on the</w:t>
            </w:r>
          </w:p>
        </w:tc>
        <w:tc>
          <w:tcPr>
            <w:tcW w:w="0" w:type="dxa"/>
            <w:vAlign w:val="bottom"/>
          </w:tcPr>
          <w:p>
            <w:pPr>
              <w:spacing w:after="0"/>
              <w:rPr>
                <w:sz w:val="1"/>
                <w:szCs w:val="1"/>
                <w:color w:val="auto"/>
              </w:rPr>
            </w:pPr>
          </w:p>
        </w:tc>
      </w:tr>
      <w:tr>
        <w:trPr>
          <w:trHeight w:val="189"/>
        </w:trPr>
        <w:tc>
          <w:tcPr>
            <w:tcW w:w="3400" w:type="dxa"/>
            <w:vAlign w:val="bottom"/>
          </w:tcPr>
          <w:p>
            <w:pPr>
              <w:ind w:left="20"/>
              <w:spacing w:after="0"/>
              <w:rPr>
                <w:sz w:val="20"/>
                <w:szCs w:val="20"/>
                <w:color w:val="auto"/>
              </w:rPr>
            </w:pPr>
            <w:r>
              <w:rPr>
                <w:rFonts w:ascii="Arial" w:cs="Arial" w:eastAsia="Arial" w:hAnsi="Arial"/>
                <w:sz w:val="16"/>
                <w:szCs w:val="16"/>
                <w:color w:val="auto"/>
              </w:rPr>
              <w:t>the year in which a CIC occurs.</w:t>
            </w:r>
          </w:p>
        </w:tc>
        <w:tc>
          <w:tcPr>
            <w:tcW w:w="3920" w:type="dxa"/>
            <w:vAlign w:val="bottom"/>
          </w:tcPr>
          <w:p>
            <w:pPr>
              <w:spacing w:after="0"/>
              <w:rPr>
                <w:sz w:val="16"/>
                <w:szCs w:val="16"/>
                <w:color w:val="auto"/>
              </w:rPr>
            </w:pPr>
          </w:p>
        </w:tc>
        <w:tc>
          <w:tcPr>
            <w:tcW w:w="3900" w:type="dxa"/>
            <w:vAlign w:val="bottom"/>
          </w:tcPr>
          <w:p>
            <w:pPr>
              <w:ind w:left="220"/>
              <w:spacing w:after="0"/>
              <w:rPr>
                <w:sz w:val="20"/>
                <w:szCs w:val="20"/>
                <w:color w:val="auto"/>
              </w:rPr>
            </w:pPr>
            <w:r>
              <w:rPr>
                <w:rFonts w:ascii="Arial" w:cs="Arial" w:eastAsia="Arial" w:hAnsi="Arial"/>
                <w:sz w:val="16"/>
                <w:szCs w:val="16"/>
                <w:color w:val="auto"/>
              </w:rPr>
              <w:t>CIC (as defined in the ICP Plan) date, prorated</w:t>
            </w:r>
          </w:p>
        </w:tc>
        <w:tc>
          <w:tcPr>
            <w:tcW w:w="0" w:type="dxa"/>
            <w:vAlign w:val="bottom"/>
          </w:tcPr>
          <w:p>
            <w:pPr>
              <w:spacing w:after="0"/>
              <w:rPr>
                <w:sz w:val="1"/>
                <w:szCs w:val="1"/>
                <w:color w:val="auto"/>
              </w:rPr>
            </w:pPr>
          </w:p>
        </w:tc>
      </w:tr>
      <w:tr>
        <w:trPr>
          <w:trHeight w:val="215"/>
        </w:trPr>
        <w:tc>
          <w:tcPr>
            <w:tcW w:w="34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3900" w:type="dxa"/>
            <w:vAlign w:val="bottom"/>
          </w:tcPr>
          <w:p>
            <w:pPr>
              <w:ind w:left="220"/>
              <w:spacing w:after="0"/>
              <w:rPr>
                <w:sz w:val="20"/>
                <w:szCs w:val="20"/>
                <w:color w:val="auto"/>
              </w:rPr>
            </w:pPr>
            <w:r>
              <w:rPr>
                <w:rFonts w:ascii="Arial" w:cs="Arial" w:eastAsia="Arial" w:hAnsi="Arial"/>
                <w:sz w:val="16"/>
                <w:szCs w:val="16"/>
                <w:color w:val="auto"/>
              </w:rPr>
              <w:t>through the CIC date.</w:t>
            </w:r>
          </w:p>
        </w:tc>
        <w:tc>
          <w:tcPr>
            <w:tcW w:w="0" w:type="dxa"/>
            <w:vAlign w:val="bottom"/>
          </w:tcPr>
          <w:p>
            <w:pPr>
              <w:spacing w:after="0"/>
              <w:rPr>
                <w:sz w:val="1"/>
                <w:szCs w:val="1"/>
                <w:color w:val="auto"/>
              </w:rPr>
            </w:pPr>
          </w:p>
        </w:tc>
      </w:tr>
      <w:tr>
        <w:trPr>
          <w:trHeight w:val="231"/>
        </w:trPr>
        <w:tc>
          <w:tcPr>
            <w:tcW w:w="34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3900" w:type="dxa"/>
            <w:vAlign w:val="bottom"/>
          </w:tcPr>
          <w:p>
            <w:pPr>
              <w:ind w:left="2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Paid in cash at the time ICP awards are typically</w:t>
            </w:r>
          </w:p>
        </w:tc>
        <w:tc>
          <w:tcPr>
            <w:tcW w:w="0" w:type="dxa"/>
            <w:vAlign w:val="bottom"/>
          </w:tcPr>
          <w:p>
            <w:pPr>
              <w:spacing w:after="0"/>
              <w:rPr>
                <w:sz w:val="1"/>
                <w:szCs w:val="1"/>
                <w:color w:val="auto"/>
              </w:rPr>
            </w:pPr>
          </w:p>
        </w:tc>
      </w:tr>
      <w:tr>
        <w:trPr>
          <w:trHeight w:val="189"/>
        </w:trPr>
        <w:tc>
          <w:tcPr>
            <w:tcW w:w="340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3900" w:type="dxa"/>
            <w:vAlign w:val="bottom"/>
          </w:tcPr>
          <w:p>
            <w:pPr>
              <w:ind w:left="220"/>
              <w:spacing w:after="0"/>
              <w:rPr>
                <w:sz w:val="20"/>
                <w:szCs w:val="20"/>
                <w:color w:val="auto"/>
              </w:rPr>
            </w:pPr>
            <w:r>
              <w:rPr>
                <w:rFonts w:ascii="Arial" w:cs="Arial" w:eastAsia="Arial" w:hAnsi="Arial"/>
                <w:sz w:val="16"/>
                <w:szCs w:val="16"/>
                <w:color w:val="auto"/>
              </w:rPr>
              <w:t>paid to Honeywell executives for the year in which</w:t>
            </w:r>
          </w:p>
        </w:tc>
        <w:tc>
          <w:tcPr>
            <w:tcW w:w="0" w:type="dxa"/>
            <w:vAlign w:val="bottom"/>
          </w:tcPr>
          <w:p>
            <w:pPr>
              <w:spacing w:after="0"/>
              <w:rPr>
                <w:sz w:val="1"/>
                <w:szCs w:val="1"/>
                <w:color w:val="auto"/>
              </w:rPr>
            </w:pPr>
          </w:p>
        </w:tc>
      </w:tr>
      <w:tr>
        <w:trPr>
          <w:trHeight w:val="176"/>
        </w:trPr>
        <w:tc>
          <w:tcPr>
            <w:tcW w:w="340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3900" w:type="dxa"/>
            <w:vAlign w:val="bottom"/>
          </w:tcPr>
          <w:p>
            <w:pPr>
              <w:ind w:left="220"/>
              <w:spacing w:after="0" w:line="175" w:lineRule="exact"/>
              <w:rPr>
                <w:sz w:val="20"/>
                <w:szCs w:val="20"/>
                <w:color w:val="auto"/>
              </w:rPr>
            </w:pPr>
            <w:r>
              <w:rPr>
                <w:rFonts w:ascii="Arial" w:cs="Arial" w:eastAsia="Arial" w:hAnsi="Arial"/>
                <w:sz w:val="16"/>
                <w:szCs w:val="16"/>
                <w:color w:val="auto"/>
              </w:rPr>
              <w:t>a CIC occurs, but only if the employee is actively</w:t>
            </w:r>
          </w:p>
        </w:tc>
        <w:tc>
          <w:tcPr>
            <w:tcW w:w="0" w:type="dxa"/>
            <w:vAlign w:val="bottom"/>
          </w:tcPr>
          <w:p>
            <w:pPr>
              <w:spacing w:after="0"/>
              <w:rPr>
                <w:sz w:val="1"/>
                <w:szCs w:val="1"/>
                <w:color w:val="auto"/>
              </w:rPr>
            </w:pPr>
          </w:p>
        </w:tc>
      </w:tr>
      <w:tr>
        <w:trPr>
          <w:trHeight w:val="189"/>
        </w:trPr>
        <w:tc>
          <w:tcPr>
            <w:tcW w:w="340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3900" w:type="dxa"/>
            <w:vAlign w:val="bottom"/>
          </w:tcPr>
          <w:p>
            <w:pPr>
              <w:ind w:left="220"/>
              <w:spacing w:after="0"/>
              <w:rPr>
                <w:sz w:val="20"/>
                <w:szCs w:val="20"/>
                <w:color w:val="auto"/>
              </w:rPr>
            </w:pPr>
            <w:r>
              <w:rPr>
                <w:rFonts w:ascii="Arial" w:cs="Arial" w:eastAsia="Arial" w:hAnsi="Arial"/>
                <w:sz w:val="16"/>
                <w:szCs w:val="16"/>
                <w:color w:val="auto"/>
              </w:rPr>
              <w:t>employed on the payment date, has been</w:t>
            </w:r>
          </w:p>
        </w:tc>
        <w:tc>
          <w:tcPr>
            <w:tcW w:w="0" w:type="dxa"/>
            <w:vAlign w:val="bottom"/>
          </w:tcPr>
          <w:p>
            <w:pPr>
              <w:spacing w:after="0"/>
              <w:rPr>
                <w:sz w:val="1"/>
                <w:szCs w:val="1"/>
                <w:color w:val="auto"/>
              </w:rPr>
            </w:pPr>
          </w:p>
        </w:tc>
      </w:tr>
      <w:tr>
        <w:trPr>
          <w:trHeight w:val="189"/>
        </w:trPr>
        <w:tc>
          <w:tcPr>
            <w:tcW w:w="340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3900" w:type="dxa"/>
            <w:vAlign w:val="bottom"/>
          </w:tcPr>
          <w:p>
            <w:pPr>
              <w:ind w:left="220"/>
              <w:spacing w:after="0"/>
              <w:rPr>
                <w:sz w:val="20"/>
                <w:szCs w:val="20"/>
                <w:color w:val="auto"/>
              </w:rPr>
            </w:pPr>
            <w:r>
              <w:rPr>
                <w:rFonts w:ascii="Arial" w:cs="Arial" w:eastAsia="Arial" w:hAnsi="Arial"/>
                <w:sz w:val="16"/>
                <w:szCs w:val="16"/>
                <w:color w:val="auto"/>
              </w:rPr>
              <w:t>involuntarily terminated other than for cause, or</w:t>
            </w:r>
          </w:p>
        </w:tc>
        <w:tc>
          <w:tcPr>
            <w:tcW w:w="0" w:type="dxa"/>
            <w:vAlign w:val="bottom"/>
          </w:tcPr>
          <w:p>
            <w:pPr>
              <w:spacing w:after="0"/>
              <w:rPr>
                <w:sz w:val="1"/>
                <w:szCs w:val="1"/>
                <w:color w:val="auto"/>
              </w:rPr>
            </w:pPr>
          </w:p>
        </w:tc>
      </w:tr>
      <w:tr>
        <w:trPr>
          <w:trHeight w:val="215"/>
        </w:trPr>
        <w:tc>
          <w:tcPr>
            <w:tcW w:w="34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3900" w:type="dxa"/>
            <w:vAlign w:val="bottom"/>
          </w:tcPr>
          <w:p>
            <w:pPr>
              <w:ind w:left="220"/>
              <w:spacing w:after="0"/>
              <w:rPr>
                <w:sz w:val="20"/>
                <w:szCs w:val="20"/>
                <w:color w:val="auto"/>
              </w:rPr>
            </w:pPr>
            <w:r>
              <w:rPr>
                <w:rFonts w:ascii="Arial" w:cs="Arial" w:eastAsia="Arial" w:hAnsi="Arial"/>
                <w:sz w:val="16"/>
                <w:szCs w:val="16"/>
                <w:color w:val="auto"/>
              </w:rPr>
              <w:t>has terminated employment for good reason.</w:t>
            </w:r>
          </w:p>
        </w:tc>
        <w:tc>
          <w:tcPr>
            <w:tcW w:w="0" w:type="dxa"/>
            <w:vAlign w:val="bottom"/>
          </w:tcPr>
          <w:p>
            <w:pPr>
              <w:spacing w:after="0"/>
              <w:rPr>
                <w:sz w:val="1"/>
                <w:szCs w:val="1"/>
                <w:color w:val="auto"/>
              </w:rPr>
            </w:pPr>
          </w:p>
        </w:tc>
      </w:tr>
      <w:tr>
        <w:trPr>
          <w:trHeight w:val="83"/>
        </w:trPr>
        <w:tc>
          <w:tcPr>
            <w:tcW w:w="3400" w:type="dxa"/>
            <w:vAlign w:val="bottom"/>
            <w:tcBorders>
              <w:bottom w:val="single" w:sz="8" w:color="939598"/>
            </w:tcBorders>
          </w:tcPr>
          <w:p>
            <w:pPr>
              <w:spacing w:after="0"/>
              <w:rPr>
                <w:sz w:val="7"/>
                <w:szCs w:val="7"/>
                <w:color w:val="auto"/>
              </w:rPr>
            </w:pPr>
          </w:p>
        </w:tc>
        <w:tc>
          <w:tcPr>
            <w:tcW w:w="3920" w:type="dxa"/>
            <w:vAlign w:val="bottom"/>
            <w:tcBorders>
              <w:bottom w:val="single" w:sz="8" w:color="939598"/>
            </w:tcBorders>
          </w:tcPr>
          <w:p>
            <w:pPr>
              <w:spacing w:after="0"/>
              <w:rPr>
                <w:sz w:val="7"/>
                <w:szCs w:val="7"/>
                <w:color w:val="auto"/>
              </w:rPr>
            </w:pPr>
          </w:p>
        </w:tc>
        <w:tc>
          <w:tcPr>
            <w:tcW w:w="3900" w:type="dxa"/>
            <w:vAlign w:val="bottom"/>
            <w:tcBorders>
              <w:bottom w:val="single" w:sz="8" w:color="939598"/>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3400" w:type="dxa"/>
            <w:vAlign w:val="bottom"/>
          </w:tcPr>
          <w:p>
            <w:pPr>
              <w:ind w:left="20"/>
              <w:spacing w:after="0"/>
              <w:rPr>
                <w:sz w:val="20"/>
                <w:szCs w:val="20"/>
                <w:color w:val="auto"/>
              </w:rPr>
            </w:pPr>
            <w:r>
              <w:rPr>
                <w:rFonts w:ascii="Arial" w:cs="Arial" w:eastAsia="Arial" w:hAnsi="Arial"/>
                <w:sz w:val="16"/>
                <w:szCs w:val="16"/>
                <w:b w:val="1"/>
                <w:bCs w:val="1"/>
                <w:color w:val="auto"/>
              </w:rPr>
              <w:t>Certain Benefits and Perquisites</w:t>
            </w:r>
          </w:p>
        </w:tc>
        <w:tc>
          <w:tcPr>
            <w:tcW w:w="3920" w:type="dxa"/>
            <w:vAlign w:val="bottom"/>
          </w:tcPr>
          <w:p>
            <w:pPr>
              <w:ind w:left="4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Basic life insurance coverage is continued at</w:t>
            </w:r>
          </w:p>
        </w:tc>
        <w:tc>
          <w:tcPr>
            <w:tcW w:w="3900" w:type="dxa"/>
            <w:vAlign w:val="bottom"/>
          </w:tcPr>
          <w:p>
            <w:pPr>
              <w:ind w:left="2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Basic life insurance coverage is continued at</w:t>
            </w:r>
          </w:p>
        </w:tc>
        <w:tc>
          <w:tcPr>
            <w:tcW w:w="0" w:type="dxa"/>
            <w:vAlign w:val="bottom"/>
          </w:tcPr>
          <w:p>
            <w:pPr>
              <w:spacing w:after="0"/>
              <w:rPr>
                <w:sz w:val="1"/>
                <w:szCs w:val="1"/>
                <w:color w:val="auto"/>
              </w:rPr>
            </w:pPr>
          </w:p>
        </w:tc>
      </w:tr>
      <w:tr>
        <w:trPr>
          <w:trHeight w:val="176"/>
        </w:trPr>
        <w:tc>
          <w:tcPr>
            <w:tcW w:w="3400" w:type="dxa"/>
            <w:vAlign w:val="bottom"/>
          </w:tcPr>
          <w:p>
            <w:pPr>
              <w:ind w:left="20"/>
              <w:spacing w:after="0" w:line="175" w:lineRule="exact"/>
              <w:rPr>
                <w:sz w:val="20"/>
                <w:szCs w:val="20"/>
                <w:color w:val="auto"/>
              </w:rPr>
            </w:pPr>
            <w:r>
              <w:rPr>
                <w:rFonts w:ascii="Arial" w:cs="Arial" w:eastAsia="Arial" w:hAnsi="Arial"/>
                <w:sz w:val="16"/>
                <w:szCs w:val="16"/>
                <w:color w:val="auto"/>
              </w:rPr>
              <w:t>Termination of employment without cause,</w:t>
            </w:r>
          </w:p>
        </w:tc>
        <w:tc>
          <w:tcPr>
            <w:tcW w:w="3920" w:type="dxa"/>
            <w:vAlign w:val="bottom"/>
          </w:tcPr>
          <w:p>
            <w:pPr>
              <w:ind w:left="240"/>
              <w:spacing w:after="0" w:line="175" w:lineRule="exact"/>
              <w:rPr>
                <w:sz w:val="20"/>
                <w:szCs w:val="20"/>
                <w:color w:val="auto"/>
              </w:rPr>
            </w:pPr>
            <w:r>
              <w:rPr>
                <w:rFonts w:ascii="Arial" w:cs="Arial" w:eastAsia="Arial" w:hAnsi="Arial"/>
                <w:sz w:val="16"/>
                <w:szCs w:val="16"/>
                <w:color w:val="auto"/>
              </w:rPr>
              <w:t>Honeywell’s cost for the severance period.</w:t>
            </w:r>
          </w:p>
        </w:tc>
        <w:tc>
          <w:tcPr>
            <w:tcW w:w="3900" w:type="dxa"/>
            <w:vAlign w:val="bottom"/>
          </w:tcPr>
          <w:p>
            <w:pPr>
              <w:ind w:left="220"/>
              <w:spacing w:after="0" w:line="175" w:lineRule="exact"/>
              <w:rPr>
                <w:sz w:val="20"/>
                <w:szCs w:val="20"/>
                <w:color w:val="auto"/>
              </w:rPr>
            </w:pPr>
            <w:r>
              <w:rPr>
                <w:rFonts w:ascii="Arial" w:cs="Arial" w:eastAsia="Arial" w:hAnsi="Arial"/>
                <w:sz w:val="16"/>
                <w:szCs w:val="16"/>
                <w:color w:val="auto"/>
              </w:rPr>
              <w:t>Honeywell’s cost for the severance period.</w:t>
            </w:r>
          </w:p>
        </w:tc>
        <w:tc>
          <w:tcPr>
            <w:tcW w:w="0" w:type="dxa"/>
            <w:vAlign w:val="bottom"/>
          </w:tcPr>
          <w:p>
            <w:pPr>
              <w:spacing w:after="0"/>
              <w:rPr>
                <w:sz w:val="1"/>
                <w:szCs w:val="1"/>
                <w:color w:val="auto"/>
              </w:rPr>
            </w:pPr>
          </w:p>
        </w:tc>
      </w:tr>
      <w:tr>
        <w:trPr>
          <w:trHeight w:val="189"/>
        </w:trPr>
        <w:tc>
          <w:tcPr>
            <w:tcW w:w="3400" w:type="dxa"/>
            <w:vAlign w:val="bottom"/>
          </w:tcPr>
          <w:p>
            <w:pPr>
              <w:ind w:left="20"/>
              <w:spacing w:after="0"/>
              <w:rPr>
                <w:sz w:val="20"/>
                <w:szCs w:val="20"/>
                <w:color w:val="auto"/>
              </w:rPr>
            </w:pPr>
            <w:r>
              <w:rPr>
                <w:rFonts w:ascii="Arial" w:cs="Arial" w:eastAsia="Arial" w:hAnsi="Arial"/>
                <w:sz w:val="16"/>
                <w:szCs w:val="16"/>
                <w:color w:val="auto"/>
              </w:rPr>
              <w:t>CIC, or voluntary termination of employment</w:t>
            </w:r>
          </w:p>
        </w:tc>
        <w:tc>
          <w:tcPr>
            <w:tcW w:w="3920" w:type="dxa"/>
            <w:vAlign w:val="bottom"/>
            <w:vMerge w:val="restart"/>
          </w:tcPr>
          <w:p>
            <w:pPr>
              <w:ind w:left="4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Medical and dental benefits are continued during</w:t>
            </w:r>
          </w:p>
        </w:tc>
        <w:tc>
          <w:tcPr>
            <w:tcW w:w="3900" w:type="dxa"/>
            <w:vAlign w:val="bottom"/>
            <w:vMerge w:val="restart"/>
          </w:tcPr>
          <w:p>
            <w:pPr>
              <w:ind w:left="2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Medical and dental benefits are continued during</w:t>
            </w:r>
          </w:p>
        </w:tc>
        <w:tc>
          <w:tcPr>
            <w:tcW w:w="0" w:type="dxa"/>
            <w:vAlign w:val="bottom"/>
          </w:tcPr>
          <w:p>
            <w:pPr>
              <w:spacing w:after="0"/>
              <w:rPr>
                <w:sz w:val="1"/>
                <w:szCs w:val="1"/>
                <w:color w:val="auto"/>
              </w:rPr>
            </w:pPr>
          </w:p>
        </w:tc>
      </w:tr>
      <w:tr>
        <w:trPr>
          <w:trHeight w:val="81"/>
        </w:trPr>
        <w:tc>
          <w:tcPr>
            <w:tcW w:w="3400" w:type="dxa"/>
            <w:vAlign w:val="bottom"/>
            <w:vMerge w:val="restart"/>
          </w:tcPr>
          <w:p>
            <w:pPr>
              <w:ind w:left="20"/>
              <w:spacing w:after="0"/>
              <w:rPr>
                <w:sz w:val="20"/>
                <w:szCs w:val="20"/>
                <w:color w:val="auto"/>
              </w:rPr>
            </w:pPr>
            <w:r>
              <w:rPr>
                <w:rFonts w:ascii="Arial" w:cs="Arial" w:eastAsia="Arial" w:hAnsi="Arial"/>
                <w:sz w:val="16"/>
                <w:szCs w:val="16"/>
                <w:color w:val="auto"/>
              </w:rPr>
              <w:t>for good reason.</w:t>
            </w:r>
          </w:p>
        </w:tc>
        <w:tc>
          <w:tcPr>
            <w:tcW w:w="3920" w:type="dxa"/>
            <w:vAlign w:val="bottom"/>
            <w:vMerge w:val="continue"/>
          </w:tcPr>
          <w:p>
            <w:pPr>
              <w:spacing w:after="0"/>
              <w:rPr>
                <w:sz w:val="7"/>
                <w:szCs w:val="7"/>
                <w:color w:val="auto"/>
              </w:rPr>
            </w:pPr>
          </w:p>
        </w:tc>
        <w:tc>
          <w:tcPr>
            <w:tcW w:w="3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400" w:type="dxa"/>
            <w:vAlign w:val="bottom"/>
            <w:vMerge w:val="continue"/>
          </w:tcPr>
          <w:p>
            <w:pPr>
              <w:spacing w:after="0"/>
              <w:rPr>
                <w:sz w:val="11"/>
                <w:szCs w:val="11"/>
                <w:color w:val="auto"/>
              </w:rPr>
            </w:pPr>
          </w:p>
        </w:tc>
        <w:tc>
          <w:tcPr>
            <w:tcW w:w="3920" w:type="dxa"/>
            <w:vAlign w:val="bottom"/>
            <w:vMerge w:val="restart"/>
          </w:tcPr>
          <w:p>
            <w:pPr>
              <w:ind w:left="240"/>
              <w:spacing w:after="0" w:line="175" w:lineRule="exact"/>
              <w:rPr>
                <w:sz w:val="20"/>
                <w:szCs w:val="20"/>
                <w:color w:val="auto"/>
              </w:rPr>
            </w:pPr>
            <w:r>
              <w:rPr>
                <w:rFonts w:ascii="Arial" w:cs="Arial" w:eastAsia="Arial" w:hAnsi="Arial"/>
                <w:sz w:val="16"/>
                <w:szCs w:val="16"/>
                <w:color w:val="auto"/>
              </w:rPr>
              <w:t>the severance period at active employee</w:t>
            </w:r>
          </w:p>
        </w:tc>
        <w:tc>
          <w:tcPr>
            <w:tcW w:w="3900" w:type="dxa"/>
            <w:vAlign w:val="bottom"/>
            <w:vMerge w:val="restart"/>
          </w:tcPr>
          <w:p>
            <w:pPr>
              <w:ind w:left="220"/>
              <w:spacing w:after="0" w:line="175" w:lineRule="exact"/>
              <w:rPr>
                <w:sz w:val="20"/>
                <w:szCs w:val="20"/>
                <w:color w:val="auto"/>
              </w:rPr>
            </w:pPr>
            <w:r>
              <w:rPr>
                <w:rFonts w:ascii="Arial" w:cs="Arial" w:eastAsia="Arial" w:hAnsi="Arial"/>
                <w:sz w:val="16"/>
                <w:szCs w:val="16"/>
                <w:color w:val="auto"/>
              </w:rPr>
              <w:t>the severance period at active employee</w:t>
            </w:r>
          </w:p>
        </w:tc>
        <w:tc>
          <w:tcPr>
            <w:tcW w:w="0" w:type="dxa"/>
            <w:vAlign w:val="bottom"/>
          </w:tcPr>
          <w:p>
            <w:pPr>
              <w:spacing w:after="0"/>
              <w:rPr>
                <w:sz w:val="1"/>
                <w:szCs w:val="1"/>
                <w:color w:val="auto"/>
              </w:rPr>
            </w:pPr>
          </w:p>
        </w:tc>
      </w:tr>
      <w:tr>
        <w:trPr>
          <w:trHeight w:val="42"/>
        </w:trPr>
        <w:tc>
          <w:tcPr>
            <w:tcW w:w="3400" w:type="dxa"/>
            <w:vAlign w:val="bottom"/>
          </w:tcPr>
          <w:p>
            <w:pPr>
              <w:spacing w:after="0"/>
              <w:rPr>
                <w:sz w:val="3"/>
                <w:szCs w:val="3"/>
                <w:color w:val="auto"/>
              </w:rPr>
            </w:pPr>
          </w:p>
        </w:tc>
        <w:tc>
          <w:tcPr>
            <w:tcW w:w="3920" w:type="dxa"/>
            <w:vAlign w:val="bottom"/>
            <w:vMerge w:val="continue"/>
          </w:tcPr>
          <w:p>
            <w:pPr>
              <w:spacing w:after="0"/>
              <w:rPr>
                <w:sz w:val="3"/>
                <w:szCs w:val="3"/>
                <w:color w:val="auto"/>
              </w:rPr>
            </w:pPr>
          </w:p>
        </w:tc>
        <w:tc>
          <w:tcPr>
            <w:tcW w:w="39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3400" w:type="dxa"/>
            <w:vAlign w:val="bottom"/>
          </w:tcPr>
          <w:p>
            <w:pPr>
              <w:spacing w:after="0"/>
              <w:rPr>
                <w:sz w:val="18"/>
                <w:szCs w:val="18"/>
                <w:color w:val="auto"/>
              </w:rPr>
            </w:pPr>
          </w:p>
        </w:tc>
        <w:tc>
          <w:tcPr>
            <w:tcW w:w="3920" w:type="dxa"/>
            <w:vAlign w:val="bottom"/>
          </w:tcPr>
          <w:p>
            <w:pPr>
              <w:ind w:left="240"/>
              <w:spacing w:after="0"/>
              <w:rPr>
                <w:sz w:val="20"/>
                <w:szCs w:val="20"/>
                <w:color w:val="auto"/>
              </w:rPr>
            </w:pPr>
            <w:r>
              <w:rPr>
                <w:rFonts w:ascii="Arial" w:cs="Arial" w:eastAsia="Arial" w:hAnsi="Arial"/>
                <w:sz w:val="16"/>
                <w:szCs w:val="16"/>
                <w:color w:val="auto"/>
              </w:rPr>
              <w:t>contribution rates.</w:t>
            </w:r>
          </w:p>
        </w:tc>
        <w:tc>
          <w:tcPr>
            <w:tcW w:w="3900" w:type="dxa"/>
            <w:vAlign w:val="bottom"/>
          </w:tcPr>
          <w:p>
            <w:pPr>
              <w:ind w:left="220"/>
              <w:spacing w:after="0"/>
              <w:rPr>
                <w:sz w:val="20"/>
                <w:szCs w:val="20"/>
                <w:color w:val="auto"/>
              </w:rPr>
            </w:pPr>
            <w:r>
              <w:rPr>
                <w:rFonts w:ascii="Arial" w:cs="Arial" w:eastAsia="Arial" w:hAnsi="Arial"/>
                <w:sz w:val="16"/>
                <w:szCs w:val="16"/>
                <w:color w:val="auto"/>
              </w:rPr>
              <w:t>contribution rates.</w:t>
            </w:r>
          </w:p>
        </w:tc>
        <w:tc>
          <w:tcPr>
            <w:tcW w:w="0" w:type="dxa"/>
            <w:vAlign w:val="bottom"/>
          </w:tcPr>
          <w:p>
            <w:pPr>
              <w:spacing w:after="0"/>
              <w:rPr>
                <w:sz w:val="1"/>
                <w:szCs w:val="1"/>
                <w:color w:val="auto"/>
              </w:rPr>
            </w:pPr>
          </w:p>
        </w:tc>
      </w:tr>
      <w:tr>
        <w:trPr>
          <w:trHeight w:val="83"/>
        </w:trPr>
        <w:tc>
          <w:tcPr>
            <w:tcW w:w="3400" w:type="dxa"/>
            <w:vAlign w:val="bottom"/>
            <w:tcBorders>
              <w:bottom w:val="single" w:sz="8" w:color="939598"/>
            </w:tcBorders>
          </w:tcPr>
          <w:p>
            <w:pPr>
              <w:spacing w:after="0"/>
              <w:rPr>
                <w:sz w:val="7"/>
                <w:szCs w:val="7"/>
                <w:color w:val="auto"/>
              </w:rPr>
            </w:pPr>
          </w:p>
        </w:tc>
        <w:tc>
          <w:tcPr>
            <w:tcW w:w="3920" w:type="dxa"/>
            <w:vAlign w:val="bottom"/>
            <w:tcBorders>
              <w:bottom w:val="single" w:sz="8" w:color="939598"/>
            </w:tcBorders>
          </w:tcPr>
          <w:p>
            <w:pPr>
              <w:spacing w:after="0"/>
              <w:rPr>
                <w:sz w:val="7"/>
                <w:szCs w:val="7"/>
                <w:color w:val="auto"/>
              </w:rPr>
            </w:pPr>
          </w:p>
        </w:tc>
        <w:tc>
          <w:tcPr>
            <w:tcW w:w="3900" w:type="dxa"/>
            <w:vAlign w:val="bottom"/>
            <w:tcBorders>
              <w:bottom w:val="single" w:sz="8" w:color="939598"/>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3400" w:type="dxa"/>
            <w:vAlign w:val="bottom"/>
          </w:tcPr>
          <w:p>
            <w:pPr>
              <w:ind w:left="20"/>
              <w:spacing w:after="0"/>
              <w:rPr>
                <w:sz w:val="20"/>
                <w:szCs w:val="20"/>
                <w:color w:val="auto"/>
              </w:rPr>
            </w:pPr>
            <w:r>
              <w:rPr>
                <w:rFonts w:ascii="Arial" w:cs="Arial" w:eastAsia="Arial" w:hAnsi="Arial"/>
                <w:sz w:val="16"/>
                <w:szCs w:val="16"/>
                <w:b w:val="1"/>
                <w:bCs w:val="1"/>
                <w:color w:val="auto"/>
              </w:rPr>
              <w:t>Other Payments/Benefits</w:t>
            </w:r>
          </w:p>
        </w:tc>
        <w:tc>
          <w:tcPr>
            <w:tcW w:w="3920" w:type="dxa"/>
            <w:vAlign w:val="bottom"/>
          </w:tcPr>
          <w:p>
            <w:pPr>
              <w:ind w:left="4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In the case of involuntary termination by the</w:t>
            </w:r>
          </w:p>
        </w:tc>
        <w:tc>
          <w:tcPr>
            <w:tcW w:w="3900" w:type="dxa"/>
            <w:vAlign w:val="bottom"/>
          </w:tcPr>
          <w:p>
            <w:pPr>
              <w:ind w:left="2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If employment is terminated upon CIC, service</w:t>
            </w:r>
          </w:p>
        </w:tc>
        <w:tc>
          <w:tcPr>
            <w:tcW w:w="0" w:type="dxa"/>
            <w:vAlign w:val="bottom"/>
          </w:tcPr>
          <w:p>
            <w:pPr>
              <w:spacing w:after="0"/>
              <w:rPr>
                <w:sz w:val="1"/>
                <w:szCs w:val="1"/>
                <w:color w:val="auto"/>
              </w:rPr>
            </w:pPr>
          </w:p>
        </w:tc>
      </w:tr>
      <w:tr>
        <w:trPr>
          <w:trHeight w:val="175"/>
        </w:trPr>
        <w:tc>
          <w:tcPr>
            <w:tcW w:w="3400" w:type="dxa"/>
            <w:vAlign w:val="bottom"/>
          </w:tcPr>
          <w:p>
            <w:pPr>
              <w:spacing w:after="0"/>
              <w:rPr>
                <w:sz w:val="15"/>
                <w:szCs w:val="15"/>
                <w:color w:val="auto"/>
              </w:rPr>
            </w:pPr>
          </w:p>
        </w:tc>
        <w:tc>
          <w:tcPr>
            <w:tcW w:w="3920" w:type="dxa"/>
            <w:vAlign w:val="bottom"/>
          </w:tcPr>
          <w:p>
            <w:pPr>
              <w:ind w:left="240"/>
              <w:spacing w:after="0" w:line="175" w:lineRule="exact"/>
              <w:rPr>
                <w:sz w:val="20"/>
                <w:szCs w:val="20"/>
                <w:color w:val="auto"/>
              </w:rPr>
            </w:pPr>
            <w:r>
              <w:rPr>
                <w:rFonts w:ascii="Arial" w:cs="Arial" w:eastAsia="Arial" w:hAnsi="Arial"/>
                <w:sz w:val="16"/>
                <w:szCs w:val="16"/>
                <w:color w:val="auto"/>
              </w:rPr>
              <w:t>Company without cause, service credit for pension</w:t>
            </w:r>
          </w:p>
        </w:tc>
        <w:tc>
          <w:tcPr>
            <w:tcW w:w="3900" w:type="dxa"/>
            <w:vAlign w:val="bottom"/>
          </w:tcPr>
          <w:p>
            <w:pPr>
              <w:ind w:left="220"/>
              <w:spacing w:after="0" w:line="175" w:lineRule="exact"/>
              <w:rPr>
                <w:sz w:val="20"/>
                <w:szCs w:val="20"/>
                <w:color w:val="auto"/>
              </w:rPr>
            </w:pPr>
            <w:r>
              <w:rPr>
                <w:rFonts w:ascii="Arial" w:cs="Arial" w:eastAsia="Arial" w:hAnsi="Arial"/>
                <w:sz w:val="16"/>
                <w:szCs w:val="16"/>
                <w:color w:val="auto"/>
              </w:rPr>
              <w:t>credit for pension purposes during the first 12</w:t>
            </w:r>
          </w:p>
        </w:tc>
        <w:tc>
          <w:tcPr>
            <w:tcW w:w="0" w:type="dxa"/>
            <w:vAlign w:val="bottom"/>
          </w:tcPr>
          <w:p>
            <w:pPr>
              <w:spacing w:after="0"/>
              <w:rPr>
                <w:sz w:val="1"/>
                <w:szCs w:val="1"/>
                <w:color w:val="auto"/>
              </w:rPr>
            </w:pPr>
          </w:p>
        </w:tc>
      </w:tr>
      <w:tr>
        <w:trPr>
          <w:trHeight w:val="189"/>
        </w:trPr>
        <w:tc>
          <w:tcPr>
            <w:tcW w:w="3400" w:type="dxa"/>
            <w:vAlign w:val="bottom"/>
          </w:tcPr>
          <w:p>
            <w:pPr>
              <w:spacing w:after="0"/>
              <w:rPr>
                <w:sz w:val="16"/>
                <w:szCs w:val="16"/>
                <w:color w:val="auto"/>
              </w:rPr>
            </w:pPr>
          </w:p>
        </w:tc>
        <w:tc>
          <w:tcPr>
            <w:tcW w:w="3920" w:type="dxa"/>
            <w:vAlign w:val="bottom"/>
          </w:tcPr>
          <w:p>
            <w:pPr>
              <w:ind w:left="240"/>
              <w:spacing w:after="0"/>
              <w:rPr>
                <w:sz w:val="20"/>
                <w:szCs w:val="20"/>
                <w:color w:val="auto"/>
              </w:rPr>
            </w:pPr>
            <w:r>
              <w:rPr>
                <w:rFonts w:ascii="Arial" w:cs="Arial" w:eastAsia="Arial" w:hAnsi="Arial"/>
                <w:sz w:val="16"/>
                <w:szCs w:val="16"/>
                <w:color w:val="auto"/>
              </w:rPr>
              <w:t>is provided during the first 12 months of the</w:t>
            </w:r>
          </w:p>
        </w:tc>
        <w:tc>
          <w:tcPr>
            <w:tcW w:w="3900" w:type="dxa"/>
            <w:vAlign w:val="bottom"/>
          </w:tcPr>
          <w:p>
            <w:pPr>
              <w:ind w:left="220"/>
              <w:spacing w:after="0"/>
              <w:rPr>
                <w:sz w:val="20"/>
                <w:szCs w:val="20"/>
                <w:color w:val="auto"/>
              </w:rPr>
            </w:pPr>
            <w:r>
              <w:rPr>
                <w:rFonts w:ascii="Arial" w:cs="Arial" w:eastAsia="Arial" w:hAnsi="Arial"/>
                <w:sz w:val="16"/>
                <w:szCs w:val="16"/>
                <w:color w:val="auto"/>
              </w:rPr>
              <w:t>months of the severance period.</w:t>
            </w:r>
          </w:p>
        </w:tc>
        <w:tc>
          <w:tcPr>
            <w:tcW w:w="0" w:type="dxa"/>
            <w:vAlign w:val="bottom"/>
          </w:tcPr>
          <w:p>
            <w:pPr>
              <w:spacing w:after="0"/>
              <w:rPr>
                <w:sz w:val="1"/>
                <w:szCs w:val="1"/>
                <w:color w:val="auto"/>
              </w:rPr>
            </w:pPr>
          </w:p>
        </w:tc>
      </w:tr>
      <w:tr>
        <w:trPr>
          <w:trHeight w:val="215"/>
        </w:trPr>
        <w:tc>
          <w:tcPr>
            <w:tcW w:w="3400" w:type="dxa"/>
            <w:vAlign w:val="bottom"/>
          </w:tcPr>
          <w:p>
            <w:pPr>
              <w:spacing w:after="0"/>
              <w:rPr>
                <w:sz w:val="18"/>
                <w:szCs w:val="18"/>
                <w:color w:val="auto"/>
              </w:rPr>
            </w:pPr>
          </w:p>
        </w:tc>
        <w:tc>
          <w:tcPr>
            <w:tcW w:w="3920" w:type="dxa"/>
            <w:vAlign w:val="bottom"/>
          </w:tcPr>
          <w:p>
            <w:pPr>
              <w:ind w:left="240"/>
              <w:spacing w:after="0"/>
              <w:rPr>
                <w:sz w:val="20"/>
                <w:szCs w:val="20"/>
                <w:color w:val="auto"/>
              </w:rPr>
            </w:pPr>
            <w:r>
              <w:rPr>
                <w:rFonts w:ascii="Arial" w:cs="Arial" w:eastAsia="Arial" w:hAnsi="Arial"/>
                <w:sz w:val="16"/>
                <w:szCs w:val="16"/>
                <w:color w:val="auto"/>
              </w:rPr>
              <w:t>severance period.</w:t>
            </w:r>
          </w:p>
        </w:tc>
        <w:tc>
          <w:tcPr>
            <w:tcW w:w="3900" w:type="dxa"/>
            <w:vAlign w:val="bottom"/>
            <w:vMerge w:val="restart"/>
          </w:tcPr>
          <w:p>
            <w:pPr>
              <w:ind w:left="2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If employment is terminated upon CIC,</w:t>
            </w:r>
          </w:p>
        </w:tc>
        <w:tc>
          <w:tcPr>
            <w:tcW w:w="0" w:type="dxa"/>
            <w:vAlign w:val="bottom"/>
          </w:tcPr>
          <w:p>
            <w:pPr>
              <w:spacing w:after="0"/>
              <w:rPr>
                <w:sz w:val="1"/>
                <w:szCs w:val="1"/>
                <w:color w:val="auto"/>
              </w:rPr>
            </w:pPr>
          </w:p>
        </w:tc>
      </w:tr>
      <w:tr>
        <w:trPr>
          <w:trHeight w:val="42"/>
        </w:trPr>
        <w:tc>
          <w:tcPr>
            <w:tcW w:w="3400" w:type="dxa"/>
            <w:vAlign w:val="bottom"/>
          </w:tcPr>
          <w:p>
            <w:pPr>
              <w:spacing w:after="0"/>
              <w:rPr>
                <w:sz w:val="3"/>
                <w:szCs w:val="3"/>
                <w:color w:val="auto"/>
              </w:rPr>
            </w:pPr>
          </w:p>
        </w:tc>
        <w:tc>
          <w:tcPr>
            <w:tcW w:w="3920" w:type="dxa"/>
            <w:vAlign w:val="bottom"/>
            <w:vMerge w:val="restart"/>
          </w:tcPr>
          <w:p>
            <w:pPr>
              <w:ind w:left="4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Upon death or disability, Performance Plan cash</w:t>
            </w:r>
          </w:p>
        </w:tc>
        <w:tc>
          <w:tcPr>
            <w:tcW w:w="39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3400" w:type="dxa"/>
            <w:vAlign w:val="bottom"/>
          </w:tcPr>
          <w:p>
            <w:pPr>
              <w:spacing w:after="0"/>
              <w:rPr>
                <w:sz w:val="16"/>
                <w:szCs w:val="16"/>
                <w:color w:val="auto"/>
              </w:rPr>
            </w:pPr>
          </w:p>
        </w:tc>
        <w:tc>
          <w:tcPr>
            <w:tcW w:w="3920" w:type="dxa"/>
            <w:vAlign w:val="bottom"/>
            <w:vMerge w:val="continue"/>
          </w:tcPr>
          <w:p>
            <w:pPr>
              <w:spacing w:after="0"/>
              <w:rPr>
                <w:sz w:val="16"/>
                <w:szCs w:val="16"/>
                <w:color w:val="auto"/>
              </w:rPr>
            </w:pPr>
          </w:p>
        </w:tc>
        <w:tc>
          <w:tcPr>
            <w:tcW w:w="3900" w:type="dxa"/>
            <w:vAlign w:val="bottom"/>
          </w:tcPr>
          <w:p>
            <w:pPr>
              <w:ind w:left="220"/>
              <w:spacing w:after="0"/>
              <w:rPr>
                <w:sz w:val="20"/>
                <w:szCs w:val="20"/>
                <w:color w:val="auto"/>
              </w:rPr>
            </w:pPr>
            <w:r>
              <w:rPr>
                <w:rFonts w:ascii="Arial" w:cs="Arial" w:eastAsia="Arial" w:hAnsi="Arial"/>
                <w:sz w:val="16"/>
                <w:szCs w:val="16"/>
                <w:color w:val="auto"/>
              </w:rPr>
              <w:t>Performance Plan cash units are paid on a pro rata</w:t>
            </w:r>
          </w:p>
        </w:tc>
        <w:tc>
          <w:tcPr>
            <w:tcW w:w="0" w:type="dxa"/>
            <w:vAlign w:val="bottom"/>
          </w:tcPr>
          <w:p>
            <w:pPr>
              <w:spacing w:after="0"/>
              <w:rPr>
                <w:sz w:val="1"/>
                <w:szCs w:val="1"/>
                <w:color w:val="auto"/>
              </w:rPr>
            </w:pPr>
          </w:p>
        </w:tc>
      </w:tr>
      <w:tr>
        <w:trPr>
          <w:trHeight w:val="189"/>
        </w:trPr>
        <w:tc>
          <w:tcPr>
            <w:tcW w:w="3400" w:type="dxa"/>
            <w:vAlign w:val="bottom"/>
          </w:tcPr>
          <w:p>
            <w:pPr>
              <w:spacing w:after="0"/>
              <w:rPr>
                <w:sz w:val="16"/>
                <w:szCs w:val="16"/>
                <w:color w:val="auto"/>
              </w:rPr>
            </w:pPr>
          </w:p>
        </w:tc>
        <w:tc>
          <w:tcPr>
            <w:tcW w:w="3920" w:type="dxa"/>
            <w:vAlign w:val="bottom"/>
          </w:tcPr>
          <w:p>
            <w:pPr>
              <w:ind w:left="240"/>
              <w:spacing w:after="0"/>
              <w:rPr>
                <w:sz w:val="20"/>
                <w:szCs w:val="20"/>
                <w:color w:val="auto"/>
              </w:rPr>
            </w:pPr>
            <w:r>
              <w:rPr>
                <w:rFonts w:ascii="Arial" w:cs="Arial" w:eastAsia="Arial" w:hAnsi="Arial"/>
                <w:sz w:val="16"/>
                <w:szCs w:val="16"/>
                <w:color w:val="auto"/>
              </w:rPr>
              <w:t>units are paid on a pro rata basis at target for</w:t>
            </w:r>
          </w:p>
        </w:tc>
        <w:tc>
          <w:tcPr>
            <w:tcW w:w="3900" w:type="dxa"/>
            <w:vAlign w:val="bottom"/>
          </w:tcPr>
          <w:p>
            <w:pPr>
              <w:ind w:left="220"/>
              <w:spacing w:after="0"/>
              <w:rPr>
                <w:sz w:val="20"/>
                <w:szCs w:val="20"/>
                <w:color w:val="auto"/>
              </w:rPr>
            </w:pPr>
            <w:r>
              <w:rPr>
                <w:rFonts w:ascii="Arial" w:cs="Arial" w:eastAsia="Arial" w:hAnsi="Arial"/>
                <w:sz w:val="16"/>
                <w:szCs w:val="16"/>
                <w:color w:val="auto"/>
              </w:rPr>
              <w:t>basis at target for incomplete performance periods,</w:t>
            </w:r>
          </w:p>
        </w:tc>
        <w:tc>
          <w:tcPr>
            <w:tcW w:w="0" w:type="dxa"/>
            <w:vAlign w:val="bottom"/>
          </w:tcPr>
          <w:p>
            <w:pPr>
              <w:spacing w:after="0"/>
              <w:rPr>
                <w:sz w:val="1"/>
                <w:szCs w:val="1"/>
                <w:color w:val="auto"/>
              </w:rPr>
            </w:pPr>
          </w:p>
        </w:tc>
      </w:tr>
      <w:tr>
        <w:trPr>
          <w:trHeight w:val="189"/>
        </w:trPr>
        <w:tc>
          <w:tcPr>
            <w:tcW w:w="3400" w:type="dxa"/>
            <w:vAlign w:val="bottom"/>
          </w:tcPr>
          <w:p>
            <w:pPr>
              <w:spacing w:after="0"/>
              <w:rPr>
                <w:sz w:val="16"/>
                <w:szCs w:val="16"/>
                <w:color w:val="auto"/>
              </w:rPr>
            </w:pPr>
          </w:p>
        </w:tc>
        <w:tc>
          <w:tcPr>
            <w:tcW w:w="3920" w:type="dxa"/>
            <w:vAlign w:val="bottom"/>
          </w:tcPr>
          <w:p>
            <w:pPr>
              <w:ind w:left="240"/>
              <w:spacing w:after="0"/>
              <w:rPr>
                <w:sz w:val="20"/>
                <w:szCs w:val="20"/>
                <w:color w:val="auto"/>
              </w:rPr>
            </w:pPr>
            <w:r>
              <w:rPr>
                <w:rFonts w:ascii="Arial" w:cs="Arial" w:eastAsia="Arial" w:hAnsi="Arial"/>
                <w:sz w:val="16"/>
                <w:szCs w:val="16"/>
                <w:color w:val="auto"/>
              </w:rPr>
              <w:t>incomplete performance periods, and based on the</w:t>
            </w:r>
          </w:p>
        </w:tc>
        <w:tc>
          <w:tcPr>
            <w:tcW w:w="3900" w:type="dxa"/>
            <w:vAlign w:val="bottom"/>
          </w:tcPr>
          <w:p>
            <w:pPr>
              <w:ind w:left="220"/>
              <w:spacing w:after="0"/>
              <w:rPr>
                <w:sz w:val="20"/>
                <w:szCs w:val="20"/>
                <w:color w:val="auto"/>
              </w:rPr>
            </w:pPr>
            <w:r>
              <w:rPr>
                <w:rFonts w:ascii="Arial" w:cs="Arial" w:eastAsia="Arial" w:hAnsi="Arial"/>
                <w:sz w:val="16"/>
                <w:szCs w:val="16"/>
                <w:color w:val="auto"/>
              </w:rPr>
              <w:t>and based on the actual earned award for</w:t>
            </w:r>
          </w:p>
        </w:tc>
        <w:tc>
          <w:tcPr>
            <w:tcW w:w="0" w:type="dxa"/>
            <w:vAlign w:val="bottom"/>
          </w:tcPr>
          <w:p>
            <w:pPr>
              <w:spacing w:after="0"/>
              <w:rPr>
                <w:sz w:val="1"/>
                <w:szCs w:val="1"/>
                <w:color w:val="auto"/>
              </w:rPr>
            </w:pPr>
          </w:p>
        </w:tc>
      </w:tr>
      <w:tr>
        <w:trPr>
          <w:trHeight w:val="175"/>
        </w:trPr>
        <w:tc>
          <w:tcPr>
            <w:tcW w:w="3400" w:type="dxa"/>
            <w:vAlign w:val="bottom"/>
          </w:tcPr>
          <w:p>
            <w:pPr>
              <w:spacing w:after="0"/>
              <w:rPr>
                <w:sz w:val="15"/>
                <w:szCs w:val="15"/>
                <w:color w:val="auto"/>
              </w:rPr>
            </w:pPr>
          </w:p>
        </w:tc>
        <w:tc>
          <w:tcPr>
            <w:tcW w:w="3920" w:type="dxa"/>
            <w:vAlign w:val="bottom"/>
          </w:tcPr>
          <w:p>
            <w:pPr>
              <w:ind w:left="240"/>
              <w:spacing w:after="0" w:line="175" w:lineRule="exact"/>
              <w:rPr>
                <w:sz w:val="20"/>
                <w:szCs w:val="20"/>
                <w:color w:val="auto"/>
              </w:rPr>
            </w:pPr>
            <w:r>
              <w:rPr>
                <w:rFonts w:ascii="Arial" w:cs="Arial" w:eastAsia="Arial" w:hAnsi="Arial"/>
                <w:sz w:val="16"/>
                <w:szCs w:val="16"/>
                <w:color w:val="auto"/>
              </w:rPr>
              <w:t>actual earned award for completed performance</w:t>
            </w:r>
          </w:p>
        </w:tc>
        <w:tc>
          <w:tcPr>
            <w:tcW w:w="3900" w:type="dxa"/>
            <w:vAlign w:val="bottom"/>
          </w:tcPr>
          <w:p>
            <w:pPr>
              <w:ind w:left="220"/>
              <w:spacing w:after="0" w:line="175" w:lineRule="exact"/>
              <w:rPr>
                <w:sz w:val="20"/>
                <w:szCs w:val="20"/>
                <w:color w:val="auto"/>
              </w:rPr>
            </w:pPr>
            <w:r>
              <w:rPr>
                <w:rFonts w:ascii="Arial" w:cs="Arial" w:eastAsia="Arial" w:hAnsi="Arial"/>
                <w:sz w:val="16"/>
                <w:szCs w:val="16"/>
                <w:color w:val="auto"/>
              </w:rPr>
              <w:t>completed performance cycles (Messrs.</w:t>
            </w:r>
          </w:p>
        </w:tc>
        <w:tc>
          <w:tcPr>
            <w:tcW w:w="0" w:type="dxa"/>
            <w:vAlign w:val="bottom"/>
          </w:tcPr>
          <w:p>
            <w:pPr>
              <w:spacing w:after="0"/>
              <w:rPr>
                <w:sz w:val="1"/>
                <w:szCs w:val="1"/>
                <w:color w:val="auto"/>
              </w:rPr>
            </w:pPr>
          </w:p>
        </w:tc>
      </w:tr>
      <w:tr>
        <w:trPr>
          <w:trHeight w:val="215"/>
        </w:trPr>
        <w:tc>
          <w:tcPr>
            <w:tcW w:w="3400" w:type="dxa"/>
            <w:vAlign w:val="bottom"/>
          </w:tcPr>
          <w:p>
            <w:pPr>
              <w:spacing w:after="0"/>
              <w:rPr>
                <w:sz w:val="18"/>
                <w:szCs w:val="18"/>
                <w:color w:val="auto"/>
              </w:rPr>
            </w:pPr>
          </w:p>
        </w:tc>
        <w:tc>
          <w:tcPr>
            <w:tcW w:w="3920" w:type="dxa"/>
            <w:vAlign w:val="bottom"/>
          </w:tcPr>
          <w:p>
            <w:pPr>
              <w:ind w:left="240"/>
              <w:spacing w:after="0"/>
              <w:rPr>
                <w:sz w:val="20"/>
                <w:szCs w:val="20"/>
                <w:color w:val="auto"/>
              </w:rPr>
            </w:pPr>
            <w:r>
              <w:rPr>
                <w:rFonts w:ascii="Arial" w:cs="Arial" w:eastAsia="Arial" w:hAnsi="Arial"/>
                <w:sz w:val="16"/>
                <w:szCs w:val="16"/>
                <w:color w:val="auto"/>
              </w:rPr>
              <w:t>cycles (Messrs. Stepniak, Currier and Hammoud).</w:t>
            </w:r>
          </w:p>
        </w:tc>
        <w:tc>
          <w:tcPr>
            <w:tcW w:w="3900" w:type="dxa"/>
            <w:vAlign w:val="bottom"/>
          </w:tcPr>
          <w:p>
            <w:pPr>
              <w:ind w:left="220"/>
              <w:spacing w:after="0"/>
              <w:rPr>
                <w:sz w:val="20"/>
                <w:szCs w:val="20"/>
                <w:color w:val="auto"/>
              </w:rPr>
            </w:pPr>
            <w:r>
              <w:rPr>
                <w:rFonts w:ascii="Arial" w:cs="Arial" w:eastAsia="Arial" w:hAnsi="Arial"/>
                <w:sz w:val="16"/>
                <w:szCs w:val="16"/>
                <w:color w:val="auto"/>
              </w:rPr>
              <w:t>Stepniak, Currier and Hammoud).</w:t>
            </w:r>
          </w:p>
        </w:tc>
        <w:tc>
          <w:tcPr>
            <w:tcW w:w="0" w:type="dxa"/>
            <w:vAlign w:val="bottom"/>
          </w:tcPr>
          <w:p>
            <w:pPr>
              <w:spacing w:after="0"/>
              <w:rPr>
                <w:sz w:val="1"/>
                <w:szCs w:val="1"/>
                <w:color w:val="auto"/>
              </w:rPr>
            </w:pPr>
          </w:p>
        </w:tc>
      </w:tr>
      <w:tr>
        <w:trPr>
          <w:trHeight w:val="96"/>
        </w:trPr>
        <w:tc>
          <w:tcPr>
            <w:tcW w:w="3400" w:type="dxa"/>
            <w:vAlign w:val="bottom"/>
            <w:tcBorders>
              <w:bottom w:val="single" w:sz="8" w:color="D7282F"/>
            </w:tcBorders>
          </w:tcPr>
          <w:p>
            <w:pPr>
              <w:spacing w:after="0"/>
              <w:rPr>
                <w:sz w:val="8"/>
                <w:szCs w:val="8"/>
                <w:color w:val="auto"/>
              </w:rPr>
            </w:pPr>
          </w:p>
        </w:tc>
        <w:tc>
          <w:tcPr>
            <w:tcW w:w="3920" w:type="dxa"/>
            <w:vAlign w:val="bottom"/>
            <w:tcBorders>
              <w:bottom w:val="single" w:sz="8" w:color="D7282F"/>
            </w:tcBorders>
          </w:tcPr>
          <w:p>
            <w:pPr>
              <w:spacing w:after="0"/>
              <w:rPr>
                <w:sz w:val="8"/>
                <w:szCs w:val="8"/>
                <w:color w:val="auto"/>
              </w:rPr>
            </w:pPr>
          </w:p>
        </w:tc>
        <w:tc>
          <w:tcPr>
            <w:tcW w:w="3900" w:type="dxa"/>
            <w:vAlign w:val="bottom"/>
            <w:tcBorders>
              <w:bottom w:val="single" w:sz="8" w:color="D7282F"/>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D7282F"/>
        </w:rPr>
        <w:t>NO EXCISE TAX GROSS-UPS</w:t>
      </w:r>
    </w:p>
    <w:p>
      <w:pPr>
        <w:spacing w:after="0" w:line="112" w:lineRule="exact"/>
        <w:rPr>
          <w:sz w:val="20"/>
          <w:szCs w:val="20"/>
          <w:color w:val="auto"/>
        </w:rPr>
      </w:pPr>
    </w:p>
    <w:p>
      <w:pPr>
        <w:ind w:right="620"/>
        <w:spacing w:after="0" w:line="268" w:lineRule="auto"/>
        <w:rPr>
          <w:sz w:val="20"/>
          <w:szCs w:val="20"/>
          <w:color w:val="auto"/>
        </w:rPr>
      </w:pPr>
      <w:r>
        <w:rPr>
          <w:rFonts w:ascii="Arial" w:cs="Arial" w:eastAsia="Arial" w:hAnsi="Arial"/>
          <w:sz w:val="16"/>
          <w:szCs w:val="16"/>
          <w:color w:val="auto"/>
        </w:rPr>
        <w:t>U.S. tax laws may impose an excise tax on employees who receive benefits in connection with a CIC in certain circumstances and subject to certain conditions. The Company does not provide for excise tax gross-ups.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D7282F"/>
        </w:rPr>
        <w:t>IMPACT ON EQUITY-BASED AWARDS</w:t>
      </w:r>
    </w:p>
    <w:p>
      <w:pPr>
        <w:spacing w:after="0" w:line="99"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This section describes the impact of a termination of employment or a CIC on outstanding stock options, RSUs, and Performance Plan Stock Units (PSUs) held by our NEOs. Additional information about these awards is included in the Outstanding Equity Awards Table on page 91 of this Proxy Statement.</w:t>
      </w:r>
    </w:p>
    <w:p>
      <w:pPr>
        <w:spacing w:after="0" w:line="218" w:lineRule="exact"/>
        <w:rPr>
          <w:sz w:val="20"/>
          <w:szCs w:val="20"/>
          <w:color w:val="auto"/>
        </w:rPr>
      </w:pPr>
    </w:p>
    <w:p>
      <w:pPr>
        <w:ind w:left="20"/>
        <w:spacing w:after="0"/>
        <w:tabs>
          <w:tab w:leader="none" w:pos="1860" w:val="left"/>
        </w:tabs>
        <w:rPr>
          <w:sz w:val="20"/>
          <w:szCs w:val="20"/>
          <w:color w:val="auto"/>
        </w:rPr>
      </w:pPr>
      <w:r>
        <w:rPr>
          <w:rFonts w:ascii="Arial" w:cs="Arial" w:eastAsia="Arial" w:hAnsi="Arial"/>
          <w:sz w:val="18"/>
          <w:szCs w:val="18"/>
          <w:b w:val="1"/>
          <w:bCs w:val="1"/>
          <w:color w:val="auto"/>
        </w:rPr>
        <w:t xml:space="preserve">100  </w:t>
      </w:r>
      <w:r>
        <w:rPr>
          <w:sz w:val="1"/>
          <w:szCs w:val="1"/>
          <w:color w:val="auto"/>
        </w:rPr>
        <w:drawing>
          <wp:inline distT="0" distB="0" distL="0" distR="0">
            <wp:extent cx="548640" cy="102870"/>
            <wp:effectExtent l="0" t="0" r="0" b="0"/>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2026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157720" cy="425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type w:val="continuous"/>
        </w:sectPr>
      </w:pPr>
    </w:p>
    <w:bookmarkStart w:id="114" w:name="page115"/>
    <w:bookmarkEnd w:id="114"/>
    <w:p>
      <w:pPr>
        <w:jc w:val="right"/>
        <w:spacing w:after="0"/>
        <w:rPr>
          <w:sz w:val="20"/>
          <w:szCs w:val="20"/>
          <w:color w:val="auto"/>
        </w:rPr>
      </w:pPr>
      <w:r>
        <w:rPr>
          <w:rFonts w:ascii="Arial" w:cs="Arial" w:eastAsia="Arial" w:hAnsi="Arial"/>
          <w:sz w:val="13"/>
          <w:szCs w:val="13"/>
          <w:b w:val="1"/>
          <w:bCs w:val="1"/>
          <w:color w:val="6D6E71"/>
        </w:rPr>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The table below shows the values of in-the-money outstanding unvested stock options, RSUs, and PSUs</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held by our NEOs as of December 31, 2025, based on the closing price of a share of common stock ($195.09) as reported on the Nasdaq on that date. These awards are scheduled to vest and to expire on various dates in the future. As described below, the vesting of these awards will be accelerated upon death, disability, or a qualifying termination of employment following a CIC. Equity awards do not automatically vest upon a CIC to the extent assumed or replaced by the successor in the transaction. In addition, stock options will remain outstanding for different periods depending on the circumstances. The value to an NEO of these provisions depends on the vesting period and remaining terms of the awards.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900" w:type="dxa"/>
            <w:vAlign w:val="bottom"/>
          </w:tcPr>
          <w:p>
            <w:pPr>
              <w:spacing w:after="0"/>
              <w:rPr>
                <w:sz w:val="15"/>
                <w:szCs w:val="15"/>
                <w:color w:val="auto"/>
              </w:rPr>
            </w:pPr>
          </w:p>
        </w:tc>
        <w:tc>
          <w:tcPr>
            <w:tcW w:w="3280" w:type="dxa"/>
            <w:vAlign w:val="bottom"/>
            <w:gridSpan w:val="3"/>
          </w:tcPr>
          <w:p>
            <w:pPr>
              <w:jc w:val="right"/>
              <w:spacing w:after="0"/>
              <w:rPr>
                <w:sz w:val="20"/>
                <w:szCs w:val="20"/>
                <w:color w:val="auto"/>
              </w:rPr>
            </w:pPr>
            <w:r>
              <w:rPr>
                <w:rFonts w:ascii="Arial" w:cs="Arial" w:eastAsia="Arial" w:hAnsi="Arial"/>
                <w:sz w:val="14"/>
                <w:szCs w:val="14"/>
                <w:b w:val="1"/>
                <w:bCs w:val="1"/>
                <w:color w:val="auto"/>
              </w:rPr>
              <w:t>Death, Disability, and Termination</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900" w:type="dxa"/>
            <w:vAlign w:val="bottom"/>
          </w:tcPr>
          <w:p>
            <w:pPr>
              <w:spacing w:after="0"/>
              <w:rPr>
                <w:sz w:val="17"/>
                <w:szCs w:val="17"/>
                <w:color w:val="auto"/>
              </w:rPr>
            </w:pPr>
          </w:p>
        </w:tc>
        <w:tc>
          <w:tcPr>
            <w:tcW w:w="1500" w:type="dxa"/>
            <w:vAlign w:val="bottom"/>
            <w:tcBorders>
              <w:bottom w:val="single" w:sz="8" w:color="D7282F"/>
            </w:tcBorders>
          </w:tcPr>
          <w:p>
            <w:pPr>
              <w:spacing w:after="0"/>
              <w:rPr>
                <w:sz w:val="17"/>
                <w:szCs w:val="17"/>
                <w:color w:val="auto"/>
              </w:rPr>
            </w:pPr>
          </w:p>
        </w:tc>
        <w:tc>
          <w:tcPr>
            <w:tcW w:w="1380" w:type="dxa"/>
            <w:vAlign w:val="bottom"/>
            <w:tcBorders>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following CIC</w:t>
            </w:r>
          </w:p>
        </w:tc>
        <w:tc>
          <w:tcPr>
            <w:tcW w:w="40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2640" w:type="dxa"/>
            <w:vAlign w:val="bottom"/>
            <w:tcBorders>
              <w:bottom w:val="single" w:sz="8" w:color="D7282F"/>
            </w:tcBorders>
            <w:gridSpan w:val="2"/>
          </w:tcPr>
          <w:p>
            <w:pPr>
              <w:jc w:val="right"/>
              <w:ind w:right="268"/>
              <w:spacing w:after="0"/>
              <w:rPr>
                <w:sz w:val="20"/>
                <w:szCs w:val="20"/>
                <w:color w:val="auto"/>
              </w:rPr>
            </w:pPr>
            <w:r>
              <w:rPr>
                <w:rFonts w:ascii="Arial" w:cs="Arial" w:eastAsia="Arial" w:hAnsi="Arial"/>
                <w:sz w:val="14"/>
                <w:szCs w:val="14"/>
                <w:b w:val="1"/>
                <w:bCs w:val="1"/>
                <w:color w:val="auto"/>
              </w:rPr>
              <w:t xml:space="preserve">Retirement </w:t>
            </w:r>
            <w:r>
              <w:rPr>
                <w:rFonts w:ascii="Arial" w:cs="Arial" w:eastAsia="Arial" w:hAnsi="Arial"/>
                <w:sz w:val="9"/>
                <w:szCs w:val="9"/>
                <w:b w:val="1"/>
                <w:bCs w:val="1"/>
                <w:color w:val="auto"/>
              </w:rPr>
              <w:t>(2)</w:t>
            </w:r>
          </w:p>
        </w:tc>
        <w:tc>
          <w:tcPr>
            <w:tcW w:w="30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900" w:type="dxa"/>
            <w:vAlign w:val="bottom"/>
          </w:tcPr>
          <w:p>
            <w:pPr>
              <w:spacing w:after="0"/>
              <w:rPr>
                <w:sz w:val="16"/>
                <w:szCs w:val="16"/>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b w:val="1"/>
                <w:bCs w:val="1"/>
                <w:color w:val="auto"/>
              </w:rPr>
              <w:t>In-the-Money</w:t>
            </w:r>
          </w:p>
        </w:tc>
        <w:tc>
          <w:tcPr>
            <w:tcW w:w="1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900" w:type="dxa"/>
            <w:vAlign w:val="bottom"/>
          </w:tcPr>
          <w:p>
            <w:pPr>
              <w:spacing w:after="0"/>
              <w:rPr>
                <w:sz w:val="15"/>
                <w:szCs w:val="15"/>
                <w:color w:val="auto"/>
              </w:rPr>
            </w:pPr>
          </w:p>
        </w:tc>
        <w:tc>
          <w:tcPr>
            <w:tcW w:w="1500" w:type="dxa"/>
            <w:vAlign w:val="bottom"/>
          </w:tcPr>
          <w:p>
            <w:pPr>
              <w:jc w:val="right"/>
              <w:ind w:right="68"/>
              <w:spacing w:after="0"/>
              <w:rPr>
                <w:sz w:val="20"/>
                <w:szCs w:val="20"/>
                <w:color w:val="auto"/>
              </w:rPr>
            </w:pPr>
            <w:r>
              <w:rPr>
                <w:rFonts w:ascii="Arial" w:cs="Arial" w:eastAsia="Arial" w:hAnsi="Arial"/>
                <w:sz w:val="14"/>
                <w:szCs w:val="14"/>
                <w:b w:val="1"/>
                <w:bCs w:val="1"/>
                <w:color w:val="auto"/>
              </w:rPr>
              <w:t>Value of</w:t>
            </w:r>
          </w:p>
        </w:tc>
        <w:tc>
          <w:tcPr>
            <w:tcW w:w="13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Unvested</w:t>
            </w:r>
          </w:p>
        </w:tc>
        <w:tc>
          <w:tcPr>
            <w:tcW w:w="400" w:type="dxa"/>
            <w:vAlign w:val="bottom"/>
          </w:tcPr>
          <w:p>
            <w:pPr>
              <w:spacing w:after="0"/>
              <w:rPr>
                <w:sz w:val="15"/>
                <w:szCs w:val="15"/>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Unvested</w:t>
            </w:r>
          </w:p>
        </w:tc>
        <w:tc>
          <w:tcPr>
            <w:tcW w:w="140" w:type="dxa"/>
            <w:vAlign w:val="bottom"/>
          </w:tcPr>
          <w:p>
            <w:pPr>
              <w:spacing w:after="0"/>
              <w:rPr>
                <w:sz w:val="15"/>
                <w:szCs w:val="15"/>
                <w:color w:val="auto"/>
              </w:rPr>
            </w:pPr>
          </w:p>
        </w:tc>
        <w:tc>
          <w:tcPr>
            <w:tcW w:w="17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In-the-Money Value of</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Unvested</w:t>
            </w:r>
          </w:p>
        </w:tc>
        <w:tc>
          <w:tcPr>
            <w:tcW w:w="3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Unvested</w:t>
            </w:r>
          </w:p>
        </w:tc>
        <w:tc>
          <w:tcPr>
            <w:tcW w:w="0" w:type="dxa"/>
            <w:vAlign w:val="bottom"/>
          </w:tcPr>
          <w:p>
            <w:pPr>
              <w:spacing w:after="0"/>
              <w:rPr>
                <w:sz w:val="1"/>
                <w:szCs w:val="1"/>
                <w:color w:val="auto"/>
              </w:rPr>
            </w:pPr>
          </w:p>
        </w:tc>
      </w:tr>
      <w:tr>
        <w:trPr>
          <w:trHeight w:val="160"/>
        </w:trPr>
        <w:tc>
          <w:tcPr>
            <w:tcW w:w="2900" w:type="dxa"/>
            <w:vAlign w:val="bottom"/>
          </w:tcPr>
          <w:p>
            <w:pPr>
              <w:spacing w:after="0"/>
              <w:rPr>
                <w:sz w:val="13"/>
                <w:szCs w:val="13"/>
                <w:color w:val="auto"/>
              </w:rPr>
            </w:pPr>
          </w:p>
        </w:tc>
        <w:tc>
          <w:tcPr>
            <w:tcW w:w="1500" w:type="dxa"/>
            <w:vAlign w:val="bottom"/>
          </w:tcPr>
          <w:p>
            <w:pPr>
              <w:jc w:val="right"/>
              <w:ind w:right="68"/>
              <w:spacing w:after="0" w:line="159" w:lineRule="exact"/>
              <w:rPr>
                <w:sz w:val="20"/>
                <w:szCs w:val="20"/>
                <w:color w:val="auto"/>
              </w:rPr>
            </w:pPr>
            <w:r>
              <w:rPr>
                <w:rFonts w:ascii="Arial" w:cs="Arial" w:eastAsia="Arial" w:hAnsi="Arial"/>
                <w:sz w:val="14"/>
                <w:szCs w:val="14"/>
                <w:b w:val="1"/>
                <w:bCs w:val="1"/>
                <w:color w:val="auto"/>
              </w:rPr>
              <w:t>Unvested</w:t>
            </w:r>
          </w:p>
        </w:tc>
        <w:tc>
          <w:tcPr>
            <w:tcW w:w="138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29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Named Executive Officer</w:t>
            </w:r>
          </w:p>
        </w:tc>
        <w:tc>
          <w:tcPr>
            <w:tcW w:w="150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Stock Options</w:t>
            </w:r>
          </w:p>
        </w:tc>
        <w:tc>
          <w:tcPr>
            <w:tcW w:w="13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RSUs</w:t>
            </w:r>
          </w:p>
        </w:tc>
        <w:tc>
          <w:tcPr>
            <w:tcW w:w="400" w:type="dxa"/>
            <w:vAlign w:val="bottom"/>
            <w:tcBorders>
              <w:bottom w:val="single" w:sz="8" w:color="D7282F"/>
            </w:tcBorders>
          </w:tcPr>
          <w:p>
            <w:pPr>
              <w:spacing w:after="0"/>
              <w:rPr>
                <w:sz w:val="18"/>
                <w:szCs w:val="18"/>
                <w:color w:val="auto"/>
              </w:rPr>
            </w:pPr>
          </w:p>
        </w:tc>
        <w:tc>
          <w:tcPr>
            <w:tcW w:w="1060" w:type="dxa"/>
            <w:vAlign w:val="bottom"/>
            <w:tcBorders>
              <w:bottom w:val="single" w:sz="8" w:color="D7282F"/>
            </w:tcBorders>
            <w:gridSpan w:val="2"/>
          </w:tcPr>
          <w:p>
            <w:pPr>
              <w:jc w:val="right"/>
              <w:ind w:right="220"/>
              <w:spacing w:after="0"/>
              <w:rPr>
                <w:sz w:val="20"/>
                <w:szCs w:val="20"/>
                <w:color w:val="auto"/>
              </w:rPr>
            </w:pPr>
            <w:r>
              <w:rPr>
                <w:rFonts w:ascii="Arial" w:cs="Arial" w:eastAsia="Arial" w:hAnsi="Arial"/>
                <w:sz w:val="14"/>
                <w:szCs w:val="14"/>
                <w:b w:val="1"/>
                <w:bCs w:val="1"/>
                <w:color w:val="auto"/>
              </w:rPr>
              <w:t>PSUs</w:t>
            </w:r>
            <w:r>
              <w:rPr>
                <w:rFonts w:ascii="Arial" w:cs="Arial" w:eastAsia="Arial" w:hAnsi="Arial"/>
                <w:sz w:val="18"/>
                <w:szCs w:val="18"/>
                <w:b w:val="1"/>
                <w:bCs w:val="1"/>
                <w:color w:val="auto"/>
                <w:vertAlign w:val="superscript"/>
              </w:rPr>
              <w:t>(1)</w:t>
            </w:r>
          </w:p>
        </w:tc>
        <w:tc>
          <w:tcPr>
            <w:tcW w:w="1920" w:type="dxa"/>
            <w:vAlign w:val="bottom"/>
            <w:tcBorders>
              <w:bottom w:val="single" w:sz="8" w:color="D7282F"/>
            </w:tcBorders>
            <w:gridSpan w:val="2"/>
          </w:tcPr>
          <w:p>
            <w:pPr>
              <w:jc w:val="right"/>
              <w:ind w:right="188"/>
              <w:spacing w:after="0"/>
              <w:rPr>
                <w:sz w:val="20"/>
                <w:szCs w:val="20"/>
                <w:color w:val="auto"/>
              </w:rPr>
            </w:pPr>
            <w:r>
              <w:rPr>
                <w:rFonts w:ascii="Arial" w:cs="Arial" w:eastAsia="Arial" w:hAnsi="Arial"/>
                <w:sz w:val="14"/>
                <w:szCs w:val="14"/>
                <w:b w:val="1"/>
                <w:bCs w:val="1"/>
                <w:color w:val="auto"/>
              </w:rPr>
              <w:t>Unvested Stock Option</w:t>
            </w:r>
          </w:p>
        </w:tc>
        <w:tc>
          <w:tcPr>
            <w:tcW w:w="8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RSUs</w:t>
            </w:r>
          </w:p>
        </w:tc>
        <w:tc>
          <w:tcPr>
            <w:tcW w:w="300" w:type="dxa"/>
            <w:vAlign w:val="bottom"/>
            <w:tcBorders>
              <w:bottom w:val="single" w:sz="8" w:color="D7282F"/>
            </w:tcBorders>
          </w:tcPr>
          <w:p>
            <w:pPr>
              <w:spacing w:after="0"/>
              <w:rPr>
                <w:sz w:val="18"/>
                <w:szCs w:val="18"/>
                <w:color w:val="auto"/>
              </w:rPr>
            </w:pP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PSUs</w:t>
            </w:r>
          </w:p>
        </w:tc>
        <w:tc>
          <w:tcPr>
            <w:tcW w:w="0" w:type="dxa"/>
            <w:vAlign w:val="bottom"/>
          </w:tcPr>
          <w:p>
            <w:pPr>
              <w:spacing w:after="0"/>
              <w:rPr>
                <w:sz w:val="1"/>
                <w:szCs w:val="1"/>
                <w:color w:val="auto"/>
              </w:rPr>
            </w:pPr>
          </w:p>
        </w:tc>
      </w:tr>
      <w:tr>
        <w:trPr>
          <w:trHeight w:val="316"/>
        </w:trPr>
        <w:tc>
          <w:tcPr>
            <w:tcW w:w="2900" w:type="dxa"/>
            <w:vAlign w:val="bottom"/>
          </w:tcPr>
          <w:p>
            <w:pPr>
              <w:ind w:left="20"/>
              <w:spacing w:after="0"/>
              <w:rPr>
                <w:sz w:val="20"/>
                <w:szCs w:val="20"/>
                <w:color w:val="auto"/>
              </w:rPr>
            </w:pPr>
            <w:r>
              <w:rPr>
                <w:rFonts w:ascii="Arial" w:cs="Arial" w:eastAsia="Arial" w:hAnsi="Arial"/>
                <w:sz w:val="14"/>
                <w:szCs w:val="14"/>
                <w:b w:val="1"/>
                <w:bCs w:val="1"/>
                <w:color w:val="auto"/>
              </w:rPr>
              <w:t>Mr. Kapur</w:t>
            </w:r>
          </w:p>
        </w:tc>
        <w:tc>
          <w:tcPr>
            <w:tcW w:w="1500" w:type="dxa"/>
            <w:vAlign w:val="bottom"/>
          </w:tcPr>
          <w:p>
            <w:pPr>
              <w:jc w:val="right"/>
              <w:ind w:right="88"/>
              <w:spacing w:after="0"/>
              <w:rPr>
                <w:sz w:val="20"/>
                <w:szCs w:val="20"/>
                <w:color w:val="auto"/>
              </w:rPr>
            </w:pPr>
            <w:r>
              <w:rPr>
                <w:rFonts w:ascii="Arial" w:cs="Arial" w:eastAsia="Arial" w:hAnsi="Arial"/>
                <w:sz w:val="14"/>
                <w:szCs w:val="14"/>
                <w:color w:val="auto"/>
              </w:rPr>
              <w:t>$   1,089,338</w:t>
            </w: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   10,003,062</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10,599,745</w:t>
            </w: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780" w:type="dxa"/>
            <w:vAlign w:val="bottom"/>
          </w:tcPr>
          <w:p>
            <w:pPr>
              <w:ind w:left="1320"/>
              <w:spacing w:after="0"/>
              <w:rPr>
                <w:sz w:val="20"/>
                <w:szCs w:val="20"/>
                <w:color w:val="auto"/>
              </w:rPr>
            </w:pPr>
            <w:r>
              <w:rPr>
                <w:rFonts w:ascii="Arial" w:cs="Arial" w:eastAsia="Arial" w:hAnsi="Arial"/>
                <w:sz w:val="14"/>
                <w:szCs w:val="14"/>
                <w:color w:val="auto"/>
              </w:rPr>
              <w:t>— $</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781,967</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2,404,778</w:t>
            </w:r>
          </w:p>
        </w:tc>
        <w:tc>
          <w:tcPr>
            <w:tcW w:w="0" w:type="dxa"/>
            <w:vAlign w:val="bottom"/>
          </w:tcPr>
          <w:p>
            <w:pPr>
              <w:spacing w:after="0"/>
              <w:rPr>
                <w:sz w:val="1"/>
                <w:szCs w:val="1"/>
                <w:color w:val="auto"/>
              </w:rPr>
            </w:pPr>
          </w:p>
        </w:tc>
      </w:tr>
      <w:tr>
        <w:trPr>
          <w:trHeight w:val="123"/>
        </w:trPr>
        <w:tc>
          <w:tcPr>
            <w:tcW w:w="2900" w:type="dxa"/>
            <w:vAlign w:val="bottom"/>
            <w:tcBorders>
              <w:bottom w:val="single" w:sz="8" w:color="939598"/>
            </w:tcBorders>
          </w:tcPr>
          <w:p>
            <w:pPr>
              <w:spacing w:after="0"/>
              <w:rPr>
                <w:sz w:val="10"/>
                <w:szCs w:val="10"/>
                <w:color w:val="auto"/>
              </w:rPr>
            </w:pPr>
          </w:p>
        </w:tc>
        <w:tc>
          <w:tcPr>
            <w:tcW w:w="1500" w:type="dxa"/>
            <w:vAlign w:val="bottom"/>
            <w:tcBorders>
              <w:bottom w:val="single" w:sz="8" w:color="939598"/>
            </w:tcBorders>
          </w:tcPr>
          <w:p>
            <w:pPr>
              <w:spacing w:after="0"/>
              <w:rPr>
                <w:sz w:val="10"/>
                <w:szCs w:val="10"/>
                <w:color w:val="auto"/>
              </w:rPr>
            </w:pPr>
          </w:p>
        </w:tc>
        <w:tc>
          <w:tcPr>
            <w:tcW w:w="138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spacing w:after="0"/>
              <w:rPr>
                <w:sz w:val="10"/>
                <w:szCs w:val="10"/>
                <w:color w:val="auto"/>
              </w:rPr>
            </w:pPr>
          </w:p>
        </w:tc>
        <w:tc>
          <w:tcPr>
            <w:tcW w:w="840" w:type="dxa"/>
            <w:vAlign w:val="bottom"/>
            <w:tcBorders>
              <w:bottom w:val="single" w:sz="8" w:color="939598"/>
            </w:tcBorders>
          </w:tcPr>
          <w:p>
            <w:pPr>
              <w:spacing w:after="0"/>
              <w:rPr>
                <w:sz w:val="10"/>
                <w:szCs w:val="10"/>
                <w:color w:val="auto"/>
              </w:rPr>
            </w:pPr>
          </w:p>
        </w:tc>
        <w:tc>
          <w:tcPr>
            <w:tcW w:w="220" w:type="dxa"/>
            <w:vAlign w:val="bottom"/>
            <w:tcBorders>
              <w:bottom w:val="single" w:sz="8" w:color="939598"/>
            </w:tcBorders>
          </w:tcPr>
          <w:p>
            <w:pPr>
              <w:spacing w:after="0"/>
              <w:rPr>
                <w:sz w:val="10"/>
                <w:szCs w:val="10"/>
                <w:color w:val="auto"/>
              </w:rPr>
            </w:pPr>
          </w:p>
        </w:tc>
        <w:tc>
          <w:tcPr>
            <w:tcW w:w="140" w:type="dxa"/>
            <w:vAlign w:val="bottom"/>
            <w:tcBorders>
              <w:bottom w:val="single" w:sz="8" w:color="939598"/>
            </w:tcBorders>
          </w:tcPr>
          <w:p>
            <w:pPr>
              <w:spacing w:after="0"/>
              <w:rPr>
                <w:sz w:val="10"/>
                <w:szCs w:val="10"/>
                <w:color w:val="auto"/>
              </w:rPr>
            </w:pPr>
          </w:p>
        </w:tc>
        <w:tc>
          <w:tcPr>
            <w:tcW w:w="1780" w:type="dxa"/>
            <w:vAlign w:val="bottom"/>
            <w:tcBorders>
              <w:bottom w:val="single" w:sz="8" w:color="939598"/>
            </w:tcBorders>
          </w:tcPr>
          <w:p>
            <w:pPr>
              <w:spacing w:after="0"/>
              <w:rPr>
                <w:sz w:val="10"/>
                <w:szCs w:val="10"/>
                <w:color w:val="auto"/>
              </w:rPr>
            </w:pPr>
          </w:p>
        </w:tc>
        <w:tc>
          <w:tcPr>
            <w:tcW w:w="860" w:type="dxa"/>
            <w:vAlign w:val="bottom"/>
            <w:tcBorders>
              <w:bottom w:val="single" w:sz="8" w:color="939598"/>
            </w:tcBorders>
          </w:tcPr>
          <w:p>
            <w:pPr>
              <w:spacing w:after="0"/>
              <w:rPr>
                <w:sz w:val="10"/>
                <w:szCs w:val="10"/>
                <w:color w:val="auto"/>
              </w:rPr>
            </w:pPr>
          </w:p>
        </w:tc>
        <w:tc>
          <w:tcPr>
            <w:tcW w:w="300" w:type="dxa"/>
            <w:vAlign w:val="bottom"/>
            <w:tcBorders>
              <w:bottom w:val="single" w:sz="8" w:color="939598"/>
            </w:tcBorders>
          </w:tcPr>
          <w:p>
            <w:pPr>
              <w:spacing w:after="0"/>
              <w:rPr>
                <w:sz w:val="10"/>
                <w:szCs w:val="10"/>
                <w:color w:val="auto"/>
              </w:rPr>
            </w:pPr>
          </w:p>
        </w:tc>
        <w:tc>
          <w:tcPr>
            <w:tcW w:w="90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315"/>
        </w:trPr>
        <w:tc>
          <w:tcPr>
            <w:tcW w:w="2900" w:type="dxa"/>
            <w:vAlign w:val="bottom"/>
          </w:tcPr>
          <w:p>
            <w:pPr>
              <w:ind w:left="20"/>
              <w:spacing w:after="0"/>
              <w:rPr>
                <w:sz w:val="20"/>
                <w:szCs w:val="20"/>
                <w:color w:val="auto"/>
              </w:rPr>
            </w:pPr>
            <w:r>
              <w:rPr>
                <w:rFonts w:ascii="Arial" w:cs="Arial" w:eastAsia="Arial" w:hAnsi="Arial"/>
                <w:sz w:val="14"/>
                <w:szCs w:val="14"/>
                <w:b w:val="1"/>
                <w:bCs w:val="1"/>
                <w:color w:val="auto"/>
              </w:rPr>
              <w:t>Mr. Stepniak</w:t>
            </w:r>
          </w:p>
        </w:tc>
        <w:tc>
          <w:tcPr>
            <w:tcW w:w="1500" w:type="dxa"/>
            <w:vAlign w:val="bottom"/>
          </w:tcPr>
          <w:p>
            <w:pPr>
              <w:jc w:val="right"/>
              <w:ind w:right="88"/>
              <w:spacing w:after="0"/>
              <w:rPr>
                <w:sz w:val="20"/>
                <w:szCs w:val="20"/>
                <w:color w:val="auto"/>
              </w:rPr>
            </w:pPr>
            <w:r>
              <w:rPr>
                <w:rFonts w:ascii="Arial" w:cs="Arial" w:eastAsia="Arial" w:hAnsi="Arial"/>
                <w:sz w:val="14"/>
                <w:szCs w:val="14"/>
                <w:color w:val="auto"/>
              </w:rPr>
              <w:t>109,550</w:t>
            </w: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2,399,650</w:t>
            </w: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631,017</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tcPr>
          <w:p>
            <w:pPr>
              <w:ind w:left="13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4"/>
        </w:trPr>
        <w:tc>
          <w:tcPr>
            <w:tcW w:w="2900" w:type="dxa"/>
            <w:vAlign w:val="bottom"/>
            <w:tcBorders>
              <w:bottom w:val="single" w:sz="8" w:color="939598"/>
            </w:tcBorders>
          </w:tcPr>
          <w:p>
            <w:pPr>
              <w:spacing w:after="0"/>
              <w:rPr>
                <w:sz w:val="10"/>
                <w:szCs w:val="10"/>
                <w:color w:val="auto"/>
              </w:rPr>
            </w:pPr>
          </w:p>
        </w:tc>
        <w:tc>
          <w:tcPr>
            <w:tcW w:w="1500" w:type="dxa"/>
            <w:vAlign w:val="bottom"/>
            <w:tcBorders>
              <w:bottom w:val="single" w:sz="8" w:color="939598"/>
            </w:tcBorders>
          </w:tcPr>
          <w:p>
            <w:pPr>
              <w:spacing w:after="0"/>
              <w:rPr>
                <w:sz w:val="10"/>
                <w:szCs w:val="10"/>
                <w:color w:val="auto"/>
              </w:rPr>
            </w:pPr>
          </w:p>
        </w:tc>
        <w:tc>
          <w:tcPr>
            <w:tcW w:w="138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spacing w:after="0"/>
              <w:rPr>
                <w:sz w:val="10"/>
                <w:szCs w:val="10"/>
                <w:color w:val="auto"/>
              </w:rPr>
            </w:pPr>
          </w:p>
        </w:tc>
        <w:tc>
          <w:tcPr>
            <w:tcW w:w="840" w:type="dxa"/>
            <w:vAlign w:val="bottom"/>
            <w:tcBorders>
              <w:bottom w:val="single" w:sz="8" w:color="939598"/>
            </w:tcBorders>
          </w:tcPr>
          <w:p>
            <w:pPr>
              <w:spacing w:after="0"/>
              <w:rPr>
                <w:sz w:val="10"/>
                <w:szCs w:val="10"/>
                <w:color w:val="auto"/>
              </w:rPr>
            </w:pPr>
          </w:p>
        </w:tc>
        <w:tc>
          <w:tcPr>
            <w:tcW w:w="220" w:type="dxa"/>
            <w:vAlign w:val="bottom"/>
            <w:tcBorders>
              <w:bottom w:val="single" w:sz="8" w:color="939598"/>
            </w:tcBorders>
          </w:tcPr>
          <w:p>
            <w:pPr>
              <w:spacing w:after="0"/>
              <w:rPr>
                <w:sz w:val="10"/>
                <w:szCs w:val="10"/>
                <w:color w:val="auto"/>
              </w:rPr>
            </w:pPr>
          </w:p>
        </w:tc>
        <w:tc>
          <w:tcPr>
            <w:tcW w:w="140" w:type="dxa"/>
            <w:vAlign w:val="bottom"/>
            <w:tcBorders>
              <w:bottom w:val="single" w:sz="8" w:color="939598"/>
            </w:tcBorders>
          </w:tcPr>
          <w:p>
            <w:pPr>
              <w:spacing w:after="0"/>
              <w:rPr>
                <w:sz w:val="10"/>
                <w:szCs w:val="10"/>
                <w:color w:val="auto"/>
              </w:rPr>
            </w:pPr>
          </w:p>
        </w:tc>
        <w:tc>
          <w:tcPr>
            <w:tcW w:w="1780" w:type="dxa"/>
            <w:vAlign w:val="bottom"/>
            <w:tcBorders>
              <w:bottom w:val="single" w:sz="8" w:color="939598"/>
            </w:tcBorders>
          </w:tcPr>
          <w:p>
            <w:pPr>
              <w:spacing w:after="0"/>
              <w:rPr>
                <w:sz w:val="10"/>
                <w:szCs w:val="10"/>
                <w:color w:val="auto"/>
              </w:rPr>
            </w:pPr>
          </w:p>
        </w:tc>
        <w:tc>
          <w:tcPr>
            <w:tcW w:w="860" w:type="dxa"/>
            <w:vAlign w:val="bottom"/>
            <w:tcBorders>
              <w:bottom w:val="single" w:sz="8" w:color="939598"/>
            </w:tcBorders>
          </w:tcPr>
          <w:p>
            <w:pPr>
              <w:spacing w:after="0"/>
              <w:rPr>
                <w:sz w:val="10"/>
                <w:szCs w:val="10"/>
                <w:color w:val="auto"/>
              </w:rPr>
            </w:pPr>
          </w:p>
        </w:tc>
        <w:tc>
          <w:tcPr>
            <w:tcW w:w="300" w:type="dxa"/>
            <w:vAlign w:val="bottom"/>
            <w:tcBorders>
              <w:bottom w:val="single" w:sz="8" w:color="939598"/>
            </w:tcBorders>
          </w:tcPr>
          <w:p>
            <w:pPr>
              <w:spacing w:after="0"/>
              <w:rPr>
                <w:sz w:val="10"/>
                <w:szCs w:val="10"/>
                <w:color w:val="auto"/>
              </w:rPr>
            </w:pPr>
          </w:p>
        </w:tc>
        <w:tc>
          <w:tcPr>
            <w:tcW w:w="90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315"/>
        </w:trPr>
        <w:tc>
          <w:tcPr>
            <w:tcW w:w="2900" w:type="dxa"/>
            <w:vAlign w:val="bottom"/>
          </w:tcPr>
          <w:p>
            <w:pPr>
              <w:ind w:left="20"/>
              <w:spacing w:after="0"/>
              <w:rPr>
                <w:sz w:val="20"/>
                <w:szCs w:val="20"/>
                <w:color w:val="auto"/>
              </w:rPr>
            </w:pPr>
            <w:r>
              <w:rPr>
                <w:rFonts w:ascii="Arial" w:cs="Arial" w:eastAsia="Arial" w:hAnsi="Arial"/>
                <w:sz w:val="14"/>
                <w:szCs w:val="14"/>
                <w:b w:val="1"/>
                <w:bCs w:val="1"/>
                <w:color w:val="auto"/>
              </w:rPr>
              <w:t>Mr. Currier</w:t>
            </w:r>
          </w:p>
        </w:tc>
        <w:tc>
          <w:tcPr>
            <w:tcW w:w="1500" w:type="dxa"/>
            <w:vAlign w:val="bottom"/>
          </w:tcPr>
          <w:p>
            <w:pPr>
              <w:jc w:val="right"/>
              <w:ind w:right="88"/>
              <w:spacing w:after="0"/>
              <w:rPr>
                <w:sz w:val="20"/>
                <w:szCs w:val="20"/>
                <w:color w:val="auto"/>
              </w:rPr>
            </w:pPr>
            <w:r>
              <w:rPr>
                <w:rFonts w:ascii="Arial" w:cs="Arial" w:eastAsia="Arial" w:hAnsi="Arial"/>
                <w:sz w:val="14"/>
                <w:szCs w:val="14"/>
                <w:color w:val="auto"/>
              </w:rPr>
              <w:t>297,219</w:t>
            </w: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3,012,240</w:t>
            </w: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3,275,982</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tcPr>
          <w:p>
            <w:pPr>
              <w:ind w:left="13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213,699</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168,271</w:t>
            </w:r>
          </w:p>
        </w:tc>
        <w:tc>
          <w:tcPr>
            <w:tcW w:w="0" w:type="dxa"/>
            <w:vAlign w:val="bottom"/>
          </w:tcPr>
          <w:p>
            <w:pPr>
              <w:spacing w:after="0"/>
              <w:rPr>
                <w:sz w:val="1"/>
                <w:szCs w:val="1"/>
                <w:color w:val="auto"/>
              </w:rPr>
            </w:pPr>
          </w:p>
        </w:tc>
      </w:tr>
      <w:tr>
        <w:trPr>
          <w:trHeight w:val="124"/>
        </w:trPr>
        <w:tc>
          <w:tcPr>
            <w:tcW w:w="2900" w:type="dxa"/>
            <w:vAlign w:val="bottom"/>
            <w:tcBorders>
              <w:bottom w:val="single" w:sz="8" w:color="939598"/>
            </w:tcBorders>
          </w:tcPr>
          <w:p>
            <w:pPr>
              <w:spacing w:after="0"/>
              <w:rPr>
                <w:sz w:val="10"/>
                <w:szCs w:val="10"/>
                <w:color w:val="auto"/>
              </w:rPr>
            </w:pPr>
          </w:p>
        </w:tc>
        <w:tc>
          <w:tcPr>
            <w:tcW w:w="1500" w:type="dxa"/>
            <w:vAlign w:val="bottom"/>
            <w:tcBorders>
              <w:bottom w:val="single" w:sz="8" w:color="939598"/>
            </w:tcBorders>
          </w:tcPr>
          <w:p>
            <w:pPr>
              <w:spacing w:after="0"/>
              <w:rPr>
                <w:sz w:val="10"/>
                <w:szCs w:val="10"/>
                <w:color w:val="auto"/>
              </w:rPr>
            </w:pPr>
          </w:p>
        </w:tc>
        <w:tc>
          <w:tcPr>
            <w:tcW w:w="138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spacing w:after="0"/>
              <w:rPr>
                <w:sz w:val="10"/>
                <w:szCs w:val="10"/>
                <w:color w:val="auto"/>
              </w:rPr>
            </w:pPr>
          </w:p>
        </w:tc>
        <w:tc>
          <w:tcPr>
            <w:tcW w:w="840" w:type="dxa"/>
            <w:vAlign w:val="bottom"/>
            <w:tcBorders>
              <w:bottom w:val="single" w:sz="8" w:color="939598"/>
            </w:tcBorders>
          </w:tcPr>
          <w:p>
            <w:pPr>
              <w:spacing w:after="0"/>
              <w:rPr>
                <w:sz w:val="10"/>
                <w:szCs w:val="10"/>
                <w:color w:val="auto"/>
              </w:rPr>
            </w:pPr>
          </w:p>
        </w:tc>
        <w:tc>
          <w:tcPr>
            <w:tcW w:w="220" w:type="dxa"/>
            <w:vAlign w:val="bottom"/>
            <w:tcBorders>
              <w:bottom w:val="single" w:sz="8" w:color="939598"/>
            </w:tcBorders>
          </w:tcPr>
          <w:p>
            <w:pPr>
              <w:spacing w:after="0"/>
              <w:rPr>
                <w:sz w:val="10"/>
                <w:szCs w:val="10"/>
                <w:color w:val="auto"/>
              </w:rPr>
            </w:pPr>
          </w:p>
        </w:tc>
        <w:tc>
          <w:tcPr>
            <w:tcW w:w="140" w:type="dxa"/>
            <w:vAlign w:val="bottom"/>
            <w:tcBorders>
              <w:bottom w:val="single" w:sz="8" w:color="939598"/>
            </w:tcBorders>
          </w:tcPr>
          <w:p>
            <w:pPr>
              <w:spacing w:after="0"/>
              <w:rPr>
                <w:sz w:val="10"/>
                <w:szCs w:val="10"/>
                <w:color w:val="auto"/>
              </w:rPr>
            </w:pPr>
          </w:p>
        </w:tc>
        <w:tc>
          <w:tcPr>
            <w:tcW w:w="1780" w:type="dxa"/>
            <w:vAlign w:val="bottom"/>
            <w:tcBorders>
              <w:bottom w:val="single" w:sz="8" w:color="939598"/>
            </w:tcBorders>
          </w:tcPr>
          <w:p>
            <w:pPr>
              <w:spacing w:after="0"/>
              <w:rPr>
                <w:sz w:val="10"/>
                <w:szCs w:val="10"/>
                <w:color w:val="auto"/>
              </w:rPr>
            </w:pPr>
          </w:p>
        </w:tc>
        <w:tc>
          <w:tcPr>
            <w:tcW w:w="860" w:type="dxa"/>
            <w:vAlign w:val="bottom"/>
            <w:tcBorders>
              <w:bottom w:val="single" w:sz="8" w:color="939598"/>
            </w:tcBorders>
          </w:tcPr>
          <w:p>
            <w:pPr>
              <w:spacing w:after="0"/>
              <w:rPr>
                <w:sz w:val="10"/>
                <w:szCs w:val="10"/>
                <w:color w:val="auto"/>
              </w:rPr>
            </w:pPr>
          </w:p>
        </w:tc>
        <w:tc>
          <w:tcPr>
            <w:tcW w:w="300" w:type="dxa"/>
            <w:vAlign w:val="bottom"/>
            <w:tcBorders>
              <w:bottom w:val="single" w:sz="8" w:color="939598"/>
            </w:tcBorders>
          </w:tcPr>
          <w:p>
            <w:pPr>
              <w:spacing w:after="0"/>
              <w:rPr>
                <w:sz w:val="10"/>
                <w:szCs w:val="10"/>
                <w:color w:val="auto"/>
              </w:rPr>
            </w:pPr>
          </w:p>
        </w:tc>
        <w:tc>
          <w:tcPr>
            <w:tcW w:w="90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315"/>
        </w:trPr>
        <w:tc>
          <w:tcPr>
            <w:tcW w:w="2900" w:type="dxa"/>
            <w:vAlign w:val="bottom"/>
          </w:tcPr>
          <w:p>
            <w:pPr>
              <w:ind w:left="20"/>
              <w:spacing w:after="0"/>
              <w:rPr>
                <w:sz w:val="20"/>
                <w:szCs w:val="20"/>
                <w:color w:val="auto"/>
              </w:rPr>
            </w:pPr>
            <w:r>
              <w:rPr>
                <w:rFonts w:ascii="Arial" w:cs="Arial" w:eastAsia="Arial" w:hAnsi="Arial"/>
                <w:sz w:val="14"/>
                <w:szCs w:val="14"/>
                <w:b w:val="1"/>
                <w:bCs w:val="1"/>
                <w:color w:val="auto"/>
              </w:rPr>
              <w:t>Mr. Masso</w:t>
            </w:r>
          </w:p>
        </w:tc>
        <w:tc>
          <w:tcPr>
            <w:tcW w:w="15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2,594,714</w:t>
            </w: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254,163</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tcPr>
          <w:p>
            <w:pPr>
              <w:ind w:left="13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3"/>
        </w:trPr>
        <w:tc>
          <w:tcPr>
            <w:tcW w:w="2900" w:type="dxa"/>
            <w:vAlign w:val="bottom"/>
            <w:tcBorders>
              <w:bottom w:val="single" w:sz="8" w:color="939598"/>
            </w:tcBorders>
          </w:tcPr>
          <w:p>
            <w:pPr>
              <w:spacing w:after="0"/>
              <w:rPr>
                <w:sz w:val="10"/>
                <w:szCs w:val="10"/>
                <w:color w:val="auto"/>
              </w:rPr>
            </w:pPr>
          </w:p>
        </w:tc>
        <w:tc>
          <w:tcPr>
            <w:tcW w:w="1500" w:type="dxa"/>
            <w:vAlign w:val="bottom"/>
            <w:tcBorders>
              <w:bottom w:val="single" w:sz="8" w:color="939598"/>
            </w:tcBorders>
          </w:tcPr>
          <w:p>
            <w:pPr>
              <w:spacing w:after="0"/>
              <w:rPr>
                <w:sz w:val="10"/>
                <w:szCs w:val="10"/>
                <w:color w:val="auto"/>
              </w:rPr>
            </w:pPr>
          </w:p>
        </w:tc>
        <w:tc>
          <w:tcPr>
            <w:tcW w:w="138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spacing w:after="0"/>
              <w:rPr>
                <w:sz w:val="10"/>
                <w:szCs w:val="10"/>
                <w:color w:val="auto"/>
              </w:rPr>
            </w:pPr>
          </w:p>
        </w:tc>
        <w:tc>
          <w:tcPr>
            <w:tcW w:w="840" w:type="dxa"/>
            <w:vAlign w:val="bottom"/>
            <w:tcBorders>
              <w:bottom w:val="single" w:sz="8" w:color="939598"/>
            </w:tcBorders>
          </w:tcPr>
          <w:p>
            <w:pPr>
              <w:spacing w:after="0"/>
              <w:rPr>
                <w:sz w:val="10"/>
                <w:szCs w:val="10"/>
                <w:color w:val="auto"/>
              </w:rPr>
            </w:pPr>
          </w:p>
        </w:tc>
        <w:tc>
          <w:tcPr>
            <w:tcW w:w="220" w:type="dxa"/>
            <w:vAlign w:val="bottom"/>
            <w:tcBorders>
              <w:bottom w:val="single" w:sz="8" w:color="939598"/>
            </w:tcBorders>
          </w:tcPr>
          <w:p>
            <w:pPr>
              <w:spacing w:after="0"/>
              <w:rPr>
                <w:sz w:val="10"/>
                <w:szCs w:val="10"/>
                <w:color w:val="auto"/>
              </w:rPr>
            </w:pPr>
          </w:p>
        </w:tc>
        <w:tc>
          <w:tcPr>
            <w:tcW w:w="140" w:type="dxa"/>
            <w:vAlign w:val="bottom"/>
            <w:tcBorders>
              <w:bottom w:val="single" w:sz="8" w:color="939598"/>
            </w:tcBorders>
          </w:tcPr>
          <w:p>
            <w:pPr>
              <w:spacing w:after="0"/>
              <w:rPr>
                <w:sz w:val="10"/>
                <w:szCs w:val="10"/>
                <w:color w:val="auto"/>
              </w:rPr>
            </w:pPr>
          </w:p>
        </w:tc>
        <w:tc>
          <w:tcPr>
            <w:tcW w:w="1780" w:type="dxa"/>
            <w:vAlign w:val="bottom"/>
            <w:tcBorders>
              <w:bottom w:val="single" w:sz="8" w:color="939598"/>
            </w:tcBorders>
          </w:tcPr>
          <w:p>
            <w:pPr>
              <w:spacing w:after="0"/>
              <w:rPr>
                <w:sz w:val="10"/>
                <w:szCs w:val="10"/>
                <w:color w:val="auto"/>
              </w:rPr>
            </w:pPr>
          </w:p>
        </w:tc>
        <w:tc>
          <w:tcPr>
            <w:tcW w:w="860" w:type="dxa"/>
            <w:vAlign w:val="bottom"/>
            <w:tcBorders>
              <w:bottom w:val="single" w:sz="8" w:color="939598"/>
            </w:tcBorders>
          </w:tcPr>
          <w:p>
            <w:pPr>
              <w:spacing w:after="0"/>
              <w:rPr>
                <w:sz w:val="10"/>
                <w:szCs w:val="10"/>
                <w:color w:val="auto"/>
              </w:rPr>
            </w:pPr>
          </w:p>
        </w:tc>
        <w:tc>
          <w:tcPr>
            <w:tcW w:w="300" w:type="dxa"/>
            <w:vAlign w:val="bottom"/>
            <w:tcBorders>
              <w:bottom w:val="single" w:sz="8" w:color="939598"/>
            </w:tcBorders>
          </w:tcPr>
          <w:p>
            <w:pPr>
              <w:spacing w:after="0"/>
              <w:rPr>
                <w:sz w:val="10"/>
                <w:szCs w:val="10"/>
                <w:color w:val="auto"/>
              </w:rPr>
            </w:pPr>
          </w:p>
        </w:tc>
        <w:tc>
          <w:tcPr>
            <w:tcW w:w="90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316"/>
        </w:trPr>
        <w:tc>
          <w:tcPr>
            <w:tcW w:w="2900" w:type="dxa"/>
            <w:vAlign w:val="bottom"/>
          </w:tcPr>
          <w:p>
            <w:pPr>
              <w:ind w:left="20"/>
              <w:spacing w:after="0"/>
              <w:rPr>
                <w:sz w:val="20"/>
                <w:szCs w:val="20"/>
                <w:color w:val="auto"/>
              </w:rPr>
            </w:pPr>
            <w:r>
              <w:rPr>
                <w:rFonts w:ascii="Arial" w:cs="Arial" w:eastAsia="Arial" w:hAnsi="Arial"/>
                <w:sz w:val="14"/>
                <w:szCs w:val="14"/>
                <w:b w:val="1"/>
                <w:bCs w:val="1"/>
                <w:color w:val="auto"/>
              </w:rPr>
              <w:t>Mr. Hammoud</w:t>
            </w:r>
          </w:p>
        </w:tc>
        <w:tc>
          <w:tcPr>
            <w:tcW w:w="1500" w:type="dxa"/>
            <w:vAlign w:val="bottom"/>
          </w:tcPr>
          <w:p>
            <w:pPr>
              <w:jc w:val="right"/>
              <w:ind w:right="88"/>
              <w:spacing w:after="0"/>
              <w:rPr>
                <w:sz w:val="20"/>
                <w:szCs w:val="20"/>
                <w:color w:val="auto"/>
              </w:rPr>
            </w:pPr>
            <w:r>
              <w:rPr>
                <w:rFonts w:ascii="Arial" w:cs="Arial" w:eastAsia="Arial" w:hAnsi="Arial"/>
                <w:sz w:val="14"/>
                <w:szCs w:val="14"/>
                <w:color w:val="auto"/>
              </w:rPr>
              <w:t>136,649</w:t>
            </w: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2,387,240</w:t>
            </w: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1,216,690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tcPr>
          <w:p>
            <w:pPr>
              <w:ind w:left="13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3"/>
        </w:trPr>
        <w:tc>
          <w:tcPr>
            <w:tcW w:w="2900" w:type="dxa"/>
            <w:vAlign w:val="bottom"/>
            <w:tcBorders>
              <w:bottom w:val="single" w:sz="8" w:color="939598"/>
            </w:tcBorders>
          </w:tcPr>
          <w:p>
            <w:pPr>
              <w:spacing w:after="0"/>
              <w:rPr>
                <w:sz w:val="10"/>
                <w:szCs w:val="10"/>
                <w:color w:val="auto"/>
              </w:rPr>
            </w:pPr>
          </w:p>
        </w:tc>
        <w:tc>
          <w:tcPr>
            <w:tcW w:w="1500" w:type="dxa"/>
            <w:vAlign w:val="bottom"/>
            <w:tcBorders>
              <w:bottom w:val="single" w:sz="8" w:color="939598"/>
            </w:tcBorders>
          </w:tcPr>
          <w:p>
            <w:pPr>
              <w:spacing w:after="0"/>
              <w:rPr>
                <w:sz w:val="10"/>
                <w:szCs w:val="10"/>
                <w:color w:val="auto"/>
              </w:rPr>
            </w:pPr>
          </w:p>
        </w:tc>
        <w:tc>
          <w:tcPr>
            <w:tcW w:w="138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spacing w:after="0"/>
              <w:rPr>
                <w:sz w:val="10"/>
                <w:szCs w:val="10"/>
                <w:color w:val="auto"/>
              </w:rPr>
            </w:pPr>
          </w:p>
        </w:tc>
        <w:tc>
          <w:tcPr>
            <w:tcW w:w="840" w:type="dxa"/>
            <w:vAlign w:val="bottom"/>
            <w:tcBorders>
              <w:bottom w:val="single" w:sz="8" w:color="939598"/>
            </w:tcBorders>
          </w:tcPr>
          <w:p>
            <w:pPr>
              <w:spacing w:after="0"/>
              <w:rPr>
                <w:sz w:val="10"/>
                <w:szCs w:val="10"/>
                <w:color w:val="auto"/>
              </w:rPr>
            </w:pPr>
          </w:p>
        </w:tc>
        <w:tc>
          <w:tcPr>
            <w:tcW w:w="220" w:type="dxa"/>
            <w:vAlign w:val="bottom"/>
            <w:tcBorders>
              <w:bottom w:val="single" w:sz="8" w:color="939598"/>
            </w:tcBorders>
          </w:tcPr>
          <w:p>
            <w:pPr>
              <w:spacing w:after="0"/>
              <w:rPr>
                <w:sz w:val="10"/>
                <w:szCs w:val="10"/>
                <w:color w:val="auto"/>
              </w:rPr>
            </w:pPr>
          </w:p>
        </w:tc>
        <w:tc>
          <w:tcPr>
            <w:tcW w:w="140" w:type="dxa"/>
            <w:vAlign w:val="bottom"/>
            <w:tcBorders>
              <w:bottom w:val="single" w:sz="8" w:color="939598"/>
            </w:tcBorders>
          </w:tcPr>
          <w:p>
            <w:pPr>
              <w:spacing w:after="0"/>
              <w:rPr>
                <w:sz w:val="10"/>
                <w:szCs w:val="10"/>
                <w:color w:val="auto"/>
              </w:rPr>
            </w:pPr>
          </w:p>
        </w:tc>
        <w:tc>
          <w:tcPr>
            <w:tcW w:w="1780" w:type="dxa"/>
            <w:vAlign w:val="bottom"/>
            <w:tcBorders>
              <w:bottom w:val="single" w:sz="8" w:color="939598"/>
            </w:tcBorders>
          </w:tcPr>
          <w:p>
            <w:pPr>
              <w:spacing w:after="0"/>
              <w:rPr>
                <w:sz w:val="10"/>
                <w:szCs w:val="10"/>
                <w:color w:val="auto"/>
              </w:rPr>
            </w:pPr>
          </w:p>
        </w:tc>
        <w:tc>
          <w:tcPr>
            <w:tcW w:w="860" w:type="dxa"/>
            <w:vAlign w:val="bottom"/>
            <w:tcBorders>
              <w:bottom w:val="single" w:sz="8" w:color="939598"/>
            </w:tcBorders>
          </w:tcPr>
          <w:p>
            <w:pPr>
              <w:spacing w:after="0"/>
              <w:rPr>
                <w:sz w:val="10"/>
                <w:szCs w:val="10"/>
                <w:color w:val="auto"/>
              </w:rPr>
            </w:pPr>
          </w:p>
        </w:tc>
        <w:tc>
          <w:tcPr>
            <w:tcW w:w="300" w:type="dxa"/>
            <w:vAlign w:val="bottom"/>
            <w:tcBorders>
              <w:bottom w:val="single" w:sz="8" w:color="939598"/>
            </w:tcBorders>
          </w:tcPr>
          <w:p>
            <w:pPr>
              <w:spacing w:after="0"/>
              <w:rPr>
                <w:sz w:val="10"/>
                <w:szCs w:val="10"/>
                <w:color w:val="auto"/>
              </w:rPr>
            </w:pPr>
          </w:p>
        </w:tc>
        <w:tc>
          <w:tcPr>
            <w:tcW w:w="90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315"/>
        </w:trPr>
        <w:tc>
          <w:tcPr>
            <w:tcW w:w="2900" w:type="dxa"/>
            <w:vAlign w:val="bottom"/>
          </w:tcPr>
          <w:p>
            <w:pPr>
              <w:ind w:left="20"/>
              <w:spacing w:after="0"/>
              <w:rPr>
                <w:sz w:val="20"/>
                <w:szCs w:val="20"/>
                <w:color w:val="auto"/>
              </w:rPr>
            </w:pPr>
            <w:r>
              <w:rPr>
                <w:rFonts w:ascii="Arial" w:cs="Arial" w:eastAsia="Arial" w:hAnsi="Arial"/>
                <w:sz w:val="14"/>
                <w:szCs w:val="14"/>
                <w:b w:val="1"/>
                <w:bCs w:val="1"/>
                <w:color w:val="auto"/>
              </w:rPr>
              <w:t>Mr. Lewis</w:t>
            </w:r>
          </w:p>
        </w:tc>
        <w:tc>
          <w:tcPr>
            <w:tcW w:w="1500" w:type="dxa"/>
            <w:vAlign w:val="bottom"/>
          </w:tcPr>
          <w:p>
            <w:pPr>
              <w:jc w:val="right"/>
              <w:ind w:right="88"/>
              <w:spacing w:after="0"/>
              <w:rPr>
                <w:sz w:val="20"/>
                <w:szCs w:val="20"/>
                <w:color w:val="auto"/>
              </w:rPr>
            </w:pPr>
            <w:r>
              <w:rPr>
                <w:rFonts w:ascii="Arial" w:cs="Arial" w:eastAsia="Arial" w:hAnsi="Arial"/>
                <w:sz w:val="14"/>
                <w:szCs w:val="14"/>
                <w:color w:val="auto"/>
              </w:rPr>
              <w:t>570,471</w:t>
            </w: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3,979,020</w:t>
            </w: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4,240,270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tcPr>
          <w:p>
            <w:pPr>
              <w:ind w:left="13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50,031</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666,107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2343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43" w:lineRule="exact"/>
        <w:rPr>
          <w:sz w:val="20"/>
          <w:szCs w:val="20"/>
          <w:color w:val="auto"/>
        </w:rPr>
      </w:pPr>
    </w:p>
    <w:p>
      <w:pPr>
        <w:ind w:left="200" w:hanging="192"/>
        <w:spacing w:after="0"/>
        <w:tabs>
          <w:tab w:leader="none" w:pos="200" w:val="left"/>
        </w:tabs>
        <w:numPr>
          <w:ilvl w:val="0"/>
          <w:numId w:val="203"/>
        </w:numPr>
        <w:rPr>
          <w:rFonts w:ascii="Arial" w:cs="Arial" w:eastAsia="Arial" w:hAnsi="Arial"/>
          <w:sz w:val="16"/>
          <w:szCs w:val="16"/>
          <w:color w:val="auto"/>
          <w:vertAlign w:val="superscript"/>
        </w:rPr>
      </w:pPr>
      <w:r>
        <w:rPr>
          <w:rFonts w:ascii="Arial" w:cs="Arial" w:eastAsia="Arial" w:hAnsi="Arial"/>
          <w:sz w:val="13"/>
          <w:szCs w:val="13"/>
          <w:color w:val="auto"/>
        </w:rPr>
        <w:t>Includes the portion of unvested PSUs that would vest upon death, disability, or a qualifying termination upon Change in Control when awards are rolled over or replaced by a successor.</w:t>
      </w:r>
    </w:p>
    <w:p>
      <w:pPr>
        <w:spacing w:after="0" w:line="56" w:lineRule="exact"/>
        <w:rPr>
          <w:rFonts w:ascii="Arial" w:cs="Arial" w:eastAsia="Arial" w:hAnsi="Arial"/>
          <w:sz w:val="16"/>
          <w:szCs w:val="16"/>
          <w:color w:val="auto"/>
          <w:vertAlign w:val="superscript"/>
        </w:rPr>
      </w:pPr>
    </w:p>
    <w:p>
      <w:pPr>
        <w:ind w:left="200" w:hanging="192"/>
        <w:spacing w:after="0" w:line="225" w:lineRule="auto"/>
        <w:tabs>
          <w:tab w:leader="none" w:pos="200" w:val="left"/>
        </w:tabs>
        <w:numPr>
          <w:ilvl w:val="0"/>
          <w:numId w:val="203"/>
        </w:numPr>
        <w:rPr>
          <w:rFonts w:ascii="Arial" w:cs="Arial" w:eastAsia="Arial" w:hAnsi="Arial"/>
          <w:sz w:val="16"/>
          <w:szCs w:val="16"/>
          <w:color w:val="auto"/>
          <w:vertAlign w:val="superscript"/>
        </w:rPr>
      </w:pPr>
      <w:r>
        <w:rPr>
          <w:rFonts w:ascii="Arial" w:cs="Arial" w:eastAsia="Arial" w:hAnsi="Arial"/>
          <w:sz w:val="13"/>
          <w:szCs w:val="13"/>
          <w:color w:val="auto"/>
        </w:rPr>
        <w:t>Represents equity awards that will vest upon retirement based on criteria of Long-Term Incentive Retirement provision implemented in 2025 (referenced on page 99)</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D7282F"/>
        </w:rPr>
        <w:t>TERMINATION OR CIC IMPACT ON OUTSTANDING AWARDS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Treatment of outstanding stock plan awards following termination of employment depends on the plan under which the awards were granted, as follows:</w:t>
      </w:r>
    </w:p>
    <w:p>
      <w:pPr>
        <w:spacing w:after="0" w:line="185" w:lineRule="exact"/>
        <w:rPr>
          <w:sz w:val="20"/>
          <w:szCs w:val="20"/>
          <w:color w:val="auto"/>
        </w:rPr>
      </w:pPr>
    </w:p>
    <w:p>
      <w:pPr>
        <w:ind w:left="20"/>
        <w:spacing w:after="0"/>
        <w:tabs>
          <w:tab w:leader="none" w:pos="2860" w:val="left"/>
        </w:tabs>
        <w:rPr>
          <w:sz w:val="20"/>
          <w:szCs w:val="20"/>
          <w:color w:val="auto"/>
        </w:rPr>
      </w:pPr>
      <w:r>
        <w:rPr>
          <w:rFonts w:ascii="Arial" w:cs="Arial" w:eastAsia="Arial" w:hAnsi="Arial"/>
          <w:sz w:val="14"/>
          <w:szCs w:val="14"/>
          <w:b w:val="1"/>
          <w:bCs w:val="1"/>
          <w:color w:val="auto"/>
        </w:rPr>
        <w:t>Plan</w:t>
      </w:r>
      <w:r>
        <w:rPr>
          <w:sz w:val="20"/>
          <w:szCs w:val="20"/>
          <w:color w:val="auto"/>
        </w:rPr>
        <w:tab/>
      </w:r>
      <w:r>
        <w:rPr>
          <w:rFonts w:ascii="Arial" w:cs="Arial" w:eastAsia="Arial" w:hAnsi="Arial"/>
          <w:sz w:val="14"/>
          <w:szCs w:val="14"/>
          <w:b w:val="1"/>
          <w:bCs w:val="1"/>
          <w:color w:val="auto"/>
        </w:rPr>
        <w:t>Treatment of Stock Options, RSUs, and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23430"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104" w:lineRule="exact"/>
        <w:rPr>
          <w:sz w:val="20"/>
          <w:szCs w:val="20"/>
          <w:color w:val="auto"/>
        </w:rPr>
      </w:pPr>
    </w:p>
    <w:p>
      <w:pPr>
        <w:ind w:left="20"/>
        <w:spacing w:after="0" w:line="254" w:lineRule="auto"/>
        <w:rPr>
          <w:sz w:val="20"/>
          <w:szCs w:val="20"/>
          <w:color w:val="auto"/>
        </w:rPr>
      </w:pPr>
      <w:r>
        <w:rPr>
          <w:rFonts w:ascii="Arial" w:cs="Arial" w:eastAsia="Arial" w:hAnsi="Arial"/>
          <w:sz w:val="16"/>
          <w:szCs w:val="16"/>
          <w:b w:val="1"/>
          <w:bCs w:val="1"/>
          <w:color w:val="auto"/>
        </w:rPr>
        <w:t>2011 Stock Incentive Plan of Honeywell International Inc. and Its Affiliates</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ind w:left="186" w:hanging="186"/>
        <w:spacing w:after="0"/>
        <w:tabs>
          <w:tab w:leader="none" w:pos="186" w:val="left"/>
        </w:tabs>
        <w:numPr>
          <w:ilvl w:val="0"/>
          <w:numId w:val="204"/>
        </w:numPr>
        <w:rPr>
          <w:rFonts w:ascii="Arial" w:cs="Arial" w:eastAsia="Arial" w:hAnsi="Arial"/>
          <w:sz w:val="16"/>
          <w:szCs w:val="16"/>
          <w:b w:val="1"/>
          <w:bCs w:val="1"/>
          <w:color w:val="D7282F"/>
        </w:rPr>
      </w:pPr>
      <w:r>
        <w:rPr>
          <w:rFonts w:ascii="Arial" w:cs="Arial" w:eastAsia="Arial" w:hAnsi="Arial"/>
          <w:sz w:val="16"/>
          <w:szCs w:val="16"/>
          <w:color w:val="auto"/>
        </w:rPr>
        <w:t>RSUs become vested in full upon death or disability.</w:t>
      </w:r>
    </w:p>
    <w:p>
      <w:pPr>
        <w:spacing w:after="0" w:line="72" w:lineRule="exact"/>
        <w:rPr>
          <w:rFonts w:ascii="Arial" w:cs="Arial" w:eastAsia="Arial" w:hAnsi="Arial"/>
          <w:sz w:val="16"/>
          <w:szCs w:val="16"/>
          <w:b w:val="1"/>
          <w:bCs w:val="1"/>
          <w:color w:val="D7282F"/>
        </w:rPr>
      </w:pPr>
    </w:p>
    <w:p>
      <w:pPr>
        <w:ind w:left="186" w:right="40" w:hanging="186"/>
        <w:spacing w:after="0" w:line="275" w:lineRule="auto"/>
        <w:tabs>
          <w:tab w:leader="none" w:pos="183" w:val="left"/>
        </w:tabs>
        <w:numPr>
          <w:ilvl w:val="0"/>
          <w:numId w:val="204"/>
        </w:numPr>
        <w:rPr>
          <w:rFonts w:ascii="Arial" w:cs="Arial" w:eastAsia="Arial" w:hAnsi="Arial"/>
          <w:sz w:val="16"/>
          <w:szCs w:val="16"/>
          <w:b w:val="1"/>
          <w:bCs w:val="1"/>
          <w:color w:val="D7282F"/>
        </w:rPr>
      </w:pPr>
      <w:r>
        <w:rPr>
          <w:rFonts w:ascii="Arial" w:cs="Arial" w:eastAsia="Arial" w:hAnsi="Arial"/>
          <w:sz w:val="16"/>
          <w:szCs w:val="16"/>
          <w:color w:val="auto"/>
        </w:rPr>
        <w:t>Following termination of employment, unless otherwise agreed by the Company pursuant to the terms of the plan, participants (or their beneficiaries) have until the earlier of the original expiration date or the following period in which to exercise vested options:</w:t>
      </w:r>
    </w:p>
    <w:p>
      <w:pPr>
        <w:spacing w:after="0" w:line="29" w:lineRule="exact"/>
        <w:rPr>
          <w:rFonts w:ascii="Arial" w:cs="Arial" w:eastAsia="Arial" w:hAnsi="Arial"/>
          <w:sz w:val="16"/>
          <w:szCs w:val="16"/>
          <w:b w:val="1"/>
          <w:bCs w:val="1"/>
          <w:color w:val="D7282F"/>
        </w:rPr>
      </w:pPr>
    </w:p>
    <w:p>
      <w:pPr>
        <w:jc w:val="both"/>
        <w:ind w:left="386" w:right="140" w:hanging="191"/>
        <w:spacing w:after="0" w:line="263" w:lineRule="auto"/>
        <w:tabs>
          <w:tab w:leader="none" w:pos="383" w:val="left"/>
        </w:tabs>
        <w:numPr>
          <w:ilvl w:val="1"/>
          <w:numId w:val="204"/>
        </w:numPr>
        <w:rPr>
          <w:rFonts w:ascii="Arial" w:cs="Arial" w:eastAsia="Arial" w:hAnsi="Arial"/>
          <w:sz w:val="16"/>
          <w:szCs w:val="16"/>
          <w:b w:val="1"/>
          <w:bCs w:val="1"/>
          <w:color w:val="D7282F"/>
        </w:rPr>
      </w:pPr>
      <w:r>
        <w:rPr>
          <w:rFonts w:ascii="Arial" w:cs="Arial" w:eastAsia="Arial" w:hAnsi="Arial"/>
          <w:sz w:val="16"/>
          <w:szCs w:val="16"/>
          <w:color w:val="auto"/>
        </w:rPr>
        <w:t>Three (3) years in the event of death, disability, or a voluntary or involuntary termination (other than for cause) after qualifying for “early retirement” (age 55 and 10 years of service) or “full retirement” (age 60 and 10 years</w:t>
      </w:r>
    </w:p>
    <w:p>
      <w:pPr>
        <w:spacing w:after="0" w:line="1" w:lineRule="exact"/>
        <w:rPr>
          <w:sz w:val="20"/>
          <w:szCs w:val="20"/>
          <w:color w:val="auto"/>
        </w:rPr>
      </w:pPr>
    </w:p>
    <w:p>
      <w:pPr>
        <w:sectPr>
          <w:pgSz w:w="11900" w:h="16838" w:orient="portrait"/>
          <w:cols w:equalWidth="0" w:num="2">
            <w:col w:w="2500" w:space="374"/>
            <w:col w:w="8366"/>
          </w:cols>
          <w:pgMar w:left="320" w:top="229" w:right="339" w:bottom="1440" w:gutter="0" w:footer="0" w:header="0"/>
          <w:type w:val="continuous"/>
        </w:sectPr>
      </w:pPr>
    </w:p>
    <w:p>
      <w:pPr>
        <w:ind w:left="3260"/>
        <w:spacing w:after="0"/>
        <w:rPr>
          <w:sz w:val="20"/>
          <w:szCs w:val="20"/>
          <w:color w:val="auto"/>
        </w:rPr>
      </w:pPr>
      <w:r>
        <w:rPr>
          <w:rFonts w:ascii="Arial" w:cs="Arial" w:eastAsia="Arial" w:hAnsi="Arial"/>
          <w:sz w:val="16"/>
          <w:szCs w:val="16"/>
          <w:color w:val="auto"/>
        </w:rPr>
        <w:t>of service).</w:t>
      </w:r>
    </w:p>
    <w:p>
      <w:pPr>
        <w:spacing w:after="0" w:line="60" w:lineRule="exact"/>
        <w:rPr>
          <w:sz w:val="20"/>
          <w:szCs w:val="20"/>
          <w:color w:val="auto"/>
        </w:rPr>
      </w:pPr>
    </w:p>
    <w:p>
      <w:pPr>
        <w:ind w:left="306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One (1) year in the case of any other involuntary termination without cause; and</w:t>
      </w:r>
    </w:p>
    <w:p>
      <w:pPr>
        <w:spacing w:after="0" w:line="86" w:lineRule="exact"/>
        <w:rPr>
          <w:sz w:val="20"/>
          <w:szCs w:val="20"/>
          <w:color w:val="auto"/>
        </w:rPr>
      </w:pPr>
    </w:p>
    <w:p>
      <w:pPr>
        <w:ind w:left="306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Thirty (30) days in the case of a voluntary termination.</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680" w:type="dxa"/>
            <w:vAlign w:val="bottom"/>
          </w:tcPr>
          <w:p>
            <w:pPr>
              <w:spacing w:after="0"/>
              <w:rPr>
                <w:sz w:val="19"/>
                <w:szCs w:val="19"/>
                <w:color w:val="auto"/>
              </w:rPr>
            </w:pPr>
          </w:p>
        </w:tc>
        <w:tc>
          <w:tcPr>
            <w:tcW w:w="8240" w:type="dxa"/>
            <w:vAlign w:val="bottom"/>
          </w:tcPr>
          <w:p>
            <w:pPr>
              <w:ind w:left="20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These rules are hereinafter referred to as the “2011 Stock Plan Exercise Rules.”</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6"/>
        </w:trPr>
        <w:tc>
          <w:tcPr>
            <w:tcW w:w="2680" w:type="dxa"/>
            <w:vAlign w:val="bottom"/>
          </w:tcPr>
          <w:p>
            <w:pPr>
              <w:spacing w:after="0"/>
              <w:rPr>
                <w:sz w:val="20"/>
                <w:szCs w:val="20"/>
                <w:color w:val="auto"/>
              </w:rPr>
            </w:pPr>
          </w:p>
        </w:tc>
        <w:tc>
          <w:tcPr>
            <w:tcW w:w="8240" w:type="dxa"/>
            <w:vAlign w:val="bottom"/>
          </w:tcPr>
          <w:p>
            <w:pPr>
              <w:ind w:left="20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Unvested stock options and RSUs do not automatically vest upon a CIC if rolled over or replaced by the</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89"/>
        </w:trPr>
        <w:tc>
          <w:tcPr>
            <w:tcW w:w="2680" w:type="dxa"/>
            <w:vAlign w:val="bottom"/>
          </w:tcPr>
          <w:p>
            <w:pPr>
              <w:spacing w:after="0"/>
              <w:rPr>
                <w:sz w:val="16"/>
                <w:szCs w:val="16"/>
                <w:color w:val="auto"/>
              </w:rPr>
            </w:pPr>
          </w:p>
        </w:tc>
        <w:tc>
          <w:tcPr>
            <w:tcW w:w="8240" w:type="dxa"/>
            <w:vAlign w:val="bottom"/>
          </w:tcPr>
          <w:p>
            <w:pPr>
              <w:ind w:left="380"/>
              <w:spacing w:after="0"/>
              <w:rPr>
                <w:sz w:val="20"/>
                <w:szCs w:val="20"/>
                <w:color w:val="auto"/>
              </w:rPr>
            </w:pPr>
            <w:r>
              <w:rPr>
                <w:rFonts w:ascii="Arial" w:cs="Arial" w:eastAsia="Arial" w:hAnsi="Arial"/>
                <w:sz w:val="16"/>
                <w:szCs w:val="16"/>
                <w:color w:val="auto"/>
              </w:rPr>
              <w:t>successor. Following a CIC, vesting shall only occur if a participant’s employment is terminated, either by the</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2680" w:type="dxa"/>
            <w:vAlign w:val="bottom"/>
          </w:tcPr>
          <w:p>
            <w:pPr>
              <w:spacing w:after="0"/>
              <w:rPr>
                <w:sz w:val="17"/>
                <w:szCs w:val="17"/>
                <w:color w:val="auto"/>
              </w:rPr>
            </w:pPr>
          </w:p>
        </w:tc>
        <w:tc>
          <w:tcPr>
            <w:tcW w:w="8560" w:type="dxa"/>
            <w:vAlign w:val="bottom"/>
            <w:gridSpan w:val="3"/>
          </w:tcPr>
          <w:p>
            <w:pPr>
              <w:ind w:left="380"/>
              <w:spacing w:after="0"/>
              <w:rPr>
                <w:sz w:val="20"/>
                <w:szCs w:val="20"/>
                <w:color w:val="auto"/>
              </w:rPr>
            </w:pPr>
            <w:r>
              <w:rPr>
                <w:rFonts w:ascii="Arial" w:cs="Arial" w:eastAsia="Arial" w:hAnsi="Arial"/>
                <w:sz w:val="16"/>
                <w:szCs w:val="16"/>
                <w:color w:val="auto"/>
              </w:rPr>
              <w:t>successor without cause or by the participant for good reason (that is, “double trigger” vesting), within two years</w:t>
            </w:r>
          </w:p>
        </w:tc>
      </w:tr>
      <w:tr>
        <w:trPr>
          <w:trHeight w:val="215"/>
        </w:trPr>
        <w:tc>
          <w:tcPr>
            <w:tcW w:w="2680" w:type="dxa"/>
            <w:vAlign w:val="bottom"/>
          </w:tcPr>
          <w:p>
            <w:pPr>
              <w:spacing w:after="0"/>
              <w:rPr>
                <w:sz w:val="18"/>
                <w:szCs w:val="18"/>
                <w:color w:val="auto"/>
              </w:rPr>
            </w:pPr>
          </w:p>
        </w:tc>
        <w:tc>
          <w:tcPr>
            <w:tcW w:w="8240" w:type="dxa"/>
            <w:vAlign w:val="bottom"/>
          </w:tcPr>
          <w:p>
            <w:pPr>
              <w:ind w:left="380"/>
              <w:spacing w:after="0"/>
              <w:rPr>
                <w:sz w:val="20"/>
                <w:szCs w:val="20"/>
                <w:color w:val="auto"/>
              </w:rPr>
            </w:pPr>
            <w:r>
              <w:rPr>
                <w:rFonts w:ascii="Arial" w:cs="Arial" w:eastAsia="Arial" w:hAnsi="Arial"/>
                <w:sz w:val="16"/>
                <w:szCs w:val="16"/>
                <w:color w:val="auto"/>
              </w:rPr>
              <w:t>following a CIC. These rules are hereinafter referred to as the “Double Trigger CIC Rules.”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680" w:type="dxa"/>
            <w:vAlign w:val="bottom"/>
            <w:tcBorders>
              <w:bottom w:val="single" w:sz="8" w:color="939598"/>
            </w:tcBorders>
          </w:tcPr>
          <w:p>
            <w:pPr>
              <w:spacing w:after="0"/>
              <w:rPr>
                <w:sz w:val="6"/>
                <w:szCs w:val="6"/>
                <w:color w:val="auto"/>
              </w:rPr>
            </w:pPr>
          </w:p>
        </w:tc>
        <w:tc>
          <w:tcPr>
            <w:tcW w:w="8540" w:type="dxa"/>
            <w:vAlign w:val="bottom"/>
            <w:tcBorders>
              <w:bottom w:val="single" w:sz="8" w:color="939598"/>
            </w:tcBorders>
            <w:gridSpan w:val="2"/>
          </w:tcPr>
          <w:p>
            <w:pPr>
              <w:spacing w:after="0"/>
              <w:rPr>
                <w:sz w:val="6"/>
                <w:szCs w:val="6"/>
                <w:color w:val="auto"/>
              </w:rPr>
            </w:pPr>
          </w:p>
        </w:tc>
        <w:tc>
          <w:tcPr>
            <w:tcW w:w="20" w:type="dxa"/>
            <w:vAlign w:val="bottom"/>
          </w:tcPr>
          <w:p>
            <w:pPr>
              <w:spacing w:after="0"/>
              <w:rPr>
                <w:sz w:val="6"/>
                <w:szCs w:val="6"/>
                <w:color w:val="auto"/>
              </w:rPr>
            </w:pPr>
          </w:p>
        </w:tc>
      </w:tr>
      <w:tr>
        <w:trPr>
          <w:trHeight w:val="210"/>
        </w:trPr>
        <w:tc>
          <w:tcPr>
            <w:tcW w:w="2680" w:type="dxa"/>
            <w:vAlign w:val="bottom"/>
          </w:tcPr>
          <w:p>
            <w:pPr>
              <w:ind w:left="20"/>
              <w:spacing w:after="0"/>
              <w:rPr>
                <w:sz w:val="20"/>
                <w:szCs w:val="20"/>
                <w:color w:val="auto"/>
              </w:rPr>
            </w:pPr>
            <w:r>
              <w:rPr>
                <w:rFonts w:ascii="Arial" w:cs="Arial" w:eastAsia="Arial" w:hAnsi="Arial"/>
                <w:sz w:val="16"/>
                <w:szCs w:val="16"/>
                <w:b w:val="1"/>
                <w:bCs w:val="1"/>
                <w:color w:val="auto"/>
              </w:rPr>
              <w:t>2016 Stock Incentive Plan of</w:t>
            </w:r>
          </w:p>
        </w:tc>
        <w:tc>
          <w:tcPr>
            <w:tcW w:w="8560" w:type="dxa"/>
            <w:vAlign w:val="bottom"/>
            <w:gridSpan w:val="3"/>
          </w:tcPr>
          <w:p>
            <w:pPr>
              <w:ind w:left="20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The Double Trigger CIC Rules apply to unvested stock options and RSUs under this plan. Double trigger vesting</w:t>
            </w:r>
          </w:p>
        </w:tc>
      </w:tr>
      <w:tr>
        <w:trPr>
          <w:trHeight w:val="189"/>
        </w:trPr>
        <w:tc>
          <w:tcPr>
            <w:tcW w:w="2680" w:type="dxa"/>
            <w:vAlign w:val="bottom"/>
          </w:tcPr>
          <w:p>
            <w:pPr>
              <w:ind w:left="20"/>
              <w:spacing w:after="0"/>
              <w:rPr>
                <w:sz w:val="20"/>
                <w:szCs w:val="20"/>
                <w:color w:val="auto"/>
              </w:rPr>
            </w:pPr>
            <w:r>
              <w:rPr>
                <w:rFonts w:ascii="Arial" w:cs="Arial" w:eastAsia="Arial" w:hAnsi="Arial"/>
                <w:sz w:val="16"/>
                <w:szCs w:val="16"/>
                <w:b w:val="1"/>
                <w:bCs w:val="1"/>
                <w:color w:val="auto"/>
              </w:rPr>
              <w:t>Honeywell International Inc. and</w:t>
            </w:r>
          </w:p>
        </w:tc>
        <w:tc>
          <w:tcPr>
            <w:tcW w:w="8240" w:type="dxa"/>
            <w:vAlign w:val="bottom"/>
          </w:tcPr>
          <w:p>
            <w:pPr>
              <w:ind w:left="380"/>
              <w:spacing w:after="0"/>
              <w:rPr>
                <w:sz w:val="20"/>
                <w:szCs w:val="20"/>
                <w:color w:val="auto"/>
              </w:rPr>
            </w:pPr>
            <w:r>
              <w:rPr>
                <w:rFonts w:ascii="Arial" w:cs="Arial" w:eastAsia="Arial" w:hAnsi="Arial"/>
                <w:sz w:val="16"/>
                <w:szCs w:val="16"/>
                <w:color w:val="auto"/>
              </w:rPr>
              <w:t>also applies to PSUs awarded under this plan where the awards are rolled over or replaced by the successor,</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9"/>
        </w:trPr>
        <w:tc>
          <w:tcPr>
            <w:tcW w:w="2680" w:type="dxa"/>
            <w:vAlign w:val="bottom"/>
          </w:tcPr>
          <w:p>
            <w:pPr>
              <w:ind w:left="20"/>
              <w:spacing w:after="0"/>
              <w:rPr>
                <w:sz w:val="20"/>
                <w:szCs w:val="20"/>
                <w:color w:val="auto"/>
              </w:rPr>
            </w:pPr>
            <w:r>
              <w:rPr>
                <w:rFonts w:ascii="Arial" w:cs="Arial" w:eastAsia="Arial" w:hAnsi="Arial"/>
                <w:sz w:val="16"/>
                <w:szCs w:val="16"/>
                <w:b w:val="1"/>
                <w:bCs w:val="1"/>
                <w:color w:val="auto"/>
              </w:rPr>
              <w:t>Its Affiliates</w:t>
            </w:r>
          </w:p>
        </w:tc>
        <w:tc>
          <w:tcPr>
            <w:tcW w:w="8240" w:type="dxa"/>
            <w:vAlign w:val="bottom"/>
          </w:tcPr>
          <w:p>
            <w:pPr>
              <w:ind w:left="380"/>
              <w:spacing w:after="0"/>
              <w:rPr>
                <w:sz w:val="20"/>
                <w:szCs w:val="20"/>
                <w:color w:val="auto"/>
              </w:rPr>
            </w:pPr>
            <w:r>
              <w:rPr>
                <w:rFonts w:ascii="Arial" w:cs="Arial" w:eastAsia="Arial" w:hAnsi="Arial"/>
                <w:sz w:val="16"/>
                <w:szCs w:val="16"/>
                <w:color w:val="auto"/>
              </w:rPr>
              <w:t>with vesting on a pro rata basis at target for incomplete performance periods, and based on the actual earned</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89"/>
        </w:trPr>
        <w:tc>
          <w:tcPr>
            <w:tcW w:w="2680" w:type="dxa"/>
            <w:vAlign w:val="bottom"/>
          </w:tcPr>
          <w:p>
            <w:pPr>
              <w:spacing w:after="0"/>
              <w:rPr>
                <w:sz w:val="16"/>
                <w:szCs w:val="16"/>
                <w:color w:val="auto"/>
              </w:rPr>
            </w:pPr>
          </w:p>
        </w:tc>
        <w:tc>
          <w:tcPr>
            <w:tcW w:w="8560" w:type="dxa"/>
            <w:vAlign w:val="bottom"/>
            <w:gridSpan w:val="3"/>
          </w:tcPr>
          <w:p>
            <w:pPr>
              <w:ind w:left="380"/>
              <w:spacing w:after="0"/>
              <w:rPr>
                <w:sz w:val="20"/>
                <w:szCs w:val="20"/>
                <w:color w:val="auto"/>
              </w:rPr>
            </w:pPr>
            <w:r>
              <w:rPr>
                <w:rFonts w:ascii="Arial" w:cs="Arial" w:eastAsia="Arial" w:hAnsi="Arial"/>
                <w:sz w:val="16"/>
                <w:szCs w:val="16"/>
                <w:color w:val="auto"/>
              </w:rPr>
              <w:t>award for completed performance cycles, and paid within 90 days of a participant’s termination of employment,</w:t>
            </w:r>
          </w:p>
        </w:tc>
      </w:tr>
      <w:tr>
        <w:trPr>
          <w:trHeight w:val="203"/>
        </w:trPr>
        <w:tc>
          <w:tcPr>
            <w:tcW w:w="2680" w:type="dxa"/>
            <w:vAlign w:val="bottom"/>
          </w:tcPr>
          <w:p>
            <w:pPr>
              <w:spacing w:after="0"/>
              <w:rPr>
                <w:sz w:val="17"/>
                <w:szCs w:val="17"/>
                <w:color w:val="auto"/>
              </w:rPr>
            </w:pPr>
          </w:p>
        </w:tc>
        <w:tc>
          <w:tcPr>
            <w:tcW w:w="8240" w:type="dxa"/>
            <w:vAlign w:val="bottom"/>
          </w:tcPr>
          <w:p>
            <w:pPr>
              <w:ind w:left="380"/>
              <w:spacing w:after="0"/>
              <w:rPr>
                <w:sz w:val="20"/>
                <w:szCs w:val="20"/>
                <w:color w:val="auto"/>
              </w:rPr>
            </w:pPr>
            <w:r>
              <w:rPr>
                <w:rFonts w:ascii="Arial" w:cs="Arial" w:eastAsia="Arial" w:hAnsi="Arial"/>
                <w:sz w:val="16"/>
                <w:szCs w:val="16"/>
                <w:color w:val="auto"/>
              </w:rPr>
              <w:t>either by the successor without cause or by the participant for good reason (that is, “double trigger” vesting),</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9"/>
        </w:trPr>
        <w:tc>
          <w:tcPr>
            <w:tcW w:w="2680" w:type="dxa"/>
            <w:vAlign w:val="bottom"/>
          </w:tcPr>
          <w:p>
            <w:pPr>
              <w:spacing w:after="0"/>
              <w:rPr>
                <w:sz w:val="16"/>
                <w:szCs w:val="16"/>
                <w:color w:val="auto"/>
              </w:rPr>
            </w:pPr>
          </w:p>
        </w:tc>
        <w:tc>
          <w:tcPr>
            <w:tcW w:w="8560" w:type="dxa"/>
            <w:vAlign w:val="bottom"/>
            <w:gridSpan w:val="3"/>
          </w:tcPr>
          <w:p>
            <w:pPr>
              <w:ind w:left="380"/>
              <w:spacing w:after="0"/>
              <w:rPr>
                <w:sz w:val="20"/>
                <w:szCs w:val="20"/>
                <w:color w:val="auto"/>
              </w:rPr>
            </w:pPr>
            <w:r>
              <w:rPr>
                <w:rFonts w:ascii="Arial" w:cs="Arial" w:eastAsia="Arial" w:hAnsi="Arial"/>
                <w:sz w:val="16"/>
                <w:szCs w:val="16"/>
                <w:color w:val="auto"/>
              </w:rPr>
              <w:t>within two years following a CIC. RSU and PSU awards that are not rolled over or replaced by the successor vest</w:t>
            </w:r>
          </w:p>
        </w:tc>
      </w:tr>
      <w:tr>
        <w:trPr>
          <w:trHeight w:val="215"/>
        </w:trPr>
        <w:tc>
          <w:tcPr>
            <w:tcW w:w="2680" w:type="dxa"/>
            <w:vAlign w:val="bottom"/>
          </w:tcPr>
          <w:p>
            <w:pPr>
              <w:spacing w:after="0"/>
              <w:rPr>
                <w:sz w:val="18"/>
                <w:szCs w:val="18"/>
                <w:color w:val="auto"/>
              </w:rPr>
            </w:pPr>
          </w:p>
        </w:tc>
        <w:tc>
          <w:tcPr>
            <w:tcW w:w="8240" w:type="dxa"/>
            <w:vAlign w:val="bottom"/>
          </w:tcPr>
          <w:p>
            <w:pPr>
              <w:ind w:left="380"/>
              <w:spacing w:after="0"/>
              <w:rPr>
                <w:sz w:val="20"/>
                <w:szCs w:val="20"/>
                <w:color w:val="auto"/>
              </w:rPr>
            </w:pPr>
            <w:r>
              <w:rPr>
                <w:rFonts w:ascii="Arial" w:cs="Arial" w:eastAsia="Arial" w:hAnsi="Arial"/>
                <w:sz w:val="16"/>
                <w:szCs w:val="16"/>
                <w:color w:val="auto"/>
              </w:rPr>
              <w:t>immediately upon the CIC.</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78"/>
        </w:trPr>
        <w:tc>
          <w:tcPr>
            <w:tcW w:w="2680" w:type="dxa"/>
            <w:vAlign w:val="bottom"/>
          </w:tcPr>
          <w:p>
            <w:pPr>
              <w:spacing w:after="0"/>
              <w:rPr>
                <w:sz w:val="24"/>
                <w:szCs w:val="24"/>
                <w:color w:val="auto"/>
              </w:rPr>
            </w:pPr>
          </w:p>
        </w:tc>
        <w:tc>
          <w:tcPr>
            <w:tcW w:w="8240" w:type="dxa"/>
            <w:vAlign w:val="bottom"/>
          </w:tcPr>
          <w:p>
            <w:pPr>
              <w:ind w:left="20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The 2011 Stock Plan Exercise Rules apply to vested stock options under this plan.</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6"/>
        </w:trPr>
        <w:tc>
          <w:tcPr>
            <w:tcW w:w="2680" w:type="dxa"/>
            <w:vAlign w:val="bottom"/>
          </w:tcPr>
          <w:p>
            <w:pPr>
              <w:spacing w:after="0"/>
              <w:rPr>
                <w:sz w:val="20"/>
                <w:szCs w:val="20"/>
                <w:color w:val="auto"/>
              </w:rPr>
            </w:pPr>
          </w:p>
        </w:tc>
        <w:tc>
          <w:tcPr>
            <w:tcW w:w="8240" w:type="dxa"/>
            <w:vAlign w:val="bottom"/>
          </w:tcPr>
          <w:p>
            <w:pPr>
              <w:ind w:left="20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There is no acceleration of vesting of awards upon reaching retirement age. Unvested RSUs and a prorated</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89"/>
        </w:trPr>
        <w:tc>
          <w:tcPr>
            <w:tcW w:w="2680" w:type="dxa"/>
            <w:vAlign w:val="bottom"/>
          </w:tcPr>
          <w:p>
            <w:pPr>
              <w:spacing w:after="0"/>
              <w:rPr>
                <w:sz w:val="16"/>
                <w:szCs w:val="16"/>
                <w:color w:val="auto"/>
              </w:rPr>
            </w:pPr>
          </w:p>
        </w:tc>
        <w:tc>
          <w:tcPr>
            <w:tcW w:w="8560" w:type="dxa"/>
            <w:vAlign w:val="bottom"/>
            <w:gridSpan w:val="3"/>
          </w:tcPr>
          <w:p>
            <w:pPr>
              <w:ind w:left="380"/>
              <w:spacing w:after="0"/>
              <w:rPr>
                <w:sz w:val="20"/>
                <w:szCs w:val="20"/>
                <w:color w:val="auto"/>
              </w:rPr>
            </w:pPr>
            <w:r>
              <w:rPr>
                <w:rFonts w:ascii="Arial" w:cs="Arial" w:eastAsia="Arial" w:hAnsi="Arial"/>
                <w:sz w:val="16"/>
                <w:szCs w:val="16"/>
                <w:color w:val="auto"/>
              </w:rPr>
              <w:t>amount of a PSU award are paid upon a termination due to death or disability. Unvested stock options vest upon</w:t>
            </w:r>
          </w:p>
        </w:tc>
      </w:tr>
      <w:tr>
        <w:trPr>
          <w:trHeight w:val="215"/>
        </w:trPr>
        <w:tc>
          <w:tcPr>
            <w:tcW w:w="2680" w:type="dxa"/>
            <w:vAlign w:val="bottom"/>
          </w:tcPr>
          <w:p>
            <w:pPr>
              <w:spacing w:after="0"/>
              <w:rPr>
                <w:sz w:val="18"/>
                <w:szCs w:val="18"/>
                <w:color w:val="auto"/>
              </w:rPr>
            </w:pPr>
          </w:p>
        </w:tc>
        <w:tc>
          <w:tcPr>
            <w:tcW w:w="8240" w:type="dxa"/>
            <w:vAlign w:val="bottom"/>
          </w:tcPr>
          <w:p>
            <w:pPr>
              <w:ind w:left="380"/>
              <w:spacing w:after="0"/>
              <w:rPr>
                <w:sz w:val="20"/>
                <w:szCs w:val="20"/>
                <w:color w:val="auto"/>
              </w:rPr>
            </w:pPr>
            <w:r>
              <w:rPr>
                <w:rFonts w:ascii="Arial" w:cs="Arial" w:eastAsia="Arial" w:hAnsi="Arial"/>
                <w:sz w:val="16"/>
                <w:szCs w:val="16"/>
                <w:color w:val="auto"/>
              </w:rPr>
              <w:t>a termination due to death or disability.</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83"/>
        </w:trPr>
        <w:tc>
          <w:tcPr>
            <w:tcW w:w="2680" w:type="dxa"/>
            <w:vAlign w:val="bottom"/>
            <w:tcBorders>
              <w:bottom w:val="single" w:sz="8" w:color="D7282F"/>
            </w:tcBorders>
          </w:tcPr>
          <w:p>
            <w:pPr>
              <w:spacing w:after="0"/>
              <w:rPr>
                <w:sz w:val="7"/>
                <w:szCs w:val="7"/>
                <w:color w:val="auto"/>
              </w:rPr>
            </w:pPr>
          </w:p>
        </w:tc>
        <w:tc>
          <w:tcPr>
            <w:tcW w:w="8240" w:type="dxa"/>
            <w:vAlign w:val="bottom"/>
            <w:tcBorders>
              <w:bottom w:val="single" w:sz="8" w:color="D7282F"/>
            </w:tcBorders>
          </w:tcPr>
          <w:p>
            <w:pPr>
              <w:spacing w:after="0"/>
              <w:rPr>
                <w:sz w:val="7"/>
                <w:szCs w:val="7"/>
                <w:color w:val="auto"/>
              </w:rPr>
            </w:pPr>
          </w:p>
        </w:tc>
        <w:tc>
          <w:tcPr>
            <w:tcW w:w="300" w:type="dxa"/>
            <w:vAlign w:val="bottom"/>
            <w:tcBorders>
              <w:bottom w:val="single" w:sz="8" w:color="D7282F"/>
            </w:tcBorders>
          </w:tcPr>
          <w:p>
            <w:pPr>
              <w:spacing w:after="0"/>
              <w:rPr>
                <w:sz w:val="7"/>
                <w:szCs w:val="7"/>
                <w:color w:val="auto"/>
              </w:rPr>
            </w:pPr>
          </w:p>
        </w:tc>
        <w:tc>
          <w:tcPr>
            <w:tcW w:w="20" w:type="dxa"/>
            <w:vAlign w:val="bottom"/>
          </w:tcPr>
          <w:p>
            <w:pPr>
              <w:spacing w:after="0"/>
              <w:rPr>
                <w:sz w:val="7"/>
                <w:szCs w:val="7"/>
                <w:color w:val="auto"/>
              </w:rPr>
            </w:pPr>
          </w:p>
        </w:tc>
      </w:tr>
      <w:tr>
        <w:trPr>
          <w:trHeight w:val="586"/>
        </w:trPr>
        <w:tc>
          <w:tcPr>
            <w:tcW w:w="2680" w:type="dxa"/>
            <w:vAlign w:val="bottom"/>
          </w:tcPr>
          <w:p>
            <w:pPr>
              <w:spacing w:after="0"/>
              <w:rPr>
                <w:sz w:val="24"/>
                <w:szCs w:val="24"/>
                <w:color w:val="auto"/>
              </w:rPr>
            </w:pPr>
          </w:p>
        </w:tc>
        <w:tc>
          <w:tcPr>
            <w:tcW w:w="8240" w:type="dxa"/>
            <w:vAlign w:val="bottom"/>
          </w:tcPr>
          <w:p>
            <w:pPr>
              <w:ind w:left="4160"/>
              <w:spacing w:after="0"/>
              <w:rPr>
                <w:sz w:val="20"/>
                <w:szCs w:val="20"/>
                <w:color w:val="auto"/>
              </w:rPr>
            </w:pPr>
            <w:r>
              <w:rPr>
                <w:rFonts w:ascii="Arial" w:cs="Arial" w:eastAsia="Arial" w:hAnsi="Arial"/>
                <w:sz w:val="13"/>
                <w:szCs w:val="13"/>
                <w:b w:val="1"/>
                <w:bCs w:val="1"/>
                <w:color w:val="6D6E71"/>
              </w:rPr>
              <w:t>2026 NOTICE AND PROXY STATEMENT   |</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w w:val="93"/>
              </w:rPr>
              <w:t>101</w:t>
            </w:r>
          </w:p>
        </w:tc>
        <w:tc>
          <w:tcPr>
            <w:tcW w:w="20" w:type="dxa"/>
            <w:vAlign w:val="bottom"/>
          </w:tcPr>
          <w:p>
            <w:pPr>
              <w:spacing w:after="0"/>
              <w:rPr>
                <w:sz w:val="24"/>
                <w:szCs w:val="24"/>
                <w:color w:val="auto"/>
              </w:rPr>
            </w:pPr>
          </w:p>
        </w:tc>
      </w:tr>
      <w:tr>
        <w:trPr>
          <w:trHeight w:val="359"/>
        </w:trPr>
        <w:tc>
          <w:tcPr>
            <w:tcW w:w="2680" w:type="dxa"/>
            <w:vAlign w:val="bottom"/>
            <w:tcBorders>
              <w:bottom w:val="single" w:sz="8" w:color="9A9A9A"/>
            </w:tcBorders>
          </w:tcPr>
          <w:p>
            <w:pPr>
              <w:spacing w:after="0"/>
              <w:rPr>
                <w:sz w:val="24"/>
                <w:szCs w:val="24"/>
                <w:color w:val="auto"/>
              </w:rPr>
            </w:pPr>
          </w:p>
        </w:tc>
        <w:tc>
          <w:tcPr>
            <w:tcW w:w="8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-368300</wp:posOffset>
            </wp:positionV>
            <wp:extent cx="548640" cy="10287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15" w:name="page116"/>
    <w:bookmarkEnd w:id="115"/>
    <w:p>
      <w:pPr>
        <w:spacing w:after="0"/>
        <w:rPr>
          <w:sz w:val="20"/>
          <w:szCs w:val="20"/>
          <w:color w:val="auto"/>
        </w:rPr>
      </w:pPr>
      <w:r>
        <w:rPr>
          <w:rFonts w:ascii="Arial" w:cs="Arial" w:eastAsia="Arial" w:hAnsi="Arial"/>
          <w:sz w:val="13"/>
          <w:szCs w:val="13"/>
          <w:b w:val="1"/>
          <w:bCs w:val="1"/>
          <w:color w:val="6D6E71"/>
        </w:rPr>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b w:val="1"/>
          <w:bCs w:val="1"/>
          <w:color w:val="D7282F"/>
        </w:rPr>
        <w:t>DEFINED TERMS USED IN THIS SECTION</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As used in the Company’s plans, the following terms are assigned the meanings summarized below.</w:t>
      </w:r>
    </w:p>
    <w:p>
      <w:pPr>
        <w:spacing w:after="0" w:line="185" w:lineRule="exact"/>
        <w:rPr>
          <w:sz w:val="20"/>
          <w:szCs w:val="20"/>
          <w:color w:val="auto"/>
        </w:rPr>
      </w:pPr>
    </w:p>
    <w:p>
      <w:pPr>
        <w:ind w:left="20"/>
        <w:spacing w:after="0"/>
        <w:tabs>
          <w:tab w:leader="none" w:pos="2820" w:val="left"/>
        </w:tabs>
        <w:rPr>
          <w:sz w:val="20"/>
          <w:szCs w:val="20"/>
          <w:color w:val="auto"/>
        </w:rPr>
      </w:pPr>
      <w:r>
        <w:rPr>
          <w:rFonts w:ascii="Arial" w:cs="Arial" w:eastAsia="Arial" w:hAnsi="Arial"/>
          <w:sz w:val="14"/>
          <w:szCs w:val="14"/>
          <w:b w:val="1"/>
          <w:bCs w:val="1"/>
          <w:color w:val="auto"/>
        </w:rPr>
        <w:t>Term</w:t>
      </w:r>
      <w:r>
        <w:rPr>
          <w:sz w:val="20"/>
          <w:szCs w:val="20"/>
          <w:color w:val="auto"/>
        </w:rPr>
        <w:tab/>
      </w:r>
      <w:r>
        <w:rPr>
          <w:rFonts w:ascii="Arial" w:cs="Arial" w:eastAsia="Arial" w:hAnsi="Arial"/>
          <w:sz w:val="14"/>
          <w:szCs w:val="14"/>
          <w:b w:val="1"/>
          <w:bCs w:val="1"/>
          <w:color w:val="auto"/>
        </w:rPr>
        <w:t>Summary of 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2343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Change in Control</w:t>
            </w:r>
          </w:p>
        </w:tc>
        <w:tc>
          <w:tcPr>
            <w:tcW w:w="8780" w:type="dxa"/>
            <w:vAlign w:val="bottom"/>
          </w:tcPr>
          <w:p>
            <w:pPr>
              <w:ind w:left="40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The acquisition of 30% or more of the Company's common stock;</w:t>
            </w:r>
          </w:p>
        </w:tc>
        <w:tc>
          <w:tcPr>
            <w:tcW w:w="0" w:type="dxa"/>
            <w:vAlign w:val="bottom"/>
          </w:tcPr>
          <w:p>
            <w:pPr>
              <w:spacing w:after="0"/>
              <w:rPr>
                <w:sz w:val="1"/>
                <w:szCs w:val="1"/>
                <w:color w:val="auto"/>
              </w:rPr>
            </w:pPr>
          </w:p>
        </w:tc>
      </w:tr>
      <w:tr>
        <w:trPr>
          <w:trHeight w:val="87"/>
        </w:trPr>
        <w:tc>
          <w:tcPr>
            <w:tcW w:w="2440" w:type="dxa"/>
            <w:vAlign w:val="bottom"/>
            <w:vMerge w:val="continue"/>
          </w:tcPr>
          <w:p>
            <w:pPr>
              <w:spacing w:after="0"/>
              <w:rPr>
                <w:sz w:val="7"/>
                <w:szCs w:val="7"/>
                <w:color w:val="auto"/>
              </w:rPr>
            </w:pPr>
          </w:p>
        </w:tc>
        <w:tc>
          <w:tcPr>
            <w:tcW w:w="8780" w:type="dxa"/>
            <w:vAlign w:val="bottom"/>
            <w:vMerge w:val="restart"/>
          </w:tcPr>
          <w:p>
            <w:pPr>
              <w:ind w:left="40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The purchase of all or part of the common stock pursuant to a tender offer or exchange offer;</w:t>
            </w:r>
          </w:p>
        </w:tc>
        <w:tc>
          <w:tcPr>
            <w:tcW w:w="0" w:type="dxa"/>
            <w:vAlign w:val="bottom"/>
          </w:tcPr>
          <w:p>
            <w:pPr>
              <w:spacing w:after="0"/>
              <w:rPr>
                <w:sz w:val="1"/>
                <w:szCs w:val="1"/>
                <w:color w:val="auto"/>
              </w:rPr>
            </w:pPr>
          </w:p>
        </w:tc>
      </w:tr>
      <w:tr>
        <w:trPr>
          <w:trHeight w:val="170"/>
        </w:trPr>
        <w:tc>
          <w:tcPr>
            <w:tcW w:w="2440" w:type="dxa"/>
            <w:vAlign w:val="bottom"/>
          </w:tcPr>
          <w:p>
            <w:pPr>
              <w:spacing w:after="0"/>
              <w:rPr>
                <w:sz w:val="14"/>
                <w:szCs w:val="14"/>
                <w:color w:val="auto"/>
              </w:rPr>
            </w:pPr>
          </w:p>
        </w:tc>
        <w:tc>
          <w:tcPr>
            <w:tcW w:w="8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440" w:type="dxa"/>
            <w:vAlign w:val="bottom"/>
          </w:tcPr>
          <w:p>
            <w:pPr>
              <w:spacing w:after="0"/>
              <w:rPr>
                <w:sz w:val="23"/>
                <w:szCs w:val="23"/>
                <w:color w:val="auto"/>
              </w:rPr>
            </w:pPr>
          </w:p>
        </w:tc>
        <w:tc>
          <w:tcPr>
            <w:tcW w:w="8780" w:type="dxa"/>
            <w:vAlign w:val="bottom"/>
          </w:tcPr>
          <w:p>
            <w:pPr>
              <w:ind w:left="40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A merger where Honeywell does not survive as an independent, publicly owned corporation;</w:t>
            </w:r>
          </w:p>
        </w:tc>
        <w:tc>
          <w:tcPr>
            <w:tcW w:w="0" w:type="dxa"/>
            <w:vAlign w:val="bottom"/>
          </w:tcPr>
          <w:p>
            <w:pPr>
              <w:spacing w:after="0"/>
              <w:rPr>
                <w:sz w:val="1"/>
                <w:szCs w:val="1"/>
                <w:color w:val="auto"/>
              </w:rPr>
            </w:pPr>
          </w:p>
        </w:tc>
      </w:tr>
      <w:tr>
        <w:trPr>
          <w:trHeight w:val="270"/>
        </w:trPr>
        <w:tc>
          <w:tcPr>
            <w:tcW w:w="2440" w:type="dxa"/>
            <w:vAlign w:val="bottom"/>
          </w:tcPr>
          <w:p>
            <w:pPr>
              <w:spacing w:after="0"/>
              <w:rPr>
                <w:sz w:val="23"/>
                <w:szCs w:val="23"/>
                <w:color w:val="auto"/>
              </w:rPr>
            </w:pPr>
          </w:p>
        </w:tc>
        <w:tc>
          <w:tcPr>
            <w:tcW w:w="8780" w:type="dxa"/>
            <w:vAlign w:val="bottom"/>
          </w:tcPr>
          <w:p>
            <w:pPr>
              <w:ind w:left="40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A sale of substantially all of Honeywell’s assets; or</w:t>
            </w:r>
          </w:p>
        </w:tc>
        <w:tc>
          <w:tcPr>
            <w:tcW w:w="0" w:type="dxa"/>
            <w:vAlign w:val="bottom"/>
          </w:tcPr>
          <w:p>
            <w:pPr>
              <w:spacing w:after="0"/>
              <w:rPr>
                <w:sz w:val="1"/>
                <w:szCs w:val="1"/>
                <w:color w:val="auto"/>
              </w:rPr>
            </w:pPr>
          </w:p>
        </w:tc>
      </w:tr>
      <w:tr>
        <w:trPr>
          <w:trHeight w:val="257"/>
        </w:trPr>
        <w:tc>
          <w:tcPr>
            <w:tcW w:w="2440" w:type="dxa"/>
            <w:vAlign w:val="bottom"/>
          </w:tcPr>
          <w:p>
            <w:pPr>
              <w:spacing w:after="0"/>
              <w:rPr>
                <w:sz w:val="22"/>
                <w:szCs w:val="22"/>
                <w:color w:val="auto"/>
              </w:rPr>
            </w:pPr>
          </w:p>
        </w:tc>
        <w:tc>
          <w:tcPr>
            <w:tcW w:w="8780" w:type="dxa"/>
            <w:vAlign w:val="bottom"/>
          </w:tcPr>
          <w:p>
            <w:pPr>
              <w:ind w:left="40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A substantial change in Honeywell’s Board over a two-year period.</w:t>
            </w:r>
          </w:p>
        </w:tc>
        <w:tc>
          <w:tcPr>
            <w:tcW w:w="0" w:type="dxa"/>
            <w:vAlign w:val="bottom"/>
          </w:tcPr>
          <w:p>
            <w:pPr>
              <w:spacing w:after="0"/>
              <w:rPr>
                <w:sz w:val="1"/>
                <w:szCs w:val="1"/>
                <w:color w:val="auto"/>
              </w:rPr>
            </w:pPr>
          </w:p>
        </w:tc>
      </w:tr>
      <w:tr>
        <w:trPr>
          <w:trHeight w:val="250"/>
        </w:trPr>
        <w:tc>
          <w:tcPr>
            <w:tcW w:w="2440" w:type="dxa"/>
            <w:vAlign w:val="bottom"/>
          </w:tcPr>
          <w:p>
            <w:pPr>
              <w:spacing w:after="0"/>
              <w:rPr>
                <w:sz w:val="21"/>
                <w:szCs w:val="21"/>
                <w:color w:val="auto"/>
              </w:rPr>
            </w:pPr>
          </w:p>
        </w:tc>
        <w:tc>
          <w:tcPr>
            <w:tcW w:w="8780" w:type="dxa"/>
            <w:vAlign w:val="bottom"/>
          </w:tcPr>
          <w:p>
            <w:pPr>
              <w:ind w:left="40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Additionally, under the Senior Severance Plan, any event that the MDCC, in its discretion, determines to be a</w:t>
            </w:r>
          </w:p>
        </w:tc>
        <w:tc>
          <w:tcPr>
            <w:tcW w:w="0" w:type="dxa"/>
            <w:vAlign w:val="bottom"/>
          </w:tcPr>
          <w:p>
            <w:pPr>
              <w:spacing w:after="0"/>
              <w:rPr>
                <w:sz w:val="1"/>
                <w:szCs w:val="1"/>
                <w:color w:val="auto"/>
              </w:rPr>
            </w:pPr>
          </w:p>
        </w:tc>
      </w:tr>
      <w:tr>
        <w:trPr>
          <w:trHeight w:val="189"/>
        </w:trPr>
        <w:tc>
          <w:tcPr>
            <w:tcW w:w="2440" w:type="dxa"/>
            <w:vAlign w:val="bottom"/>
          </w:tcPr>
          <w:p>
            <w:pPr>
              <w:spacing w:after="0"/>
              <w:rPr>
                <w:sz w:val="16"/>
                <w:szCs w:val="16"/>
                <w:color w:val="auto"/>
              </w:rPr>
            </w:pPr>
          </w:p>
        </w:tc>
        <w:tc>
          <w:tcPr>
            <w:tcW w:w="8780" w:type="dxa"/>
            <w:vAlign w:val="bottom"/>
          </w:tcPr>
          <w:p>
            <w:pPr>
              <w:ind w:left="580"/>
              <w:spacing w:after="0"/>
              <w:rPr>
                <w:sz w:val="20"/>
                <w:szCs w:val="20"/>
                <w:color w:val="auto"/>
              </w:rPr>
            </w:pPr>
            <w:r>
              <w:rPr>
                <w:rFonts w:ascii="Arial" w:cs="Arial" w:eastAsia="Arial" w:hAnsi="Arial"/>
                <w:sz w:val="16"/>
                <w:szCs w:val="16"/>
                <w:color w:val="auto"/>
              </w:rPr>
              <w:t>Change in Control for purposes of that plan; provided that under the 2011 or 2016 Stock Incentive Plan, each of</w:t>
            </w:r>
          </w:p>
        </w:tc>
        <w:tc>
          <w:tcPr>
            <w:tcW w:w="0" w:type="dxa"/>
            <w:vAlign w:val="bottom"/>
          </w:tcPr>
          <w:p>
            <w:pPr>
              <w:spacing w:after="0"/>
              <w:rPr>
                <w:sz w:val="1"/>
                <w:szCs w:val="1"/>
                <w:color w:val="auto"/>
              </w:rPr>
            </w:pPr>
          </w:p>
        </w:tc>
      </w:tr>
      <w:tr>
        <w:trPr>
          <w:trHeight w:val="189"/>
        </w:trPr>
        <w:tc>
          <w:tcPr>
            <w:tcW w:w="2440" w:type="dxa"/>
            <w:vAlign w:val="bottom"/>
          </w:tcPr>
          <w:p>
            <w:pPr>
              <w:spacing w:after="0"/>
              <w:rPr>
                <w:sz w:val="16"/>
                <w:szCs w:val="16"/>
                <w:color w:val="auto"/>
              </w:rPr>
            </w:pPr>
          </w:p>
        </w:tc>
        <w:tc>
          <w:tcPr>
            <w:tcW w:w="8780" w:type="dxa"/>
            <w:vAlign w:val="bottom"/>
          </w:tcPr>
          <w:p>
            <w:pPr>
              <w:ind w:left="580"/>
              <w:spacing w:after="0"/>
              <w:rPr>
                <w:sz w:val="20"/>
                <w:szCs w:val="20"/>
                <w:color w:val="auto"/>
              </w:rPr>
            </w:pPr>
            <w:r>
              <w:rPr>
                <w:rFonts w:ascii="Arial" w:cs="Arial" w:eastAsia="Arial" w:hAnsi="Arial"/>
                <w:sz w:val="16"/>
                <w:szCs w:val="16"/>
                <w:color w:val="auto"/>
              </w:rPr>
              <w:t>the events described above would only be a Change in Control if it constitutes a “change in control event” within</w:t>
            </w:r>
          </w:p>
        </w:tc>
        <w:tc>
          <w:tcPr>
            <w:tcW w:w="0" w:type="dxa"/>
            <w:vAlign w:val="bottom"/>
          </w:tcPr>
          <w:p>
            <w:pPr>
              <w:spacing w:after="0"/>
              <w:rPr>
                <w:sz w:val="1"/>
                <w:szCs w:val="1"/>
                <w:color w:val="auto"/>
              </w:rPr>
            </w:pPr>
          </w:p>
        </w:tc>
      </w:tr>
      <w:tr>
        <w:trPr>
          <w:trHeight w:val="215"/>
        </w:trPr>
        <w:tc>
          <w:tcPr>
            <w:tcW w:w="2440" w:type="dxa"/>
            <w:vAlign w:val="bottom"/>
          </w:tcPr>
          <w:p>
            <w:pPr>
              <w:spacing w:after="0"/>
              <w:rPr>
                <w:sz w:val="18"/>
                <w:szCs w:val="18"/>
                <w:color w:val="auto"/>
              </w:rPr>
            </w:pPr>
          </w:p>
        </w:tc>
        <w:tc>
          <w:tcPr>
            <w:tcW w:w="8780" w:type="dxa"/>
            <w:vAlign w:val="bottom"/>
          </w:tcPr>
          <w:p>
            <w:pPr>
              <w:ind w:left="580"/>
              <w:spacing w:after="0"/>
              <w:rPr>
                <w:sz w:val="20"/>
                <w:szCs w:val="20"/>
                <w:color w:val="auto"/>
              </w:rPr>
            </w:pPr>
            <w:r>
              <w:rPr>
                <w:rFonts w:ascii="Arial" w:cs="Arial" w:eastAsia="Arial" w:hAnsi="Arial"/>
                <w:sz w:val="16"/>
                <w:szCs w:val="16"/>
                <w:color w:val="auto"/>
              </w:rPr>
              <w:t>the meaning of United States Department of Treasury Regulation §1.409A-3(i)(5)(i).</w:t>
            </w:r>
          </w:p>
        </w:tc>
        <w:tc>
          <w:tcPr>
            <w:tcW w:w="0" w:type="dxa"/>
            <w:vAlign w:val="bottom"/>
          </w:tcPr>
          <w:p>
            <w:pPr>
              <w:spacing w:after="0"/>
              <w:rPr>
                <w:sz w:val="1"/>
                <w:szCs w:val="1"/>
                <w:color w:val="auto"/>
              </w:rPr>
            </w:pPr>
          </w:p>
        </w:tc>
      </w:tr>
      <w:tr>
        <w:trPr>
          <w:trHeight w:val="83"/>
        </w:trPr>
        <w:tc>
          <w:tcPr>
            <w:tcW w:w="2440" w:type="dxa"/>
            <w:vAlign w:val="bottom"/>
            <w:tcBorders>
              <w:bottom w:val="single" w:sz="8" w:color="939598"/>
            </w:tcBorders>
          </w:tcPr>
          <w:p>
            <w:pPr>
              <w:spacing w:after="0"/>
              <w:rPr>
                <w:sz w:val="7"/>
                <w:szCs w:val="7"/>
                <w:color w:val="auto"/>
              </w:rPr>
            </w:pPr>
          </w:p>
        </w:tc>
        <w:tc>
          <w:tcPr>
            <w:tcW w:w="8780" w:type="dxa"/>
            <w:vAlign w:val="bottom"/>
            <w:tcBorders>
              <w:bottom w:val="single" w:sz="8" w:color="939598"/>
            </w:tcBorders>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2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Termination for Cause</w:t>
            </w:r>
          </w:p>
        </w:tc>
        <w:tc>
          <w:tcPr>
            <w:tcW w:w="8780" w:type="dxa"/>
            <w:vAlign w:val="bottom"/>
          </w:tcPr>
          <w:p>
            <w:pPr>
              <w:ind w:left="40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Clear and convincing evidence of a significant violation of the Company’s Code of Business Conduct;</w:t>
            </w:r>
          </w:p>
        </w:tc>
        <w:tc>
          <w:tcPr>
            <w:tcW w:w="0" w:type="dxa"/>
            <w:vAlign w:val="bottom"/>
          </w:tcPr>
          <w:p>
            <w:pPr>
              <w:spacing w:after="0"/>
              <w:rPr>
                <w:sz w:val="1"/>
                <w:szCs w:val="1"/>
                <w:color w:val="auto"/>
              </w:rPr>
            </w:pPr>
          </w:p>
        </w:tc>
      </w:tr>
      <w:tr>
        <w:trPr>
          <w:trHeight w:val="86"/>
        </w:trPr>
        <w:tc>
          <w:tcPr>
            <w:tcW w:w="2440" w:type="dxa"/>
            <w:vAlign w:val="bottom"/>
            <w:vMerge w:val="continue"/>
          </w:tcPr>
          <w:p>
            <w:pPr>
              <w:spacing w:after="0"/>
              <w:rPr>
                <w:sz w:val="7"/>
                <w:szCs w:val="7"/>
                <w:color w:val="auto"/>
              </w:rPr>
            </w:pPr>
          </w:p>
        </w:tc>
        <w:tc>
          <w:tcPr>
            <w:tcW w:w="8780" w:type="dxa"/>
            <w:vAlign w:val="bottom"/>
            <w:vMerge w:val="restart"/>
          </w:tcPr>
          <w:p>
            <w:pPr>
              <w:ind w:left="40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The misappropriation, embezzlement, or willful destruction of Company property of significant value;</w:t>
            </w:r>
          </w:p>
        </w:tc>
        <w:tc>
          <w:tcPr>
            <w:tcW w:w="0" w:type="dxa"/>
            <w:vAlign w:val="bottom"/>
          </w:tcPr>
          <w:p>
            <w:pPr>
              <w:spacing w:after="0"/>
              <w:rPr>
                <w:sz w:val="1"/>
                <w:szCs w:val="1"/>
                <w:color w:val="auto"/>
              </w:rPr>
            </w:pPr>
          </w:p>
        </w:tc>
      </w:tr>
      <w:tr>
        <w:trPr>
          <w:trHeight w:val="170"/>
        </w:trPr>
        <w:tc>
          <w:tcPr>
            <w:tcW w:w="2440" w:type="dxa"/>
            <w:vAlign w:val="bottom"/>
          </w:tcPr>
          <w:p>
            <w:pPr>
              <w:spacing w:after="0"/>
              <w:rPr>
                <w:sz w:val="14"/>
                <w:szCs w:val="14"/>
                <w:color w:val="auto"/>
              </w:rPr>
            </w:pPr>
          </w:p>
        </w:tc>
        <w:tc>
          <w:tcPr>
            <w:tcW w:w="8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440" w:type="dxa"/>
            <w:vAlign w:val="bottom"/>
          </w:tcPr>
          <w:p>
            <w:pPr>
              <w:spacing w:after="0"/>
              <w:rPr>
                <w:sz w:val="20"/>
                <w:szCs w:val="20"/>
                <w:color w:val="auto"/>
              </w:rPr>
            </w:pPr>
          </w:p>
        </w:tc>
        <w:tc>
          <w:tcPr>
            <w:tcW w:w="8780" w:type="dxa"/>
            <w:vAlign w:val="bottom"/>
          </w:tcPr>
          <w:p>
            <w:pPr>
              <w:ind w:left="40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The willful failure to perform, gross negligence, or intentional misconduct of significant duties that results in</w:t>
            </w:r>
          </w:p>
        </w:tc>
        <w:tc>
          <w:tcPr>
            <w:tcW w:w="0" w:type="dxa"/>
            <w:vAlign w:val="bottom"/>
          </w:tcPr>
          <w:p>
            <w:pPr>
              <w:spacing w:after="0"/>
              <w:rPr>
                <w:sz w:val="1"/>
                <w:szCs w:val="1"/>
                <w:color w:val="auto"/>
              </w:rPr>
            </w:pPr>
          </w:p>
        </w:tc>
      </w:tr>
      <w:tr>
        <w:trPr>
          <w:trHeight w:val="215"/>
        </w:trPr>
        <w:tc>
          <w:tcPr>
            <w:tcW w:w="2440" w:type="dxa"/>
            <w:vAlign w:val="bottom"/>
          </w:tcPr>
          <w:p>
            <w:pPr>
              <w:spacing w:after="0"/>
              <w:rPr>
                <w:sz w:val="18"/>
                <w:szCs w:val="18"/>
                <w:color w:val="auto"/>
              </w:rPr>
            </w:pPr>
          </w:p>
        </w:tc>
        <w:tc>
          <w:tcPr>
            <w:tcW w:w="8780" w:type="dxa"/>
            <w:vAlign w:val="bottom"/>
          </w:tcPr>
          <w:p>
            <w:pPr>
              <w:ind w:left="580"/>
              <w:spacing w:after="0"/>
              <w:rPr>
                <w:sz w:val="20"/>
                <w:szCs w:val="20"/>
                <w:color w:val="auto"/>
              </w:rPr>
            </w:pPr>
            <w:r>
              <w:rPr>
                <w:rFonts w:ascii="Arial" w:cs="Arial" w:eastAsia="Arial" w:hAnsi="Arial"/>
                <w:sz w:val="16"/>
                <w:szCs w:val="16"/>
                <w:color w:val="auto"/>
              </w:rPr>
              <w:t>material harm to the business of the Company;</w:t>
            </w:r>
          </w:p>
        </w:tc>
        <w:tc>
          <w:tcPr>
            <w:tcW w:w="0" w:type="dxa"/>
            <w:vAlign w:val="bottom"/>
          </w:tcPr>
          <w:p>
            <w:pPr>
              <w:spacing w:after="0"/>
              <w:rPr>
                <w:sz w:val="1"/>
                <w:szCs w:val="1"/>
                <w:color w:val="auto"/>
              </w:rPr>
            </w:pPr>
          </w:p>
        </w:tc>
      </w:tr>
      <w:tr>
        <w:trPr>
          <w:trHeight w:val="258"/>
        </w:trPr>
        <w:tc>
          <w:tcPr>
            <w:tcW w:w="2440" w:type="dxa"/>
            <w:vAlign w:val="bottom"/>
          </w:tcPr>
          <w:p>
            <w:pPr>
              <w:spacing w:after="0"/>
              <w:rPr>
                <w:sz w:val="22"/>
                <w:szCs w:val="22"/>
                <w:color w:val="auto"/>
              </w:rPr>
            </w:pPr>
          </w:p>
        </w:tc>
        <w:tc>
          <w:tcPr>
            <w:tcW w:w="8780" w:type="dxa"/>
            <w:vAlign w:val="bottom"/>
          </w:tcPr>
          <w:p>
            <w:pPr>
              <w:ind w:left="40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The conviction (treating a</w:t>
            </w:r>
            <w:r>
              <w:rPr>
                <w:rFonts w:ascii="Arial" w:cs="Arial" w:eastAsia="Arial" w:hAnsi="Arial"/>
                <w:sz w:val="16"/>
                <w:szCs w:val="16"/>
                <w:b w:val="1"/>
                <w:bCs w:val="1"/>
                <w:color w:val="D7282F"/>
              </w:rPr>
              <w:t xml:space="preserve"> </w:t>
            </w:r>
            <w:r>
              <w:rPr>
                <w:rFonts w:ascii="Arial" w:cs="Arial" w:eastAsia="Arial" w:hAnsi="Arial"/>
                <w:sz w:val="16"/>
                <w:szCs w:val="16"/>
                <w:i w:val="1"/>
                <w:iCs w:val="1"/>
                <w:color w:val="000000"/>
              </w:rPr>
              <w:t>nolo contendere</w:t>
            </w:r>
            <w:r>
              <w:rPr>
                <w:rFonts w:ascii="Arial" w:cs="Arial" w:eastAsia="Arial" w:hAnsi="Arial"/>
                <w:sz w:val="16"/>
                <w:szCs w:val="16"/>
                <w:b w:val="1"/>
                <w:bCs w:val="1"/>
                <w:color w:val="D7282F"/>
              </w:rPr>
              <w:t xml:space="preserve"> </w:t>
            </w:r>
            <w:r>
              <w:rPr>
                <w:rFonts w:ascii="Arial" w:cs="Arial" w:eastAsia="Arial" w:hAnsi="Arial"/>
                <w:sz w:val="16"/>
                <w:szCs w:val="16"/>
                <w:color w:val="000000"/>
              </w:rPr>
              <w:t>plea as a conviction) of a felony (whether or not any right to appeal has</w:t>
            </w:r>
          </w:p>
        </w:tc>
        <w:tc>
          <w:tcPr>
            <w:tcW w:w="0" w:type="dxa"/>
            <w:vAlign w:val="bottom"/>
          </w:tcPr>
          <w:p>
            <w:pPr>
              <w:spacing w:after="0"/>
              <w:rPr>
                <w:sz w:val="1"/>
                <w:szCs w:val="1"/>
                <w:color w:val="auto"/>
              </w:rPr>
            </w:pPr>
          </w:p>
        </w:tc>
      </w:tr>
      <w:tr>
        <w:trPr>
          <w:trHeight w:val="215"/>
        </w:trPr>
        <w:tc>
          <w:tcPr>
            <w:tcW w:w="2440" w:type="dxa"/>
            <w:vAlign w:val="bottom"/>
          </w:tcPr>
          <w:p>
            <w:pPr>
              <w:spacing w:after="0"/>
              <w:rPr>
                <w:sz w:val="18"/>
                <w:szCs w:val="18"/>
                <w:color w:val="auto"/>
              </w:rPr>
            </w:pPr>
          </w:p>
        </w:tc>
        <w:tc>
          <w:tcPr>
            <w:tcW w:w="8780" w:type="dxa"/>
            <w:vAlign w:val="bottom"/>
          </w:tcPr>
          <w:p>
            <w:pPr>
              <w:ind w:left="580"/>
              <w:spacing w:after="0"/>
              <w:rPr>
                <w:sz w:val="20"/>
                <w:szCs w:val="20"/>
                <w:color w:val="auto"/>
              </w:rPr>
            </w:pPr>
            <w:r>
              <w:rPr>
                <w:rFonts w:ascii="Arial" w:cs="Arial" w:eastAsia="Arial" w:hAnsi="Arial"/>
                <w:sz w:val="16"/>
                <w:szCs w:val="16"/>
                <w:color w:val="auto"/>
              </w:rPr>
              <w:t>been or may be exercised);</w:t>
            </w:r>
          </w:p>
        </w:tc>
        <w:tc>
          <w:tcPr>
            <w:tcW w:w="0" w:type="dxa"/>
            <w:vAlign w:val="bottom"/>
          </w:tcPr>
          <w:p>
            <w:pPr>
              <w:spacing w:after="0"/>
              <w:rPr>
                <w:sz w:val="1"/>
                <w:szCs w:val="1"/>
                <w:color w:val="auto"/>
              </w:rPr>
            </w:pPr>
          </w:p>
        </w:tc>
      </w:tr>
      <w:tr>
        <w:trPr>
          <w:trHeight w:val="244"/>
        </w:trPr>
        <w:tc>
          <w:tcPr>
            <w:tcW w:w="2440" w:type="dxa"/>
            <w:vAlign w:val="bottom"/>
          </w:tcPr>
          <w:p>
            <w:pPr>
              <w:spacing w:after="0"/>
              <w:rPr>
                <w:sz w:val="21"/>
                <w:szCs w:val="21"/>
                <w:color w:val="auto"/>
              </w:rPr>
            </w:pPr>
          </w:p>
        </w:tc>
        <w:tc>
          <w:tcPr>
            <w:tcW w:w="8780" w:type="dxa"/>
            <w:vAlign w:val="bottom"/>
          </w:tcPr>
          <w:p>
            <w:pPr>
              <w:ind w:left="40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The failure to cooperate fully in a Company investigation or to be fully truthful when providing evidence or</w:t>
            </w:r>
          </w:p>
        </w:tc>
        <w:tc>
          <w:tcPr>
            <w:tcW w:w="0" w:type="dxa"/>
            <w:vAlign w:val="bottom"/>
          </w:tcPr>
          <w:p>
            <w:pPr>
              <w:spacing w:after="0"/>
              <w:rPr>
                <w:sz w:val="1"/>
                <w:szCs w:val="1"/>
                <w:color w:val="auto"/>
              </w:rPr>
            </w:pPr>
          </w:p>
        </w:tc>
      </w:tr>
      <w:tr>
        <w:trPr>
          <w:trHeight w:val="215"/>
        </w:trPr>
        <w:tc>
          <w:tcPr>
            <w:tcW w:w="2440" w:type="dxa"/>
            <w:vAlign w:val="bottom"/>
          </w:tcPr>
          <w:p>
            <w:pPr>
              <w:spacing w:after="0"/>
              <w:rPr>
                <w:sz w:val="18"/>
                <w:szCs w:val="18"/>
                <w:color w:val="auto"/>
              </w:rPr>
            </w:pPr>
          </w:p>
        </w:tc>
        <w:tc>
          <w:tcPr>
            <w:tcW w:w="8780" w:type="dxa"/>
            <w:vAlign w:val="bottom"/>
          </w:tcPr>
          <w:p>
            <w:pPr>
              <w:ind w:left="580"/>
              <w:spacing w:after="0"/>
              <w:rPr>
                <w:sz w:val="20"/>
                <w:szCs w:val="20"/>
                <w:color w:val="auto"/>
              </w:rPr>
            </w:pPr>
            <w:r>
              <w:rPr>
                <w:rFonts w:ascii="Arial" w:cs="Arial" w:eastAsia="Arial" w:hAnsi="Arial"/>
                <w:sz w:val="16"/>
                <w:szCs w:val="16"/>
                <w:color w:val="auto"/>
              </w:rPr>
              <w:t>testimony in such investigation; or</w:t>
            </w:r>
          </w:p>
        </w:tc>
        <w:tc>
          <w:tcPr>
            <w:tcW w:w="0" w:type="dxa"/>
            <w:vAlign w:val="bottom"/>
          </w:tcPr>
          <w:p>
            <w:pPr>
              <w:spacing w:after="0"/>
              <w:rPr>
                <w:sz w:val="1"/>
                <w:szCs w:val="1"/>
                <w:color w:val="auto"/>
              </w:rPr>
            </w:pPr>
          </w:p>
        </w:tc>
      </w:tr>
      <w:tr>
        <w:trPr>
          <w:trHeight w:val="244"/>
        </w:trPr>
        <w:tc>
          <w:tcPr>
            <w:tcW w:w="2440" w:type="dxa"/>
            <w:vAlign w:val="bottom"/>
          </w:tcPr>
          <w:p>
            <w:pPr>
              <w:spacing w:after="0"/>
              <w:rPr>
                <w:sz w:val="21"/>
                <w:szCs w:val="21"/>
                <w:color w:val="auto"/>
              </w:rPr>
            </w:pPr>
          </w:p>
        </w:tc>
        <w:tc>
          <w:tcPr>
            <w:tcW w:w="8780" w:type="dxa"/>
            <w:vAlign w:val="bottom"/>
          </w:tcPr>
          <w:p>
            <w:pPr>
              <w:ind w:left="40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Clear and convincing evidence of the willful falsification of any financial records of the Company that are used in</w:t>
            </w:r>
          </w:p>
        </w:tc>
        <w:tc>
          <w:tcPr>
            <w:tcW w:w="0" w:type="dxa"/>
            <w:vAlign w:val="bottom"/>
          </w:tcPr>
          <w:p>
            <w:pPr>
              <w:spacing w:after="0"/>
              <w:rPr>
                <w:sz w:val="1"/>
                <w:szCs w:val="1"/>
                <w:color w:val="auto"/>
              </w:rPr>
            </w:pPr>
          </w:p>
        </w:tc>
      </w:tr>
      <w:tr>
        <w:trPr>
          <w:trHeight w:val="189"/>
        </w:trPr>
        <w:tc>
          <w:tcPr>
            <w:tcW w:w="2440" w:type="dxa"/>
            <w:vAlign w:val="bottom"/>
          </w:tcPr>
          <w:p>
            <w:pPr>
              <w:spacing w:after="0"/>
              <w:rPr>
                <w:sz w:val="16"/>
                <w:szCs w:val="16"/>
                <w:color w:val="auto"/>
              </w:rPr>
            </w:pPr>
          </w:p>
        </w:tc>
        <w:tc>
          <w:tcPr>
            <w:tcW w:w="8780" w:type="dxa"/>
            <w:vAlign w:val="bottom"/>
          </w:tcPr>
          <w:p>
            <w:pPr>
              <w:ind w:left="580"/>
              <w:spacing w:after="0"/>
              <w:rPr>
                <w:sz w:val="20"/>
                <w:szCs w:val="20"/>
                <w:color w:val="auto"/>
              </w:rPr>
            </w:pPr>
            <w:r>
              <w:rPr>
                <w:rFonts w:ascii="Arial" w:cs="Arial" w:eastAsia="Arial" w:hAnsi="Arial"/>
                <w:sz w:val="16"/>
                <w:szCs w:val="16"/>
                <w:color w:val="auto"/>
              </w:rPr>
              <w:t>compiling the Company’s financial statements or related disclosures, with the intent of violating generally</w:t>
            </w:r>
          </w:p>
        </w:tc>
        <w:tc>
          <w:tcPr>
            <w:tcW w:w="0" w:type="dxa"/>
            <w:vAlign w:val="bottom"/>
          </w:tcPr>
          <w:p>
            <w:pPr>
              <w:spacing w:after="0"/>
              <w:rPr>
                <w:sz w:val="1"/>
                <w:szCs w:val="1"/>
                <w:color w:val="auto"/>
              </w:rPr>
            </w:pPr>
          </w:p>
        </w:tc>
      </w:tr>
      <w:tr>
        <w:trPr>
          <w:trHeight w:val="215"/>
        </w:trPr>
        <w:tc>
          <w:tcPr>
            <w:tcW w:w="2440" w:type="dxa"/>
            <w:vAlign w:val="bottom"/>
          </w:tcPr>
          <w:p>
            <w:pPr>
              <w:spacing w:after="0"/>
              <w:rPr>
                <w:sz w:val="18"/>
                <w:szCs w:val="18"/>
                <w:color w:val="auto"/>
              </w:rPr>
            </w:pPr>
          </w:p>
        </w:tc>
        <w:tc>
          <w:tcPr>
            <w:tcW w:w="8780" w:type="dxa"/>
            <w:vAlign w:val="bottom"/>
          </w:tcPr>
          <w:p>
            <w:pPr>
              <w:ind w:left="580"/>
              <w:spacing w:after="0"/>
              <w:rPr>
                <w:sz w:val="20"/>
                <w:szCs w:val="20"/>
                <w:color w:val="auto"/>
              </w:rPr>
            </w:pPr>
            <w:r>
              <w:rPr>
                <w:rFonts w:ascii="Arial" w:cs="Arial" w:eastAsia="Arial" w:hAnsi="Arial"/>
                <w:sz w:val="16"/>
                <w:szCs w:val="16"/>
                <w:color w:val="auto"/>
              </w:rPr>
              <w:t>accepted accounting principles or, if applicable, International Financial Reporting Standards.</w:t>
            </w:r>
          </w:p>
        </w:tc>
        <w:tc>
          <w:tcPr>
            <w:tcW w:w="0" w:type="dxa"/>
            <w:vAlign w:val="bottom"/>
          </w:tcPr>
          <w:p>
            <w:pPr>
              <w:spacing w:after="0"/>
              <w:rPr>
                <w:sz w:val="1"/>
                <w:szCs w:val="1"/>
                <w:color w:val="auto"/>
              </w:rPr>
            </w:pPr>
          </w:p>
        </w:tc>
      </w:tr>
      <w:tr>
        <w:trPr>
          <w:trHeight w:val="83"/>
        </w:trPr>
        <w:tc>
          <w:tcPr>
            <w:tcW w:w="2440" w:type="dxa"/>
            <w:vAlign w:val="bottom"/>
            <w:tcBorders>
              <w:bottom w:val="single" w:sz="8" w:color="939598"/>
            </w:tcBorders>
          </w:tcPr>
          <w:p>
            <w:pPr>
              <w:spacing w:after="0"/>
              <w:rPr>
                <w:sz w:val="7"/>
                <w:szCs w:val="7"/>
                <w:color w:val="auto"/>
              </w:rPr>
            </w:pPr>
          </w:p>
        </w:tc>
        <w:tc>
          <w:tcPr>
            <w:tcW w:w="8780" w:type="dxa"/>
            <w:vAlign w:val="bottom"/>
            <w:tcBorders>
              <w:bottom w:val="single" w:sz="8" w:color="939598"/>
            </w:tcBorders>
          </w:tcPr>
          <w:p>
            <w:pPr>
              <w:spacing w:after="0"/>
              <w:rPr>
                <w:sz w:val="7"/>
                <w:szCs w:val="7"/>
                <w:color w:val="auto"/>
              </w:rPr>
            </w:pPr>
          </w:p>
        </w:tc>
        <w:tc>
          <w:tcPr>
            <w:tcW w:w="0" w:type="dxa"/>
            <w:vAlign w:val="bottom"/>
          </w:tcPr>
          <w:p>
            <w:pPr>
              <w:spacing w:after="0"/>
              <w:rPr>
                <w:sz w:val="1"/>
                <w:szCs w:val="1"/>
                <w:color w:val="auto"/>
              </w:rPr>
            </w:pPr>
          </w:p>
        </w:tc>
      </w:tr>
      <w:tr>
        <w:trPr>
          <w:trHeight w:val="269"/>
        </w:trPr>
        <w:tc>
          <w:tcPr>
            <w:tcW w:w="2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Termination for Good Reason</w:t>
            </w:r>
          </w:p>
        </w:tc>
        <w:tc>
          <w:tcPr>
            <w:tcW w:w="8780" w:type="dxa"/>
            <w:vAlign w:val="bottom"/>
          </w:tcPr>
          <w:p>
            <w:pPr>
              <w:ind w:left="40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A material diminution in the NEO’s authority, duties, or responsibilities;</w:t>
            </w:r>
          </w:p>
        </w:tc>
        <w:tc>
          <w:tcPr>
            <w:tcW w:w="0" w:type="dxa"/>
            <w:vAlign w:val="bottom"/>
          </w:tcPr>
          <w:p>
            <w:pPr>
              <w:spacing w:after="0"/>
              <w:rPr>
                <w:sz w:val="1"/>
                <w:szCs w:val="1"/>
                <w:color w:val="auto"/>
              </w:rPr>
            </w:pPr>
          </w:p>
        </w:tc>
      </w:tr>
      <w:tr>
        <w:trPr>
          <w:trHeight w:val="87"/>
        </w:trPr>
        <w:tc>
          <w:tcPr>
            <w:tcW w:w="2440" w:type="dxa"/>
            <w:vAlign w:val="bottom"/>
            <w:vMerge w:val="continue"/>
          </w:tcPr>
          <w:p>
            <w:pPr>
              <w:spacing w:after="0"/>
              <w:rPr>
                <w:sz w:val="7"/>
                <w:szCs w:val="7"/>
                <w:color w:val="auto"/>
              </w:rPr>
            </w:pPr>
          </w:p>
        </w:tc>
        <w:tc>
          <w:tcPr>
            <w:tcW w:w="8780" w:type="dxa"/>
            <w:vAlign w:val="bottom"/>
            <w:vMerge w:val="restart"/>
          </w:tcPr>
          <w:p>
            <w:pPr>
              <w:ind w:left="40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A material decrease in base compensation;</w:t>
            </w:r>
          </w:p>
        </w:tc>
        <w:tc>
          <w:tcPr>
            <w:tcW w:w="0" w:type="dxa"/>
            <w:vAlign w:val="bottom"/>
          </w:tcPr>
          <w:p>
            <w:pPr>
              <w:spacing w:after="0"/>
              <w:rPr>
                <w:sz w:val="1"/>
                <w:szCs w:val="1"/>
                <w:color w:val="auto"/>
              </w:rPr>
            </w:pPr>
          </w:p>
        </w:tc>
      </w:tr>
      <w:tr>
        <w:trPr>
          <w:trHeight w:val="170"/>
        </w:trPr>
        <w:tc>
          <w:tcPr>
            <w:tcW w:w="2440" w:type="dxa"/>
            <w:vAlign w:val="bottom"/>
          </w:tcPr>
          <w:p>
            <w:pPr>
              <w:spacing w:after="0"/>
              <w:rPr>
                <w:sz w:val="14"/>
                <w:szCs w:val="14"/>
                <w:color w:val="auto"/>
              </w:rPr>
            </w:pPr>
          </w:p>
        </w:tc>
        <w:tc>
          <w:tcPr>
            <w:tcW w:w="8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440" w:type="dxa"/>
            <w:vAlign w:val="bottom"/>
          </w:tcPr>
          <w:p>
            <w:pPr>
              <w:spacing w:after="0"/>
              <w:rPr>
                <w:sz w:val="20"/>
                <w:szCs w:val="20"/>
                <w:color w:val="auto"/>
              </w:rPr>
            </w:pPr>
          </w:p>
        </w:tc>
        <w:tc>
          <w:tcPr>
            <w:tcW w:w="8780" w:type="dxa"/>
            <w:vAlign w:val="bottom"/>
          </w:tcPr>
          <w:p>
            <w:pPr>
              <w:ind w:left="40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A material reduction in the aggregate benefits available to the NEO where such reduction does not apply to all</w:t>
            </w:r>
          </w:p>
        </w:tc>
        <w:tc>
          <w:tcPr>
            <w:tcW w:w="0" w:type="dxa"/>
            <w:vAlign w:val="bottom"/>
          </w:tcPr>
          <w:p>
            <w:pPr>
              <w:spacing w:after="0"/>
              <w:rPr>
                <w:sz w:val="1"/>
                <w:szCs w:val="1"/>
                <w:color w:val="auto"/>
              </w:rPr>
            </w:pPr>
          </w:p>
        </w:tc>
      </w:tr>
      <w:tr>
        <w:trPr>
          <w:trHeight w:val="215"/>
        </w:trPr>
        <w:tc>
          <w:tcPr>
            <w:tcW w:w="2440" w:type="dxa"/>
            <w:vAlign w:val="bottom"/>
          </w:tcPr>
          <w:p>
            <w:pPr>
              <w:spacing w:after="0"/>
              <w:rPr>
                <w:sz w:val="18"/>
                <w:szCs w:val="18"/>
                <w:color w:val="auto"/>
              </w:rPr>
            </w:pPr>
          </w:p>
        </w:tc>
        <w:tc>
          <w:tcPr>
            <w:tcW w:w="8780" w:type="dxa"/>
            <w:vAlign w:val="bottom"/>
          </w:tcPr>
          <w:p>
            <w:pPr>
              <w:ind w:left="580"/>
              <w:spacing w:after="0"/>
              <w:rPr>
                <w:sz w:val="20"/>
                <w:szCs w:val="20"/>
                <w:color w:val="auto"/>
              </w:rPr>
            </w:pPr>
            <w:r>
              <w:rPr>
                <w:rFonts w:ascii="Arial" w:cs="Arial" w:eastAsia="Arial" w:hAnsi="Arial"/>
                <w:sz w:val="16"/>
                <w:szCs w:val="16"/>
                <w:color w:val="auto"/>
              </w:rPr>
              <w:t>similarly situated employees;</w:t>
            </w:r>
          </w:p>
        </w:tc>
        <w:tc>
          <w:tcPr>
            <w:tcW w:w="0" w:type="dxa"/>
            <w:vAlign w:val="bottom"/>
          </w:tcPr>
          <w:p>
            <w:pPr>
              <w:spacing w:after="0"/>
              <w:rPr>
                <w:sz w:val="1"/>
                <w:szCs w:val="1"/>
                <w:color w:val="auto"/>
              </w:rPr>
            </w:pPr>
          </w:p>
        </w:tc>
      </w:tr>
      <w:tr>
        <w:trPr>
          <w:trHeight w:val="258"/>
        </w:trPr>
        <w:tc>
          <w:tcPr>
            <w:tcW w:w="2440" w:type="dxa"/>
            <w:vAlign w:val="bottom"/>
          </w:tcPr>
          <w:p>
            <w:pPr>
              <w:spacing w:after="0"/>
              <w:rPr>
                <w:sz w:val="22"/>
                <w:szCs w:val="22"/>
                <w:color w:val="auto"/>
              </w:rPr>
            </w:pPr>
          </w:p>
        </w:tc>
        <w:tc>
          <w:tcPr>
            <w:tcW w:w="8780" w:type="dxa"/>
            <w:vAlign w:val="bottom"/>
          </w:tcPr>
          <w:p>
            <w:pPr>
              <w:ind w:left="40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Any geographic relocation of the NEO’s position to a location that is more than 50 miles from his or her previous</w:t>
            </w:r>
          </w:p>
        </w:tc>
        <w:tc>
          <w:tcPr>
            <w:tcW w:w="0" w:type="dxa"/>
            <w:vAlign w:val="bottom"/>
          </w:tcPr>
          <w:p>
            <w:pPr>
              <w:spacing w:after="0"/>
              <w:rPr>
                <w:sz w:val="1"/>
                <w:szCs w:val="1"/>
                <w:color w:val="auto"/>
              </w:rPr>
            </w:pPr>
          </w:p>
        </w:tc>
      </w:tr>
      <w:tr>
        <w:trPr>
          <w:trHeight w:val="215"/>
        </w:trPr>
        <w:tc>
          <w:tcPr>
            <w:tcW w:w="2440" w:type="dxa"/>
            <w:vAlign w:val="bottom"/>
          </w:tcPr>
          <w:p>
            <w:pPr>
              <w:spacing w:after="0"/>
              <w:rPr>
                <w:sz w:val="18"/>
                <w:szCs w:val="18"/>
                <w:color w:val="auto"/>
              </w:rPr>
            </w:pPr>
          </w:p>
        </w:tc>
        <w:tc>
          <w:tcPr>
            <w:tcW w:w="8780" w:type="dxa"/>
            <w:vAlign w:val="bottom"/>
          </w:tcPr>
          <w:p>
            <w:pPr>
              <w:ind w:left="580"/>
              <w:spacing w:after="0"/>
              <w:rPr>
                <w:sz w:val="20"/>
                <w:szCs w:val="20"/>
                <w:color w:val="auto"/>
              </w:rPr>
            </w:pPr>
            <w:r>
              <w:rPr>
                <w:rFonts w:ascii="Arial" w:cs="Arial" w:eastAsia="Arial" w:hAnsi="Arial"/>
                <w:sz w:val="16"/>
                <w:szCs w:val="16"/>
                <w:color w:val="auto"/>
              </w:rPr>
              <w:t>work location;</w:t>
            </w:r>
          </w:p>
        </w:tc>
        <w:tc>
          <w:tcPr>
            <w:tcW w:w="0" w:type="dxa"/>
            <w:vAlign w:val="bottom"/>
          </w:tcPr>
          <w:p>
            <w:pPr>
              <w:spacing w:after="0"/>
              <w:rPr>
                <w:sz w:val="1"/>
                <w:szCs w:val="1"/>
                <w:color w:val="auto"/>
              </w:rPr>
            </w:pPr>
          </w:p>
        </w:tc>
      </w:tr>
      <w:tr>
        <w:trPr>
          <w:trHeight w:val="265"/>
        </w:trPr>
        <w:tc>
          <w:tcPr>
            <w:tcW w:w="2440" w:type="dxa"/>
            <w:vAlign w:val="bottom"/>
          </w:tcPr>
          <w:p>
            <w:pPr>
              <w:spacing w:after="0"/>
              <w:rPr>
                <w:sz w:val="23"/>
                <w:szCs w:val="23"/>
                <w:color w:val="auto"/>
              </w:rPr>
            </w:pPr>
          </w:p>
        </w:tc>
        <w:tc>
          <w:tcPr>
            <w:tcW w:w="8780" w:type="dxa"/>
            <w:vAlign w:val="bottom"/>
          </w:tcPr>
          <w:p>
            <w:pPr>
              <w:ind w:left="40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Any action that constitutes a constructive discharge; or</w:t>
            </w:r>
          </w:p>
        </w:tc>
        <w:tc>
          <w:tcPr>
            <w:tcW w:w="0" w:type="dxa"/>
            <w:vAlign w:val="bottom"/>
          </w:tcPr>
          <w:p>
            <w:pPr>
              <w:spacing w:after="0"/>
              <w:rPr>
                <w:sz w:val="1"/>
                <w:szCs w:val="1"/>
                <w:color w:val="auto"/>
              </w:rPr>
            </w:pPr>
          </w:p>
        </w:tc>
      </w:tr>
      <w:tr>
        <w:trPr>
          <w:trHeight w:val="270"/>
        </w:trPr>
        <w:tc>
          <w:tcPr>
            <w:tcW w:w="2440" w:type="dxa"/>
            <w:vAlign w:val="bottom"/>
          </w:tcPr>
          <w:p>
            <w:pPr>
              <w:spacing w:after="0"/>
              <w:rPr>
                <w:sz w:val="23"/>
                <w:szCs w:val="23"/>
                <w:color w:val="auto"/>
              </w:rPr>
            </w:pPr>
          </w:p>
        </w:tc>
        <w:tc>
          <w:tcPr>
            <w:tcW w:w="8780" w:type="dxa"/>
            <w:vAlign w:val="bottom"/>
          </w:tcPr>
          <w:p>
            <w:pPr>
              <w:ind w:left="40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The failure of a successor to assume these obligations under the Senior Severance Plan.</w:t>
            </w:r>
          </w:p>
        </w:tc>
        <w:tc>
          <w:tcPr>
            <w:tcW w:w="0" w:type="dxa"/>
            <w:vAlign w:val="bottom"/>
          </w:tcPr>
          <w:p>
            <w:pPr>
              <w:spacing w:after="0"/>
              <w:rPr>
                <w:sz w:val="1"/>
                <w:szCs w:val="1"/>
                <w:color w:val="auto"/>
              </w:rPr>
            </w:pPr>
          </w:p>
        </w:tc>
      </w:tr>
      <w:tr>
        <w:trPr>
          <w:trHeight w:val="75"/>
        </w:trPr>
        <w:tc>
          <w:tcPr>
            <w:tcW w:w="2440" w:type="dxa"/>
            <w:vAlign w:val="bottom"/>
            <w:tcBorders>
              <w:bottom w:val="single" w:sz="8" w:color="D7282F"/>
            </w:tcBorders>
          </w:tcPr>
          <w:p>
            <w:pPr>
              <w:spacing w:after="0"/>
              <w:rPr>
                <w:sz w:val="6"/>
                <w:szCs w:val="6"/>
                <w:color w:val="auto"/>
              </w:rPr>
            </w:pPr>
          </w:p>
        </w:tc>
        <w:tc>
          <w:tcPr>
            <w:tcW w:w="8780" w:type="dxa"/>
            <w:vAlign w:val="bottom"/>
            <w:tcBorders>
              <w:bottom w:val="single" w:sz="8" w:color="D7282F"/>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20"/>
        <w:spacing w:after="0"/>
        <w:tabs>
          <w:tab w:leader="none" w:pos="1860" w:val="left"/>
        </w:tabs>
        <w:rPr>
          <w:sz w:val="20"/>
          <w:szCs w:val="20"/>
          <w:color w:val="auto"/>
        </w:rPr>
      </w:pPr>
      <w:r>
        <w:rPr>
          <w:rFonts w:ascii="Arial" w:cs="Arial" w:eastAsia="Arial" w:hAnsi="Arial"/>
          <w:sz w:val="18"/>
          <w:szCs w:val="18"/>
          <w:b w:val="1"/>
          <w:bCs w:val="1"/>
          <w:color w:val="auto"/>
        </w:rPr>
        <w:t xml:space="preserve">102  </w:t>
      </w:r>
      <w:r>
        <w:rPr>
          <w:sz w:val="1"/>
          <w:szCs w:val="1"/>
          <w:color w:val="auto"/>
        </w:rPr>
        <w:drawing>
          <wp:inline distT="0" distB="0" distL="0" distR="0">
            <wp:extent cx="548640" cy="102870"/>
            <wp:effectExtent l="0" t="0" r="0" b="0"/>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2026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16" w:name="page117"/>
    <w:bookmarkEnd w:id="116"/>
    <w:p>
      <w:pPr>
        <w:jc w:val="right"/>
        <w:spacing w:after="0"/>
        <w:rPr>
          <w:sz w:val="20"/>
          <w:szCs w:val="20"/>
          <w:color w:val="auto"/>
        </w:rPr>
      </w:pPr>
      <w:r>
        <w:rPr>
          <w:rFonts w:ascii="Arial" w:cs="Arial" w:eastAsia="Arial" w:hAnsi="Arial"/>
          <w:sz w:val="13"/>
          <w:szCs w:val="13"/>
          <w:b w:val="1"/>
          <w:bCs w:val="1"/>
          <w:color w:val="6D6E71"/>
        </w:rPr>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CEO PAY RATIO</w:t>
      </w:r>
    </w:p>
    <w:p>
      <w:pPr>
        <w:spacing w:after="0" w:line="127"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As required by Section 953(b) of the Dodd-Frank Wall Street Reform and Consumer Protection Act, and Item 402(u) of Regulation S-K, we are providing the following information about the relationship of the annual total compensation of the individual identified as our median paid employee and the 2025 annual total compensation of Vimal Kapur, our Chairman and CEO.</w:t>
      </w:r>
    </w:p>
    <w:p>
      <w:pPr>
        <w:spacing w:after="0" w:line="56"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auto"/>
        </w:rPr>
        <w:t>To identify the median of the annual total compensation of all our employees, and to determine the annual total compensation of the “median employee,” the methodology and the material assumptions, adjustments, and estimates we used were as follows:</w:t>
      </w:r>
    </w:p>
    <w:p>
      <w:pPr>
        <w:spacing w:after="0" w:line="33" w:lineRule="exact"/>
        <w:rPr>
          <w:sz w:val="20"/>
          <w:szCs w:val="20"/>
          <w:color w:val="auto"/>
        </w:rPr>
      </w:pPr>
    </w:p>
    <w:p>
      <w:pPr>
        <w:ind w:left="200" w:hanging="192"/>
        <w:spacing w:after="0"/>
        <w:tabs>
          <w:tab w:leader="none" w:pos="200" w:val="left"/>
        </w:tabs>
        <w:numPr>
          <w:ilvl w:val="0"/>
          <w:numId w:val="205"/>
        </w:numPr>
        <w:rPr>
          <w:rFonts w:ascii="Arial" w:cs="Arial" w:eastAsia="Arial" w:hAnsi="Arial"/>
          <w:sz w:val="16"/>
          <w:szCs w:val="16"/>
          <w:b w:val="1"/>
          <w:bCs w:val="1"/>
          <w:color w:val="D7282F"/>
        </w:rPr>
      </w:pPr>
      <w:r>
        <w:rPr>
          <w:rFonts w:ascii="Arial" w:cs="Arial" w:eastAsia="Arial" w:hAnsi="Arial"/>
          <w:sz w:val="16"/>
          <w:szCs w:val="16"/>
          <w:color w:val="auto"/>
        </w:rPr>
        <w:t>Our median employee was identified using our global employee population as of October 31, 2025 (the "Determination Date").</w:t>
      </w:r>
    </w:p>
    <w:p>
      <w:pPr>
        <w:spacing w:after="0" w:line="86" w:lineRule="exact"/>
        <w:rPr>
          <w:rFonts w:ascii="Arial" w:cs="Arial" w:eastAsia="Arial" w:hAnsi="Arial"/>
          <w:sz w:val="16"/>
          <w:szCs w:val="16"/>
          <w:b w:val="1"/>
          <w:bCs w:val="1"/>
          <w:color w:val="D7282F"/>
        </w:rPr>
      </w:pPr>
    </w:p>
    <w:p>
      <w:pPr>
        <w:ind w:left="200" w:right="240" w:hanging="192"/>
        <w:spacing w:after="0" w:line="286" w:lineRule="auto"/>
        <w:tabs>
          <w:tab w:leader="none" w:pos="197" w:val="left"/>
        </w:tabs>
        <w:numPr>
          <w:ilvl w:val="0"/>
          <w:numId w:val="205"/>
        </w:numPr>
        <w:rPr>
          <w:rFonts w:ascii="Arial" w:cs="Arial" w:eastAsia="Arial" w:hAnsi="Arial"/>
          <w:sz w:val="16"/>
          <w:szCs w:val="16"/>
          <w:b w:val="1"/>
          <w:bCs w:val="1"/>
          <w:color w:val="D7282F"/>
        </w:rPr>
      </w:pPr>
      <w:r>
        <w:rPr>
          <w:rFonts w:ascii="Arial" w:cs="Arial" w:eastAsia="Arial" w:hAnsi="Arial"/>
          <w:sz w:val="16"/>
          <w:szCs w:val="16"/>
          <w:color w:val="auto"/>
        </w:rPr>
        <w:t>Before applying the “De Minimis Exemption” adjustment permitted under SEC rules (described below), our global population on the Determination Date consisted of approximately 116,066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2343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980" w:type="dxa"/>
            <w:vAlign w:val="bottom"/>
          </w:tcPr>
          <w:p>
            <w:pPr>
              <w:ind w:left="20"/>
              <w:spacing w:after="0"/>
              <w:rPr>
                <w:sz w:val="20"/>
                <w:szCs w:val="20"/>
                <w:color w:val="auto"/>
              </w:rPr>
            </w:pPr>
            <w:r>
              <w:rPr>
                <w:rFonts w:ascii="Arial" w:cs="Arial" w:eastAsia="Arial" w:hAnsi="Arial"/>
                <w:sz w:val="14"/>
                <w:szCs w:val="14"/>
                <w:color w:val="auto"/>
              </w:rPr>
              <w:t>Total U.S. Employees</w:t>
            </w:r>
            <w:r>
              <w:rPr>
                <w:rFonts w:ascii="Arial" w:cs="Arial" w:eastAsia="Arial" w:hAnsi="Arial"/>
                <w:sz w:val="18"/>
                <w:szCs w:val="18"/>
                <w:color w:val="auto"/>
                <w:vertAlign w:val="superscript"/>
              </w:rPr>
              <w:t>(1)</w:t>
            </w:r>
          </w:p>
        </w:tc>
        <w:tc>
          <w:tcPr>
            <w:tcW w:w="5240" w:type="dxa"/>
            <w:vAlign w:val="bottom"/>
            <w:vMerge w:val="restart"/>
          </w:tcPr>
          <w:p>
            <w:pPr>
              <w:jc w:val="right"/>
              <w:spacing w:after="0"/>
              <w:rPr>
                <w:sz w:val="20"/>
                <w:szCs w:val="20"/>
                <w:color w:val="auto"/>
              </w:rPr>
            </w:pPr>
            <w:r>
              <w:rPr>
                <w:rFonts w:ascii="Arial" w:cs="Arial" w:eastAsia="Arial" w:hAnsi="Arial"/>
                <w:sz w:val="14"/>
                <w:szCs w:val="14"/>
                <w:color w:val="auto"/>
              </w:rPr>
              <w:t>56,443</w:t>
            </w:r>
          </w:p>
        </w:tc>
        <w:tc>
          <w:tcPr>
            <w:tcW w:w="0" w:type="dxa"/>
            <w:vAlign w:val="bottom"/>
          </w:tcPr>
          <w:p>
            <w:pPr>
              <w:spacing w:after="0"/>
              <w:rPr>
                <w:sz w:val="1"/>
                <w:szCs w:val="1"/>
                <w:color w:val="auto"/>
              </w:rPr>
            </w:pPr>
          </w:p>
        </w:tc>
      </w:tr>
      <w:tr>
        <w:trPr>
          <w:trHeight w:val="51"/>
        </w:trPr>
        <w:tc>
          <w:tcPr>
            <w:tcW w:w="5980" w:type="dxa"/>
            <w:vAlign w:val="bottom"/>
          </w:tcPr>
          <w:p>
            <w:pPr>
              <w:spacing w:after="0"/>
              <w:rPr>
                <w:sz w:val="4"/>
                <w:szCs w:val="4"/>
                <w:color w:val="auto"/>
              </w:rPr>
            </w:pPr>
          </w:p>
        </w:tc>
        <w:tc>
          <w:tcPr>
            <w:tcW w:w="5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5980" w:type="dxa"/>
            <w:vAlign w:val="bottom"/>
            <w:tcBorders>
              <w:bottom w:val="single" w:sz="8" w:color="939598"/>
            </w:tcBorders>
          </w:tcPr>
          <w:p>
            <w:pPr>
              <w:spacing w:after="0"/>
              <w:rPr>
                <w:sz w:val="11"/>
                <w:szCs w:val="11"/>
                <w:color w:val="auto"/>
              </w:rPr>
            </w:pPr>
          </w:p>
        </w:tc>
        <w:tc>
          <w:tcPr>
            <w:tcW w:w="524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980" w:type="dxa"/>
            <w:vAlign w:val="bottom"/>
            <w:vMerge w:val="restart"/>
          </w:tcPr>
          <w:p>
            <w:pPr>
              <w:ind w:left="20"/>
              <w:spacing w:after="0"/>
              <w:rPr>
                <w:sz w:val="20"/>
                <w:szCs w:val="20"/>
                <w:color w:val="auto"/>
              </w:rPr>
            </w:pPr>
            <w:r>
              <w:rPr>
                <w:rFonts w:ascii="Arial" w:cs="Arial" w:eastAsia="Arial" w:hAnsi="Arial"/>
                <w:sz w:val="14"/>
                <w:szCs w:val="14"/>
                <w:color w:val="auto"/>
              </w:rPr>
              <w:t>Total Non-U.S. Employees</w:t>
            </w:r>
          </w:p>
        </w:tc>
        <w:tc>
          <w:tcPr>
            <w:tcW w:w="5240" w:type="dxa"/>
            <w:vAlign w:val="bottom"/>
          </w:tcPr>
          <w:p>
            <w:pPr>
              <w:jc w:val="right"/>
              <w:spacing w:after="0"/>
              <w:rPr>
                <w:sz w:val="20"/>
                <w:szCs w:val="20"/>
                <w:color w:val="auto"/>
              </w:rPr>
            </w:pPr>
            <w:r>
              <w:rPr>
                <w:rFonts w:ascii="Arial" w:cs="Arial" w:eastAsia="Arial" w:hAnsi="Arial"/>
                <w:sz w:val="14"/>
                <w:szCs w:val="14"/>
                <w:color w:val="auto"/>
              </w:rPr>
              <w:t>59,623</w:t>
            </w:r>
          </w:p>
        </w:tc>
        <w:tc>
          <w:tcPr>
            <w:tcW w:w="0" w:type="dxa"/>
            <w:vAlign w:val="bottom"/>
          </w:tcPr>
          <w:p>
            <w:pPr>
              <w:spacing w:after="0"/>
              <w:rPr>
                <w:sz w:val="1"/>
                <w:szCs w:val="1"/>
                <w:color w:val="auto"/>
              </w:rPr>
            </w:pPr>
          </w:p>
        </w:tc>
      </w:tr>
      <w:tr>
        <w:trPr>
          <w:trHeight w:val="136"/>
        </w:trPr>
        <w:tc>
          <w:tcPr>
            <w:tcW w:w="5980" w:type="dxa"/>
            <w:vAlign w:val="bottom"/>
            <w:vMerge w:val="continue"/>
          </w:tcPr>
          <w:p>
            <w:pPr>
              <w:spacing w:after="0"/>
              <w:rPr>
                <w:sz w:val="11"/>
                <w:szCs w:val="11"/>
                <w:color w:val="auto"/>
              </w:rPr>
            </w:pPr>
          </w:p>
        </w:tc>
        <w:tc>
          <w:tcPr>
            <w:tcW w:w="5240" w:type="dxa"/>
            <w:vAlign w:val="bottom"/>
            <w:vMerge w:val="restart"/>
          </w:tcPr>
          <w:p>
            <w:pPr>
              <w:jc w:val="right"/>
              <w:spacing w:after="0"/>
              <w:rPr>
                <w:sz w:val="20"/>
                <w:szCs w:val="20"/>
                <w:color w:val="auto"/>
              </w:rPr>
            </w:pPr>
            <w:r>
              <w:rPr>
                <w:rFonts w:ascii="Arial" w:cs="Arial" w:eastAsia="Arial" w:hAnsi="Arial"/>
                <w:sz w:val="14"/>
                <w:szCs w:val="14"/>
                <w:color w:val="auto"/>
              </w:rPr>
              <w:t>(no exclusions)</w:t>
            </w:r>
          </w:p>
        </w:tc>
        <w:tc>
          <w:tcPr>
            <w:tcW w:w="0" w:type="dxa"/>
            <w:vAlign w:val="bottom"/>
          </w:tcPr>
          <w:p>
            <w:pPr>
              <w:spacing w:after="0"/>
              <w:rPr>
                <w:sz w:val="1"/>
                <w:szCs w:val="1"/>
                <w:color w:val="auto"/>
              </w:rPr>
            </w:pPr>
          </w:p>
        </w:tc>
      </w:tr>
      <w:tr>
        <w:trPr>
          <w:trHeight w:val="54"/>
        </w:trPr>
        <w:tc>
          <w:tcPr>
            <w:tcW w:w="5980" w:type="dxa"/>
            <w:vAlign w:val="bottom"/>
          </w:tcPr>
          <w:p>
            <w:pPr>
              <w:spacing w:after="0"/>
              <w:rPr>
                <w:sz w:val="4"/>
                <w:szCs w:val="4"/>
                <w:color w:val="auto"/>
              </w:rPr>
            </w:pPr>
          </w:p>
        </w:tc>
        <w:tc>
          <w:tcPr>
            <w:tcW w:w="5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5980" w:type="dxa"/>
            <w:vAlign w:val="bottom"/>
            <w:tcBorders>
              <w:bottom w:val="single" w:sz="8" w:color="939598"/>
            </w:tcBorders>
          </w:tcPr>
          <w:p>
            <w:pPr>
              <w:spacing w:after="0"/>
              <w:rPr>
                <w:sz w:val="6"/>
                <w:szCs w:val="6"/>
                <w:color w:val="auto"/>
              </w:rPr>
            </w:pPr>
          </w:p>
        </w:tc>
        <w:tc>
          <w:tcPr>
            <w:tcW w:w="5240" w:type="dxa"/>
            <w:vAlign w:val="bottom"/>
            <w:tcBorders>
              <w:bottom w:val="single" w:sz="8" w:color="939598"/>
            </w:tcBorders>
          </w:tcPr>
          <w:p>
            <w:pPr>
              <w:spacing w:after="0"/>
              <w:rPr>
                <w:sz w:val="6"/>
                <w:szCs w:val="6"/>
                <w:color w:val="auto"/>
              </w:rPr>
            </w:pPr>
          </w:p>
        </w:tc>
        <w:tc>
          <w:tcPr>
            <w:tcW w:w="0" w:type="dxa"/>
            <w:vAlign w:val="bottom"/>
          </w:tcPr>
          <w:p>
            <w:pPr>
              <w:spacing w:after="0"/>
              <w:rPr>
                <w:sz w:val="1"/>
                <w:szCs w:val="1"/>
                <w:color w:val="auto"/>
              </w:rPr>
            </w:pPr>
          </w:p>
        </w:tc>
      </w:tr>
      <w:tr>
        <w:trPr>
          <w:trHeight w:val="309"/>
        </w:trPr>
        <w:tc>
          <w:tcPr>
            <w:tcW w:w="5980" w:type="dxa"/>
            <w:vAlign w:val="bottom"/>
          </w:tcPr>
          <w:p>
            <w:pPr>
              <w:ind w:left="20"/>
              <w:spacing w:after="0"/>
              <w:rPr>
                <w:sz w:val="20"/>
                <w:szCs w:val="20"/>
                <w:color w:val="auto"/>
              </w:rPr>
            </w:pPr>
            <w:r>
              <w:rPr>
                <w:rFonts w:ascii="Arial" w:cs="Arial" w:eastAsia="Arial" w:hAnsi="Arial"/>
                <w:sz w:val="14"/>
                <w:szCs w:val="14"/>
                <w:color w:val="auto"/>
              </w:rPr>
              <w:t>Total Global Workforce</w:t>
            </w:r>
          </w:p>
        </w:tc>
        <w:tc>
          <w:tcPr>
            <w:tcW w:w="5240" w:type="dxa"/>
            <w:vAlign w:val="bottom"/>
          </w:tcPr>
          <w:p>
            <w:pPr>
              <w:jc w:val="right"/>
              <w:spacing w:after="0"/>
              <w:rPr>
                <w:sz w:val="20"/>
                <w:szCs w:val="20"/>
                <w:color w:val="auto"/>
              </w:rPr>
            </w:pPr>
            <w:r>
              <w:rPr>
                <w:rFonts w:ascii="Arial" w:cs="Arial" w:eastAsia="Arial" w:hAnsi="Arial"/>
                <w:sz w:val="14"/>
                <w:szCs w:val="14"/>
                <w:color w:val="auto"/>
              </w:rPr>
              <w:t>116,066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23430"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67" w:lineRule="exact"/>
        <w:rPr>
          <w:sz w:val="20"/>
          <w:szCs w:val="20"/>
          <w:color w:val="auto"/>
        </w:rPr>
      </w:pPr>
    </w:p>
    <w:p>
      <w:pPr>
        <w:ind w:left="200" w:right="340" w:hanging="192"/>
        <w:spacing w:after="0" w:line="226" w:lineRule="auto"/>
        <w:tabs>
          <w:tab w:leader="none" w:pos="200" w:val="left"/>
        </w:tabs>
        <w:numPr>
          <w:ilvl w:val="0"/>
          <w:numId w:val="206"/>
        </w:numPr>
        <w:rPr>
          <w:rFonts w:ascii="Arial" w:cs="Arial" w:eastAsia="Arial" w:hAnsi="Arial"/>
          <w:sz w:val="16"/>
          <w:szCs w:val="16"/>
          <w:color w:val="auto"/>
          <w:vertAlign w:val="superscript"/>
        </w:rPr>
      </w:pPr>
      <w:r>
        <w:rPr>
          <w:rFonts w:ascii="Arial" w:cs="Arial" w:eastAsia="Arial" w:hAnsi="Arial"/>
          <w:sz w:val="13"/>
          <w:szCs w:val="13"/>
          <w:color w:val="auto"/>
        </w:rPr>
        <w:t>Total U.S. Employees includes Sandia National Laboratories and Kansas City National Security Campus workforces, which are U.S. Department of Energy facilities managed by Honeywell as a contract operator.</w:t>
      </w:r>
    </w:p>
    <w:p>
      <w:pPr>
        <w:spacing w:after="0" w:line="95" w:lineRule="exact"/>
        <w:rPr>
          <w:sz w:val="20"/>
          <w:szCs w:val="20"/>
          <w:color w:val="auto"/>
        </w:rPr>
      </w:pPr>
    </w:p>
    <w:p>
      <w:pPr>
        <w:ind w:right="140"/>
        <w:spacing w:after="0" w:line="263" w:lineRule="auto"/>
        <w:rPr>
          <w:sz w:val="20"/>
          <w:szCs w:val="20"/>
          <w:color w:val="auto"/>
        </w:rPr>
      </w:pPr>
      <w:r>
        <w:rPr>
          <w:rFonts w:ascii="Arial" w:cs="Arial" w:eastAsia="Arial" w:hAnsi="Arial"/>
          <w:sz w:val="16"/>
          <w:szCs w:val="16"/>
          <w:color w:val="auto"/>
        </w:rPr>
        <w:t>We applied the De Minimis Exemption adjustment to exclude a total of 4,899 employees located in jurisdictions outside the U.S. Such employees represent less than five percent of our Total Global Workforce. The countries and approximate number of Honeywell employees excluded were Algeria (68), Angola</w:t>
      </w:r>
    </w:p>
    <w:p>
      <w:pPr>
        <w:ind w:right="20"/>
        <w:spacing w:after="0" w:line="256" w:lineRule="auto"/>
        <w:rPr>
          <w:sz w:val="20"/>
          <w:szCs w:val="20"/>
          <w:color w:val="auto"/>
        </w:rPr>
      </w:pPr>
      <w:r>
        <w:rPr>
          <w:rFonts w:ascii="Arial" w:cs="Arial" w:eastAsia="Arial" w:hAnsi="Arial"/>
          <w:sz w:val="16"/>
          <w:szCs w:val="16"/>
          <w:color w:val="auto"/>
        </w:rPr>
        <w:t>(2), Argentina (137), Azerbaijan (12), Bahrain (14), Bangladesh (3), Brazil (325), Bulgaria (176), Chile (176), Colombia (76), Croatia (6), Ecuador (3), Egypt (251), Hong Kong (173), Hungary (310), Indonesia (140), Japan (142), Jordan (11), Kazakhstan (95), Kenya (4), Kuwait (136), Latvia (2), Luxembourg (7), Macao (26), Morocco (15), Nigeria (11), Oman (60), Pakistan (5), Panama (3), Peru (46), Philippines (26), Portugal (36), Republic of Serbia (7), Saudi Arabia (559), Slovakia (459),South Africa (191), Spain (578), Sweden (53), Taiwan (112), Thailand (100),Turkey (237), Ukraine (22), Uruguay (4), Uzbekistan (33), and Vietnam (47).</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Total Workforce for Determination of Median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2343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40" w:type="dxa"/>
            <w:vAlign w:val="bottom"/>
          </w:tcPr>
          <w:p>
            <w:pPr>
              <w:ind w:left="20"/>
              <w:spacing w:after="0"/>
              <w:rPr>
                <w:sz w:val="20"/>
                <w:szCs w:val="20"/>
                <w:color w:val="auto"/>
              </w:rPr>
            </w:pPr>
            <w:r>
              <w:rPr>
                <w:rFonts w:ascii="Arial" w:cs="Arial" w:eastAsia="Arial" w:hAnsi="Arial"/>
                <w:sz w:val="14"/>
                <w:szCs w:val="14"/>
                <w:color w:val="auto"/>
              </w:rPr>
              <w:t>Total U.S. Employees</w:t>
            </w:r>
          </w:p>
        </w:tc>
        <w:tc>
          <w:tcPr>
            <w:tcW w:w="5680" w:type="dxa"/>
            <w:vAlign w:val="bottom"/>
          </w:tcPr>
          <w:p>
            <w:pPr>
              <w:jc w:val="right"/>
              <w:spacing w:after="0"/>
              <w:rPr>
                <w:sz w:val="20"/>
                <w:szCs w:val="20"/>
                <w:color w:val="auto"/>
              </w:rPr>
            </w:pPr>
            <w:r>
              <w:rPr>
                <w:rFonts w:ascii="Arial" w:cs="Arial" w:eastAsia="Arial" w:hAnsi="Arial"/>
                <w:sz w:val="14"/>
                <w:szCs w:val="14"/>
                <w:color w:val="auto"/>
              </w:rPr>
              <w:t>56,443</w:t>
            </w:r>
          </w:p>
        </w:tc>
        <w:tc>
          <w:tcPr>
            <w:tcW w:w="0" w:type="dxa"/>
            <w:vAlign w:val="bottom"/>
          </w:tcPr>
          <w:p>
            <w:pPr>
              <w:spacing w:after="0"/>
              <w:rPr>
                <w:sz w:val="1"/>
                <w:szCs w:val="1"/>
                <w:color w:val="auto"/>
              </w:rPr>
            </w:pPr>
          </w:p>
        </w:tc>
      </w:tr>
      <w:tr>
        <w:trPr>
          <w:trHeight w:val="130"/>
        </w:trPr>
        <w:tc>
          <w:tcPr>
            <w:tcW w:w="5540" w:type="dxa"/>
            <w:vAlign w:val="bottom"/>
            <w:tcBorders>
              <w:bottom w:val="single" w:sz="8" w:color="939598"/>
            </w:tcBorders>
          </w:tcPr>
          <w:p>
            <w:pPr>
              <w:spacing w:after="0"/>
              <w:rPr>
                <w:sz w:val="11"/>
                <w:szCs w:val="11"/>
                <w:color w:val="auto"/>
              </w:rPr>
            </w:pPr>
          </w:p>
        </w:tc>
        <w:tc>
          <w:tcPr>
            <w:tcW w:w="568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540" w:type="dxa"/>
            <w:vAlign w:val="bottom"/>
            <w:vMerge w:val="restart"/>
          </w:tcPr>
          <w:p>
            <w:pPr>
              <w:ind w:left="20"/>
              <w:spacing w:after="0"/>
              <w:rPr>
                <w:sz w:val="20"/>
                <w:szCs w:val="20"/>
                <w:color w:val="auto"/>
              </w:rPr>
            </w:pPr>
            <w:r>
              <w:rPr>
                <w:rFonts w:ascii="Arial" w:cs="Arial" w:eastAsia="Arial" w:hAnsi="Arial"/>
                <w:sz w:val="14"/>
                <w:szCs w:val="14"/>
                <w:color w:val="auto"/>
              </w:rPr>
              <w:t>Total Non-U.S. Employees</w:t>
            </w:r>
          </w:p>
        </w:tc>
        <w:tc>
          <w:tcPr>
            <w:tcW w:w="5680" w:type="dxa"/>
            <w:vAlign w:val="bottom"/>
          </w:tcPr>
          <w:p>
            <w:pPr>
              <w:jc w:val="right"/>
              <w:spacing w:after="0"/>
              <w:rPr>
                <w:sz w:val="20"/>
                <w:szCs w:val="20"/>
                <w:color w:val="auto"/>
              </w:rPr>
            </w:pPr>
            <w:r>
              <w:rPr>
                <w:rFonts w:ascii="Arial" w:cs="Arial" w:eastAsia="Arial" w:hAnsi="Arial"/>
                <w:sz w:val="14"/>
                <w:szCs w:val="14"/>
                <w:color w:val="auto"/>
              </w:rPr>
              <w:t>54,724</w:t>
            </w:r>
          </w:p>
        </w:tc>
        <w:tc>
          <w:tcPr>
            <w:tcW w:w="0" w:type="dxa"/>
            <w:vAlign w:val="bottom"/>
          </w:tcPr>
          <w:p>
            <w:pPr>
              <w:spacing w:after="0"/>
              <w:rPr>
                <w:sz w:val="1"/>
                <w:szCs w:val="1"/>
                <w:color w:val="auto"/>
              </w:rPr>
            </w:pPr>
          </w:p>
        </w:tc>
      </w:tr>
      <w:tr>
        <w:trPr>
          <w:trHeight w:val="123"/>
        </w:trPr>
        <w:tc>
          <w:tcPr>
            <w:tcW w:w="5540" w:type="dxa"/>
            <w:vAlign w:val="bottom"/>
            <w:vMerge w:val="continue"/>
          </w:tcPr>
          <w:p>
            <w:pPr>
              <w:spacing w:after="0"/>
              <w:rPr>
                <w:sz w:val="10"/>
                <w:szCs w:val="10"/>
                <w:color w:val="auto"/>
              </w:rPr>
            </w:pPr>
          </w:p>
        </w:tc>
        <w:tc>
          <w:tcPr>
            <w:tcW w:w="5680" w:type="dxa"/>
            <w:vAlign w:val="bottom"/>
            <w:vMerge w:val="restart"/>
          </w:tcPr>
          <w:p>
            <w:pPr>
              <w:jc w:val="right"/>
              <w:spacing w:after="0"/>
              <w:rPr>
                <w:sz w:val="20"/>
                <w:szCs w:val="20"/>
                <w:color w:val="auto"/>
              </w:rPr>
            </w:pPr>
            <w:r>
              <w:rPr>
                <w:rFonts w:ascii="Arial" w:cs="Arial" w:eastAsia="Arial" w:hAnsi="Arial"/>
                <w:sz w:val="14"/>
                <w:szCs w:val="14"/>
                <w:color w:val="auto"/>
              </w:rPr>
              <w:t>(excluding 4,899 employees)</w:t>
            </w:r>
          </w:p>
        </w:tc>
        <w:tc>
          <w:tcPr>
            <w:tcW w:w="0" w:type="dxa"/>
            <w:vAlign w:val="bottom"/>
          </w:tcPr>
          <w:p>
            <w:pPr>
              <w:spacing w:after="0"/>
              <w:rPr>
                <w:sz w:val="1"/>
                <w:szCs w:val="1"/>
                <w:color w:val="auto"/>
              </w:rPr>
            </w:pPr>
          </w:p>
        </w:tc>
      </w:tr>
      <w:tr>
        <w:trPr>
          <w:trHeight w:val="68"/>
        </w:trPr>
        <w:tc>
          <w:tcPr>
            <w:tcW w:w="5540" w:type="dxa"/>
            <w:vAlign w:val="bottom"/>
          </w:tcPr>
          <w:p>
            <w:pPr>
              <w:spacing w:after="0"/>
              <w:rPr>
                <w:sz w:val="5"/>
                <w:szCs w:val="5"/>
                <w:color w:val="auto"/>
              </w:rPr>
            </w:pPr>
          </w:p>
        </w:tc>
        <w:tc>
          <w:tcPr>
            <w:tcW w:w="5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5540" w:type="dxa"/>
            <w:vAlign w:val="bottom"/>
            <w:tcBorders>
              <w:bottom w:val="single" w:sz="8" w:color="939598"/>
            </w:tcBorders>
          </w:tcPr>
          <w:p>
            <w:pPr>
              <w:spacing w:after="0"/>
              <w:rPr>
                <w:sz w:val="5"/>
                <w:szCs w:val="5"/>
                <w:color w:val="auto"/>
              </w:rPr>
            </w:pPr>
          </w:p>
        </w:tc>
        <w:tc>
          <w:tcPr>
            <w:tcW w:w="5680" w:type="dxa"/>
            <w:vAlign w:val="bottom"/>
            <w:tcBorders>
              <w:bottom w:val="single" w:sz="8" w:color="939598"/>
            </w:tcBorders>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5540" w:type="dxa"/>
            <w:vAlign w:val="bottom"/>
          </w:tcPr>
          <w:p>
            <w:pPr>
              <w:ind w:left="20"/>
              <w:spacing w:after="0"/>
              <w:rPr>
                <w:sz w:val="20"/>
                <w:szCs w:val="20"/>
                <w:color w:val="auto"/>
              </w:rPr>
            </w:pPr>
            <w:r>
              <w:rPr>
                <w:rFonts w:ascii="Arial" w:cs="Arial" w:eastAsia="Arial" w:hAnsi="Arial"/>
                <w:sz w:val="14"/>
                <w:szCs w:val="14"/>
                <w:color w:val="auto"/>
              </w:rPr>
              <w:t>Total Global Workforce</w:t>
            </w:r>
          </w:p>
        </w:tc>
        <w:tc>
          <w:tcPr>
            <w:tcW w:w="5680" w:type="dxa"/>
            <w:vAlign w:val="bottom"/>
          </w:tcPr>
          <w:p>
            <w:pPr>
              <w:jc w:val="right"/>
              <w:spacing w:after="0"/>
              <w:rPr>
                <w:sz w:val="20"/>
                <w:szCs w:val="20"/>
                <w:color w:val="auto"/>
              </w:rPr>
            </w:pPr>
            <w:r>
              <w:rPr>
                <w:rFonts w:ascii="Arial" w:cs="Arial" w:eastAsia="Arial" w:hAnsi="Arial"/>
                <w:sz w:val="14"/>
                <w:szCs w:val="14"/>
                <w:color w:val="auto"/>
              </w:rPr>
              <w:t>111,167</w:t>
            </w:r>
          </w:p>
        </w:tc>
        <w:tc>
          <w:tcPr>
            <w:tcW w:w="0" w:type="dxa"/>
            <w:vAlign w:val="bottom"/>
          </w:tcPr>
          <w:p>
            <w:pPr>
              <w:spacing w:after="0"/>
              <w:rPr>
                <w:sz w:val="1"/>
                <w:szCs w:val="1"/>
                <w:color w:val="auto"/>
              </w:rPr>
            </w:pPr>
          </w:p>
        </w:tc>
      </w:tr>
      <w:tr>
        <w:trPr>
          <w:trHeight w:val="130"/>
        </w:trPr>
        <w:tc>
          <w:tcPr>
            <w:tcW w:w="5540" w:type="dxa"/>
            <w:vAlign w:val="bottom"/>
            <w:tcBorders>
              <w:bottom w:val="single" w:sz="8" w:color="D7282F"/>
            </w:tcBorders>
          </w:tcPr>
          <w:p>
            <w:pPr>
              <w:spacing w:after="0"/>
              <w:rPr>
                <w:sz w:val="11"/>
                <w:szCs w:val="11"/>
                <w:color w:val="auto"/>
              </w:rPr>
            </w:pPr>
          </w:p>
        </w:tc>
        <w:tc>
          <w:tcPr>
            <w:tcW w:w="5680" w:type="dxa"/>
            <w:vAlign w:val="bottom"/>
            <w:tcBorders>
              <w:bottom w:val="single" w:sz="8" w:color="D7282F"/>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right="440"/>
        <w:spacing w:after="0" w:line="275" w:lineRule="auto"/>
        <w:rPr>
          <w:sz w:val="20"/>
          <w:szCs w:val="20"/>
          <w:color w:val="auto"/>
        </w:rPr>
      </w:pPr>
      <w:r>
        <w:rPr>
          <w:rFonts w:ascii="Arial" w:cs="Arial" w:eastAsia="Arial" w:hAnsi="Arial"/>
          <w:sz w:val="16"/>
          <w:szCs w:val="16"/>
          <w:color w:val="auto"/>
        </w:rPr>
        <w:t>To identify the median employee from our employee population, we collected actual base salary and incentive awards paid during the 12-month period ending on the Determination Date. As permitted under SEC rules, we annualized the compensation of all newly hired permanent employees during this period. Using this methodology, our median employee was determined to be a full-time employee based in the United States.</w:t>
      </w:r>
    </w:p>
    <w:p>
      <w:pPr>
        <w:spacing w:after="0" w:line="56"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The annual total compensation for our median employee in calendar 2025, our last completed fiscal year, was $85,048, calculated in accordance with the rules applicable to the Summary Compensation Table (SCT) of this Proxy Statement.</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For 2025, the annual total compensation of the CEO for purposes of determining the CEO Pay Ratio was $20,381,435.</w:t>
      </w:r>
    </w:p>
    <w:p>
      <w:pPr>
        <w:spacing w:after="0" w:line="113" w:lineRule="exact"/>
        <w:rPr>
          <w:sz w:val="20"/>
          <w:szCs w:val="20"/>
          <w:color w:val="auto"/>
        </w:rPr>
      </w:pPr>
    </w:p>
    <w:p>
      <w:pPr>
        <w:ind w:right="180"/>
        <w:spacing w:after="0" w:line="304" w:lineRule="auto"/>
        <w:rPr>
          <w:sz w:val="20"/>
          <w:szCs w:val="20"/>
          <w:color w:val="auto"/>
        </w:rPr>
      </w:pPr>
      <w:r>
        <w:rPr>
          <w:rFonts w:ascii="Arial" w:cs="Arial" w:eastAsia="Arial" w:hAnsi="Arial"/>
          <w:sz w:val="16"/>
          <w:szCs w:val="16"/>
          <w:color w:val="auto"/>
        </w:rPr>
        <w:t>Based on this information, for 2025, the ratio of the annual total compensation of Mr. Kapur, our CEO, to the median of the annual total compensation of all employees was estimated to be 239 to 1.</w:t>
      </w:r>
    </w:p>
    <w:p>
      <w:pPr>
        <w:spacing w:after="0" w:line="33"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The pay ratio is a reasonable estimate calculated in a manner consistent with SEC rules based on our payroll and employment records and the methodology described above.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here, as other companies may have different employment and compensation practices and may utilize different methodologies, exclusions, estimates, and assumptions in calculating their own pay ratios.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260" w:type="dxa"/>
            <w:vAlign w:val="bottom"/>
          </w:tcPr>
          <w:p>
            <w:pPr>
              <w:ind w:left="6840"/>
              <w:spacing w:after="0"/>
              <w:rPr>
                <w:sz w:val="20"/>
                <w:szCs w:val="20"/>
                <w:color w:val="auto"/>
              </w:rPr>
            </w:pPr>
            <w:r>
              <w:rPr>
                <w:rFonts w:ascii="Arial" w:cs="Arial" w:eastAsia="Arial" w:hAnsi="Arial"/>
                <w:sz w:val="13"/>
                <w:szCs w:val="13"/>
                <w:b w:val="1"/>
                <w:bCs w:val="1"/>
                <w:color w:val="6D6E71"/>
              </w:rPr>
              <w:t>2026 NOTICE AND PROXY STATEMENT   |</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103</w:t>
            </w:r>
          </w:p>
        </w:tc>
      </w:tr>
      <w:tr>
        <w:trPr>
          <w:trHeight w:val="359"/>
        </w:trPr>
        <w:tc>
          <w:tcPr>
            <w:tcW w:w="10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-368300</wp:posOffset>
            </wp:positionV>
            <wp:extent cx="548640" cy="10287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7" w:name="page118"/>
    <w:bookmarkEnd w:id="117"/>
    <w:p>
      <w:pPr>
        <w:spacing w:after="0"/>
        <w:rPr>
          <w:sz w:val="20"/>
          <w:szCs w:val="20"/>
          <w:color w:val="auto"/>
        </w:rPr>
      </w:pPr>
      <w:r>
        <w:rPr>
          <w:rFonts w:ascii="Arial" w:cs="Arial" w:eastAsia="Arial" w:hAnsi="Arial"/>
          <w:sz w:val="13"/>
          <w:szCs w:val="13"/>
          <w:b w:val="1"/>
          <w:bCs w:val="1"/>
          <w:color w:val="6D6E71"/>
        </w:rPr>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PAY VERSUS PERFORMANCE</w:t>
      </w:r>
    </w:p>
    <w:p>
      <w:pPr>
        <w:spacing w:after="0" w:line="114" w:lineRule="exact"/>
        <w:rPr>
          <w:sz w:val="20"/>
          <w:szCs w:val="20"/>
          <w:color w:val="auto"/>
        </w:rPr>
      </w:pPr>
    </w:p>
    <w:p>
      <w:pPr>
        <w:ind w:right="80"/>
        <w:spacing w:after="0"/>
        <w:rPr>
          <w:sz w:val="20"/>
          <w:szCs w:val="20"/>
          <w:color w:val="auto"/>
        </w:rPr>
      </w:pPr>
      <w:r>
        <w:rPr>
          <w:rFonts w:ascii="Arial" w:cs="Arial" w:eastAsia="Arial" w:hAnsi="Arial"/>
          <w:sz w:val="16"/>
          <w:szCs w:val="16"/>
          <w:color w:val="auto"/>
        </w:rPr>
        <w:t>As required by Section 953(a) of the Dodd-Frank Wall Street Reform and Consumer Protection Act, and Item 402(v) of Regulation S-K, we are providing the following information regarding executive pay and performance. The table below shows pay both as reported in the Summary Compensation Table (Summary Comp Table Total) for the applicable fiscal year and as “compensation actually paid” (CAP) for our principal executive officer(s) (PEO) and as an average of all of our other named executive officers (Non-PEO NEOs) for the applicable fiscal year. Both Summary Comp Table Total pay and CAP are calculated in accordance with the requirements of Regulation S-K and may differ substantially from the manner in which the MDCC makes executive compensation decisions, which is described in the Compensation Discussion and Analysis beginning on page 52.</w:t>
      </w:r>
    </w:p>
    <w:p>
      <w:pPr>
        <w:spacing w:after="0" w:line="71" w:lineRule="exact"/>
        <w:rPr>
          <w:sz w:val="20"/>
          <w:szCs w:val="20"/>
          <w:color w:val="auto"/>
        </w:rPr>
      </w:pPr>
    </w:p>
    <w:p>
      <w:pPr>
        <w:ind w:right="120"/>
        <w:spacing w:after="0" w:line="243" w:lineRule="auto"/>
        <w:rPr>
          <w:sz w:val="20"/>
          <w:szCs w:val="20"/>
          <w:color w:val="auto"/>
        </w:rPr>
      </w:pPr>
      <w:r>
        <w:rPr>
          <w:rFonts w:ascii="Arial" w:cs="Arial" w:eastAsia="Arial" w:hAnsi="Arial"/>
          <w:sz w:val="16"/>
          <w:szCs w:val="16"/>
          <w:color w:val="auto"/>
        </w:rPr>
        <w:t>The table below also shows (i) Honeywell’s cumulative total shareowner return (TSR), (ii) the TSR of the Nasdaq Industrial Select Sector Index (XLI), which we have used as our peer group for purposes of this table, (iii) Honeywell’s net income for the applicable fiscal year, and (iv) Honeywell’s performance with respect to a Company-selected measure (CSM), which in our assessment represents the single most important financial performance metric used to link compensation actually paid to our NEOs for the most recently completed fiscal year to Honeywell’s performance. We selected segment margin as the CSM for the 2025 fiscal year.</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140" w:type="dxa"/>
            <w:vAlign w:val="bottom"/>
            <w:gridSpan w:val="2"/>
          </w:tcPr>
          <w:p>
            <w:pPr>
              <w:jc w:val="right"/>
              <w:ind w:right="42"/>
              <w:spacing w:after="0"/>
              <w:rPr>
                <w:sz w:val="20"/>
                <w:szCs w:val="20"/>
                <w:color w:val="auto"/>
              </w:rPr>
            </w:pPr>
            <w:r>
              <w:rPr>
                <w:rFonts w:ascii="Arial" w:cs="Arial" w:eastAsia="Arial" w:hAnsi="Arial"/>
                <w:sz w:val="11"/>
                <w:szCs w:val="11"/>
                <w:b w:val="1"/>
                <w:bCs w:val="1"/>
                <w:color w:val="auto"/>
              </w:rPr>
              <w:t>Value of Initial Fixed $100 Investment</w:t>
            </w:r>
          </w:p>
        </w:tc>
        <w:tc>
          <w:tcPr>
            <w:tcW w:w="118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2"/>
        </w:trPr>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162"/>
              <w:spacing w:after="0"/>
              <w:rPr>
                <w:sz w:val="20"/>
                <w:szCs w:val="20"/>
                <w:color w:val="auto"/>
              </w:rPr>
            </w:pPr>
            <w:r>
              <w:rPr>
                <w:rFonts w:ascii="Arial" w:cs="Arial" w:eastAsia="Arial" w:hAnsi="Arial"/>
                <w:sz w:val="11"/>
                <w:szCs w:val="11"/>
                <w:b w:val="1"/>
                <w:bCs w:val="1"/>
                <w:color w:val="auto"/>
              </w:rPr>
              <w:t>Summary</w:t>
            </w: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40" w:type="dxa"/>
            <w:vAlign w:val="bottom"/>
            <w:tcBorders>
              <w:bottom w:val="single" w:sz="8" w:color="D7282F"/>
            </w:tcBorders>
            <w:gridSpan w:val="2"/>
          </w:tcPr>
          <w:p>
            <w:pPr>
              <w:jc w:val="right"/>
              <w:ind w:right="742"/>
              <w:spacing w:after="0"/>
              <w:rPr>
                <w:sz w:val="20"/>
                <w:szCs w:val="20"/>
                <w:color w:val="auto"/>
              </w:rPr>
            </w:pPr>
            <w:r>
              <w:rPr>
                <w:rFonts w:ascii="Arial" w:cs="Arial" w:eastAsia="Arial" w:hAnsi="Arial"/>
                <w:sz w:val="11"/>
                <w:szCs w:val="11"/>
                <w:b w:val="1"/>
                <w:bCs w:val="1"/>
                <w:color w:val="auto"/>
              </w:rPr>
              <w:t>Based on:</w:t>
            </w: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29"/>
        </w:trPr>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Summary</w:t>
            </w:r>
          </w:p>
        </w:tc>
        <w:tc>
          <w:tcPr>
            <w:tcW w:w="180" w:type="dxa"/>
            <w:vAlign w:val="bottom"/>
          </w:tcPr>
          <w:p>
            <w:pPr>
              <w:spacing w:after="0"/>
              <w:rPr>
                <w:sz w:val="11"/>
                <w:szCs w:val="11"/>
                <w:color w:val="auto"/>
              </w:rPr>
            </w:pPr>
          </w:p>
        </w:tc>
        <w:tc>
          <w:tcPr>
            <w:tcW w:w="860" w:type="dxa"/>
            <w:vAlign w:val="bottom"/>
          </w:tcPr>
          <w:p>
            <w:pPr>
              <w:jc w:val="right"/>
              <w:ind w:right="23"/>
              <w:spacing w:after="0"/>
              <w:rPr>
                <w:sz w:val="20"/>
                <w:szCs w:val="20"/>
                <w:color w:val="auto"/>
              </w:rPr>
            </w:pPr>
            <w:r>
              <w:rPr>
                <w:rFonts w:ascii="Arial" w:cs="Arial" w:eastAsia="Arial" w:hAnsi="Arial"/>
                <w:sz w:val="11"/>
                <w:szCs w:val="11"/>
                <w:b w:val="1"/>
                <w:bCs w:val="1"/>
                <w:color w:val="auto"/>
              </w:rPr>
              <w:t>Comp</w:t>
            </w:r>
          </w:p>
        </w:tc>
        <w:tc>
          <w:tcPr>
            <w:tcW w:w="240" w:type="dxa"/>
            <w:vAlign w:val="bottom"/>
          </w:tcPr>
          <w:p>
            <w:pPr>
              <w:spacing w:after="0"/>
              <w:rPr>
                <w:sz w:val="11"/>
                <w:szCs w:val="11"/>
                <w:color w:val="auto"/>
              </w:rPr>
            </w:pPr>
          </w:p>
        </w:tc>
        <w:tc>
          <w:tcPr>
            <w:tcW w:w="1000" w:type="dxa"/>
            <w:vAlign w:val="bottom"/>
          </w:tcPr>
          <w:p>
            <w:pPr>
              <w:jc w:val="right"/>
              <w:ind w:right="162"/>
              <w:spacing w:after="0"/>
              <w:rPr>
                <w:sz w:val="20"/>
                <w:szCs w:val="20"/>
                <w:color w:val="auto"/>
              </w:rPr>
            </w:pPr>
            <w:r>
              <w:rPr>
                <w:rFonts w:ascii="Arial" w:cs="Arial" w:eastAsia="Arial" w:hAnsi="Arial"/>
                <w:sz w:val="11"/>
                <w:szCs w:val="11"/>
                <w:b w:val="1"/>
                <w:bCs w:val="1"/>
                <w:color w:val="auto"/>
              </w:rPr>
              <w:t>Comp Table</w:t>
            </w:r>
          </w:p>
        </w:tc>
        <w:tc>
          <w:tcPr>
            <w:tcW w:w="1080" w:type="dxa"/>
            <w:vAlign w:val="bottom"/>
          </w:tcPr>
          <w:p>
            <w:pPr>
              <w:jc w:val="right"/>
              <w:ind w:right="263"/>
              <w:spacing w:after="0"/>
              <w:rPr>
                <w:sz w:val="20"/>
                <w:szCs w:val="20"/>
                <w:color w:val="auto"/>
              </w:rPr>
            </w:pPr>
            <w:r>
              <w:rPr>
                <w:rFonts w:ascii="Arial" w:cs="Arial" w:eastAsia="Arial" w:hAnsi="Arial"/>
                <w:sz w:val="11"/>
                <w:szCs w:val="11"/>
                <w:b w:val="1"/>
                <w:bCs w:val="1"/>
                <w:color w:val="auto"/>
              </w:rPr>
              <w:t>Comp</w:t>
            </w:r>
          </w:p>
        </w:tc>
        <w:tc>
          <w:tcPr>
            <w:tcW w:w="980" w:type="dxa"/>
            <w:vAlign w:val="bottom"/>
          </w:tcPr>
          <w:p>
            <w:pPr>
              <w:jc w:val="right"/>
              <w:ind w:right="62"/>
              <w:spacing w:after="0"/>
              <w:rPr>
                <w:sz w:val="20"/>
                <w:szCs w:val="20"/>
                <w:color w:val="auto"/>
              </w:rPr>
            </w:pPr>
            <w:r>
              <w:rPr>
                <w:rFonts w:ascii="Arial" w:cs="Arial" w:eastAsia="Arial" w:hAnsi="Arial"/>
                <w:sz w:val="11"/>
                <w:szCs w:val="11"/>
                <w:b w:val="1"/>
                <w:bCs w:val="1"/>
                <w:color w:val="auto"/>
              </w:rPr>
              <w:t>Avg. Summary</w:t>
            </w:r>
          </w:p>
        </w:tc>
        <w:tc>
          <w:tcPr>
            <w:tcW w:w="2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b w:val="1"/>
                <w:bCs w:val="1"/>
                <w:color w:val="auto"/>
              </w:rPr>
              <w:t>Avg. Comp</w:t>
            </w:r>
          </w:p>
        </w:tc>
        <w:tc>
          <w:tcPr>
            <w:tcW w:w="114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Peer</w:t>
            </w:r>
          </w:p>
        </w:tc>
        <w:tc>
          <w:tcPr>
            <w:tcW w:w="118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Comp Table</w:t>
            </w:r>
          </w:p>
        </w:tc>
        <w:tc>
          <w:tcPr>
            <w:tcW w:w="180" w:type="dxa"/>
            <w:vAlign w:val="bottom"/>
          </w:tcPr>
          <w:p>
            <w:pPr>
              <w:spacing w:after="0"/>
              <w:rPr>
                <w:sz w:val="11"/>
                <w:szCs w:val="11"/>
                <w:color w:val="auto"/>
              </w:rPr>
            </w:pPr>
          </w:p>
        </w:tc>
        <w:tc>
          <w:tcPr>
            <w:tcW w:w="860" w:type="dxa"/>
            <w:vAlign w:val="bottom"/>
          </w:tcPr>
          <w:p>
            <w:pPr>
              <w:jc w:val="right"/>
              <w:ind w:right="23"/>
              <w:spacing w:after="0"/>
              <w:rPr>
                <w:sz w:val="20"/>
                <w:szCs w:val="20"/>
                <w:color w:val="auto"/>
              </w:rPr>
            </w:pPr>
            <w:r>
              <w:rPr>
                <w:rFonts w:ascii="Arial" w:cs="Arial" w:eastAsia="Arial" w:hAnsi="Arial"/>
                <w:sz w:val="11"/>
                <w:szCs w:val="11"/>
                <w:b w:val="1"/>
                <w:bCs w:val="1"/>
                <w:color w:val="auto"/>
              </w:rPr>
              <w:t>Actually</w:t>
            </w:r>
          </w:p>
        </w:tc>
        <w:tc>
          <w:tcPr>
            <w:tcW w:w="240" w:type="dxa"/>
            <w:vAlign w:val="bottom"/>
          </w:tcPr>
          <w:p>
            <w:pPr>
              <w:spacing w:after="0"/>
              <w:rPr>
                <w:sz w:val="11"/>
                <w:szCs w:val="11"/>
                <w:color w:val="auto"/>
              </w:rPr>
            </w:pPr>
          </w:p>
        </w:tc>
        <w:tc>
          <w:tcPr>
            <w:tcW w:w="1000" w:type="dxa"/>
            <w:vAlign w:val="bottom"/>
          </w:tcPr>
          <w:p>
            <w:pPr>
              <w:jc w:val="right"/>
              <w:ind w:right="162"/>
              <w:spacing w:after="0"/>
              <w:rPr>
                <w:sz w:val="20"/>
                <w:szCs w:val="20"/>
                <w:color w:val="auto"/>
              </w:rPr>
            </w:pPr>
            <w:r>
              <w:rPr>
                <w:rFonts w:ascii="Arial" w:cs="Arial" w:eastAsia="Arial" w:hAnsi="Arial"/>
                <w:sz w:val="11"/>
                <w:szCs w:val="11"/>
                <w:b w:val="1"/>
                <w:bCs w:val="1"/>
                <w:color w:val="auto"/>
              </w:rPr>
              <w:t>Total for</w:t>
            </w:r>
          </w:p>
        </w:tc>
        <w:tc>
          <w:tcPr>
            <w:tcW w:w="1080" w:type="dxa"/>
            <w:vAlign w:val="bottom"/>
          </w:tcPr>
          <w:p>
            <w:pPr>
              <w:jc w:val="right"/>
              <w:ind w:right="263"/>
              <w:spacing w:after="0"/>
              <w:rPr>
                <w:sz w:val="20"/>
                <w:szCs w:val="20"/>
                <w:color w:val="auto"/>
              </w:rPr>
            </w:pPr>
            <w:r>
              <w:rPr>
                <w:rFonts w:ascii="Arial" w:cs="Arial" w:eastAsia="Arial" w:hAnsi="Arial"/>
                <w:sz w:val="11"/>
                <w:szCs w:val="11"/>
                <w:b w:val="1"/>
                <w:bCs w:val="1"/>
                <w:color w:val="auto"/>
              </w:rPr>
              <w:t>Actually</w:t>
            </w:r>
          </w:p>
        </w:tc>
        <w:tc>
          <w:tcPr>
            <w:tcW w:w="980" w:type="dxa"/>
            <w:vAlign w:val="bottom"/>
          </w:tcPr>
          <w:p>
            <w:pPr>
              <w:ind w:left="240"/>
              <w:spacing w:after="0"/>
              <w:rPr>
                <w:sz w:val="20"/>
                <w:szCs w:val="20"/>
                <w:color w:val="auto"/>
              </w:rPr>
            </w:pPr>
            <w:r>
              <w:rPr>
                <w:rFonts w:ascii="Arial" w:cs="Arial" w:eastAsia="Arial" w:hAnsi="Arial"/>
                <w:sz w:val="11"/>
                <w:szCs w:val="11"/>
                <w:b w:val="1"/>
                <w:bCs w:val="1"/>
                <w:color w:val="auto"/>
              </w:rPr>
              <w:t>Comp Table</w:t>
            </w:r>
          </w:p>
        </w:tc>
        <w:tc>
          <w:tcPr>
            <w:tcW w:w="2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b w:val="1"/>
                <w:bCs w:val="1"/>
                <w:color w:val="auto"/>
              </w:rPr>
              <w:t>Actually Paid</w:t>
            </w:r>
          </w:p>
        </w:tc>
        <w:tc>
          <w:tcPr>
            <w:tcW w:w="1140" w:type="dxa"/>
            <w:vAlign w:val="bottom"/>
          </w:tcPr>
          <w:p>
            <w:pPr>
              <w:jc w:val="right"/>
              <w:ind w:right="122"/>
              <w:spacing w:after="0"/>
              <w:rPr>
                <w:sz w:val="20"/>
                <w:szCs w:val="20"/>
                <w:color w:val="auto"/>
              </w:rPr>
            </w:pPr>
            <w:r>
              <w:rPr>
                <w:rFonts w:ascii="Arial" w:cs="Arial" w:eastAsia="Arial" w:hAnsi="Arial"/>
                <w:sz w:val="11"/>
                <w:szCs w:val="11"/>
                <w:b w:val="1"/>
                <w:bCs w:val="1"/>
                <w:color w:val="auto"/>
              </w:rPr>
              <w:t>Total</w:t>
            </w: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Group Total</w:t>
            </w:r>
          </w:p>
        </w:tc>
        <w:tc>
          <w:tcPr>
            <w:tcW w:w="11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CSM:</w:t>
            </w:r>
          </w:p>
        </w:tc>
      </w:tr>
      <w:tr>
        <w:trPr>
          <w:trHeight w:val="135"/>
        </w:trPr>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Total for</w:t>
            </w:r>
          </w:p>
        </w:tc>
        <w:tc>
          <w:tcPr>
            <w:tcW w:w="180" w:type="dxa"/>
            <w:vAlign w:val="bottom"/>
          </w:tcPr>
          <w:p>
            <w:pPr>
              <w:spacing w:after="0"/>
              <w:rPr>
                <w:sz w:val="11"/>
                <w:szCs w:val="11"/>
                <w:color w:val="auto"/>
              </w:rPr>
            </w:pPr>
          </w:p>
        </w:tc>
        <w:tc>
          <w:tcPr>
            <w:tcW w:w="860" w:type="dxa"/>
            <w:vAlign w:val="bottom"/>
          </w:tcPr>
          <w:p>
            <w:pPr>
              <w:jc w:val="right"/>
              <w:ind w:right="23"/>
              <w:spacing w:after="0"/>
              <w:rPr>
                <w:sz w:val="20"/>
                <w:szCs w:val="20"/>
                <w:color w:val="auto"/>
              </w:rPr>
            </w:pPr>
            <w:r>
              <w:rPr>
                <w:rFonts w:ascii="Arial" w:cs="Arial" w:eastAsia="Arial" w:hAnsi="Arial"/>
                <w:sz w:val="11"/>
                <w:szCs w:val="11"/>
                <w:b w:val="1"/>
                <w:bCs w:val="1"/>
                <w:color w:val="auto"/>
              </w:rPr>
              <w:t>Paid to</w:t>
            </w:r>
          </w:p>
        </w:tc>
        <w:tc>
          <w:tcPr>
            <w:tcW w:w="240" w:type="dxa"/>
            <w:vAlign w:val="bottom"/>
          </w:tcPr>
          <w:p>
            <w:pPr>
              <w:spacing w:after="0"/>
              <w:rPr>
                <w:sz w:val="11"/>
                <w:szCs w:val="11"/>
                <w:color w:val="auto"/>
              </w:rPr>
            </w:pPr>
          </w:p>
        </w:tc>
        <w:tc>
          <w:tcPr>
            <w:tcW w:w="1000" w:type="dxa"/>
            <w:vAlign w:val="bottom"/>
          </w:tcPr>
          <w:p>
            <w:pPr>
              <w:jc w:val="right"/>
              <w:ind w:right="162"/>
              <w:spacing w:after="0"/>
              <w:rPr>
                <w:sz w:val="20"/>
                <w:szCs w:val="20"/>
                <w:color w:val="auto"/>
              </w:rPr>
            </w:pPr>
            <w:r>
              <w:rPr>
                <w:rFonts w:ascii="Arial" w:cs="Arial" w:eastAsia="Arial" w:hAnsi="Arial"/>
                <w:sz w:val="11"/>
                <w:szCs w:val="11"/>
                <w:b w:val="1"/>
                <w:bCs w:val="1"/>
                <w:color w:val="auto"/>
              </w:rPr>
              <w:t>PEO —</w:t>
            </w:r>
          </w:p>
        </w:tc>
        <w:tc>
          <w:tcPr>
            <w:tcW w:w="1080" w:type="dxa"/>
            <w:vAlign w:val="bottom"/>
          </w:tcPr>
          <w:p>
            <w:pPr>
              <w:jc w:val="right"/>
              <w:ind w:right="263"/>
              <w:spacing w:after="0"/>
              <w:rPr>
                <w:sz w:val="20"/>
                <w:szCs w:val="20"/>
                <w:color w:val="auto"/>
              </w:rPr>
            </w:pPr>
            <w:r>
              <w:rPr>
                <w:rFonts w:ascii="Arial" w:cs="Arial" w:eastAsia="Arial" w:hAnsi="Arial"/>
                <w:sz w:val="11"/>
                <w:szCs w:val="11"/>
                <w:b w:val="1"/>
                <w:bCs w:val="1"/>
                <w:color w:val="auto"/>
              </w:rPr>
              <w:t>Paid to</w:t>
            </w:r>
          </w:p>
        </w:tc>
        <w:tc>
          <w:tcPr>
            <w:tcW w:w="980" w:type="dxa"/>
            <w:vAlign w:val="bottom"/>
          </w:tcPr>
          <w:p>
            <w:pPr>
              <w:jc w:val="right"/>
              <w:ind w:right="62"/>
              <w:spacing w:after="0"/>
              <w:rPr>
                <w:sz w:val="20"/>
                <w:szCs w:val="20"/>
                <w:color w:val="auto"/>
              </w:rPr>
            </w:pPr>
            <w:r>
              <w:rPr>
                <w:rFonts w:ascii="Arial" w:cs="Arial" w:eastAsia="Arial" w:hAnsi="Arial"/>
                <w:sz w:val="11"/>
                <w:szCs w:val="11"/>
                <w:b w:val="1"/>
                <w:bCs w:val="1"/>
                <w:color w:val="auto"/>
              </w:rPr>
              <w:t>for Non-PEO</w:t>
            </w:r>
          </w:p>
        </w:tc>
        <w:tc>
          <w:tcPr>
            <w:tcW w:w="2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b w:val="1"/>
                <w:bCs w:val="1"/>
                <w:color w:val="auto"/>
              </w:rPr>
              <w:t>to Non-PEO</w:t>
            </w:r>
          </w:p>
        </w:tc>
        <w:tc>
          <w:tcPr>
            <w:tcW w:w="1140" w:type="dxa"/>
            <w:vAlign w:val="bottom"/>
          </w:tcPr>
          <w:p>
            <w:pPr>
              <w:jc w:val="right"/>
              <w:ind w:right="122"/>
              <w:spacing w:after="0"/>
              <w:rPr>
                <w:sz w:val="20"/>
                <w:szCs w:val="20"/>
                <w:color w:val="auto"/>
              </w:rPr>
            </w:pPr>
            <w:r>
              <w:rPr>
                <w:rFonts w:ascii="Arial" w:cs="Arial" w:eastAsia="Arial" w:hAnsi="Arial"/>
                <w:sz w:val="11"/>
                <w:szCs w:val="11"/>
                <w:b w:val="1"/>
                <w:bCs w:val="1"/>
                <w:color w:val="auto"/>
              </w:rPr>
              <w:t>Shareowner</w:t>
            </w: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Shareowner</w:t>
            </w:r>
          </w:p>
        </w:tc>
        <w:tc>
          <w:tcPr>
            <w:tcW w:w="1180" w:type="dxa"/>
            <w:vAlign w:val="bottom"/>
          </w:tcPr>
          <w:p>
            <w:pPr>
              <w:jc w:val="right"/>
              <w:ind w:right="160"/>
              <w:spacing w:after="0"/>
              <w:rPr>
                <w:sz w:val="20"/>
                <w:szCs w:val="20"/>
                <w:color w:val="auto"/>
              </w:rPr>
            </w:pPr>
            <w:r>
              <w:rPr>
                <w:rFonts w:ascii="Arial" w:cs="Arial" w:eastAsia="Arial" w:hAnsi="Arial"/>
                <w:sz w:val="11"/>
                <w:szCs w:val="11"/>
                <w:b w:val="1"/>
                <w:bCs w:val="1"/>
                <w:color w:val="auto"/>
              </w:rPr>
              <w:t>Net Income</w:t>
            </w: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Segment</w:t>
            </w:r>
          </w:p>
        </w:tc>
      </w:tr>
      <w:tr>
        <w:trPr>
          <w:trHeight w:val="121"/>
        </w:trPr>
        <w:tc>
          <w:tcPr>
            <w:tcW w:w="56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Year</w:t>
            </w:r>
          </w:p>
        </w:tc>
        <w:tc>
          <w:tcPr>
            <w:tcW w:w="42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PEO — Kapur</w:t>
            </w:r>
          </w:p>
        </w:tc>
        <w:tc>
          <w:tcPr>
            <w:tcW w:w="180" w:type="dxa"/>
            <w:vAlign w:val="bottom"/>
          </w:tcPr>
          <w:p>
            <w:pPr>
              <w:spacing w:after="0"/>
              <w:rPr>
                <w:sz w:val="10"/>
                <w:szCs w:val="10"/>
                <w:color w:val="auto"/>
              </w:rPr>
            </w:pPr>
          </w:p>
        </w:tc>
        <w:tc>
          <w:tcPr>
            <w:tcW w:w="860" w:type="dxa"/>
            <w:vAlign w:val="bottom"/>
          </w:tcPr>
          <w:p>
            <w:pPr>
              <w:jc w:val="right"/>
              <w:ind w:right="23"/>
              <w:spacing w:after="0" w:line="122" w:lineRule="exact"/>
              <w:rPr>
                <w:sz w:val="20"/>
                <w:szCs w:val="20"/>
                <w:color w:val="auto"/>
              </w:rPr>
            </w:pPr>
            <w:r>
              <w:rPr>
                <w:rFonts w:ascii="Arial" w:cs="Arial" w:eastAsia="Arial" w:hAnsi="Arial"/>
                <w:sz w:val="11"/>
                <w:szCs w:val="11"/>
                <w:b w:val="1"/>
                <w:bCs w:val="1"/>
                <w:color w:val="auto"/>
              </w:rPr>
              <w:t>PEO — Kapur</w:t>
            </w:r>
          </w:p>
        </w:tc>
        <w:tc>
          <w:tcPr>
            <w:tcW w:w="240" w:type="dxa"/>
            <w:vAlign w:val="bottom"/>
          </w:tcPr>
          <w:p>
            <w:pPr>
              <w:spacing w:after="0"/>
              <w:rPr>
                <w:sz w:val="10"/>
                <w:szCs w:val="10"/>
                <w:color w:val="auto"/>
              </w:rPr>
            </w:pPr>
          </w:p>
        </w:tc>
        <w:tc>
          <w:tcPr>
            <w:tcW w:w="2080" w:type="dxa"/>
            <w:vAlign w:val="bottom"/>
            <w:gridSpan w:val="2"/>
          </w:tcPr>
          <w:p>
            <w:pPr>
              <w:jc w:val="right"/>
              <w:ind w:right="263"/>
              <w:spacing w:after="0" w:line="122" w:lineRule="exact"/>
              <w:rPr>
                <w:sz w:val="20"/>
                <w:szCs w:val="20"/>
                <w:color w:val="auto"/>
              </w:rPr>
            </w:pPr>
            <w:r>
              <w:rPr>
                <w:rFonts w:ascii="Arial" w:cs="Arial" w:eastAsia="Arial" w:hAnsi="Arial"/>
                <w:sz w:val="11"/>
                <w:szCs w:val="11"/>
                <w:b w:val="1"/>
                <w:bCs w:val="1"/>
                <w:color w:val="auto"/>
              </w:rPr>
              <w:t>Adamczyk PEO — Adamczyk</w:t>
            </w:r>
          </w:p>
        </w:tc>
        <w:tc>
          <w:tcPr>
            <w:tcW w:w="980" w:type="dxa"/>
            <w:vAlign w:val="bottom"/>
          </w:tcPr>
          <w:p>
            <w:pPr>
              <w:jc w:val="right"/>
              <w:ind w:right="62"/>
              <w:spacing w:after="0" w:line="122" w:lineRule="exact"/>
              <w:rPr>
                <w:sz w:val="20"/>
                <w:szCs w:val="20"/>
                <w:color w:val="auto"/>
              </w:rPr>
            </w:pPr>
            <w:r>
              <w:rPr>
                <w:rFonts w:ascii="Arial" w:cs="Arial" w:eastAsia="Arial" w:hAnsi="Arial"/>
                <w:sz w:val="11"/>
                <w:szCs w:val="11"/>
                <w:b w:val="1"/>
                <w:bCs w:val="1"/>
                <w:color w:val="auto"/>
              </w:rPr>
              <w:t>NEOs</w:t>
            </w:r>
          </w:p>
        </w:tc>
        <w:tc>
          <w:tcPr>
            <w:tcW w:w="26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NEOs</w:t>
            </w:r>
          </w:p>
        </w:tc>
        <w:tc>
          <w:tcPr>
            <w:tcW w:w="1140" w:type="dxa"/>
            <w:vAlign w:val="bottom"/>
          </w:tcPr>
          <w:p>
            <w:pPr>
              <w:jc w:val="right"/>
              <w:ind w:right="122"/>
              <w:spacing w:after="0" w:line="122" w:lineRule="exact"/>
              <w:rPr>
                <w:sz w:val="20"/>
                <w:szCs w:val="20"/>
                <w:color w:val="auto"/>
              </w:rPr>
            </w:pPr>
            <w:r>
              <w:rPr>
                <w:rFonts w:ascii="Arial" w:cs="Arial" w:eastAsia="Arial" w:hAnsi="Arial"/>
                <w:sz w:val="11"/>
                <w:szCs w:val="11"/>
                <w:b w:val="1"/>
                <w:bCs w:val="1"/>
                <w:color w:val="auto"/>
              </w:rPr>
              <w:t>Return ($)(f)</w:t>
            </w:r>
          </w:p>
        </w:tc>
        <w:tc>
          <w:tcPr>
            <w:tcW w:w="100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Return</w:t>
            </w:r>
          </w:p>
        </w:tc>
        <w:tc>
          <w:tcPr>
            <w:tcW w:w="1180" w:type="dxa"/>
            <w:vAlign w:val="bottom"/>
          </w:tcPr>
          <w:p>
            <w:pPr>
              <w:jc w:val="right"/>
              <w:ind w:right="160"/>
              <w:spacing w:after="0" w:line="122" w:lineRule="exact"/>
              <w:rPr>
                <w:sz w:val="20"/>
                <w:szCs w:val="20"/>
                <w:color w:val="auto"/>
              </w:rPr>
            </w:pPr>
            <w:r>
              <w:rPr>
                <w:rFonts w:ascii="Arial" w:cs="Arial" w:eastAsia="Arial" w:hAnsi="Arial"/>
                <w:sz w:val="11"/>
                <w:szCs w:val="11"/>
                <w:b w:val="1"/>
                <w:bCs w:val="1"/>
                <w:color w:val="auto"/>
              </w:rPr>
              <w:t>(in millions)</w:t>
            </w:r>
          </w:p>
        </w:tc>
        <w:tc>
          <w:tcPr>
            <w:tcW w:w="70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Margin</w:t>
            </w:r>
          </w:p>
        </w:tc>
      </w:tr>
      <w:tr>
        <w:trPr>
          <w:trHeight w:val="176"/>
        </w:trPr>
        <w:tc>
          <w:tcPr>
            <w:tcW w:w="560" w:type="dxa"/>
            <w:vAlign w:val="bottom"/>
            <w:tcBorders>
              <w:bottom w:val="single" w:sz="8" w:color="D7282F"/>
            </w:tcBorders>
          </w:tcPr>
          <w:p>
            <w:pPr>
              <w:ind w:left="20"/>
              <w:spacing w:after="0"/>
              <w:rPr>
                <w:sz w:val="20"/>
                <w:szCs w:val="20"/>
                <w:color w:val="auto"/>
              </w:rPr>
            </w:pPr>
            <w:r>
              <w:rPr>
                <w:rFonts w:ascii="Arial" w:cs="Arial" w:eastAsia="Arial" w:hAnsi="Arial"/>
                <w:sz w:val="11"/>
                <w:szCs w:val="11"/>
                <w:b w:val="1"/>
                <w:bCs w:val="1"/>
                <w:color w:val="auto"/>
              </w:rPr>
              <w:t>(a)</w:t>
            </w:r>
          </w:p>
        </w:tc>
        <w:tc>
          <w:tcPr>
            <w:tcW w:w="420" w:type="dxa"/>
            <w:vAlign w:val="bottom"/>
            <w:tcBorders>
              <w:bottom w:val="single" w:sz="8" w:color="D7282F"/>
            </w:tcBorders>
          </w:tcPr>
          <w:p>
            <w:pPr>
              <w:spacing w:after="0"/>
              <w:rPr>
                <w:sz w:val="15"/>
                <w:szCs w:val="15"/>
                <w:color w:val="auto"/>
              </w:rPr>
            </w:pPr>
          </w:p>
        </w:tc>
        <w:tc>
          <w:tcPr>
            <w:tcW w:w="840" w:type="dxa"/>
            <w:vAlign w:val="bottom"/>
            <w:tcBorders>
              <w:bottom w:val="single" w:sz="8" w:color="D7282F"/>
            </w:tcBorders>
          </w:tcPr>
          <w:p>
            <w:pPr>
              <w:jc w:val="right"/>
              <w:spacing w:after="0"/>
              <w:rPr>
                <w:sz w:val="20"/>
                <w:szCs w:val="20"/>
                <w:color w:val="auto"/>
              </w:rPr>
            </w:pPr>
            <w:r>
              <w:rPr>
                <w:rFonts w:ascii="Arial" w:cs="Arial" w:eastAsia="Arial" w:hAnsi="Arial"/>
                <w:sz w:val="11"/>
                <w:szCs w:val="11"/>
                <w:b w:val="1"/>
                <w:bCs w:val="1"/>
                <w:color w:val="auto"/>
              </w:rPr>
              <w:t>(b)</w:t>
            </w:r>
            <w:r>
              <w:rPr>
                <w:rFonts w:ascii="Arial" w:cs="Arial" w:eastAsia="Arial" w:hAnsi="Arial"/>
                <w:sz w:val="14"/>
                <w:szCs w:val="14"/>
                <w:b w:val="1"/>
                <w:bCs w:val="1"/>
                <w:color w:val="auto"/>
                <w:vertAlign w:val="superscript"/>
              </w:rPr>
              <w:t>(1)</w:t>
            </w:r>
          </w:p>
        </w:tc>
        <w:tc>
          <w:tcPr>
            <w:tcW w:w="180" w:type="dxa"/>
            <w:vAlign w:val="bottom"/>
            <w:tcBorders>
              <w:bottom w:val="single" w:sz="8" w:color="D7282F"/>
            </w:tcBorders>
          </w:tcPr>
          <w:p>
            <w:pPr>
              <w:spacing w:after="0"/>
              <w:rPr>
                <w:sz w:val="15"/>
                <w:szCs w:val="15"/>
                <w:color w:val="auto"/>
              </w:rPr>
            </w:pPr>
          </w:p>
        </w:tc>
        <w:tc>
          <w:tcPr>
            <w:tcW w:w="860" w:type="dxa"/>
            <w:vAlign w:val="bottom"/>
            <w:tcBorders>
              <w:bottom w:val="single" w:sz="8" w:color="D7282F"/>
            </w:tcBorders>
          </w:tcPr>
          <w:p>
            <w:pPr>
              <w:jc w:val="right"/>
              <w:ind w:right="23"/>
              <w:spacing w:after="0" w:line="176" w:lineRule="exact"/>
              <w:rPr>
                <w:sz w:val="20"/>
                <w:szCs w:val="20"/>
                <w:color w:val="auto"/>
              </w:rPr>
            </w:pPr>
            <w:r>
              <w:rPr>
                <w:rFonts w:ascii="Arial" w:cs="Arial" w:eastAsia="Arial" w:hAnsi="Arial"/>
                <w:sz w:val="20"/>
                <w:szCs w:val="20"/>
                <w:b w:val="1"/>
                <w:bCs w:val="1"/>
                <w:color w:val="auto"/>
                <w:vertAlign w:val="subscript"/>
              </w:rPr>
              <w:t>(c)</w:t>
            </w:r>
            <w:r>
              <w:rPr>
                <w:rFonts w:ascii="Arial" w:cs="Arial" w:eastAsia="Arial" w:hAnsi="Arial"/>
                <w:sz w:val="7"/>
                <w:szCs w:val="7"/>
                <w:b w:val="1"/>
                <w:bCs w:val="1"/>
                <w:color w:val="auto"/>
              </w:rPr>
              <w:t>(2),(3),(4)</w:t>
            </w:r>
          </w:p>
        </w:tc>
        <w:tc>
          <w:tcPr>
            <w:tcW w:w="240" w:type="dxa"/>
            <w:vAlign w:val="bottom"/>
            <w:tcBorders>
              <w:bottom w:val="single" w:sz="8" w:color="D7282F"/>
            </w:tcBorders>
          </w:tcPr>
          <w:p>
            <w:pPr>
              <w:spacing w:after="0"/>
              <w:rPr>
                <w:sz w:val="15"/>
                <w:szCs w:val="15"/>
                <w:color w:val="auto"/>
              </w:rPr>
            </w:pPr>
          </w:p>
        </w:tc>
        <w:tc>
          <w:tcPr>
            <w:tcW w:w="1000" w:type="dxa"/>
            <w:vAlign w:val="bottom"/>
            <w:tcBorders>
              <w:bottom w:val="single" w:sz="8" w:color="D7282F"/>
            </w:tcBorders>
          </w:tcPr>
          <w:p>
            <w:pPr>
              <w:jc w:val="right"/>
              <w:ind w:right="162"/>
              <w:spacing w:after="0"/>
              <w:rPr>
                <w:sz w:val="20"/>
                <w:szCs w:val="20"/>
                <w:color w:val="auto"/>
              </w:rPr>
            </w:pPr>
            <w:r>
              <w:rPr>
                <w:rFonts w:ascii="Arial" w:cs="Arial" w:eastAsia="Arial" w:hAnsi="Arial"/>
                <w:sz w:val="11"/>
                <w:szCs w:val="11"/>
                <w:b w:val="1"/>
                <w:bCs w:val="1"/>
                <w:color w:val="auto"/>
              </w:rPr>
              <w:t>(b)</w:t>
            </w:r>
            <w:r>
              <w:rPr>
                <w:rFonts w:ascii="Arial" w:cs="Arial" w:eastAsia="Arial" w:hAnsi="Arial"/>
                <w:sz w:val="14"/>
                <w:szCs w:val="14"/>
                <w:b w:val="1"/>
                <w:bCs w:val="1"/>
                <w:color w:val="auto"/>
                <w:vertAlign w:val="superscript"/>
              </w:rPr>
              <w:t>(1)</w:t>
            </w:r>
          </w:p>
        </w:tc>
        <w:tc>
          <w:tcPr>
            <w:tcW w:w="1080" w:type="dxa"/>
            <w:vAlign w:val="bottom"/>
            <w:tcBorders>
              <w:bottom w:val="single" w:sz="8" w:color="D7282F"/>
            </w:tcBorders>
          </w:tcPr>
          <w:p>
            <w:pPr>
              <w:jc w:val="right"/>
              <w:ind w:right="263"/>
              <w:spacing w:after="0" w:line="176" w:lineRule="exact"/>
              <w:rPr>
                <w:sz w:val="20"/>
                <w:szCs w:val="20"/>
                <w:color w:val="auto"/>
              </w:rPr>
            </w:pPr>
            <w:r>
              <w:rPr>
                <w:rFonts w:ascii="Arial" w:cs="Arial" w:eastAsia="Arial" w:hAnsi="Arial"/>
                <w:sz w:val="20"/>
                <w:szCs w:val="20"/>
                <w:b w:val="1"/>
                <w:bCs w:val="1"/>
                <w:color w:val="auto"/>
                <w:vertAlign w:val="subscript"/>
              </w:rPr>
              <w:t>(c)</w:t>
            </w:r>
            <w:r>
              <w:rPr>
                <w:rFonts w:ascii="Arial" w:cs="Arial" w:eastAsia="Arial" w:hAnsi="Arial"/>
                <w:sz w:val="7"/>
                <w:szCs w:val="7"/>
                <w:b w:val="1"/>
                <w:bCs w:val="1"/>
                <w:color w:val="auto"/>
              </w:rPr>
              <w:t>(2),(3),(5)</w:t>
            </w:r>
          </w:p>
        </w:tc>
        <w:tc>
          <w:tcPr>
            <w:tcW w:w="980" w:type="dxa"/>
            <w:vAlign w:val="bottom"/>
            <w:tcBorders>
              <w:bottom w:val="single" w:sz="8" w:color="D7282F"/>
            </w:tcBorders>
          </w:tcPr>
          <w:p>
            <w:pPr>
              <w:jc w:val="right"/>
              <w:ind w:right="62"/>
              <w:spacing w:after="0"/>
              <w:rPr>
                <w:sz w:val="20"/>
                <w:szCs w:val="20"/>
                <w:color w:val="auto"/>
              </w:rPr>
            </w:pPr>
            <w:r>
              <w:rPr>
                <w:rFonts w:ascii="Arial" w:cs="Arial" w:eastAsia="Arial" w:hAnsi="Arial"/>
                <w:sz w:val="11"/>
                <w:szCs w:val="11"/>
                <w:b w:val="1"/>
                <w:bCs w:val="1"/>
                <w:color w:val="auto"/>
              </w:rPr>
              <w:t>(d)</w:t>
            </w:r>
            <w:r>
              <w:rPr>
                <w:rFonts w:ascii="Arial" w:cs="Arial" w:eastAsia="Arial" w:hAnsi="Arial"/>
                <w:sz w:val="14"/>
                <w:szCs w:val="14"/>
                <w:b w:val="1"/>
                <w:bCs w:val="1"/>
                <w:color w:val="auto"/>
                <w:vertAlign w:val="superscript"/>
              </w:rPr>
              <w:t>(1)</w:t>
            </w:r>
          </w:p>
        </w:tc>
        <w:tc>
          <w:tcPr>
            <w:tcW w:w="260" w:type="dxa"/>
            <w:vAlign w:val="bottom"/>
            <w:tcBorders>
              <w:bottom w:val="single" w:sz="8" w:color="D7282F"/>
            </w:tcBorders>
          </w:tcPr>
          <w:p>
            <w:pPr>
              <w:spacing w:after="0"/>
              <w:rPr>
                <w:sz w:val="15"/>
                <w:szCs w:val="15"/>
                <w:color w:val="auto"/>
              </w:rPr>
            </w:pPr>
          </w:p>
        </w:tc>
        <w:tc>
          <w:tcPr>
            <w:tcW w:w="780" w:type="dxa"/>
            <w:vAlign w:val="bottom"/>
            <w:tcBorders>
              <w:bottom w:val="single" w:sz="8" w:color="D7282F"/>
            </w:tcBorders>
          </w:tcPr>
          <w:p>
            <w:pPr>
              <w:jc w:val="right"/>
              <w:spacing w:after="0" w:line="176" w:lineRule="exact"/>
              <w:rPr>
                <w:sz w:val="20"/>
                <w:szCs w:val="20"/>
                <w:color w:val="auto"/>
              </w:rPr>
            </w:pPr>
            <w:r>
              <w:rPr>
                <w:rFonts w:ascii="Arial" w:cs="Arial" w:eastAsia="Arial" w:hAnsi="Arial"/>
                <w:sz w:val="20"/>
                <w:szCs w:val="20"/>
                <w:b w:val="1"/>
                <w:bCs w:val="1"/>
                <w:color w:val="auto"/>
                <w:vertAlign w:val="subscript"/>
              </w:rPr>
              <w:t>(e)</w:t>
            </w:r>
            <w:r>
              <w:rPr>
                <w:rFonts w:ascii="Arial" w:cs="Arial" w:eastAsia="Arial" w:hAnsi="Arial"/>
                <w:sz w:val="7"/>
                <w:szCs w:val="7"/>
                <w:b w:val="1"/>
                <w:bCs w:val="1"/>
                <w:color w:val="auto"/>
              </w:rPr>
              <w:t>(2),(3),(6)</w:t>
            </w:r>
          </w:p>
        </w:tc>
        <w:tc>
          <w:tcPr>
            <w:tcW w:w="1140" w:type="dxa"/>
            <w:vAlign w:val="bottom"/>
            <w:tcBorders>
              <w:bottom w:val="single" w:sz="8" w:color="D7282F"/>
            </w:tcBorders>
          </w:tcPr>
          <w:p>
            <w:pPr>
              <w:spacing w:after="0"/>
              <w:rPr>
                <w:sz w:val="15"/>
                <w:szCs w:val="15"/>
                <w:color w:val="auto"/>
              </w:rPr>
            </w:pP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1"/>
                <w:szCs w:val="11"/>
                <w:b w:val="1"/>
                <w:bCs w:val="1"/>
                <w:color w:val="auto"/>
              </w:rPr>
              <w:t>(Composite) (g)</w:t>
            </w:r>
          </w:p>
        </w:tc>
        <w:tc>
          <w:tcPr>
            <w:tcW w:w="1180" w:type="dxa"/>
            <w:vAlign w:val="bottom"/>
            <w:tcBorders>
              <w:bottom w:val="single" w:sz="8" w:color="D7282F"/>
            </w:tcBorders>
          </w:tcPr>
          <w:p>
            <w:pPr>
              <w:jc w:val="right"/>
              <w:ind w:right="160"/>
              <w:spacing w:after="0"/>
              <w:rPr>
                <w:sz w:val="20"/>
                <w:szCs w:val="20"/>
                <w:color w:val="auto"/>
              </w:rPr>
            </w:pPr>
            <w:r>
              <w:rPr>
                <w:rFonts w:ascii="Arial" w:cs="Arial" w:eastAsia="Arial" w:hAnsi="Arial"/>
                <w:sz w:val="11"/>
                <w:szCs w:val="11"/>
                <w:b w:val="1"/>
                <w:bCs w:val="1"/>
                <w:color w:val="auto"/>
              </w:rPr>
              <w:t>(h)</w:t>
            </w:r>
          </w:p>
        </w:tc>
        <w:tc>
          <w:tcPr>
            <w:tcW w:w="700" w:type="dxa"/>
            <w:vAlign w:val="bottom"/>
            <w:tcBorders>
              <w:bottom w:val="single" w:sz="8" w:color="D7282F"/>
            </w:tcBorders>
          </w:tcPr>
          <w:p>
            <w:pPr>
              <w:jc w:val="right"/>
              <w:spacing w:after="0"/>
              <w:rPr>
                <w:sz w:val="20"/>
                <w:szCs w:val="20"/>
                <w:color w:val="auto"/>
              </w:rPr>
            </w:pPr>
            <w:r>
              <w:rPr>
                <w:rFonts w:ascii="Arial" w:cs="Arial" w:eastAsia="Arial" w:hAnsi="Arial"/>
                <w:sz w:val="11"/>
                <w:szCs w:val="11"/>
                <w:b w:val="1"/>
                <w:bCs w:val="1"/>
                <w:color w:val="auto"/>
              </w:rPr>
              <w:t>(i)</w:t>
            </w:r>
            <w:r>
              <w:rPr>
                <w:rFonts w:ascii="Arial" w:cs="Arial" w:eastAsia="Arial" w:hAnsi="Arial"/>
                <w:sz w:val="14"/>
                <w:szCs w:val="14"/>
                <w:b w:val="1"/>
                <w:bCs w:val="1"/>
                <w:color w:val="auto"/>
                <w:vertAlign w:val="superscript"/>
              </w:rPr>
              <w:t>(7)</w:t>
            </w:r>
          </w:p>
        </w:tc>
      </w:tr>
      <w:tr>
        <w:trPr>
          <w:trHeight w:val="277"/>
        </w:trPr>
        <w:tc>
          <w:tcPr>
            <w:tcW w:w="560" w:type="dxa"/>
            <w:vAlign w:val="bottom"/>
          </w:tcPr>
          <w:p>
            <w:pPr>
              <w:ind w:left="20"/>
              <w:spacing w:after="0"/>
              <w:rPr>
                <w:sz w:val="20"/>
                <w:szCs w:val="20"/>
                <w:color w:val="auto"/>
              </w:rPr>
            </w:pPr>
            <w:r>
              <w:rPr>
                <w:rFonts w:ascii="Arial" w:cs="Arial" w:eastAsia="Arial" w:hAnsi="Arial"/>
                <w:sz w:val="13"/>
                <w:szCs w:val="13"/>
                <w:color w:val="auto"/>
              </w:rPr>
              <w:t>2025</w:t>
            </w:r>
          </w:p>
        </w:tc>
        <w:tc>
          <w:tcPr>
            <w:tcW w:w="4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2"/>
              <w:spacing w:after="0"/>
              <w:rPr>
                <w:sz w:val="20"/>
                <w:szCs w:val="20"/>
                <w:color w:val="auto"/>
              </w:rPr>
            </w:pPr>
            <w:r>
              <w:rPr>
                <w:rFonts w:ascii="Arial" w:cs="Arial" w:eastAsia="Arial" w:hAnsi="Arial"/>
                <w:sz w:val="13"/>
                <w:szCs w:val="13"/>
                <w:color w:val="auto"/>
              </w:rPr>
              <w:t>20,381,435</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63"/>
              <w:spacing w:after="0"/>
              <w:rPr>
                <w:sz w:val="20"/>
                <w:szCs w:val="20"/>
                <w:color w:val="auto"/>
              </w:rPr>
            </w:pPr>
            <w:r>
              <w:rPr>
                <w:rFonts w:ascii="Arial" w:cs="Arial" w:eastAsia="Arial" w:hAnsi="Arial"/>
                <w:sz w:val="13"/>
                <w:szCs w:val="13"/>
                <w:color w:val="auto"/>
              </w:rPr>
              <w:t>10,865,674</w:t>
            </w:r>
          </w:p>
        </w:tc>
        <w:tc>
          <w:tcPr>
            <w:tcW w:w="2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42"/>
              <w:spacing w:after="0"/>
              <w:rPr>
                <w:sz w:val="20"/>
                <w:szCs w:val="20"/>
                <w:color w:val="auto"/>
              </w:rPr>
            </w:pPr>
            <w:r>
              <w:rPr>
                <w:rFonts w:ascii="Arial" w:cs="Arial" w:eastAsia="Arial" w:hAnsi="Arial"/>
                <w:sz w:val="13"/>
                <w:szCs w:val="13"/>
                <w:color w:val="auto"/>
              </w:rPr>
              <w:t>—  $</w:t>
            </w:r>
          </w:p>
        </w:tc>
        <w:tc>
          <w:tcPr>
            <w:tcW w:w="1080" w:type="dxa"/>
            <w:vAlign w:val="bottom"/>
          </w:tcPr>
          <w:p>
            <w:pPr>
              <w:jc w:val="right"/>
              <w:ind w:right="43"/>
              <w:spacing w:after="0"/>
              <w:rPr>
                <w:sz w:val="20"/>
                <w:szCs w:val="20"/>
                <w:color w:val="auto"/>
              </w:rPr>
            </w:pPr>
            <w:r>
              <w:rPr>
                <w:rFonts w:ascii="Arial" w:cs="Arial" w:eastAsia="Arial" w:hAnsi="Arial"/>
                <w:sz w:val="13"/>
                <w:szCs w:val="13"/>
                <w:color w:val="auto"/>
              </w:rPr>
              <w:t>—   $</w:t>
            </w:r>
          </w:p>
        </w:tc>
        <w:tc>
          <w:tcPr>
            <w:tcW w:w="980" w:type="dxa"/>
            <w:vAlign w:val="bottom"/>
          </w:tcPr>
          <w:p>
            <w:pPr>
              <w:ind w:left="260"/>
              <w:spacing w:after="0"/>
              <w:rPr>
                <w:sz w:val="20"/>
                <w:szCs w:val="20"/>
                <w:color w:val="auto"/>
              </w:rPr>
            </w:pPr>
            <w:r>
              <w:rPr>
                <w:rFonts w:ascii="Arial" w:cs="Arial" w:eastAsia="Arial" w:hAnsi="Arial"/>
                <w:sz w:val="13"/>
                <w:szCs w:val="13"/>
                <w:color w:val="auto"/>
              </w:rPr>
              <w:t>5,241,759</w:t>
            </w:r>
          </w:p>
        </w:tc>
        <w:tc>
          <w:tcPr>
            <w:tcW w:w="2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
              <w:spacing w:after="0"/>
              <w:rPr>
                <w:sz w:val="20"/>
                <w:szCs w:val="20"/>
                <w:color w:val="auto"/>
              </w:rPr>
            </w:pPr>
            <w:r>
              <w:rPr>
                <w:rFonts w:ascii="Arial" w:cs="Arial" w:eastAsia="Arial" w:hAnsi="Arial"/>
                <w:sz w:val="13"/>
                <w:szCs w:val="13"/>
                <w:color w:val="auto"/>
              </w:rPr>
              <w:t>1,804,962</w:t>
            </w:r>
          </w:p>
        </w:tc>
        <w:tc>
          <w:tcPr>
            <w:tcW w:w="1140" w:type="dxa"/>
            <w:vAlign w:val="bottom"/>
          </w:tcPr>
          <w:p>
            <w:pPr>
              <w:jc w:val="right"/>
              <w:ind w:right="162"/>
              <w:spacing w:after="0"/>
              <w:rPr>
                <w:sz w:val="20"/>
                <w:szCs w:val="20"/>
                <w:color w:val="auto"/>
              </w:rPr>
            </w:pPr>
            <w:r>
              <w:rPr>
                <w:rFonts w:ascii="Arial" w:cs="Arial" w:eastAsia="Arial" w:hAnsi="Arial"/>
                <w:sz w:val="13"/>
                <w:szCs w:val="13"/>
                <w:color w:val="auto"/>
              </w:rPr>
              <w:t>$  107.80</w:t>
            </w:r>
          </w:p>
        </w:tc>
        <w:tc>
          <w:tcPr>
            <w:tcW w:w="1000" w:type="dxa"/>
            <w:vAlign w:val="bottom"/>
          </w:tcPr>
          <w:p>
            <w:pPr>
              <w:jc w:val="right"/>
              <w:ind w:right="2"/>
              <w:spacing w:after="0"/>
              <w:rPr>
                <w:sz w:val="20"/>
                <w:szCs w:val="20"/>
                <w:color w:val="auto"/>
              </w:rPr>
            </w:pPr>
            <w:r>
              <w:rPr>
                <w:rFonts w:ascii="Arial" w:cs="Arial" w:eastAsia="Arial" w:hAnsi="Arial"/>
                <w:sz w:val="13"/>
                <w:szCs w:val="13"/>
                <w:color w:val="auto"/>
              </w:rPr>
              <w:t>$   189.10</w:t>
            </w:r>
          </w:p>
        </w:tc>
        <w:tc>
          <w:tcPr>
            <w:tcW w:w="1180" w:type="dxa"/>
            <w:vAlign w:val="bottom"/>
          </w:tcPr>
          <w:p>
            <w:pPr>
              <w:jc w:val="right"/>
              <w:ind w:right="220"/>
              <w:spacing w:after="0"/>
              <w:rPr>
                <w:sz w:val="20"/>
                <w:szCs w:val="20"/>
                <w:color w:val="auto"/>
              </w:rPr>
            </w:pPr>
            <w:r>
              <w:rPr>
                <w:rFonts w:ascii="Arial" w:cs="Arial" w:eastAsia="Arial" w:hAnsi="Arial"/>
                <w:sz w:val="13"/>
                <w:szCs w:val="13"/>
                <w:color w:val="auto"/>
              </w:rPr>
              <w:t>$  4,772</w:t>
            </w:r>
          </w:p>
        </w:tc>
        <w:tc>
          <w:tcPr>
            <w:tcW w:w="700" w:type="dxa"/>
            <w:vAlign w:val="bottom"/>
          </w:tcPr>
          <w:p>
            <w:pPr>
              <w:jc w:val="right"/>
              <w:spacing w:after="0"/>
              <w:rPr>
                <w:sz w:val="20"/>
                <w:szCs w:val="20"/>
                <w:color w:val="auto"/>
              </w:rPr>
            </w:pPr>
            <w:r>
              <w:rPr>
                <w:rFonts w:ascii="Arial" w:cs="Arial" w:eastAsia="Arial" w:hAnsi="Arial"/>
                <w:sz w:val="13"/>
                <w:szCs w:val="13"/>
                <w:color w:val="auto"/>
              </w:rPr>
              <w:t>21.7%</w:t>
            </w:r>
          </w:p>
        </w:tc>
      </w:tr>
      <w:tr>
        <w:trPr>
          <w:trHeight w:val="135"/>
        </w:trPr>
        <w:tc>
          <w:tcPr>
            <w:tcW w:w="560" w:type="dxa"/>
            <w:vAlign w:val="bottom"/>
            <w:tcBorders>
              <w:bottom w:val="single" w:sz="8" w:color="939598"/>
            </w:tcBorders>
          </w:tcPr>
          <w:p>
            <w:pPr>
              <w:spacing w:after="0"/>
              <w:rPr>
                <w:sz w:val="11"/>
                <w:szCs w:val="11"/>
                <w:color w:val="auto"/>
              </w:rPr>
            </w:pPr>
          </w:p>
        </w:tc>
        <w:tc>
          <w:tcPr>
            <w:tcW w:w="420" w:type="dxa"/>
            <w:vAlign w:val="bottom"/>
            <w:tcBorders>
              <w:bottom w:val="single" w:sz="8" w:color="939598"/>
            </w:tcBorders>
          </w:tcPr>
          <w:p>
            <w:pPr>
              <w:spacing w:after="0"/>
              <w:rPr>
                <w:sz w:val="11"/>
                <w:szCs w:val="11"/>
                <w:color w:val="auto"/>
              </w:rPr>
            </w:pPr>
          </w:p>
        </w:tc>
        <w:tc>
          <w:tcPr>
            <w:tcW w:w="840" w:type="dxa"/>
            <w:vAlign w:val="bottom"/>
            <w:tcBorders>
              <w:bottom w:val="single" w:sz="8" w:color="939598"/>
            </w:tcBorders>
          </w:tcPr>
          <w:p>
            <w:pPr>
              <w:spacing w:after="0"/>
              <w:rPr>
                <w:sz w:val="11"/>
                <w:szCs w:val="11"/>
                <w:color w:val="auto"/>
              </w:rPr>
            </w:pPr>
          </w:p>
        </w:tc>
        <w:tc>
          <w:tcPr>
            <w:tcW w:w="180" w:type="dxa"/>
            <w:vAlign w:val="bottom"/>
            <w:tcBorders>
              <w:bottom w:val="single" w:sz="8" w:color="939598"/>
            </w:tcBorders>
          </w:tcPr>
          <w:p>
            <w:pPr>
              <w:spacing w:after="0"/>
              <w:rPr>
                <w:sz w:val="11"/>
                <w:szCs w:val="11"/>
                <w:color w:val="auto"/>
              </w:rPr>
            </w:pPr>
          </w:p>
        </w:tc>
        <w:tc>
          <w:tcPr>
            <w:tcW w:w="860" w:type="dxa"/>
            <w:vAlign w:val="bottom"/>
            <w:tcBorders>
              <w:bottom w:val="single" w:sz="8" w:color="939598"/>
            </w:tcBorders>
          </w:tcPr>
          <w:p>
            <w:pPr>
              <w:spacing w:after="0"/>
              <w:rPr>
                <w:sz w:val="11"/>
                <w:szCs w:val="11"/>
                <w:color w:val="auto"/>
              </w:rPr>
            </w:pPr>
          </w:p>
        </w:tc>
        <w:tc>
          <w:tcPr>
            <w:tcW w:w="240" w:type="dxa"/>
            <w:vAlign w:val="bottom"/>
            <w:tcBorders>
              <w:bottom w:val="single" w:sz="8" w:color="939598"/>
            </w:tcBorders>
          </w:tcPr>
          <w:p>
            <w:pPr>
              <w:spacing w:after="0"/>
              <w:rPr>
                <w:sz w:val="11"/>
                <w:szCs w:val="11"/>
                <w:color w:val="auto"/>
              </w:rPr>
            </w:pPr>
          </w:p>
        </w:tc>
        <w:tc>
          <w:tcPr>
            <w:tcW w:w="1000" w:type="dxa"/>
            <w:vAlign w:val="bottom"/>
            <w:tcBorders>
              <w:bottom w:val="single" w:sz="8" w:color="939598"/>
            </w:tcBorders>
          </w:tcPr>
          <w:p>
            <w:pPr>
              <w:spacing w:after="0"/>
              <w:rPr>
                <w:sz w:val="11"/>
                <w:szCs w:val="11"/>
                <w:color w:val="auto"/>
              </w:rPr>
            </w:pPr>
          </w:p>
        </w:tc>
        <w:tc>
          <w:tcPr>
            <w:tcW w:w="1080" w:type="dxa"/>
            <w:vAlign w:val="bottom"/>
            <w:tcBorders>
              <w:bottom w:val="single" w:sz="8" w:color="939598"/>
            </w:tcBorders>
          </w:tcPr>
          <w:p>
            <w:pPr>
              <w:spacing w:after="0"/>
              <w:rPr>
                <w:sz w:val="11"/>
                <w:szCs w:val="11"/>
                <w:color w:val="auto"/>
              </w:rPr>
            </w:pPr>
          </w:p>
        </w:tc>
        <w:tc>
          <w:tcPr>
            <w:tcW w:w="980" w:type="dxa"/>
            <w:vAlign w:val="bottom"/>
            <w:tcBorders>
              <w:bottom w:val="single" w:sz="8" w:color="939598"/>
            </w:tcBorders>
          </w:tcPr>
          <w:p>
            <w:pPr>
              <w:spacing w:after="0"/>
              <w:rPr>
                <w:sz w:val="11"/>
                <w:szCs w:val="11"/>
                <w:color w:val="auto"/>
              </w:rPr>
            </w:pPr>
          </w:p>
        </w:tc>
        <w:tc>
          <w:tcPr>
            <w:tcW w:w="260" w:type="dxa"/>
            <w:vAlign w:val="bottom"/>
            <w:tcBorders>
              <w:bottom w:val="single" w:sz="8" w:color="939598"/>
            </w:tcBorders>
          </w:tcPr>
          <w:p>
            <w:pPr>
              <w:spacing w:after="0"/>
              <w:rPr>
                <w:sz w:val="11"/>
                <w:szCs w:val="11"/>
                <w:color w:val="auto"/>
              </w:rPr>
            </w:pPr>
          </w:p>
        </w:tc>
        <w:tc>
          <w:tcPr>
            <w:tcW w:w="780" w:type="dxa"/>
            <w:vAlign w:val="bottom"/>
            <w:tcBorders>
              <w:bottom w:val="single" w:sz="8" w:color="939598"/>
            </w:tcBorders>
          </w:tcPr>
          <w:p>
            <w:pPr>
              <w:spacing w:after="0"/>
              <w:rPr>
                <w:sz w:val="11"/>
                <w:szCs w:val="11"/>
                <w:color w:val="auto"/>
              </w:rPr>
            </w:pPr>
          </w:p>
        </w:tc>
        <w:tc>
          <w:tcPr>
            <w:tcW w:w="1140" w:type="dxa"/>
            <w:vAlign w:val="bottom"/>
            <w:tcBorders>
              <w:bottom w:val="single" w:sz="8" w:color="939598"/>
            </w:tcBorders>
          </w:tcPr>
          <w:p>
            <w:pPr>
              <w:spacing w:after="0"/>
              <w:rPr>
                <w:sz w:val="11"/>
                <w:szCs w:val="11"/>
                <w:color w:val="auto"/>
              </w:rPr>
            </w:pPr>
          </w:p>
        </w:tc>
        <w:tc>
          <w:tcPr>
            <w:tcW w:w="1000" w:type="dxa"/>
            <w:vAlign w:val="bottom"/>
            <w:tcBorders>
              <w:bottom w:val="single" w:sz="8" w:color="939598"/>
            </w:tcBorders>
          </w:tcPr>
          <w:p>
            <w:pPr>
              <w:spacing w:after="0"/>
              <w:rPr>
                <w:sz w:val="11"/>
                <w:szCs w:val="11"/>
                <w:color w:val="auto"/>
              </w:rPr>
            </w:pPr>
          </w:p>
        </w:tc>
        <w:tc>
          <w:tcPr>
            <w:tcW w:w="1180" w:type="dxa"/>
            <w:vAlign w:val="bottom"/>
            <w:tcBorders>
              <w:bottom w:val="single" w:sz="8" w:color="939598"/>
            </w:tcBorders>
          </w:tcPr>
          <w:p>
            <w:pPr>
              <w:spacing w:after="0"/>
              <w:rPr>
                <w:sz w:val="11"/>
                <w:szCs w:val="11"/>
                <w:color w:val="auto"/>
              </w:rPr>
            </w:pPr>
          </w:p>
        </w:tc>
        <w:tc>
          <w:tcPr>
            <w:tcW w:w="700" w:type="dxa"/>
            <w:vAlign w:val="bottom"/>
            <w:tcBorders>
              <w:bottom w:val="single" w:sz="8" w:color="939598"/>
            </w:tcBorders>
          </w:tcPr>
          <w:p>
            <w:pPr>
              <w:spacing w:after="0"/>
              <w:rPr>
                <w:sz w:val="11"/>
                <w:szCs w:val="11"/>
                <w:color w:val="auto"/>
              </w:rPr>
            </w:pPr>
          </w:p>
        </w:tc>
      </w:tr>
      <w:tr>
        <w:trPr>
          <w:trHeight w:val="277"/>
        </w:trPr>
        <w:tc>
          <w:tcPr>
            <w:tcW w:w="560" w:type="dxa"/>
            <w:vAlign w:val="bottom"/>
          </w:tcPr>
          <w:p>
            <w:pPr>
              <w:ind w:left="20"/>
              <w:spacing w:after="0"/>
              <w:rPr>
                <w:sz w:val="20"/>
                <w:szCs w:val="20"/>
                <w:color w:val="auto"/>
              </w:rPr>
            </w:pPr>
            <w:r>
              <w:rPr>
                <w:rFonts w:ascii="Arial" w:cs="Arial" w:eastAsia="Arial" w:hAnsi="Arial"/>
                <w:sz w:val="13"/>
                <w:szCs w:val="13"/>
                <w:color w:val="auto"/>
              </w:rPr>
              <w:t>2024</w:t>
            </w:r>
          </w:p>
        </w:tc>
        <w:tc>
          <w:tcPr>
            <w:tcW w:w="420" w:type="dxa"/>
            <w:vAlign w:val="bottom"/>
          </w:tcPr>
          <w:p>
            <w:pPr>
              <w:spacing w:after="0"/>
              <w:rPr>
                <w:sz w:val="24"/>
                <w:szCs w:val="24"/>
                <w:color w:val="auto"/>
              </w:rPr>
            </w:pPr>
          </w:p>
        </w:tc>
        <w:tc>
          <w:tcPr>
            <w:tcW w:w="840" w:type="dxa"/>
            <w:vAlign w:val="bottom"/>
          </w:tcPr>
          <w:p>
            <w:pPr>
              <w:jc w:val="right"/>
              <w:ind w:right="2"/>
              <w:spacing w:after="0"/>
              <w:rPr>
                <w:sz w:val="20"/>
                <w:szCs w:val="20"/>
                <w:color w:val="auto"/>
              </w:rPr>
            </w:pPr>
            <w:r>
              <w:rPr>
                <w:rFonts w:ascii="Arial" w:cs="Arial" w:eastAsia="Arial" w:hAnsi="Arial"/>
                <w:sz w:val="13"/>
                <w:szCs w:val="13"/>
                <w:color w:val="auto"/>
              </w:rPr>
              <w:t>18,277,193</w:t>
            </w:r>
          </w:p>
        </w:tc>
        <w:tc>
          <w:tcPr>
            <w:tcW w:w="180" w:type="dxa"/>
            <w:vAlign w:val="bottom"/>
          </w:tcPr>
          <w:p>
            <w:pPr>
              <w:spacing w:after="0"/>
              <w:rPr>
                <w:sz w:val="24"/>
                <w:szCs w:val="24"/>
                <w:color w:val="auto"/>
              </w:rPr>
            </w:pPr>
          </w:p>
        </w:tc>
        <w:tc>
          <w:tcPr>
            <w:tcW w:w="860" w:type="dxa"/>
            <w:vAlign w:val="bottom"/>
          </w:tcPr>
          <w:p>
            <w:pPr>
              <w:jc w:val="right"/>
              <w:ind w:right="63"/>
              <w:spacing w:after="0"/>
              <w:rPr>
                <w:sz w:val="20"/>
                <w:szCs w:val="20"/>
                <w:color w:val="auto"/>
              </w:rPr>
            </w:pPr>
            <w:r>
              <w:rPr>
                <w:rFonts w:ascii="Arial" w:cs="Arial" w:eastAsia="Arial" w:hAnsi="Arial"/>
                <w:sz w:val="13"/>
                <w:szCs w:val="13"/>
                <w:color w:val="auto"/>
              </w:rPr>
              <w:t>21,623,963</w:t>
            </w:r>
          </w:p>
        </w:tc>
        <w:tc>
          <w:tcPr>
            <w:tcW w:w="240" w:type="dxa"/>
            <w:vAlign w:val="bottom"/>
          </w:tcPr>
          <w:p>
            <w:pPr>
              <w:spacing w:after="0"/>
              <w:rPr>
                <w:sz w:val="24"/>
                <w:szCs w:val="24"/>
                <w:color w:val="auto"/>
              </w:rPr>
            </w:pPr>
          </w:p>
        </w:tc>
        <w:tc>
          <w:tcPr>
            <w:tcW w:w="1000" w:type="dxa"/>
            <w:vAlign w:val="bottom"/>
          </w:tcPr>
          <w:p>
            <w:pPr>
              <w:jc w:val="right"/>
              <w:ind w:right="202"/>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323"/>
              <w:spacing w:after="0"/>
              <w:rPr>
                <w:sz w:val="20"/>
                <w:szCs w:val="20"/>
                <w:color w:val="auto"/>
              </w:rPr>
            </w:pPr>
            <w:r>
              <w:rPr>
                <w:rFonts w:ascii="Arial" w:cs="Arial" w:eastAsia="Arial" w:hAnsi="Arial"/>
                <w:sz w:val="13"/>
                <w:szCs w:val="13"/>
                <w:color w:val="auto"/>
              </w:rPr>
              <w:t>—</w:t>
            </w:r>
          </w:p>
        </w:tc>
        <w:tc>
          <w:tcPr>
            <w:tcW w:w="980" w:type="dxa"/>
            <w:vAlign w:val="bottom"/>
          </w:tcPr>
          <w:p>
            <w:pPr>
              <w:ind w:left="260"/>
              <w:spacing w:after="0"/>
              <w:rPr>
                <w:sz w:val="20"/>
                <w:szCs w:val="20"/>
                <w:color w:val="auto"/>
              </w:rPr>
            </w:pPr>
            <w:r>
              <w:rPr>
                <w:rFonts w:ascii="Arial" w:cs="Arial" w:eastAsia="Arial" w:hAnsi="Arial"/>
                <w:sz w:val="13"/>
                <w:szCs w:val="13"/>
                <w:color w:val="auto"/>
              </w:rPr>
              <w:t>6,741,799</w:t>
            </w:r>
          </w:p>
        </w:tc>
        <w:tc>
          <w:tcPr>
            <w:tcW w:w="260" w:type="dxa"/>
            <w:vAlign w:val="bottom"/>
          </w:tcPr>
          <w:p>
            <w:pPr>
              <w:spacing w:after="0"/>
              <w:rPr>
                <w:sz w:val="24"/>
                <w:szCs w:val="24"/>
                <w:color w:val="auto"/>
              </w:rPr>
            </w:pPr>
          </w:p>
        </w:tc>
        <w:tc>
          <w:tcPr>
            <w:tcW w:w="780" w:type="dxa"/>
            <w:vAlign w:val="bottom"/>
          </w:tcPr>
          <w:p>
            <w:pPr>
              <w:jc w:val="right"/>
              <w:ind w:right="3"/>
              <w:spacing w:after="0"/>
              <w:rPr>
                <w:sz w:val="20"/>
                <w:szCs w:val="20"/>
                <w:color w:val="auto"/>
              </w:rPr>
            </w:pPr>
            <w:r>
              <w:rPr>
                <w:rFonts w:ascii="Arial" w:cs="Arial" w:eastAsia="Arial" w:hAnsi="Arial"/>
                <w:sz w:val="13"/>
                <w:szCs w:val="13"/>
                <w:color w:val="auto"/>
              </w:rPr>
              <w:t>7,708,705</w:t>
            </w:r>
          </w:p>
        </w:tc>
        <w:tc>
          <w:tcPr>
            <w:tcW w:w="1140" w:type="dxa"/>
            <w:vAlign w:val="bottom"/>
          </w:tcPr>
          <w:p>
            <w:pPr>
              <w:jc w:val="right"/>
              <w:ind w:right="162"/>
              <w:spacing w:after="0"/>
              <w:rPr>
                <w:sz w:val="20"/>
                <w:szCs w:val="20"/>
                <w:color w:val="auto"/>
              </w:rPr>
            </w:pPr>
            <w:r>
              <w:rPr>
                <w:rFonts w:ascii="Arial" w:cs="Arial" w:eastAsia="Arial" w:hAnsi="Arial"/>
                <w:sz w:val="13"/>
                <w:szCs w:val="13"/>
                <w:color w:val="auto"/>
              </w:rPr>
              <w:t>115.09</w:t>
            </w:r>
          </w:p>
        </w:tc>
        <w:tc>
          <w:tcPr>
            <w:tcW w:w="1000" w:type="dxa"/>
            <w:vAlign w:val="bottom"/>
          </w:tcPr>
          <w:p>
            <w:pPr>
              <w:jc w:val="right"/>
              <w:ind w:right="2"/>
              <w:spacing w:after="0"/>
              <w:rPr>
                <w:sz w:val="20"/>
                <w:szCs w:val="20"/>
                <w:color w:val="auto"/>
              </w:rPr>
            </w:pPr>
            <w:r>
              <w:rPr>
                <w:rFonts w:ascii="Arial" w:cs="Arial" w:eastAsia="Arial" w:hAnsi="Arial"/>
                <w:sz w:val="13"/>
                <w:szCs w:val="13"/>
                <w:color w:val="auto"/>
              </w:rPr>
              <w:t>158.45</w:t>
            </w:r>
          </w:p>
        </w:tc>
        <w:tc>
          <w:tcPr>
            <w:tcW w:w="1180" w:type="dxa"/>
            <w:vAlign w:val="bottom"/>
          </w:tcPr>
          <w:p>
            <w:pPr>
              <w:jc w:val="right"/>
              <w:ind w:right="220"/>
              <w:spacing w:after="0"/>
              <w:rPr>
                <w:sz w:val="20"/>
                <w:szCs w:val="20"/>
                <w:color w:val="auto"/>
              </w:rPr>
            </w:pPr>
            <w:r>
              <w:rPr>
                <w:rFonts w:ascii="Arial" w:cs="Arial" w:eastAsia="Arial" w:hAnsi="Arial"/>
                <w:sz w:val="13"/>
                <w:szCs w:val="13"/>
                <w:color w:val="auto"/>
              </w:rPr>
              <w:t>5,740</w:t>
            </w:r>
          </w:p>
        </w:tc>
        <w:tc>
          <w:tcPr>
            <w:tcW w:w="700" w:type="dxa"/>
            <w:vAlign w:val="bottom"/>
          </w:tcPr>
          <w:p>
            <w:pPr>
              <w:jc w:val="right"/>
              <w:spacing w:after="0"/>
              <w:rPr>
                <w:sz w:val="20"/>
                <w:szCs w:val="20"/>
                <w:color w:val="auto"/>
              </w:rPr>
            </w:pPr>
            <w:r>
              <w:rPr>
                <w:rFonts w:ascii="Arial" w:cs="Arial" w:eastAsia="Arial" w:hAnsi="Arial"/>
                <w:sz w:val="13"/>
                <w:szCs w:val="13"/>
                <w:color w:val="auto"/>
              </w:rPr>
              <w:t>22.6%</w:t>
            </w:r>
          </w:p>
        </w:tc>
      </w:tr>
      <w:tr>
        <w:trPr>
          <w:trHeight w:val="135"/>
        </w:trPr>
        <w:tc>
          <w:tcPr>
            <w:tcW w:w="560" w:type="dxa"/>
            <w:vAlign w:val="bottom"/>
            <w:tcBorders>
              <w:bottom w:val="single" w:sz="8" w:color="939598"/>
            </w:tcBorders>
          </w:tcPr>
          <w:p>
            <w:pPr>
              <w:spacing w:after="0"/>
              <w:rPr>
                <w:sz w:val="11"/>
                <w:szCs w:val="11"/>
                <w:color w:val="auto"/>
              </w:rPr>
            </w:pPr>
          </w:p>
        </w:tc>
        <w:tc>
          <w:tcPr>
            <w:tcW w:w="420" w:type="dxa"/>
            <w:vAlign w:val="bottom"/>
            <w:tcBorders>
              <w:bottom w:val="single" w:sz="8" w:color="939598"/>
            </w:tcBorders>
          </w:tcPr>
          <w:p>
            <w:pPr>
              <w:spacing w:after="0"/>
              <w:rPr>
                <w:sz w:val="11"/>
                <w:szCs w:val="11"/>
                <w:color w:val="auto"/>
              </w:rPr>
            </w:pPr>
          </w:p>
        </w:tc>
        <w:tc>
          <w:tcPr>
            <w:tcW w:w="840" w:type="dxa"/>
            <w:vAlign w:val="bottom"/>
            <w:tcBorders>
              <w:bottom w:val="single" w:sz="8" w:color="939598"/>
            </w:tcBorders>
          </w:tcPr>
          <w:p>
            <w:pPr>
              <w:spacing w:after="0"/>
              <w:rPr>
                <w:sz w:val="11"/>
                <w:szCs w:val="11"/>
                <w:color w:val="auto"/>
              </w:rPr>
            </w:pPr>
          </w:p>
        </w:tc>
        <w:tc>
          <w:tcPr>
            <w:tcW w:w="180" w:type="dxa"/>
            <w:vAlign w:val="bottom"/>
            <w:tcBorders>
              <w:bottom w:val="single" w:sz="8" w:color="939598"/>
            </w:tcBorders>
          </w:tcPr>
          <w:p>
            <w:pPr>
              <w:spacing w:after="0"/>
              <w:rPr>
                <w:sz w:val="11"/>
                <w:szCs w:val="11"/>
                <w:color w:val="auto"/>
              </w:rPr>
            </w:pPr>
          </w:p>
        </w:tc>
        <w:tc>
          <w:tcPr>
            <w:tcW w:w="860" w:type="dxa"/>
            <w:vAlign w:val="bottom"/>
            <w:tcBorders>
              <w:bottom w:val="single" w:sz="8" w:color="939598"/>
            </w:tcBorders>
          </w:tcPr>
          <w:p>
            <w:pPr>
              <w:spacing w:after="0"/>
              <w:rPr>
                <w:sz w:val="11"/>
                <w:szCs w:val="11"/>
                <w:color w:val="auto"/>
              </w:rPr>
            </w:pPr>
          </w:p>
        </w:tc>
        <w:tc>
          <w:tcPr>
            <w:tcW w:w="240" w:type="dxa"/>
            <w:vAlign w:val="bottom"/>
            <w:tcBorders>
              <w:bottom w:val="single" w:sz="8" w:color="939598"/>
            </w:tcBorders>
          </w:tcPr>
          <w:p>
            <w:pPr>
              <w:spacing w:after="0"/>
              <w:rPr>
                <w:sz w:val="11"/>
                <w:szCs w:val="11"/>
                <w:color w:val="auto"/>
              </w:rPr>
            </w:pPr>
          </w:p>
        </w:tc>
        <w:tc>
          <w:tcPr>
            <w:tcW w:w="1000" w:type="dxa"/>
            <w:vAlign w:val="bottom"/>
            <w:tcBorders>
              <w:bottom w:val="single" w:sz="8" w:color="939598"/>
            </w:tcBorders>
          </w:tcPr>
          <w:p>
            <w:pPr>
              <w:spacing w:after="0"/>
              <w:rPr>
                <w:sz w:val="11"/>
                <w:szCs w:val="11"/>
                <w:color w:val="auto"/>
              </w:rPr>
            </w:pPr>
          </w:p>
        </w:tc>
        <w:tc>
          <w:tcPr>
            <w:tcW w:w="1080" w:type="dxa"/>
            <w:vAlign w:val="bottom"/>
            <w:tcBorders>
              <w:bottom w:val="single" w:sz="8" w:color="939598"/>
            </w:tcBorders>
          </w:tcPr>
          <w:p>
            <w:pPr>
              <w:spacing w:after="0"/>
              <w:rPr>
                <w:sz w:val="11"/>
                <w:szCs w:val="11"/>
                <w:color w:val="auto"/>
              </w:rPr>
            </w:pPr>
          </w:p>
        </w:tc>
        <w:tc>
          <w:tcPr>
            <w:tcW w:w="980" w:type="dxa"/>
            <w:vAlign w:val="bottom"/>
            <w:tcBorders>
              <w:bottom w:val="single" w:sz="8" w:color="939598"/>
            </w:tcBorders>
          </w:tcPr>
          <w:p>
            <w:pPr>
              <w:spacing w:after="0"/>
              <w:rPr>
                <w:sz w:val="11"/>
                <w:szCs w:val="11"/>
                <w:color w:val="auto"/>
              </w:rPr>
            </w:pPr>
          </w:p>
        </w:tc>
        <w:tc>
          <w:tcPr>
            <w:tcW w:w="260" w:type="dxa"/>
            <w:vAlign w:val="bottom"/>
            <w:tcBorders>
              <w:bottom w:val="single" w:sz="8" w:color="939598"/>
            </w:tcBorders>
          </w:tcPr>
          <w:p>
            <w:pPr>
              <w:spacing w:after="0"/>
              <w:rPr>
                <w:sz w:val="11"/>
                <w:szCs w:val="11"/>
                <w:color w:val="auto"/>
              </w:rPr>
            </w:pPr>
          </w:p>
        </w:tc>
        <w:tc>
          <w:tcPr>
            <w:tcW w:w="780" w:type="dxa"/>
            <w:vAlign w:val="bottom"/>
            <w:tcBorders>
              <w:bottom w:val="single" w:sz="8" w:color="939598"/>
            </w:tcBorders>
          </w:tcPr>
          <w:p>
            <w:pPr>
              <w:spacing w:after="0"/>
              <w:rPr>
                <w:sz w:val="11"/>
                <w:szCs w:val="11"/>
                <w:color w:val="auto"/>
              </w:rPr>
            </w:pPr>
          </w:p>
        </w:tc>
        <w:tc>
          <w:tcPr>
            <w:tcW w:w="1140" w:type="dxa"/>
            <w:vAlign w:val="bottom"/>
            <w:tcBorders>
              <w:bottom w:val="single" w:sz="8" w:color="939598"/>
            </w:tcBorders>
          </w:tcPr>
          <w:p>
            <w:pPr>
              <w:spacing w:after="0"/>
              <w:rPr>
                <w:sz w:val="11"/>
                <w:szCs w:val="11"/>
                <w:color w:val="auto"/>
              </w:rPr>
            </w:pPr>
          </w:p>
        </w:tc>
        <w:tc>
          <w:tcPr>
            <w:tcW w:w="1000" w:type="dxa"/>
            <w:vAlign w:val="bottom"/>
            <w:tcBorders>
              <w:bottom w:val="single" w:sz="8" w:color="939598"/>
            </w:tcBorders>
          </w:tcPr>
          <w:p>
            <w:pPr>
              <w:spacing w:after="0"/>
              <w:rPr>
                <w:sz w:val="11"/>
                <w:szCs w:val="11"/>
                <w:color w:val="auto"/>
              </w:rPr>
            </w:pPr>
          </w:p>
        </w:tc>
        <w:tc>
          <w:tcPr>
            <w:tcW w:w="1180" w:type="dxa"/>
            <w:vAlign w:val="bottom"/>
            <w:tcBorders>
              <w:bottom w:val="single" w:sz="8" w:color="939598"/>
            </w:tcBorders>
          </w:tcPr>
          <w:p>
            <w:pPr>
              <w:spacing w:after="0"/>
              <w:rPr>
                <w:sz w:val="11"/>
                <w:szCs w:val="11"/>
                <w:color w:val="auto"/>
              </w:rPr>
            </w:pPr>
          </w:p>
        </w:tc>
        <w:tc>
          <w:tcPr>
            <w:tcW w:w="700" w:type="dxa"/>
            <w:vAlign w:val="bottom"/>
            <w:tcBorders>
              <w:bottom w:val="single" w:sz="8" w:color="939598"/>
            </w:tcBorders>
          </w:tcPr>
          <w:p>
            <w:pPr>
              <w:spacing w:after="0"/>
              <w:rPr>
                <w:sz w:val="11"/>
                <w:szCs w:val="11"/>
                <w:color w:val="auto"/>
              </w:rPr>
            </w:pPr>
          </w:p>
        </w:tc>
      </w:tr>
      <w:tr>
        <w:trPr>
          <w:trHeight w:val="277"/>
        </w:trPr>
        <w:tc>
          <w:tcPr>
            <w:tcW w:w="560" w:type="dxa"/>
            <w:vAlign w:val="bottom"/>
          </w:tcPr>
          <w:p>
            <w:pPr>
              <w:ind w:left="20"/>
              <w:spacing w:after="0"/>
              <w:rPr>
                <w:sz w:val="20"/>
                <w:szCs w:val="20"/>
                <w:color w:val="auto"/>
              </w:rPr>
            </w:pPr>
            <w:r>
              <w:rPr>
                <w:rFonts w:ascii="Arial" w:cs="Arial" w:eastAsia="Arial" w:hAnsi="Arial"/>
                <w:sz w:val="13"/>
                <w:szCs w:val="13"/>
                <w:color w:val="auto"/>
              </w:rPr>
              <w:t>2023</w:t>
            </w:r>
          </w:p>
        </w:tc>
        <w:tc>
          <w:tcPr>
            <w:tcW w:w="420" w:type="dxa"/>
            <w:vAlign w:val="bottom"/>
          </w:tcPr>
          <w:p>
            <w:pPr>
              <w:spacing w:after="0"/>
              <w:rPr>
                <w:sz w:val="24"/>
                <w:szCs w:val="24"/>
                <w:color w:val="auto"/>
              </w:rPr>
            </w:pPr>
          </w:p>
        </w:tc>
        <w:tc>
          <w:tcPr>
            <w:tcW w:w="840" w:type="dxa"/>
            <w:vAlign w:val="bottom"/>
          </w:tcPr>
          <w:p>
            <w:pPr>
              <w:jc w:val="right"/>
              <w:ind w:right="2"/>
              <w:spacing w:after="0"/>
              <w:rPr>
                <w:sz w:val="20"/>
                <w:szCs w:val="20"/>
                <w:color w:val="auto"/>
              </w:rPr>
            </w:pPr>
            <w:r>
              <w:rPr>
                <w:rFonts w:ascii="Arial" w:cs="Arial" w:eastAsia="Arial" w:hAnsi="Arial"/>
                <w:sz w:val="13"/>
                <w:szCs w:val="13"/>
                <w:color w:val="auto"/>
              </w:rPr>
              <w:t>14,401,630</w:t>
            </w:r>
          </w:p>
        </w:tc>
        <w:tc>
          <w:tcPr>
            <w:tcW w:w="180" w:type="dxa"/>
            <w:vAlign w:val="bottom"/>
          </w:tcPr>
          <w:p>
            <w:pPr>
              <w:spacing w:after="0"/>
              <w:rPr>
                <w:sz w:val="24"/>
                <w:szCs w:val="24"/>
                <w:color w:val="auto"/>
              </w:rPr>
            </w:pPr>
          </w:p>
        </w:tc>
        <w:tc>
          <w:tcPr>
            <w:tcW w:w="860" w:type="dxa"/>
            <w:vAlign w:val="bottom"/>
          </w:tcPr>
          <w:p>
            <w:pPr>
              <w:jc w:val="right"/>
              <w:ind w:right="63"/>
              <w:spacing w:after="0"/>
              <w:rPr>
                <w:sz w:val="20"/>
                <w:szCs w:val="20"/>
                <w:color w:val="auto"/>
              </w:rPr>
            </w:pPr>
            <w:r>
              <w:rPr>
                <w:rFonts w:ascii="Arial" w:cs="Arial" w:eastAsia="Arial" w:hAnsi="Arial"/>
                <w:sz w:val="13"/>
                <w:szCs w:val="13"/>
                <w:color w:val="auto"/>
              </w:rPr>
              <w:t>14,757,418</w:t>
            </w:r>
          </w:p>
        </w:tc>
        <w:tc>
          <w:tcPr>
            <w:tcW w:w="240" w:type="dxa"/>
            <w:vAlign w:val="bottom"/>
          </w:tcPr>
          <w:p>
            <w:pPr>
              <w:spacing w:after="0"/>
              <w:rPr>
                <w:sz w:val="24"/>
                <w:szCs w:val="24"/>
                <w:color w:val="auto"/>
              </w:rPr>
            </w:pPr>
          </w:p>
        </w:tc>
        <w:tc>
          <w:tcPr>
            <w:tcW w:w="1000" w:type="dxa"/>
            <w:vAlign w:val="bottom"/>
          </w:tcPr>
          <w:p>
            <w:pPr>
              <w:jc w:val="right"/>
              <w:ind w:right="202"/>
              <w:spacing w:after="0"/>
              <w:rPr>
                <w:sz w:val="20"/>
                <w:szCs w:val="20"/>
                <w:color w:val="auto"/>
              </w:rPr>
            </w:pPr>
            <w:r>
              <w:rPr>
                <w:rFonts w:ascii="Arial" w:cs="Arial" w:eastAsia="Arial" w:hAnsi="Arial"/>
                <w:sz w:val="13"/>
                <w:szCs w:val="13"/>
                <w:color w:val="auto"/>
              </w:rPr>
              <w:t>23,029,368</w:t>
            </w:r>
          </w:p>
        </w:tc>
        <w:tc>
          <w:tcPr>
            <w:tcW w:w="1080" w:type="dxa"/>
            <w:vAlign w:val="bottom"/>
          </w:tcPr>
          <w:p>
            <w:pPr>
              <w:jc w:val="right"/>
              <w:ind w:right="323"/>
              <w:spacing w:after="0"/>
              <w:rPr>
                <w:sz w:val="20"/>
                <w:szCs w:val="20"/>
                <w:color w:val="auto"/>
              </w:rPr>
            </w:pPr>
            <w:r>
              <w:rPr>
                <w:rFonts w:ascii="Arial" w:cs="Arial" w:eastAsia="Arial" w:hAnsi="Arial"/>
                <w:sz w:val="13"/>
                <w:szCs w:val="13"/>
                <w:color w:val="auto"/>
              </w:rPr>
              <w:t>21,520,786</w:t>
            </w:r>
          </w:p>
        </w:tc>
        <w:tc>
          <w:tcPr>
            <w:tcW w:w="980" w:type="dxa"/>
            <w:vAlign w:val="bottom"/>
          </w:tcPr>
          <w:p>
            <w:pPr>
              <w:ind w:left="260"/>
              <w:spacing w:after="0"/>
              <w:rPr>
                <w:sz w:val="20"/>
                <w:szCs w:val="20"/>
                <w:color w:val="auto"/>
              </w:rPr>
            </w:pPr>
            <w:r>
              <w:rPr>
                <w:rFonts w:ascii="Arial" w:cs="Arial" w:eastAsia="Arial" w:hAnsi="Arial"/>
                <w:sz w:val="13"/>
                <w:szCs w:val="13"/>
                <w:color w:val="auto"/>
              </w:rPr>
              <w:t>6,531,247</w:t>
            </w:r>
          </w:p>
        </w:tc>
        <w:tc>
          <w:tcPr>
            <w:tcW w:w="260" w:type="dxa"/>
            <w:vAlign w:val="bottom"/>
          </w:tcPr>
          <w:p>
            <w:pPr>
              <w:spacing w:after="0"/>
              <w:rPr>
                <w:sz w:val="24"/>
                <w:szCs w:val="24"/>
                <w:color w:val="auto"/>
              </w:rPr>
            </w:pPr>
          </w:p>
        </w:tc>
        <w:tc>
          <w:tcPr>
            <w:tcW w:w="780" w:type="dxa"/>
            <w:vAlign w:val="bottom"/>
          </w:tcPr>
          <w:p>
            <w:pPr>
              <w:jc w:val="right"/>
              <w:ind w:right="3"/>
              <w:spacing w:after="0"/>
              <w:rPr>
                <w:sz w:val="20"/>
                <w:szCs w:val="20"/>
                <w:color w:val="auto"/>
              </w:rPr>
            </w:pPr>
            <w:r>
              <w:rPr>
                <w:rFonts w:ascii="Arial" w:cs="Arial" w:eastAsia="Arial" w:hAnsi="Arial"/>
                <w:sz w:val="13"/>
                <w:szCs w:val="13"/>
                <w:color w:val="auto"/>
              </w:rPr>
              <w:t>6,230,330</w:t>
            </w:r>
          </w:p>
        </w:tc>
        <w:tc>
          <w:tcPr>
            <w:tcW w:w="1140" w:type="dxa"/>
            <w:vAlign w:val="bottom"/>
          </w:tcPr>
          <w:p>
            <w:pPr>
              <w:jc w:val="right"/>
              <w:ind w:right="162"/>
              <w:spacing w:after="0"/>
              <w:rPr>
                <w:sz w:val="20"/>
                <w:szCs w:val="20"/>
                <w:color w:val="auto"/>
              </w:rPr>
            </w:pPr>
            <w:r>
              <w:rPr>
                <w:rFonts w:ascii="Arial" w:cs="Arial" w:eastAsia="Arial" w:hAnsi="Arial"/>
                <w:sz w:val="13"/>
                <w:szCs w:val="13"/>
                <w:color w:val="auto"/>
              </w:rPr>
              <w:t>104.61</w:t>
            </w:r>
          </w:p>
        </w:tc>
        <w:tc>
          <w:tcPr>
            <w:tcW w:w="1000" w:type="dxa"/>
            <w:vAlign w:val="bottom"/>
          </w:tcPr>
          <w:p>
            <w:pPr>
              <w:jc w:val="right"/>
              <w:ind w:right="2"/>
              <w:spacing w:after="0"/>
              <w:rPr>
                <w:sz w:val="20"/>
                <w:szCs w:val="20"/>
                <w:color w:val="auto"/>
              </w:rPr>
            </w:pPr>
            <w:r>
              <w:rPr>
                <w:rFonts w:ascii="Arial" w:cs="Arial" w:eastAsia="Arial" w:hAnsi="Arial"/>
                <w:sz w:val="13"/>
                <w:szCs w:val="13"/>
                <w:color w:val="auto"/>
              </w:rPr>
              <w:t>135.07</w:t>
            </w:r>
          </w:p>
        </w:tc>
        <w:tc>
          <w:tcPr>
            <w:tcW w:w="1180" w:type="dxa"/>
            <w:vAlign w:val="bottom"/>
          </w:tcPr>
          <w:p>
            <w:pPr>
              <w:jc w:val="right"/>
              <w:ind w:right="220"/>
              <w:spacing w:after="0"/>
              <w:rPr>
                <w:sz w:val="20"/>
                <w:szCs w:val="20"/>
                <w:color w:val="auto"/>
              </w:rPr>
            </w:pPr>
            <w:r>
              <w:rPr>
                <w:rFonts w:ascii="Arial" w:cs="Arial" w:eastAsia="Arial" w:hAnsi="Arial"/>
                <w:sz w:val="13"/>
                <w:szCs w:val="13"/>
                <w:color w:val="auto"/>
              </w:rPr>
              <w:t>5,672</w:t>
            </w:r>
          </w:p>
        </w:tc>
        <w:tc>
          <w:tcPr>
            <w:tcW w:w="700" w:type="dxa"/>
            <w:vAlign w:val="bottom"/>
          </w:tcPr>
          <w:p>
            <w:pPr>
              <w:jc w:val="right"/>
              <w:spacing w:after="0"/>
              <w:rPr>
                <w:sz w:val="20"/>
                <w:szCs w:val="20"/>
                <w:color w:val="auto"/>
              </w:rPr>
            </w:pPr>
            <w:r>
              <w:rPr>
                <w:rFonts w:ascii="Arial" w:cs="Arial" w:eastAsia="Arial" w:hAnsi="Arial"/>
                <w:sz w:val="13"/>
                <w:szCs w:val="13"/>
                <w:color w:val="auto"/>
              </w:rPr>
              <w:t>23.5%</w:t>
            </w:r>
          </w:p>
        </w:tc>
      </w:tr>
      <w:tr>
        <w:trPr>
          <w:trHeight w:val="136"/>
        </w:trPr>
        <w:tc>
          <w:tcPr>
            <w:tcW w:w="560" w:type="dxa"/>
            <w:vAlign w:val="bottom"/>
            <w:tcBorders>
              <w:bottom w:val="single" w:sz="8" w:color="939598"/>
            </w:tcBorders>
          </w:tcPr>
          <w:p>
            <w:pPr>
              <w:spacing w:after="0"/>
              <w:rPr>
                <w:sz w:val="11"/>
                <w:szCs w:val="11"/>
                <w:color w:val="auto"/>
              </w:rPr>
            </w:pPr>
          </w:p>
        </w:tc>
        <w:tc>
          <w:tcPr>
            <w:tcW w:w="420" w:type="dxa"/>
            <w:vAlign w:val="bottom"/>
            <w:tcBorders>
              <w:bottom w:val="single" w:sz="8" w:color="939598"/>
            </w:tcBorders>
          </w:tcPr>
          <w:p>
            <w:pPr>
              <w:spacing w:after="0"/>
              <w:rPr>
                <w:sz w:val="11"/>
                <w:szCs w:val="11"/>
                <w:color w:val="auto"/>
              </w:rPr>
            </w:pPr>
          </w:p>
        </w:tc>
        <w:tc>
          <w:tcPr>
            <w:tcW w:w="840" w:type="dxa"/>
            <w:vAlign w:val="bottom"/>
            <w:tcBorders>
              <w:bottom w:val="single" w:sz="8" w:color="939598"/>
            </w:tcBorders>
          </w:tcPr>
          <w:p>
            <w:pPr>
              <w:spacing w:after="0"/>
              <w:rPr>
                <w:sz w:val="11"/>
                <w:szCs w:val="11"/>
                <w:color w:val="auto"/>
              </w:rPr>
            </w:pPr>
          </w:p>
        </w:tc>
        <w:tc>
          <w:tcPr>
            <w:tcW w:w="180" w:type="dxa"/>
            <w:vAlign w:val="bottom"/>
            <w:tcBorders>
              <w:bottom w:val="single" w:sz="8" w:color="939598"/>
            </w:tcBorders>
          </w:tcPr>
          <w:p>
            <w:pPr>
              <w:spacing w:after="0"/>
              <w:rPr>
                <w:sz w:val="11"/>
                <w:szCs w:val="11"/>
                <w:color w:val="auto"/>
              </w:rPr>
            </w:pPr>
          </w:p>
        </w:tc>
        <w:tc>
          <w:tcPr>
            <w:tcW w:w="860" w:type="dxa"/>
            <w:vAlign w:val="bottom"/>
            <w:tcBorders>
              <w:bottom w:val="single" w:sz="8" w:color="939598"/>
            </w:tcBorders>
          </w:tcPr>
          <w:p>
            <w:pPr>
              <w:spacing w:after="0"/>
              <w:rPr>
                <w:sz w:val="11"/>
                <w:szCs w:val="11"/>
                <w:color w:val="auto"/>
              </w:rPr>
            </w:pPr>
          </w:p>
        </w:tc>
        <w:tc>
          <w:tcPr>
            <w:tcW w:w="240" w:type="dxa"/>
            <w:vAlign w:val="bottom"/>
            <w:tcBorders>
              <w:bottom w:val="single" w:sz="8" w:color="939598"/>
            </w:tcBorders>
          </w:tcPr>
          <w:p>
            <w:pPr>
              <w:spacing w:after="0"/>
              <w:rPr>
                <w:sz w:val="11"/>
                <w:szCs w:val="11"/>
                <w:color w:val="auto"/>
              </w:rPr>
            </w:pPr>
          </w:p>
        </w:tc>
        <w:tc>
          <w:tcPr>
            <w:tcW w:w="1000" w:type="dxa"/>
            <w:vAlign w:val="bottom"/>
            <w:tcBorders>
              <w:bottom w:val="single" w:sz="8" w:color="939598"/>
            </w:tcBorders>
          </w:tcPr>
          <w:p>
            <w:pPr>
              <w:spacing w:after="0"/>
              <w:rPr>
                <w:sz w:val="11"/>
                <w:szCs w:val="11"/>
                <w:color w:val="auto"/>
              </w:rPr>
            </w:pPr>
          </w:p>
        </w:tc>
        <w:tc>
          <w:tcPr>
            <w:tcW w:w="1080" w:type="dxa"/>
            <w:vAlign w:val="bottom"/>
            <w:tcBorders>
              <w:bottom w:val="single" w:sz="8" w:color="939598"/>
            </w:tcBorders>
          </w:tcPr>
          <w:p>
            <w:pPr>
              <w:spacing w:after="0"/>
              <w:rPr>
                <w:sz w:val="11"/>
                <w:szCs w:val="11"/>
                <w:color w:val="auto"/>
              </w:rPr>
            </w:pPr>
          </w:p>
        </w:tc>
        <w:tc>
          <w:tcPr>
            <w:tcW w:w="980" w:type="dxa"/>
            <w:vAlign w:val="bottom"/>
            <w:tcBorders>
              <w:bottom w:val="single" w:sz="8" w:color="939598"/>
            </w:tcBorders>
          </w:tcPr>
          <w:p>
            <w:pPr>
              <w:spacing w:after="0"/>
              <w:rPr>
                <w:sz w:val="11"/>
                <w:szCs w:val="11"/>
                <w:color w:val="auto"/>
              </w:rPr>
            </w:pPr>
          </w:p>
        </w:tc>
        <w:tc>
          <w:tcPr>
            <w:tcW w:w="260" w:type="dxa"/>
            <w:vAlign w:val="bottom"/>
            <w:tcBorders>
              <w:bottom w:val="single" w:sz="8" w:color="939598"/>
            </w:tcBorders>
          </w:tcPr>
          <w:p>
            <w:pPr>
              <w:spacing w:after="0"/>
              <w:rPr>
                <w:sz w:val="11"/>
                <w:szCs w:val="11"/>
                <w:color w:val="auto"/>
              </w:rPr>
            </w:pPr>
          </w:p>
        </w:tc>
        <w:tc>
          <w:tcPr>
            <w:tcW w:w="780" w:type="dxa"/>
            <w:vAlign w:val="bottom"/>
            <w:tcBorders>
              <w:bottom w:val="single" w:sz="8" w:color="939598"/>
            </w:tcBorders>
          </w:tcPr>
          <w:p>
            <w:pPr>
              <w:spacing w:after="0"/>
              <w:rPr>
                <w:sz w:val="11"/>
                <w:szCs w:val="11"/>
                <w:color w:val="auto"/>
              </w:rPr>
            </w:pPr>
          </w:p>
        </w:tc>
        <w:tc>
          <w:tcPr>
            <w:tcW w:w="1140" w:type="dxa"/>
            <w:vAlign w:val="bottom"/>
            <w:tcBorders>
              <w:bottom w:val="single" w:sz="8" w:color="939598"/>
            </w:tcBorders>
          </w:tcPr>
          <w:p>
            <w:pPr>
              <w:spacing w:after="0"/>
              <w:rPr>
                <w:sz w:val="11"/>
                <w:szCs w:val="11"/>
                <w:color w:val="auto"/>
              </w:rPr>
            </w:pPr>
          </w:p>
        </w:tc>
        <w:tc>
          <w:tcPr>
            <w:tcW w:w="1000" w:type="dxa"/>
            <w:vAlign w:val="bottom"/>
            <w:tcBorders>
              <w:bottom w:val="single" w:sz="8" w:color="939598"/>
            </w:tcBorders>
          </w:tcPr>
          <w:p>
            <w:pPr>
              <w:spacing w:after="0"/>
              <w:rPr>
                <w:sz w:val="11"/>
                <w:szCs w:val="11"/>
                <w:color w:val="auto"/>
              </w:rPr>
            </w:pPr>
          </w:p>
        </w:tc>
        <w:tc>
          <w:tcPr>
            <w:tcW w:w="1180" w:type="dxa"/>
            <w:vAlign w:val="bottom"/>
            <w:tcBorders>
              <w:bottom w:val="single" w:sz="8" w:color="939598"/>
            </w:tcBorders>
          </w:tcPr>
          <w:p>
            <w:pPr>
              <w:spacing w:after="0"/>
              <w:rPr>
                <w:sz w:val="11"/>
                <w:szCs w:val="11"/>
                <w:color w:val="auto"/>
              </w:rPr>
            </w:pPr>
          </w:p>
        </w:tc>
        <w:tc>
          <w:tcPr>
            <w:tcW w:w="700" w:type="dxa"/>
            <w:vAlign w:val="bottom"/>
            <w:tcBorders>
              <w:bottom w:val="single" w:sz="8" w:color="939598"/>
            </w:tcBorders>
          </w:tcPr>
          <w:p>
            <w:pPr>
              <w:spacing w:after="0"/>
              <w:rPr>
                <w:sz w:val="11"/>
                <w:szCs w:val="11"/>
                <w:color w:val="auto"/>
              </w:rPr>
            </w:pPr>
          </w:p>
        </w:tc>
      </w:tr>
      <w:tr>
        <w:trPr>
          <w:trHeight w:val="277"/>
        </w:trPr>
        <w:tc>
          <w:tcPr>
            <w:tcW w:w="560" w:type="dxa"/>
            <w:vAlign w:val="bottom"/>
          </w:tcPr>
          <w:p>
            <w:pPr>
              <w:ind w:left="20"/>
              <w:spacing w:after="0"/>
              <w:rPr>
                <w:sz w:val="20"/>
                <w:szCs w:val="20"/>
                <w:color w:val="auto"/>
              </w:rPr>
            </w:pPr>
            <w:r>
              <w:rPr>
                <w:rFonts w:ascii="Arial" w:cs="Arial" w:eastAsia="Arial" w:hAnsi="Arial"/>
                <w:sz w:val="13"/>
                <w:szCs w:val="13"/>
                <w:color w:val="auto"/>
              </w:rPr>
              <w:t>2022</w:t>
            </w:r>
          </w:p>
        </w:tc>
        <w:tc>
          <w:tcPr>
            <w:tcW w:w="420" w:type="dxa"/>
            <w:vAlign w:val="bottom"/>
          </w:tcPr>
          <w:p>
            <w:pPr>
              <w:spacing w:after="0"/>
              <w:rPr>
                <w:sz w:val="24"/>
                <w:szCs w:val="24"/>
                <w:color w:val="auto"/>
              </w:rPr>
            </w:pPr>
          </w:p>
        </w:tc>
        <w:tc>
          <w:tcPr>
            <w:tcW w:w="840" w:type="dxa"/>
            <w:vAlign w:val="bottom"/>
          </w:tcPr>
          <w:p>
            <w:pPr>
              <w:jc w:val="right"/>
              <w:ind w:right="2"/>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60" w:type="dxa"/>
            <w:vAlign w:val="bottom"/>
          </w:tcPr>
          <w:p>
            <w:pPr>
              <w:jc w:val="right"/>
              <w:ind w:right="6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1000" w:type="dxa"/>
            <w:vAlign w:val="bottom"/>
          </w:tcPr>
          <w:p>
            <w:pPr>
              <w:jc w:val="right"/>
              <w:ind w:right="202"/>
              <w:spacing w:after="0"/>
              <w:rPr>
                <w:sz w:val="20"/>
                <w:szCs w:val="20"/>
                <w:color w:val="auto"/>
              </w:rPr>
            </w:pPr>
            <w:r>
              <w:rPr>
                <w:rFonts w:ascii="Arial" w:cs="Arial" w:eastAsia="Arial" w:hAnsi="Arial"/>
                <w:sz w:val="13"/>
                <w:szCs w:val="13"/>
                <w:color w:val="auto"/>
              </w:rPr>
              <w:t>25,437,598</w:t>
            </w:r>
          </w:p>
        </w:tc>
        <w:tc>
          <w:tcPr>
            <w:tcW w:w="1080" w:type="dxa"/>
            <w:vAlign w:val="bottom"/>
          </w:tcPr>
          <w:p>
            <w:pPr>
              <w:jc w:val="right"/>
              <w:ind w:right="323"/>
              <w:spacing w:after="0"/>
              <w:rPr>
                <w:sz w:val="20"/>
                <w:szCs w:val="20"/>
                <w:color w:val="auto"/>
              </w:rPr>
            </w:pPr>
            <w:r>
              <w:rPr>
                <w:rFonts w:ascii="Arial" w:cs="Arial" w:eastAsia="Arial" w:hAnsi="Arial"/>
                <w:sz w:val="13"/>
                <w:szCs w:val="13"/>
                <w:color w:val="auto"/>
              </w:rPr>
              <w:t>36,729,811</w:t>
            </w:r>
          </w:p>
        </w:tc>
        <w:tc>
          <w:tcPr>
            <w:tcW w:w="980" w:type="dxa"/>
            <w:vAlign w:val="bottom"/>
          </w:tcPr>
          <w:p>
            <w:pPr>
              <w:ind w:left="260"/>
              <w:spacing w:after="0"/>
              <w:rPr>
                <w:sz w:val="20"/>
                <w:szCs w:val="20"/>
                <w:color w:val="auto"/>
              </w:rPr>
            </w:pPr>
            <w:r>
              <w:rPr>
                <w:rFonts w:ascii="Arial" w:cs="Arial" w:eastAsia="Arial" w:hAnsi="Arial"/>
                <w:sz w:val="13"/>
                <w:szCs w:val="13"/>
                <w:color w:val="auto"/>
              </w:rPr>
              <w:t>8,310,085</w:t>
            </w:r>
          </w:p>
        </w:tc>
        <w:tc>
          <w:tcPr>
            <w:tcW w:w="260" w:type="dxa"/>
            <w:vAlign w:val="bottom"/>
          </w:tcPr>
          <w:p>
            <w:pPr>
              <w:spacing w:after="0"/>
              <w:rPr>
                <w:sz w:val="24"/>
                <w:szCs w:val="24"/>
                <w:color w:val="auto"/>
              </w:rPr>
            </w:pPr>
          </w:p>
        </w:tc>
        <w:tc>
          <w:tcPr>
            <w:tcW w:w="780" w:type="dxa"/>
            <w:vAlign w:val="bottom"/>
          </w:tcPr>
          <w:p>
            <w:pPr>
              <w:jc w:val="right"/>
              <w:ind w:right="3"/>
              <w:spacing w:after="0"/>
              <w:rPr>
                <w:sz w:val="20"/>
                <w:szCs w:val="20"/>
                <w:color w:val="auto"/>
              </w:rPr>
            </w:pPr>
            <w:r>
              <w:rPr>
                <w:rFonts w:ascii="Arial" w:cs="Arial" w:eastAsia="Arial" w:hAnsi="Arial"/>
                <w:sz w:val="13"/>
                <w:szCs w:val="13"/>
                <w:color w:val="auto"/>
              </w:rPr>
              <w:t>11,405,134</w:t>
            </w:r>
          </w:p>
        </w:tc>
        <w:tc>
          <w:tcPr>
            <w:tcW w:w="1140" w:type="dxa"/>
            <w:vAlign w:val="bottom"/>
          </w:tcPr>
          <w:p>
            <w:pPr>
              <w:jc w:val="right"/>
              <w:ind w:right="162"/>
              <w:spacing w:after="0"/>
              <w:rPr>
                <w:sz w:val="20"/>
                <w:szCs w:val="20"/>
                <w:color w:val="auto"/>
              </w:rPr>
            </w:pPr>
            <w:r>
              <w:rPr>
                <w:rFonts w:ascii="Arial" w:cs="Arial" w:eastAsia="Arial" w:hAnsi="Arial"/>
                <w:sz w:val="13"/>
                <w:szCs w:val="13"/>
                <w:color w:val="auto"/>
              </w:rPr>
              <w:t>104.59</w:t>
            </w:r>
          </w:p>
        </w:tc>
        <w:tc>
          <w:tcPr>
            <w:tcW w:w="1000" w:type="dxa"/>
            <w:vAlign w:val="bottom"/>
          </w:tcPr>
          <w:p>
            <w:pPr>
              <w:jc w:val="right"/>
              <w:ind w:right="2"/>
              <w:spacing w:after="0"/>
              <w:rPr>
                <w:sz w:val="20"/>
                <w:szCs w:val="20"/>
                <w:color w:val="auto"/>
              </w:rPr>
            </w:pPr>
            <w:r>
              <w:rPr>
                <w:rFonts w:ascii="Arial" w:cs="Arial" w:eastAsia="Arial" w:hAnsi="Arial"/>
                <w:sz w:val="13"/>
                <w:szCs w:val="13"/>
                <w:color w:val="auto"/>
              </w:rPr>
              <w:t>114.34</w:t>
            </w:r>
          </w:p>
        </w:tc>
        <w:tc>
          <w:tcPr>
            <w:tcW w:w="1180" w:type="dxa"/>
            <w:vAlign w:val="bottom"/>
          </w:tcPr>
          <w:p>
            <w:pPr>
              <w:jc w:val="right"/>
              <w:ind w:right="220"/>
              <w:spacing w:after="0"/>
              <w:rPr>
                <w:sz w:val="20"/>
                <w:szCs w:val="20"/>
                <w:color w:val="auto"/>
              </w:rPr>
            </w:pPr>
            <w:r>
              <w:rPr>
                <w:rFonts w:ascii="Arial" w:cs="Arial" w:eastAsia="Arial" w:hAnsi="Arial"/>
                <w:sz w:val="13"/>
                <w:szCs w:val="13"/>
                <w:color w:val="auto"/>
              </w:rPr>
              <w:t>4,967</w:t>
            </w:r>
          </w:p>
        </w:tc>
        <w:tc>
          <w:tcPr>
            <w:tcW w:w="700" w:type="dxa"/>
            <w:vAlign w:val="bottom"/>
          </w:tcPr>
          <w:p>
            <w:pPr>
              <w:jc w:val="right"/>
              <w:spacing w:after="0"/>
              <w:rPr>
                <w:sz w:val="20"/>
                <w:szCs w:val="20"/>
                <w:color w:val="auto"/>
              </w:rPr>
            </w:pPr>
            <w:r>
              <w:rPr>
                <w:rFonts w:ascii="Arial" w:cs="Arial" w:eastAsia="Arial" w:hAnsi="Arial"/>
                <w:sz w:val="13"/>
                <w:szCs w:val="13"/>
                <w:color w:val="auto"/>
              </w:rPr>
              <w:t>22.6%</w:t>
            </w:r>
          </w:p>
        </w:tc>
      </w:tr>
      <w:tr>
        <w:trPr>
          <w:trHeight w:val="135"/>
        </w:trPr>
        <w:tc>
          <w:tcPr>
            <w:tcW w:w="560" w:type="dxa"/>
            <w:vAlign w:val="bottom"/>
            <w:tcBorders>
              <w:bottom w:val="single" w:sz="8" w:color="939598"/>
            </w:tcBorders>
          </w:tcPr>
          <w:p>
            <w:pPr>
              <w:spacing w:after="0"/>
              <w:rPr>
                <w:sz w:val="11"/>
                <w:szCs w:val="11"/>
                <w:color w:val="auto"/>
              </w:rPr>
            </w:pPr>
          </w:p>
        </w:tc>
        <w:tc>
          <w:tcPr>
            <w:tcW w:w="420" w:type="dxa"/>
            <w:vAlign w:val="bottom"/>
            <w:tcBorders>
              <w:bottom w:val="single" w:sz="8" w:color="939598"/>
            </w:tcBorders>
          </w:tcPr>
          <w:p>
            <w:pPr>
              <w:spacing w:after="0"/>
              <w:rPr>
                <w:sz w:val="11"/>
                <w:szCs w:val="11"/>
                <w:color w:val="auto"/>
              </w:rPr>
            </w:pPr>
          </w:p>
        </w:tc>
        <w:tc>
          <w:tcPr>
            <w:tcW w:w="840" w:type="dxa"/>
            <w:vAlign w:val="bottom"/>
            <w:tcBorders>
              <w:bottom w:val="single" w:sz="8" w:color="939598"/>
            </w:tcBorders>
          </w:tcPr>
          <w:p>
            <w:pPr>
              <w:spacing w:after="0"/>
              <w:rPr>
                <w:sz w:val="11"/>
                <w:szCs w:val="11"/>
                <w:color w:val="auto"/>
              </w:rPr>
            </w:pPr>
          </w:p>
        </w:tc>
        <w:tc>
          <w:tcPr>
            <w:tcW w:w="180" w:type="dxa"/>
            <w:vAlign w:val="bottom"/>
            <w:tcBorders>
              <w:bottom w:val="single" w:sz="8" w:color="939598"/>
            </w:tcBorders>
          </w:tcPr>
          <w:p>
            <w:pPr>
              <w:spacing w:after="0"/>
              <w:rPr>
                <w:sz w:val="11"/>
                <w:szCs w:val="11"/>
                <w:color w:val="auto"/>
              </w:rPr>
            </w:pPr>
          </w:p>
        </w:tc>
        <w:tc>
          <w:tcPr>
            <w:tcW w:w="860" w:type="dxa"/>
            <w:vAlign w:val="bottom"/>
            <w:tcBorders>
              <w:bottom w:val="single" w:sz="8" w:color="939598"/>
            </w:tcBorders>
          </w:tcPr>
          <w:p>
            <w:pPr>
              <w:spacing w:after="0"/>
              <w:rPr>
                <w:sz w:val="11"/>
                <w:szCs w:val="11"/>
                <w:color w:val="auto"/>
              </w:rPr>
            </w:pPr>
          </w:p>
        </w:tc>
        <w:tc>
          <w:tcPr>
            <w:tcW w:w="240" w:type="dxa"/>
            <w:vAlign w:val="bottom"/>
            <w:tcBorders>
              <w:bottom w:val="single" w:sz="8" w:color="939598"/>
            </w:tcBorders>
          </w:tcPr>
          <w:p>
            <w:pPr>
              <w:spacing w:after="0"/>
              <w:rPr>
                <w:sz w:val="11"/>
                <w:szCs w:val="11"/>
                <w:color w:val="auto"/>
              </w:rPr>
            </w:pPr>
          </w:p>
        </w:tc>
        <w:tc>
          <w:tcPr>
            <w:tcW w:w="1000" w:type="dxa"/>
            <w:vAlign w:val="bottom"/>
            <w:tcBorders>
              <w:bottom w:val="single" w:sz="8" w:color="939598"/>
            </w:tcBorders>
          </w:tcPr>
          <w:p>
            <w:pPr>
              <w:spacing w:after="0"/>
              <w:rPr>
                <w:sz w:val="11"/>
                <w:szCs w:val="11"/>
                <w:color w:val="auto"/>
              </w:rPr>
            </w:pPr>
          </w:p>
        </w:tc>
        <w:tc>
          <w:tcPr>
            <w:tcW w:w="1080" w:type="dxa"/>
            <w:vAlign w:val="bottom"/>
            <w:tcBorders>
              <w:bottom w:val="single" w:sz="8" w:color="939598"/>
            </w:tcBorders>
          </w:tcPr>
          <w:p>
            <w:pPr>
              <w:spacing w:after="0"/>
              <w:rPr>
                <w:sz w:val="11"/>
                <w:szCs w:val="11"/>
                <w:color w:val="auto"/>
              </w:rPr>
            </w:pPr>
          </w:p>
        </w:tc>
        <w:tc>
          <w:tcPr>
            <w:tcW w:w="980" w:type="dxa"/>
            <w:vAlign w:val="bottom"/>
            <w:tcBorders>
              <w:bottom w:val="single" w:sz="8" w:color="939598"/>
            </w:tcBorders>
          </w:tcPr>
          <w:p>
            <w:pPr>
              <w:spacing w:after="0"/>
              <w:rPr>
                <w:sz w:val="11"/>
                <w:szCs w:val="11"/>
                <w:color w:val="auto"/>
              </w:rPr>
            </w:pPr>
          </w:p>
        </w:tc>
        <w:tc>
          <w:tcPr>
            <w:tcW w:w="260" w:type="dxa"/>
            <w:vAlign w:val="bottom"/>
            <w:tcBorders>
              <w:bottom w:val="single" w:sz="8" w:color="939598"/>
            </w:tcBorders>
          </w:tcPr>
          <w:p>
            <w:pPr>
              <w:spacing w:after="0"/>
              <w:rPr>
                <w:sz w:val="11"/>
                <w:szCs w:val="11"/>
                <w:color w:val="auto"/>
              </w:rPr>
            </w:pPr>
          </w:p>
        </w:tc>
        <w:tc>
          <w:tcPr>
            <w:tcW w:w="780" w:type="dxa"/>
            <w:vAlign w:val="bottom"/>
            <w:tcBorders>
              <w:bottom w:val="single" w:sz="8" w:color="939598"/>
            </w:tcBorders>
          </w:tcPr>
          <w:p>
            <w:pPr>
              <w:spacing w:after="0"/>
              <w:rPr>
                <w:sz w:val="11"/>
                <w:szCs w:val="11"/>
                <w:color w:val="auto"/>
              </w:rPr>
            </w:pPr>
          </w:p>
        </w:tc>
        <w:tc>
          <w:tcPr>
            <w:tcW w:w="1140" w:type="dxa"/>
            <w:vAlign w:val="bottom"/>
            <w:tcBorders>
              <w:bottom w:val="single" w:sz="8" w:color="939598"/>
            </w:tcBorders>
          </w:tcPr>
          <w:p>
            <w:pPr>
              <w:spacing w:after="0"/>
              <w:rPr>
                <w:sz w:val="11"/>
                <w:szCs w:val="11"/>
                <w:color w:val="auto"/>
              </w:rPr>
            </w:pPr>
          </w:p>
        </w:tc>
        <w:tc>
          <w:tcPr>
            <w:tcW w:w="1000" w:type="dxa"/>
            <w:vAlign w:val="bottom"/>
            <w:tcBorders>
              <w:bottom w:val="single" w:sz="8" w:color="939598"/>
            </w:tcBorders>
          </w:tcPr>
          <w:p>
            <w:pPr>
              <w:spacing w:after="0"/>
              <w:rPr>
                <w:sz w:val="11"/>
                <w:szCs w:val="11"/>
                <w:color w:val="auto"/>
              </w:rPr>
            </w:pPr>
          </w:p>
        </w:tc>
        <w:tc>
          <w:tcPr>
            <w:tcW w:w="1180" w:type="dxa"/>
            <w:vAlign w:val="bottom"/>
            <w:tcBorders>
              <w:bottom w:val="single" w:sz="8" w:color="939598"/>
            </w:tcBorders>
          </w:tcPr>
          <w:p>
            <w:pPr>
              <w:spacing w:after="0"/>
              <w:rPr>
                <w:sz w:val="11"/>
                <w:szCs w:val="11"/>
                <w:color w:val="auto"/>
              </w:rPr>
            </w:pPr>
          </w:p>
        </w:tc>
        <w:tc>
          <w:tcPr>
            <w:tcW w:w="700" w:type="dxa"/>
            <w:vAlign w:val="bottom"/>
            <w:tcBorders>
              <w:bottom w:val="single" w:sz="8" w:color="939598"/>
            </w:tcBorders>
          </w:tcPr>
          <w:p>
            <w:pPr>
              <w:spacing w:after="0"/>
              <w:rPr>
                <w:sz w:val="11"/>
                <w:szCs w:val="11"/>
                <w:color w:val="auto"/>
              </w:rPr>
            </w:pPr>
          </w:p>
        </w:tc>
      </w:tr>
      <w:tr>
        <w:trPr>
          <w:trHeight w:val="277"/>
        </w:trPr>
        <w:tc>
          <w:tcPr>
            <w:tcW w:w="560" w:type="dxa"/>
            <w:vAlign w:val="bottom"/>
          </w:tcPr>
          <w:p>
            <w:pPr>
              <w:ind w:left="20"/>
              <w:spacing w:after="0"/>
              <w:rPr>
                <w:sz w:val="20"/>
                <w:szCs w:val="20"/>
                <w:color w:val="auto"/>
              </w:rPr>
            </w:pPr>
            <w:r>
              <w:rPr>
                <w:rFonts w:ascii="Arial" w:cs="Arial" w:eastAsia="Arial" w:hAnsi="Arial"/>
                <w:sz w:val="13"/>
                <w:szCs w:val="13"/>
                <w:color w:val="auto"/>
              </w:rPr>
              <w:t>2021</w:t>
            </w:r>
          </w:p>
        </w:tc>
        <w:tc>
          <w:tcPr>
            <w:tcW w:w="420" w:type="dxa"/>
            <w:vAlign w:val="bottom"/>
          </w:tcPr>
          <w:p>
            <w:pPr>
              <w:spacing w:after="0"/>
              <w:rPr>
                <w:sz w:val="24"/>
                <w:szCs w:val="24"/>
                <w:color w:val="auto"/>
              </w:rPr>
            </w:pPr>
          </w:p>
        </w:tc>
        <w:tc>
          <w:tcPr>
            <w:tcW w:w="840" w:type="dxa"/>
            <w:vAlign w:val="bottom"/>
          </w:tcPr>
          <w:p>
            <w:pPr>
              <w:jc w:val="right"/>
              <w:ind w:right="2"/>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60" w:type="dxa"/>
            <w:vAlign w:val="bottom"/>
          </w:tcPr>
          <w:p>
            <w:pPr>
              <w:jc w:val="right"/>
              <w:ind w:right="6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1000" w:type="dxa"/>
            <w:vAlign w:val="bottom"/>
          </w:tcPr>
          <w:p>
            <w:pPr>
              <w:jc w:val="right"/>
              <w:ind w:right="202"/>
              <w:spacing w:after="0"/>
              <w:rPr>
                <w:sz w:val="20"/>
                <w:szCs w:val="20"/>
                <w:color w:val="auto"/>
              </w:rPr>
            </w:pPr>
            <w:r>
              <w:rPr>
                <w:rFonts w:ascii="Arial" w:cs="Arial" w:eastAsia="Arial" w:hAnsi="Arial"/>
                <w:sz w:val="13"/>
                <w:szCs w:val="13"/>
                <w:color w:val="auto"/>
              </w:rPr>
              <w:t>26,100,120</w:t>
            </w:r>
          </w:p>
        </w:tc>
        <w:tc>
          <w:tcPr>
            <w:tcW w:w="1080" w:type="dxa"/>
            <w:vAlign w:val="bottom"/>
          </w:tcPr>
          <w:p>
            <w:pPr>
              <w:jc w:val="right"/>
              <w:ind w:right="323"/>
              <w:spacing w:after="0"/>
              <w:rPr>
                <w:sz w:val="20"/>
                <w:szCs w:val="20"/>
                <w:color w:val="auto"/>
              </w:rPr>
            </w:pPr>
            <w:r>
              <w:rPr>
                <w:rFonts w:ascii="Arial" w:cs="Arial" w:eastAsia="Arial" w:hAnsi="Arial"/>
                <w:sz w:val="13"/>
                <w:szCs w:val="13"/>
                <w:color w:val="auto"/>
              </w:rPr>
              <w:t>15,687,973</w:t>
            </w:r>
          </w:p>
        </w:tc>
        <w:tc>
          <w:tcPr>
            <w:tcW w:w="980" w:type="dxa"/>
            <w:vAlign w:val="bottom"/>
          </w:tcPr>
          <w:p>
            <w:pPr>
              <w:ind w:left="260"/>
              <w:spacing w:after="0"/>
              <w:rPr>
                <w:sz w:val="20"/>
                <w:szCs w:val="20"/>
                <w:color w:val="auto"/>
              </w:rPr>
            </w:pPr>
            <w:r>
              <w:rPr>
                <w:rFonts w:ascii="Arial" w:cs="Arial" w:eastAsia="Arial" w:hAnsi="Arial"/>
                <w:sz w:val="13"/>
                <w:szCs w:val="13"/>
                <w:color w:val="auto"/>
              </w:rPr>
              <w:t>7,489,516</w:t>
            </w:r>
          </w:p>
        </w:tc>
        <w:tc>
          <w:tcPr>
            <w:tcW w:w="260" w:type="dxa"/>
            <w:vAlign w:val="bottom"/>
          </w:tcPr>
          <w:p>
            <w:pPr>
              <w:spacing w:after="0"/>
              <w:rPr>
                <w:sz w:val="24"/>
                <w:szCs w:val="24"/>
                <w:color w:val="auto"/>
              </w:rPr>
            </w:pPr>
          </w:p>
        </w:tc>
        <w:tc>
          <w:tcPr>
            <w:tcW w:w="780" w:type="dxa"/>
            <w:vAlign w:val="bottom"/>
          </w:tcPr>
          <w:p>
            <w:pPr>
              <w:jc w:val="right"/>
              <w:ind w:right="3"/>
              <w:spacing w:after="0"/>
              <w:rPr>
                <w:sz w:val="20"/>
                <w:szCs w:val="20"/>
                <w:color w:val="auto"/>
              </w:rPr>
            </w:pPr>
            <w:r>
              <w:rPr>
                <w:rFonts w:ascii="Arial" w:cs="Arial" w:eastAsia="Arial" w:hAnsi="Arial"/>
                <w:sz w:val="13"/>
                <w:szCs w:val="13"/>
                <w:color w:val="auto"/>
              </w:rPr>
              <w:t>5,024,129</w:t>
            </w:r>
          </w:p>
        </w:tc>
        <w:tc>
          <w:tcPr>
            <w:tcW w:w="1140" w:type="dxa"/>
            <w:vAlign w:val="bottom"/>
          </w:tcPr>
          <w:p>
            <w:pPr>
              <w:jc w:val="right"/>
              <w:ind w:right="162"/>
              <w:spacing w:after="0"/>
              <w:rPr>
                <w:sz w:val="20"/>
                <w:szCs w:val="20"/>
                <w:color w:val="auto"/>
              </w:rPr>
            </w:pPr>
            <w:r>
              <w:rPr>
                <w:rFonts w:ascii="Arial" w:cs="Arial" w:eastAsia="Arial" w:hAnsi="Arial"/>
                <w:sz w:val="13"/>
                <w:szCs w:val="13"/>
                <w:color w:val="auto"/>
              </w:rPr>
              <w:t>99.71</w:t>
            </w:r>
          </w:p>
        </w:tc>
        <w:tc>
          <w:tcPr>
            <w:tcW w:w="1000" w:type="dxa"/>
            <w:vAlign w:val="bottom"/>
          </w:tcPr>
          <w:p>
            <w:pPr>
              <w:jc w:val="right"/>
              <w:ind w:right="2"/>
              <w:spacing w:after="0"/>
              <w:rPr>
                <w:sz w:val="20"/>
                <w:szCs w:val="20"/>
                <w:color w:val="auto"/>
              </w:rPr>
            </w:pPr>
            <w:r>
              <w:rPr>
                <w:rFonts w:ascii="Arial" w:cs="Arial" w:eastAsia="Arial" w:hAnsi="Arial"/>
                <w:sz w:val="13"/>
                <w:szCs w:val="13"/>
                <w:color w:val="auto"/>
              </w:rPr>
              <w:t>121.08</w:t>
            </w:r>
          </w:p>
        </w:tc>
        <w:tc>
          <w:tcPr>
            <w:tcW w:w="1180" w:type="dxa"/>
            <w:vAlign w:val="bottom"/>
          </w:tcPr>
          <w:p>
            <w:pPr>
              <w:jc w:val="right"/>
              <w:ind w:right="220"/>
              <w:spacing w:after="0"/>
              <w:rPr>
                <w:sz w:val="20"/>
                <w:szCs w:val="20"/>
                <w:color w:val="auto"/>
              </w:rPr>
            </w:pPr>
            <w:r>
              <w:rPr>
                <w:rFonts w:ascii="Arial" w:cs="Arial" w:eastAsia="Arial" w:hAnsi="Arial"/>
                <w:sz w:val="13"/>
                <w:szCs w:val="13"/>
                <w:color w:val="auto"/>
              </w:rPr>
              <w:t>5,610</w:t>
            </w:r>
          </w:p>
        </w:tc>
        <w:tc>
          <w:tcPr>
            <w:tcW w:w="700" w:type="dxa"/>
            <w:vAlign w:val="bottom"/>
          </w:tcPr>
          <w:p>
            <w:pPr>
              <w:jc w:val="right"/>
              <w:spacing w:after="0"/>
              <w:rPr>
                <w:sz w:val="20"/>
                <w:szCs w:val="20"/>
                <w:color w:val="auto"/>
              </w:rPr>
            </w:pPr>
            <w:r>
              <w:rPr>
                <w:rFonts w:ascii="Arial" w:cs="Arial" w:eastAsia="Arial" w:hAnsi="Arial"/>
                <w:sz w:val="13"/>
                <w:szCs w:val="13"/>
                <w:color w:val="auto"/>
              </w:rPr>
              <w:t>22.3%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23430"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55" w:lineRule="exact"/>
        <w:rPr>
          <w:sz w:val="20"/>
          <w:szCs w:val="20"/>
          <w:color w:val="auto"/>
        </w:rPr>
      </w:pPr>
    </w:p>
    <w:p>
      <w:pPr>
        <w:ind w:left="200" w:hanging="192"/>
        <w:spacing w:after="0"/>
        <w:tabs>
          <w:tab w:leader="none" w:pos="200" w:val="left"/>
        </w:tabs>
        <w:numPr>
          <w:ilvl w:val="0"/>
          <w:numId w:val="207"/>
        </w:numPr>
        <w:rPr>
          <w:rFonts w:ascii="Arial" w:cs="Arial" w:eastAsia="Arial" w:hAnsi="Arial"/>
          <w:sz w:val="16"/>
          <w:szCs w:val="16"/>
          <w:color w:val="auto"/>
          <w:vertAlign w:val="superscript"/>
        </w:rPr>
      </w:pPr>
      <w:r>
        <w:rPr>
          <w:rFonts w:ascii="Arial" w:cs="Arial" w:eastAsia="Arial" w:hAnsi="Arial"/>
          <w:sz w:val="13"/>
          <w:szCs w:val="13"/>
          <w:color w:val="auto"/>
        </w:rPr>
        <w:t>The PEO(s) and Non-PEO NEOs included in the above compensation columns reflect the following:</w:t>
      </w:r>
    </w:p>
    <w:p>
      <w:pPr>
        <w:spacing w:after="0" w:line="126" w:lineRule="exact"/>
        <w:rPr>
          <w:sz w:val="20"/>
          <w:szCs w:val="20"/>
          <w:color w:val="auto"/>
        </w:rPr>
      </w:pPr>
    </w:p>
    <w:tbl>
      <w:tblPr>
        <w:tblLayout w:type="fixed"/>
        <w:tblInd w:w="200" w:type="dxa"/>
        <w:tblCellMar>
          <w:top w:w="0" w:type="dxa"/>
          <w:left w:w="0" w:type="dxa"/>
          <w:bottom w:w="0" w:type="dxa"/>
          <w:right w:w="0" w:type="dxa"/>
        </w:tblCellMar>
      </w:tblPr>
      <w:tr>
        <w:trPr>
          <w:trHeight w:val="205"/>
        </w:trPr>
        <w:tc>
          <w:tcPr>
            <w:tcW w:w="5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Year</w:t>
            </w:r>
          </w:p>
        </w:tc>
        <w:tc>
          <w:tcPr>
            <w:tcW w:w="2500" w:type="dxa"/>
            <w:vAlign w:val="bottom"/>
            <w:tcBorders>
              <w:bottom w:val="single" w:sz="8" w:color="D7282F"/>
            </w:tcBorders>
          </w:tcPr>
          <w:p>
            <w:pPr>
              <w:ind w:left="180"/>
              <w:spacing w:after="0"/>
              <w:rPr>
                <w:sz w:val="20"/>
                <w:szCs w:val="20"/>
                <w:color w:val="auto"/>
              </w:rPr>
            </w:pPr>
            <w:r>
              <w:rPr>
                <w:rFonts w:ascii="Arial" w:cs="Arial" w:eastAsia="Arial" w:hAnsi="Arial"/>
                <w:sz w:val="14"/>
                <w:szCs w:val="14"/>
                <w:b w:val="1"/>
                <w:bCs w:val="1"/>
                <w:color w:val="auto"/>
              </w:rPr>
              <w:t>PEO (CEO)</w:t>
            </w:r>
          </w:p>
        </w:tc>
        <w:tc>
          <w:tcPr>
            <w:tcW w:w="7740" w:type="dxa"/>
            <w:vAlign w:val="bottom"/>
            <w:tcBorders>
              <w:bottom w:val="single" w:sz="8" w:color="D7282F"/>
            </w:tcBorders>
          </w:tcPr>
          <w:p>
            <w:pPr>
              <w:ind w:left="360"/>
              <w:spacing w:after="0"/>
              <w:rPr>
                <w:sz w:val="20"/>
                <w:szCs w:val="20"/>
                <w:color w:val="auto"/>
              </w:rPr>
            </w:pPr>
            <w:r>
              <w:rPr>
                <w:rFonts w:ascii="Arial" w:cs="Arial" w:eastAsia="Arial" w:hAnsi="Arial"/>
                <w:sz w:val="14"/>
                <w:szCs w:val="14"/>
                <w:b w:val="1"/>
                <w:bCs w:val="1"/>
                <w:color w:val="auto"/>
              </w:rPr>
              <w:t>Non-PEO NEOs</w:t>
            </w:r>
          </w:p>
        </w:tc>
      </w:tr>
      <w:tr>
        <w:trPr>
          <w:trHeight w:val="208"/>
        </w:trPr>
        <w:tc>
          <w:tcPr>
            <w:tcW w:w="520" w:type="dxa"/>
            <w:vAlign w:val="bottom"/>
          </w:tcPr>
          <w:p>
            <w:pPr>
              <w:ind w:left="20"/>
              <w:spacing w:after="0"/>
              <w:rPr>
                <w:sz w:val="20"/>
                <w:szCs w:val="20"/>
                <w:color w:val="auto"/>
              </w:rPr>
            </w:pPr>
            <w:r>
              <w:rPr>
                <w:rFonts w:ascii="Arial" w:cs="Arial" w:eastAsia="Arial" w:hAnsi="Arial"/>
                <w:sz w:val="14"/>
                <w:szCs w:val="14"/>
                <w:color w:val="auto"/>
              </w:rPr>
              <w:t>2025</w:t>
            </w:r>
          </w:p>
        </w:tc>
        <w:tc>
          <w:tcPr>
            <w:tcW w:w="2500" w:type="dxa"/>
            <w:vAlign w:val="bottom"/>
          </w:tcPr>
          <w:p>
            <w:pPr>
              <w:ind w:left="180"/>
              <w:spacing w:after="0"/>
              <w:rPr>
                <w:sz w:val="20"/>
                <w:szCs w:val="20"/>
                <w:color w:val="auto"/>
              </w:rPr>
            </w:pPr>
            <w:r>
              <w:rPr>
                <w:rFonts w:ascii="Arial" w:cs="Arial" w:eastAsia="Arial" w:hAnsi="Arial"/>
                <w:sz w:val="14"/>
                <w:szCs w:val="14"/>
                <w:color w:val="auto"/>
              </w:rPr>
              <w:t>Vimal Kapur</w:t>
            </w:r>
          </w:p>
        </w:tc>
        <w:tc>
          <w:tcPr>
            <w:tcW w:w="7740" w:type="dxa"/>
            <w:vAlign w:val="bottom"/>
          </w:tcPr>
          <w:p>
            <w:pPr>
              <w:ind w:left="360"/>
              <w:spacing w:after="0"/>
              <w:rPr>
                <w:sz w:val="20"/>
                <w:szCs w:val="20"/>
                <w:color w:val="auto"/>
              </w:rPr>
            </w:pPr>
            <w:r>
              <w:rPr>
                <w:rFonts w:ascii="Arial" w:cs="Arial" w:eastAsia="Arial" w:hAnsi="Arial"/>
                <w:sz w:val="14"/>
                <w:szCs w:val="14"/>
                <w:color w:val="auto"/>
              </w:rPr>
              <w:t>Michal Stepniak, James Currier, James Masso, Billal Hammoud, Gregory P. Lewis, Lucian Boldea</w:t>
            </w:r>
          </w:p>
        </w:tc>
      </w:tr>
      <w:tr>
        <w:trPr>
          <w:trHeight w:val="22"/>
        </w:trPr>
        <w:tc>
          <w:tcPr>
            <w:tcW w:w="520" w:type="dxa"/>
            <w:vAlign w:val="bottom"/>
            <w:tcBorders>
              <w:bottom w:val="single" w:sz="8" w:color="939598"/>
            </w:tcBorders>
          </w:tcPr>
          <w:p>
            <w:pPr>
              <w:spacing w:after="0" w:line="20" w:lineRule="exact"/>
              <w:rPr>
                <w:sz w:val="1"/>
                <w:szCs w:val="1"/>
                <w:color w:val="auto"/>
              </w:rPr>
            </w:pPr>
          </w:p>
        </w:tc>
        <w:tc>
          <w:tcPr>
            <w:tcW w:w="2500" w:type="dxa"/>
            <w:vAlign w:val="bottom"/>
            <w:tcBorders>
              <w:bottom w:val="single" w:sz="8" w:color="939598"/>
            </w:tcBorders>
          </w:tcPr>
          <w:p>
            <w:pPr>
              <w:spacing w:after="0" w:line="20" w:lineRule="exact"/>
              <w:rPr>
                <w:sz w:val="1"/>
                <w:szCs w:val="1"/>
                <w:color w:val="auto"/>
              </w:rPr>
            </w:pPr>
          </w:p>
        </w:tc>
        <w:tc>
          <w:tcPr>
            <w:tcW w:w="7740" w:type="dxa"/>
            <w:vAlign w:val="bottom"/>
            <w:tcBorders>
              <w:bottom w:val="single" w:sz="8" w:color="939598"/>
            </w:tcBorders>
          </w:tcPr>
          <w:p>
            <w:pPr>
              <w:spacing w:after="0" w:line="20" w:lineRule="exact"/>
              <w:rPr>
                <w:sz w:val="1"/>
                <w:szCs w:val="1"/>
                <w:color w:val="auto"/>
              </w:rPr>
            </w:pPr>
          </w:p>
        </w:tc>
      </w:tr>
      <w:tr>
        <w:trPr>
          <w:trHeight w:val="201"/>
        </w:trPr>
        <w:tc>
          <w:tcPr>
            <w:tcW w:w="520" w:type="dxa"/>
            <w:vAlign w:val="bottom"/>
          </w:tcPr>
          <w:p>
            <w:pPr>
              <w:ind w:left="20"/>
              <w:spacing w:after="0"/>
              <w:rPr>
                <w:sz w:val="20"/>
                <w:szCs w:val="20"/>
                <w:color w:val="auto"/>
              </w:rPr>
            </w:pPr>
            <w:r>
              <w:rPr>
                <w:rFonts w:ascii="Arial" w:cs="Arial" w:eastAsia="Arial" w:hAnsi="Arial"/>
                <w:sz w:val="14"/>
                <w:szCs w:val="14"/>
                <w:color w:val="auto"/>
              </w:rPr>
              <w:t>2024</w:t>
            </w:r>
          </w:p>
        </w:tc>
        <w:tc>
          <w:tcPr>
            <w:tcW w:w="2500" w:type="dxa"/>
            <w:vAlign w:val="bottom"/>
          </w:tcPr>
          <w:p>
            <w:pPr>
              <w:ind w:left="180"/>
              <w:spacing w:after="0"/>
              <w:rPr>
                <w:sz w:val="20"/>
                <w:szCs w:val="20"/>
                <w:color w:val="auto"/>
              </w:rPr>
            </w:pPr>
            <w:r>
              <w:rPr>
                <w:rFonts w:ascii="Arial" w:cs="Arial" w:eastAsia="Arial" w:hAnsi="Arial"/>
                <w:sz w:val="14"/>
                <w:szCs w:val="14"/>
                <w:color w:val="auto"/>
              </w:rPr>
              <w:t>Vimal Kapur</w:t>
            </w:r>
          </w:p>
        </w:tc>
        <w:tc>
          <w:tcPr>
            <w:tcW w:w="7740" w:type="dxa"/>
            <w:vAlign w:val="bottom"/>
          </w:tcPr>
          <w:p>
            <w:pPr>
              <w:ind w:left="360"/>
              <w:spacing w:after="0"/>
              <w:rPr>
                <w:sz w:val="20"/>
                <w:szCs w:val="20"/>
                <w:color w:val="auto"/>
              </w:rPr>
            </w:pPr>
            <w:r>
              <w:rPr>
                <w:rFonts w:ascii="Arial" w:cs="Arial" w:eastAsia="Arial" w:hAnsi="Arial"/>
                <w:sz w:val="14"/>
                <w:szCs w:val="14"/>
                <w:color w:val="auto"/>
              </w:rPr>
              <w:t>Gregory P. Lewis, Anne T. Madden, Lucian Boldea, James Currier</w:t>
            </w:r>
          </w:p>
        </w:tc>
      </w:tr>
      <w:tr>
        <w:trPr>
          <w:trHeight w:val="22"/>
        </w:trPr>
        <w:tc>
          <w:tcPr>
            <w:tcW w:w="520" w:type="dxa"/>
            <w:vAlign w:val="bottom"/>
            <w:tcBorders>
              <w:bottom w:val="single" w:sz="8" w:color="939598"/>
            </w:tcBorders>
          </w:tcPr>
          <w:p>
            <w:pPr>
              <w:spacing w:after="0" w:line="20" w:lineRule="exact"/>
              <w:rPr>
                <w:sz w:val="1"/>
                <w:szCs w:val="1"/>
                <w:color w:val="auto"/>
              </w:rPr>
            </w:pPr>
          </w:p>
        </w:tc>
        <w:tc>
          <w:tcPr>
            <w:tcW w:w="2500" w:type="dxa"/>
            <w:vAlign w:val="bottom"/>
            <w:tcBorders>
              <w:bottom w:val="single" w:sz="8" w:color="939598"/>
            </w:tcBorders>
          </w:tcPr>
          <w:p>
            <w:pPr>
              <w:spacing w:after="0" w:line="20" w:lineRule="exact"/>
              <w:rPr>
                <w:sz w:val="1"/>
                <w:szCs w:val="1"/>
                <w:color w:val="auto"/>
              </w:rPr>
            </w:pPr>
          </w:p>
        </w:tc>
        <w:tc>
          <w:tcPr>
            <w:tcW w:w="7740" w:type="dxa"/>
            <w:vAlign w:val="bottom"/>
            <w:tcBorders>
              <w:bottom w:val="single" w:sz="8" w:color="939598"/>
            </w:tcBorders>
          </w:tcPr>
          <w:p>
            <w:pPr>
              <w:spacing w:after="0" w:line="20" w:lineRule="exact"/>
              <w:rPr>
                <w:sz w:val="1"/>
                <w:szCs w:val="1"/>
                <w:color w:val="auto"/>
              </w:rPr>
            </w:pPr>
          </w:p>
        </w:tc>
      </w:tr>
      <w:tr>
        <w:trPr>
          <w:trHeight w:val="201"/>
        </w:trPr>
        <w:tc>
          <w:tcPr>
            <w:tcW w:w="520" w:type="dxa"/>
            <w:vAlign w:val="bottom"/>
          </w:tcPr>
          <w:p>
            <w:pPr>
              <w:ind w:left="20"/>
              <w:spacing w:after="0"/>
              <w:rPr>
                <w:sz w:val="20"/>
                <w:szCs w:val="20"/>
                <w:color w:val="auto"/>
              </w:rPr>
            </w:pPr>
            <w:r>
              <w:rPr>
                <w:rFonts w:ascii="Arial" w:cs="Arial" w:eastAsia="Arial" w:hAnsi="Arial"/>
                <w:sz w:val="14"/>
                <w:szCs w:val="14"/>
                <w:color w:val="auto"/>
              </w:rPr>
              <w:t>2023</w:t>
            </w:r>
          </w:p>
        </w:tc>
        <w:tc>
          <w:tcPr>
            <w:tcW w:w="2500" w:type="dxa"/>
            <w:vAlign w:val="bottom"/>
          </w:tcPr>
          <w:p>
            <w:pPr>
              <w:ind w:left="180"/>
              <w:spacing w:after="0"/>
              <w:rPr>
                <w:sz w:val="20"/>
                <w:szCs w:val="20"/>
                <w:color w:val="auto"/>
              </w:rPr>
            </w:pPr>
            <w:r>
              <w:rPr>
                <w:rFonts w:ascii="Arial" w:cs="Arial" w:eastAsia="Arial" w:hAnsi="Arial"/>
                <w:sz w:val="14"/>
                <w:szCs w:val="14"/>
                <w:color w:val="auto"/>
              </w:rPr>
              <w:t>Vimal Kapur, Darius Adamczyk</w:t>
            </w:r>
          </w:p>
        </w:tc>
        <w:tc>
          <w:tcPr>
            <w:tcW w:w="7740" w:type="dxa"/>
            <w:vAlign w:val="bottom"/>
          </w:tcPr>
          <w:p>
            <w:pPr>
              <w:ind w:left="360"/>
              <w:spacing w:after="0"/>
              <w:rPr>
                <w:sz w:val="20"/>
                <w:szCs w:val="20"/>
                <w:color w:val="auto"/>
              </w:rPr>
            </w:pPr>
            <w:r>
              <w:rPr>
                <w:rFonts w:ascii="Arial" w:cs="Arial" w:eastAsia="Arial" w:hAnsi="Arial"/>
                <w:sz w:val="14"/>
                <w:szCs w:val="14"/>
                <w:color w:val="auto"/>
              </w:rPr>
              <w:t>Gregory P. Lewis, Anne T. Madden, Lucian Boldea, James Currier</w:t>
            </w:r>
          </w:p>
        </w:tc>
      </w:tr>
      <w:tr>
        <w:trPr>
          <w:trHeight w:val="22"/>
        </w:trPr>
        <w:tc>
          <w:tcPr>
            <w:tcW w:w="520" w:type="dxa"/>
            <w:vAlign w:val="bottom"/>
            <w:tcBorders>
              <w:bottom w:val="single" w:sz="8" w:color="939598"/>
            </w:tcBorders>
          </w:tcPr>
          <w:p>
            <w:pPr>
              <w:spacing w:after="0" w:line="20" w:lineRule="exact"/>
              <w:rPr>
                <w:sz w:val="1"/>
                <w:szCs w:val="1"/>
                <w:color w:val="auto"/>
              </w:rPr>
            </w:pPr>
          </w:p>
        </w:tc>
        <w:tc>
          <w:tcPr>
            <w:tcW w:w="2500" w:type="dxa"/>
            <w:vAlign w:val="bottom"/>
            <w:tcBorders>
              <w:bottom w:val="single" w:sz="8" w:color="939598"/>
            </w:tcBorders>
          </w:tcPr>
          <w:p>
            <w:pPr>
              <w:spacing w:after="0" w:line="20" w:lineRule="exact"/>
              <w:rPr>
                <w:sz w:val="1"/>
                <w:szCs w:val="1"/>
                <w:color w:val="auto"/>
              </w:rPr>
            </w:pPr>
          </w:p>
        </w:tc>
        <w:tc>
          <w:tcPr>
            <w:tcW w:w="7740" w:type="dxa"/>
            <w:vAlign w:val="bottom"/>
            <w:tcBorders>
              <w:bottom w:val="single" w:sz="8" w:color="939598"/>
            </w:tcBorders>
          </w:tcPr>
          <w:p>
            <w:pPr>
              <w:spacing w:after="0" w:line="20" w:lineRule="exact"/>
              <w:rPr>
                <w:sz w:val="1"/>
                <w:szCs w:val="1"/>
                <w:color w:val="auto"/>
              </w:rPr>
            </w:pPr>
          </w:p>
        </w:tc>
      </w:tr>
      <w:tr>
        <w:trPr>
          <w:trHeight w:val="201"/>
        </w:trPr>
        <w:tc>
          <w:tcPr>
            <w:tcW w:w="520" w:type="dxa"/>
            <w:vAlign w:val="bottom"/>
          </w:tcPr>
          <w:p>
            <w:pPr>
              <w:ind w:left="20"/>
              <w:spacing w:after="0"/>
              <w:rPr>
                <w:sz w:val="20"/>
                <w:szCs w:val="20"/>
                <w:color w:val="auto"/>
              </w:rPr>
            </w:pPr>
            <w:r>
              <w:rPr>
                <w:rFonts w:ascii="Arial" w:cs="Arial" w:eastAsia="Arial" w:hAnsi="Arial"/>
                <w:sz w:val="14"/>
                <w:szCs w:val="14"/>
                <w:color w:val="auto"/>
              </w:rPr>
              <w:t>2022</w:t>
            </w:r>
          </w:p>
        </w:tc>
        <w:tc>
          <w:tcPr>
            <w:tcW w:w="2500" w:type="dxa"/>
            <w:vAlign w:val="bottom"/>
          </w:tcPr>
          <w:p>
            <w:pPr>
              <w:ind w:left="180"/>
              <w:spacing w:after="0"/>
              <w:rPr>
                <w:sz w:val="20"/>
                <w:szCs w:val="20"/>
                <w:color w:val="auto"/>
              </w:rPr>
            </w:pPr>
            <w:r>
              <w:rPr>
                <w:rFonts w:ascii="Arial" w:cs="Arial" w:eastAsia="Arial" w:hAnsi="Arial"/>
                <w:sz w:val="14"/>
                <w:szCs w:val="14"/>
                <w:color w:val="auto"/>
              </w:rPr>
              <w:t>Darius Adamczyk</w:t>
            </w:r>
          </w:p>
        </w:tc>
        <w:tc>
          <w:tcPr>
            <w:tcW w:w="7740" w:type="dxa"/>
            <w:vAlign w:val="bottom"/>
          </w:tcPr>
          <w:p>
            <w:pPr>
              <w:ind w:left="360"/>
              <w:spacing w:after="0"/>
              <w:rPr>
                <w:sz w:val="20"/>
                <w:szCs w:val="20"/>
                <w:color w:val="auto"/>
              </w:rPr>
            </w:pPr>
            <w:r>
              <w:rPr>
                <w:rFonts w:ascii="Arial" w:cs="Arial" w:eastAsia="Arial" w:hAnsi="Arial"/>
                <w:sz w:val="14"/>
                <w:szCs w:val="14"/>
                <w:color w:val="auto"/>
              </w:rPr>
              <w:t>Gregory P. Lewis, Anne T. Madden, Vimal Kapur, Lucian Boldea</w:t>
            </w:r>
          </w:p>
        </w:tc>
      </w:tr>
      <w:tr>
        <w:trPr>
          <w:trHeight w:val="22"/>
        </w:trPr>
        <w:tc>
          <w:tcPr>
            <w:tcW w:w="520" w:type="dxa"/>
            <w:vAlign w:val="bottom"/>
            <w:tcBorders>
              <w:bottom w:val="single" w:sz="8" w:color="939598"/>
            </w:tcBorders>
          </w:tcPr>
          <w:p>
            <w:pPr>
              <w:spacing w:after="0" w:line="20" w:lineRule="exact"/>
              <w:rPr>
                <w:sz w:val="1"/>
                <w:szCs w:val="1"/>
                <w:color w:val="auto"/>
              </w:rPr>
            </w:pPr>
          </w:p>
        </w:tc>
        <w:tc>
          <w:tcPr>
            <w:tcW w:w="2500" w:type="dxa"/>
            <w:vAlign w:val="bottom"/>
            <w:tcBorders>
              <w:bottom w:val="single" w:sz="8" w:color="939598"/>
            </w:tcBorders>
          </w:tcPr>
          <w:p>
            <w:pPr>
              <w:spacing w:after="0" w:line="20" w:lineRule="exact"/>
              <w:rPr>
                <w:sz w:val="1"/>
                <w:szCs w:val="1"/>
                <w:color w:val="auto"/>
              </w:rPr>
            </w:pPr>
          </w:p>
        </w:tc>
        <w:tc>
          <w:tcPr>
            <w:tcW w:w="7740" w:type="dxa"/>
            <w:vAlign w:val="bottom"/>
            <w:tcBorders>
              <w:bottom w:val="single" w:sz="8" w:color="939598"/>
            </w:tcBorders>
          </w:tcPr>
          <w:p>
            <w:pPr>
              <w:spacing w:after="0" w:line="20" w:lineRule="exact"/>
              <w:rPr>
                <w:sz w:val="1"/>
                <w:szCs w:val="1"/>
                <w:color w:val="auto"/>
              </w:rPr>
            </w:pPr>
          </w:p>
        </w:tc>
      </w:tr>
      <w:tr>
        <w:trPr>
          <w:trHeight w:val="201"/>
        </w:trPr>
        <w:tc>
          <w:tcPr>
            <w:tcW w:w="520" w:type="dxa"/>
            <w:vAlign w:val="bottom"/>
          </w:tcPr>
          <w:p>
            <w:pPr>
              <w:ind w:left="20"/>
              <w:spacing w:after="0"/>
              <w:rPr>
                <w:sz w:val="20"/>
                <w:szCs w:val="20"/>
                <w:color w:val="auto"/>
              </w:rPr>
            </w:pPr>
            <w:r>
              <w:rPr>
                <w:rFonts w:ascii="Arial" w:cs="Arial" w:eastAsia="Arial" w:hAnsi="Arial"/>
                <w:sz w:val="14"/>
                <w:szCs w:val="14"/>
                <w:color w:val="auto"/>
              </w:rPr>
              <w:t>2021</w:t>
            </w:r>
          </w:p>
        </w:tc>
        <w:tc>
          <w:tcPr>
            <w:tcW w:w="2500" w:type="dxa"/>
            <w:vAlign w:val="bottom"/>
          </w:tcPr>
          <w:p>
            <w:pPr>
              <w:ind w:left="180"/>
              <w:spacing w:after="0"/>
              <w:rPr>
                <w:sz w:val="20"/>
                <w:szCs w:val="20"/>
                <w:color w:val="auto"/>
              </w:rPr>
            </w:pPr>
            <w:r>
              <w:rPr>
                <w:rFonts w:ascii="Arial" w:cs="Arial" w:eastAsia="Arial" w:hAnsi="Arial"/>
                <w:sz w:val="14"/>
                <w:szCs w:val="14"/>
                <w:color w:val="auto"/>
              </w:rPr>
              <w:t>Darius Adamczyk</w:t>
            </w:r>
          </w:p>
        </w:tc>
        <w:tc>
          <w:tcPr>
            <w:tcW w:w="7740" w:type="dxa"/>
            <w:vAlign w:val="bottom"/>
          </w:tcPr>
          <w:p>
            <w:pPr>
              <w:ind w:left="360"/>
              <w:spacing w:after="0"/>
              <w:rPr>
                <w:sz w:val="20"/>
                <w:szCs w:val="20"/>
                <w:color w:val="auto"/>
              </w:rPr>
            </w:pPr>
            <w:r>
              <w:rPr>
                <w:rFonts w:ascii="Arial" w:cs="Arial" w:eastAsia="Arial" w:hAnsi="Arial"/>
                <w:sz w:val="14"/>
                <w:szCs w:val="14"/>
                <w:color w:val="auto"/>
              </w:rPr>
              <w:t>Gregory P. Lewis, Anne T. Madden, Que T. Dallara, Michael R. Madsen</w:t>
            </w:r>
          </w:p>
        </w:tc>
      </w:tr>
      <w:tr>
        <w:trPr>
          <w:trHeight w:val="22"/>
        </w:trPr>
        <w:tc>
          <w:tcPr>
            <w:tcW w:w="520" w:type="dxa"/>
            <w:vAlign w:val="bottom"/>
            <w:tcBorders>
              <w:bottom w:val="single" w:sz="8" w:color="D7282F"/>
            </w:tcBorders>
          </w:tcPr>
          <w:p>
            <w:pPr>
              <w:spacing w:after="0" w:line="20" w:lineRule="exact"/>
              <w:rPr>
                <w:sz w:val="1"/>
                <w:szCs w:val="1"/>
                <w:color w:val="auto"/>
              </w:rPr>
            </w:pPr>
          </w:p>
        </w:tc>
        <w:tc>
          <w:tcPr>
            <w:tcW w:w="2500" w:type="dxa"/>
            <w:vAlign w:val="bottom"/>
            <w:tcBorders>
              <w:bottom w:val="single" w:sz="8" w:color="D7282F"/>
            </w:tcBorders>
          </w:tcPr>
          <w:p>
            <w:pPr>
              <w:spacing w:after="0" w:line="20" w:lineRule="exact"/>
              <w:rPr>
                <w:sz w:val="1"/>
                <w:szCs w:val="1"/>
                <w:color w:val="auto"/>
              </w:rPr>
            </w:pPr>
          </w:p>
        </w:tc>
        <w:tc>
          <w:tcPr>
            <w:tcW w:w="7740" w:type="dxa"/>
            <w:vAlign w:val="bottom"/>
            <w:tcBorders>
              <w:bottom w:val="single" w:sz="8" w:color="D7282F"/>
            </w:tcBorders>
          </w:tcPr>
          <w:p>
            <w:pPr>
              <w:spacing w:after="0" w:line="20" w:lineRule="exact"/>
              <w:rPr>
                <w:sz w:val="1"/>
                <w:szCs w:val="1"/>
                <w:color w:val="auto"/>
              </w:rPr>
            </w:pPr>
          </w:p>
        </w:tc>
      </w:tr>
    </w:tbl>
    <w:p>
      <w:pPr>
        <w:spacing w:after="0" w:line="144" w:lineRule="exact"/>
        <w:rPr>
          <w:sz w:val="20"/>
          <w:szCs w:val="20"/>
          <w:color w:val="auto"/>
        </w:rPr>
      </w:pPr>
    </w:p>
    <w:p>
      <w:pPr>
        <w:ind w:left="200" w:hanging="192"/>
        <w:spacing w:after="0" w:line="219" w:lineRule="auto"/>
        <w:tabs>
          <w:tab w:leader="none" w:pos="200" w:val="left"/>
        </w:tabs>
        <w:numPr>
          <w:ilvl w:val="0"/>
          <w:numId w:val="208"/>
        </w:numPr>
        <w:rPr>
          <w:rFonts w:ascii="Arial" w:cs="Arial" w:eastAsia="Arial" w:hAnsi="Arial"/>
          <w:sz w:val="16"/>
          <w:szCs w:val="16"/>
          <w:color w:val="auto"/>
          <w:vertAlign w:val="superscript"/>
        </w:rPr>
      </w:pPr>
      <w:r>
        <w:rPr>
          <w:rFonts w:ascii="Arial" w:cs="Arial" w:eastAsia="Arial" w:hAnsi="Arial"/>
          <w:sz w:val="13"/>
          <w:szCs w:val="13"/>
          <w:color w:val="auto"/>
        </w:rPr>
        <w:t>Fair value or change in fair value, as applicable, of equity awards in the “Compensation Actually Paid” columns was determined by reference to (1) for RSU awards, including reinvested dividend equivalent units, closing price on applicable year-end dates or, in the case of vesting dates, the actual vesting price, (2) for PSU awards (excluding TSR portion of the PSU award), the same valuation methodology as RSU awards above except year-end and vesting date values are multiplied by the forecasted performance factor as of each such date, and include reinvested dividend equivalent units, (3) for the TSR-based portion of the PSU awards, the fair value calculated by a Monte Carlo simulation model as of the applicable year-end date(s) or, in the case of vesting date, the actual vesting price and performance factor, and (4) for stock options, the fair value calculated by a Black-Scholes model as of the applicable year-end or vesting date(s), determined based on the same methodology as used to determine grant date fair values but using the closing stock price on the applicable revaluation date as the current market price, and in all cases based on volatility, dividend rates, and risk free rates determined as of the revaluation date.</w:t>
      </w:r>
    </w:p>
    <w:p>
      <w:pPr>
        <w:spacing w:after="0" w:line="27" w:lineRule="exact"/>
        <w:rPr>
          <w:rFonts w:ascii="Arial" w:cs="Arial" w:eastAsia="Arial" w:hAnsi="Arial"/>
          <w:sz w:val="16"/>
          <w:szCs w:val="16"/>
          <w:color w:val="auto"/>
          <w:vertAlign w:val="superscript"/>
        </w:rPr>
      </w:pPr>
    </w:p>
    <w:p>
      <w:pPr>
        <w:ind w:left="200" w:hanging="192"/>
        <w:spacing w:after="0"/>
        <w:tabs>
          <w:tab w:leader="none" w:pos="200" w:val="left"/>
        </w:tabs>
        <w:numPr>
          <w:ilvl w:val="0"/>
          <w:numId w:val="208"/>
        </w:numPr>
        <w:rPr>
          <w:rFonts w:ascii="Arial" w:cs="Arial" w:eastAsia="Arial" w:hAnsi="Arial"/>
          <w:sz w:val="15"/>
          <w:szCs w:val="15"/>
          <w:color w:val="auto"/>
          <w:vertAlign w:val="superscript"/>
        </w:rPr>
      </w:pPr>
      <w:r>
        <w:rPr>
          <w:rFonts w:ascii="Arial" w:cs="Arial" w:eastAsia="Arial" w:hAnsi="Arial"/>
          <w:sz w:val="12"/>
          <w:szCs w:val="12"/>
          <w:color w:val="auto"/>
        </w:rPr>
        <w:t>For the portion of “Compensation Actually Paid” that is based on year-end stock prices, the following prices were used: for 2025: $195.09 (13.6% decrease from prior year), for 2024: $225.89 (7.7%</w:t>
      </w:r>
    </w:p>
    <w:p>
      <w:pPr>
        <w:ind w:left="200"/>
        <w:spacing w:after="0"/>
        <w:rPr>
          <w:rFonts w:ascii="Arial" w:cs="Arial" w:eastAsia="Arial" w:hAnsi="Arial"/>
          <w:sz w:val="15"/>
          <w:szCs w:val="15"/>
          <w:color w:val="auto"/>
          <w:vertAlign w:val="superscript"/>
        </w:rPr>
      </w:pPr>
      <w:r>
        <w:rPr>
          <w:rFonts w:ascii="Arial" w:cs="Arial" w:eastAsia="Arial" w:hAnsi="Arial"/>
          <w:sz w:val="13"/>
          <w:szCs w:val="13"/>
          <w:color w:val="auto"/>
        </w:rPr>
        <w:t>increase from prior year), for 2023: $209.71 (2.1% decrease from prior year), for 2022: $214.30 (2.8% increase from prior year), for 2021: $208.51 (2.0% decrease from prior year).</w:t>
      </w:r>
    </w:p>
    <w:p>
      <w:pPr>
        <w:spacing w:after="0" w:line="54" w:lineRule="exact"/>
        <w:rPr>
          <w:rFonts w:ascii="Arial" w:cs="Arial" w:eastAsia="Arial" w:hAnsi="Arial"/>
          <w:sz w:val="15"/>
          <w:szCs w:val="15"/>
          <w:color w:val="auto"/>
          <w:vertAlign w:val="superscript"/>
        </w:rPr>
      </w:pPr>
    </w:p>
    <w:p>
      <w:pPr>
        <w:ind w:left="200" w:right="20" w:hanging="192"/>
        <w:spacing w:after="0" w:line="216" w:lineRule="auto"/>
        <w:tabs>
          <w:tab w:leader="none" w:pos="200" w:val="left"/>
        </w:tabs>
        <w:numPr>
          <w:ilvl w:val="0"/>
          <w:numId w:val="208"/>
        </w:numPr>
        <w:rPr>
          <w:rFonts w:ascii="Arial" w:cs="Arial" w:eastAsia="Arial" w:hAnsi="Arial"/>
          <w:sz w:val="16"/>
          <w:szCs w:val="16"/>
          <w:color w:val="auto"/>
          <w:vertAlign w:val="superscript"/>
        </w:rPr>
      </w:pPr>
      <w:r>
        <w:rPr>
          <w:rFonts w:ascii="Arial" w:cs="Arial" w:eastAsia="Arial" w:hAnsi="Arial"/>
          <w:sz w:val="13"/>
          <w:szCs w:val="13"/>
          <w:color w:val="auto"/>
        </w:rPr>
        <w:t>The dollar amounts reported for Mr. Kapur under “Compensation Actually Paid” represent the amount of “compensation actually paid” to Mr. Kapur, as computed in accordance with Item 402(v) of Regulation S-K. The dollar amounts do not reflect the actual amount of compensation earned by or paid to Mr. Kapur during the applicable year. In accordance with the requirements of Item 402(v) of Regulation S-K, the adjustments in the table below were made to Mr. Kapur's compensation for each year to determine the compensation actually paid:</w:t>
      </w:r>
    </w:p>
    <w:p>
      <w:pPr>
        <w:sectPr>
          <w:pgSz w:w="11900" w:h="16838" w:orient="portrait"/>
          <w:cols w:equalWidth="0" w:num="1">
            <w:col w:w="11240"/>
          </w:cols>
          <w:pgMar w:left="320" w:top="229" w:right="339" w:bottom="1440" w:gutter="0" w:footer="0" w:header="0"/>
        </w:sectPr>
      </w:pPr>
    </w:p>
    <w:bookmarkStart w:id="118" w:name="page119"/>
    <w:bookmarkEnd w:id="118"/>
    <w:tbl>
      <w:tblPr>
        <w:tblLayout w:type="fixed"/>
        <w:tblInd w:w="180" w:type="dxa"/>
        <w:tblCellMar>
          <w:top w:w="0" w:type="dxa"/>
          <w:left w:w="0" w:type="dxa"/>
          <w:bottom w:w="0" w:type="dxa"/>
          <w:right w:w="0" w:type="dxa"/>
        </w:tblCellMar>
      </w:tblPr>
      <w:tr>
        <w:trPr>
          <w:trHeight w:val="172"/>
        </w:trPr>
        <w:tc>
          <w:tcPr>
            <w:tcW w:w="7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b w:val="1"/>
                <w:bCs w:val="1"/>
                <w:color w:val="auto"/>
                <w:w w:val="95"/>
              </w:rPr>
              <w:t>PEO — Kapur ($)</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29"/>
        </w:trPr>
        <w:tc>
          <w:tcPr>
            <w:tcW w:w="7620" w:type="dxa"/>
            <w:vAlign w:val="bottom"/>
          </w:tcPr>
          <w:p>
            <w:pPr>
              <w:spacing w:after="0"/>
              <w:rPr>
                <w:sz w:val="11"/>
                <w:szCs w:val="11"/>
                <w:color w:val="auto"/>
              </w:rPr>
            </w:pPr>
          </w:p>
        </w:tc>
        <w:tc>
          <w:tcPr>
            <w:tcW w:w="180" w:type="dxa"/>
            <w:vAlign w:val="bottom"/>
            <w:tcBorders>
              <w:bottom w:val="single" w:sz="8" w:color="D7282F"/>
            </w:tcBorders>
          </w:tcPr>
          <w:p>
            <w:pPr>
              <w:spacing w:after="0"/>
              <w:rPr>
                <w:sz w:val="11"/>
                <w:szCs w:val="11"/>
                <w:color w:val="auto"/>
              </w:rPr>
            </w:pPr>
          </w:p>
        </w:tc>
        <w:tc>
          <w:tcPr>
            <w:tcW w:w="880" w:type="dxa"/>
            <w:vAlign w:val="bottom"/>
            <w:tcBorders>
              <w:bottom w:val="single" w:sz="8" w:color="D7282F"/>
            </w:tcBorders>
          </w:tcPr>
          <w:p>
            <w:pPr>
              <w:spacing w:after="0"/>
              <w:rPr>
                <w:sz w:val="11"/>
                <w:szCs w:val="11"/>
                <w:color w:val="auto"/>
              </w:rPr>
            </w:pPr>
          </w:p>
        </w:tc>
        <w:tc>
          <w:tcPr>
            <w:tcW w:w="180" w:type="dxa"/>
            <w:vAlign w:val="bottom"/>
            <w:tcBorders>
              <w:bottom w:val="single" w:sz="8" w:color="D7282F"/>
            </w:tcBorders>
          </w:tcPr>
          <w:p>
            <w:pPr>
              <w:spacing w:after="0"/>
              <w:rPr>
                <w:sz w:val="11"/>
                <w:szCs w:val="11"/>
                <w:color w:val="auto"/>
              </w:rPr>
            </w:pPr>
          </w:p>
        </w:tc>
        <w:tc>
          <w:tcPr>
            <w:tcW w:w="860" w:type="dxa"/>
            <w:vAlign w:val="bottom"/>
            <w:tcBorders>
              <w:bottom w:val="single" w:sz="8" w:color="D7282F"/>
            </w:tcBorders>
          </w:tcPr>
          <w:p>
            <w:pPr>
              <w:spacing w:after="0"/>
              <w:rPr>
                <w:sz w:val="11"/>
                <w:szCs w:val="11"/>
                <w:color w:val="auto"/>
              </w:rPr>
            </w:pPr>
          </w:p>
        </w:tc>
        <w:tc>
          <w:tcPr>
            <w:tcW w:w="200" w:type="dxa"/>
            <w:vAlign w:val="bottom"/>
            <w:tcBorders>
              <w:bottom w:val="single" w:sz="8" w:color="D7282F"/>
            </w:tcBorders>
          </w:tcPr>
          <w:p>
            <w:pPr>
              <w:spacing w:after="0"/>
              <w:rPr>
                <w:sz w:val="11"/>
                <w:szCs w:val="11"/>
                <w:color w:val="auto"/>
              </w:rPr>
            </w:pPr>
          </w:p>
        </w:tc>
        <w:tc>
          <w:tcPr>
            <w:tcW w:w="840" w:type="dxa"/>
            <w:vAlign w:val="bottom"/>
            <w:tcBorders>
              <w:bottom w:val="single" w:sz="8" w:color="D7282F"/>
            </w:tcBorders>
          </w:tcPr>
          <w:p>
            <w:pPr>
              <w:spacing w:after="0"/>
              <w:rPr>
                <w:sz w:val="11"/>
                <w:szCs w:val="11"/>
                <w:color w:val="auto"/>
              </w:rPr>
            </w:pPr>
          </w:p>
        </w:tc>
      </w:tr>
      <w:tr>
        <w:trPr>
          <w:trHeight w:val="283"/>
        </w:trPr>
        <w:tc>
          <w:tcPr>
            <w:tcW w:w="7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ind w:right="337"/>
              <w:spacing w:after="0"/>
              <w:rPr>
                <w:sz w:val="20"/>
                <w:szCs w:val="20"/>
                <w:color w:val="auto"/>
              </w:rPr>
            </w:pPr>
            <w:r>
              <w:rPr>
                <w:rFonts w:ascii="Arial" w:cs="Arial" w:eastAsia="Arial" w:hAnsi="Arial"/>
                <w:sz w:val="13"/>
                <w:szCs w:val="13"/>
                <w:b w:val="1"/>
                <w:bCs w:val="1"/>
                <w:color w:val="auto"/>
              </w:rPr>
              <w:t>2025</w:t>
            </w:r>
          </w:p>
        </w:tc>
        <w:tc>
          <w:tcPr>
            <w:tcW w:w="180" w:type="dxa"/>
            <w:vAlign w:val="bottom"/>
          </w:tcPr>
          <w:p>
            <w:pPr>
              <w:spacing w:after="0"/>
              <w:rPr>
                <w:sz w:val="24"/>
                <w:szCs w:val="24"/>
                <w:color w:val="auto"/>
              </w:rPr>
            </w:pPr>
          </w:p>
        </w:tc>
        <w:tc>
          <w:tcPr>
            <w:tcW w:w="860" w:type="dxa"/>
            <w:vAlign w:val="bottom"/>
          </w:tcPr>
          <w:p>
            <w:pPr>
              <w:jc w:val="right"/>
              <w:ind w:right="317"/>
              <w:spacing w:after="0"/>
              <w:rPr>
                <w:sz w:val="20"/>
                <w:szCs w:val="20"/>
                <w:color w:val="auto"/>
              </w:rPr>
            </w:pPr>
            <w:r>
              <w:rPr>
                <w:rFonts w:ascii="Arial" w:cs="Arial" w:eastAsia="Arial" w:hAnsi="Arial"/>
                <w:sz w:val="13"/>
                <w:szCs w:val="13"/>
                <w:b w:val="1"/>
                <w:bCs w:val="1"/>
                <w:color w:val="auto"/>
              </w:rPr>
              <w:t>2024</w:t>
            </w:r>
          </w:p>
        </w:tc>
        <w:tc>
          <w:tcPr>
            <w:tcW w:w="200" w:type="dxa"/>
            <w:vAlign w:val="bottom"/>
          </w:tcPr>
          <w:p>
            <w:pPr>
              <w:spacing w:after="0"/>
              <w:rPr>
                <w:sz w:val="24"/>
                <w:szCs w:val="24"/>
                <w:color w:val="auto"/>
              </w:rPr>
            </w:pPr>
          </w:p>
        </w:tc>
        <w:tc>
          <w:tcPr>
            <w:tcW w:w="840" w:type="dxa"/>
            <w:vAlign w:val="bottom"/>
          </w:tcPr>
          <w:p>
            <w:pPr>
              <w:jc w:val="right"/>
              <w:ind w:right="317"/>
              <w:spacing w:after="0"/>
              <w:rPr>
                <w:sz w:val="20"/>
                <w:szCs w:val="20"/>
                <w:color w:val="auto"/>
              </w:rPr>
            </w:pPr>
            <w:r>
              <w:rPr>
                <w:rFonts w:ascii="Arial" w:cs="Arial" w:eastAsia="Arial" w:hAnsi="Arial"/>
                <w:sz w:val="13"/>
                <w:szCs w:val="13"/>
                <w:b w:val="1"/>
                <w:bCs w:val="1"/>
                <w:color w:val="auto"/>
              </w:rPr>
              <w:t>2023</w:t>
            </w:r>
          </w:p>
        </w:tc>
      </w:tr>
      <w:tr>
        <w:trPr>
          <w:trHeight w:val="130"/>
        </w:trPr>
        <w:tc>
          <w:tcPr>
            <w:tcW w:w="7620" w:type="dxa"/>
            <w:vAlign w:val="bottom"/>
            <w:tcBorders>
              <w:bottom w:val="single" w:sz="8" w:color="D7282F"/>
            </w:tcBorders>
          </w:tcPr>
          <w:p>
            <w:pPr>
              <w:spacing w:after="0"/>
              <w:rPr>
                <w:sz w:val="11"/>
                <w:szCs w:val="11"/>
                <w:color w:val="auto"/>
              </w:rPr>
            </w:pPr>
          </w:p>
        </w:tc>
        <w:tc>
          <w:tcPr>
            <w:tcW w:w="180" w:type="dxa"/>
            <w:vAlign w:val="bottom"/>
            <w:tcBorders>
              <w:bottom w:val="single" w:sz="8" w:color="D7282F"/>
            </w:tcBorders>
          </w:tcPr>
          <w:p>
            <w:pPr>
              <w:spacing w:after="0"/>
              <w:rPr>
                <w:sz w:val="11"/>
                <w:szCs w:val="11"/>
                <w:color w:val="auto"/>
              </w:rPr>
            </w:pPr>
          </w:p>
        </w:tc>
        <w:tc>
          <w:tcPr>
            <w:tcW w:w="880" w:type="dxa"/>
            <w:vAlign w:val="bottom"/>
            <w:tcBorders>
              <w:bottom w:val="single" w:sz="8" w:color="D7282F"/>
            </w:tcBorders>
          </w:tcPr>
          <w:p>
            <w:pPr>
              <w:spacing w:after="0"/>
              <w:rPr>
                <w:sz w:val="11"/>
                <w:szCs w:val="11"/>
                <w:color w:val="auto"/>
              </w:rPr>
            </w:pPr>
          </w:p>
        </w:tc>
        <w:tc>
          <w:tcPr>
            <w:tcW w:w="180" w:type="dxa"/>
            <w:vAlign w:val="bottom"/>
            <w:tcBorders>
              <w:bottom w:val="single" w:sz="8" w:color="D7282F"/>
            </w:tcBorders>
          </w:tcPr>
          <w:p>
            <w:pPr>
              <w:spacing w:after="0"/>
              <w:rPr>
                <w:sz w:val="11"/>
                <w:szCs w:val="11"/>
                <w:color w:val="auto"/>
              </w:rPr>
            </w:pPr>
          </w:p>
        </w:tc>
        <w:tc>
          <w:tcPr>
            <w:tcW w:w="860" w:type="dxa"/>
            <w:vAlign w:val="bottom"/>
            <w:tcBorders>
              <w:bottom w:val="single" w:sz="8" w:color="D7282F"/>
            </w:tcBorders>
          </w:tcPr>
          <w:p>
            <w:pPr>
              <w:spacing w:after="0"/>
              <w:rPr>
                <w:sz w:val="11"/>
                <w:szCs w:val="11"/>
                <w:color w:val="auto"/>
              </w:rPr>
            </w:pPr>
          </w:p>
        </w:tc>
        <w:tc>
          <w:tcPr>
            <w:tcW w:w="200" w:type="dxa"/>
            <w:vAlign w:val="bottom"/>
            <w:tcBorders>
              <w:bottom w:val="single" w:sz="8" w:color="D7282F"/>
            </w:tcBorders>
          </w:tcPr>
          <w:p>
            <w:pPr>
              <w:spacing w:after="0"/>
              <w:rPr>
                <w:sz w:val="11"/>
                <w:szCs w:val="11"/>
                <w:color w:val="auto"/>
              </w:rPr>
            </w:pPr>
          </w:p>
        </w:tc>
        <w:tc>
          <w:tcPr>
            <w:tcW w:w="840" w:type="dxa"/>
            <w:vAlign w:val="bottom"/>
            <w:tcBorders>
              <w:bottom w:val="single" w:sz="8" w:color="D7282F"/>
            </w:tcBorders>
          </w:tcPr>
          <w:p>
            <w:pPr>
              <w:spacing w:after="0"/>
              <w:rPr>
                <w:sz w:val="11"/>
                <w:szCs w:val="11"/>
                <w:color w:val="auto"/>
              </w:rPr>
            </w:pPr>
          </w:p>
        </w:tc>
      </w:tr>
      <w:tr>
        <w:trPr>
          <w:trHeight w:val="283"/>
        </w:trPr>
        <w:tc>
          <w:tcPr>
            <w:tcW w:w="7620" w:type="dxa"/>
            <w:vAlign w:val="bottom"/>
          </w:tcPr>
          <w:p>
            <w:pPr>
              <w:ind w:left="20"/>
              <w:spacing w:after="0"/>
              <w:rPr>
                <w:sz w:val="20"/>
                <w:szCs w:val="20"/>
                <w:color w:val="auto"/>
              </w:rPr>
            </w:pPr>
            <w:r>
              <w:rPr>
                <w:rFonts w:ascii="Arial" w:cs="Arial" w:eastAsia="Arial" w:hAnsi="Arial"/>
                <w:sz w:val="13"/>
                <w:szCs w:val="13"/>
                <w:b w:val="1"/>
                <w:bCs w:val="1"/>
                <w:color w:val="auto"/>
              </w:rPr>
              <w:t>Total Reported in Summary Compensation Table (SCT)</w:t>
            </w:r>
          </w:p>
        </w:tc>
        <w:tc>
          <w:tcPr>
            <w:tcW w:w="180" w:type="dxa"/>
            <w:vAlign w:val="bottom"/>
          </w:tcPr>
          <w:p>
            <w:pPr>
              <w:jc w:val="right"/>
              <w:ind w:right="17"/>
              <w:spacing w:after="0"/>
              <w:rPr>
                <w:sz w:val="20"/>
                <w:szCs w:val="20"/>
                <w:color w:val="auto"/>
              </w:rPr>
            </w:pPr>
            <w:r>
              <w:rPr>
                <w:rFonts w:ascii="Arial" w:cs="Arial" w:eastAsia="Arial" w:hAnsi="Arial"/>
                <w:sz w:val="13"/>
                <w:szCs w:val="13"/>
                <w:b w:val="1"/>
                <w:bCs w:val="1"/>
                <w:color w:val="auto"/>
              </w:rPr>
              <w:t>$</w:t>
            </w:r>
          </w:p>
        </w:tc>
        <w:tc>
          <w:tcPr>
            <w:tcW w:w="880" w:type="dxa"/>
            <w:vAlign w:val="bottom"/>
          </w:tcPr>
          <w:p>
            <w:pPr>
              <w:jc w:val="right"/>
              <w:ind w:right="17"/>
              <w:spacing w:after="0"/>
              <w:rPr>
                <w:sz w:val="20"/>
                <w:szCs w:val="20"/>
                <w:color w:val="auto"/>
              </w:rPr>
            </w:pPr>
            <w:r>
              <w:rPr>
                <w:rFonts w:ascii="Arial" w:cs="Arial" w:eastAsia="Arial" w:hAnsi="Arial"/>
                <w:sz w:val="13"/>
                <w:szCs w:val="13"/>
                <w:b w:val="1"/>
                <w:bCs w:val="1"/>
                <w:color w:val="auto"/>
              </w:rPr>
              <w:t>20,381,435</w:t>
            </w:r>
          </w:p>
        </w:tc>
        <w:tc>
          <w:tcPr>
            <w:tcW w:w="180" w:type="dxa"/>
            <w:vAlign w:val="bottom"/>
          </w:tcPr>
          <w:p>
            <w:pPr>
              <w:jc w:val="right"/>
              <w:ind w:right="37"/>
              <w:spacing w:after="0"/>
              <w:rPr>
                <w:sz w:val="20"/>
                <w:szCs w:val="20"/>
                <w:color w:val="auto"/>
              </w:rPr>
            </w:pPr>
            <w:r>
              <w:rPr>
                <w:rFonts w:ascii="Arial" w:cs="Arial" w:eastAsia="Arial" w:hAnsi="Arial"/>
                <w:sz w:val="13"/>
                <w:szCs w:val="13"/>
                <w:b w:val="1"/>
                <w:bCs w:val="1"/>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18,277,193</w:t>
            </w:r>
          </w:p>
        </w:tc>
        <w:tc>
          <w:tcPr>
            <w:tcW w:w="20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14,401,630</w:t>
            </w:r>
          </w:p>
        </w:tc>
      </w:tr>
      <w:tr>
        <w:trPr>
          <w:trHeight w:val="129"/>
        </w:trPr>
        <w:tc>
          <w:tcPr>
            <w:tcW w:w="76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r>
      <w:tr>
        <w:trPr>
          <w:trHeight w:val="277"/>
        </w:trPr>
        <w:tc>
          <w:tcPr>
            <w:tcW w:w="7620" w:type="dxa"/>
            <w:vAlign w:val="bottom"/>
          </w:tcPr>
          <w:p>
            <w:pPr>
              <w:ind w:left="20"/>
              <w:spacing w:after="0"/>
              <w:rPr>
                <w:sz w:val="20"/>
                <w:szCs w:val="20"/>
                <w:color w:val="auto"/>
              </w:rPr>
            </w:pPr>
            <w:r>
              <w:rPr>
                <w:rFonts w:ascii="Arial" w:cs="Arial" w:eastAsia="Arial" w:hAnsi="Arial"/>
                <w:sz w:val="13"/>
                <w:szCs w:val="13"/>
                <w:color w:val="auto"/>
              </w:rPr>
              <w:t>Less, Value of Stock &amp; Option Awards Reported in SCT</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(14,490,183)</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(13,027,235)</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(10,040,327)</w:t>
            </w:r>
          </w:p>
        </w:tc>
      </w:tr>
      <w:tr>
        <w:trPr>
          <w:trHeight w:val="135"/>
        </w:trPr>
        <w:tc>
          <w:tcPr>
            <w:tcW w:w="7620" w:type="dxa"/>
            <w:vAlign w:val="bottom"/>
            <w:tcBorders>
              <w:bottom w:val="single" w:sz="8" w:color="939598"/>
            </w:tcBorders>
          </w:tcPr>
          <w:p>
            <w:pPr>
              <w:spacing w:after="0"/>
              <w:rPr>
                <w:sz w:val="11"/>
                <w:szCs w:val="11"/>
                <w:color w:val="auto"/>
              </w:rPr>
            </w:pPr>
          </w:p>
        </w:tc>
        <w:tc>
          <w:tcPr>
            <w:tcW w:w="180" w:type="dxa"/>
            <w:vAlign w:val="bottom"/>
            <w:tcBorders>
              <w:bottom w:val="single" w:sz="8" w:color="939598"/>
            </w:tcBorders>
          </w:tcPr>
          <w:p>
            <w:pPr>
              <w:spacing w:after="0"/>
              <w:rPr>
                <w:sz w:val="11"/>
                <w:szCs w:val="11"/>
                <w:color w:val="auto"/>
              </w:rPr>
            </w:pPr>
          </w:p>
        </w:tc>
        <w:tc>
          <w:tcPr>
            <w:tcW w:w="880" w:type="dxa"/>
            <w:vAlign w:val="bottom"/>
            <w:tcBorders>
              <w:bottom w:val="single" w:sz="8" w:color="939598"/>
            </w:tcBorders>
          </w:tcPr>
          <w:p>
            <w:pPr>
              <w:spacing w:after="0"/>
              <w:rPr>
                <w:sz w:val="11"/>
                <w:szCs w:val="11"/>
                <w:color w:val="auto"/>
              </w:rPr>
            </w:pPr>
          </w:p>
        </w:tc>
        <w:tc>
          <w:tcPr>
            <w:tcW w:w="180" w:type="dxa"/>
            <w:vAlign w:val="bottom"/>
            <w:tcBorders>
              <w:bottom w:val="single" w:sz="8" w:color="939598"/>
            </w:tcBorders>
          </w:tcPr>
          <w:p>
            <w:pPr>
              <w:spacing w:after="0"/>
              <w:rPr>
                <w:sz w:val="11"/>
                <w:szCs w:val="11"/>
                <w:color w:val="auto"/>
              </w:rPr>
            </w:pPr>
          </w:p>
        </w:tc>
        <w:tc>
          <w:tcPr>
            <w:tcW w:w="860" w:type="dxa"/>
            <w:vAlign w:val="bottom"/>
            <w:tcBorders>
              <w:bottom w:val="single" w:sz="8" w:color="939598"/>
            </w:tcBorders>
          </w:tcPr>
          <w:p>
            <w:pPr>
              <w:spacing w:after="0"/>
              <w:rPr>
                <w:sz w:val="11"/>
                <w:szCs w:val="11"/>
                <w:color w:val="auto"/>
              </w:rPr>
            </w:pPr>
          </w:p>
        </w:tc>
        <w:tc>
          <w:tcPr>
            <w:tcW w:w="200" w:type="dxa"/>
            <w:vAlign w:val="bottom"/>
            <w:tcBorders>
              <w:bottom w:val="single" w:sz="8" w:color="939598"/>
            </w:tcBorders>
          </w:tcPr>
          <w:p>
            <w:pPr>
              <w:spacing w:after="0"/>
              <w:rPr>
                <w:sz w:val="11"/>
                <w:szCs w:val="11"/>
                <w:color w:val="auto"/>
              </w:rPr>
            </w:pPr>
          </w:p>
        </w:tc>
        <w:tc>
          <w:tcPr>
            <w:tcW w:w="840" w:type="dxa"/>
            <w:vAlign w:val="bottom"/>
            <w:tcBorders>
              <w:bottom w:val="single" w:sz="8" w:color="939598"/>
            </w:tcBorders>
          </w:tcPr>
          <w:p>
            <w:pPr>
              <w:spacing w:after="0"/>
              <w:rPr>
                <w:sz w:val="11"/>
                <w:szCs w:val="11"/>
                <w:color w:val="auto"/>
              </w:rPr>
            </w:pPr>
          </w:p>
        </w:tc>
      </w:tr>
      <w:tr>
        <w:trPr>
          <w:trHeight w:val="277"/>
        </w:trPr>
        <w:tc>
          <w:tcPr>
            <w:tcW w:w="7620" w:type="dxa"/>
            <w:vAlign w:val="bottom"/>
          </w:tcPr>
          <w:p>
            <w:pPr>
              <w:ind w:left="20"/>
              <w:spacing w:after="0"/>
              <w:rPr>
                <w:sz w:val="20"/>
                <w:szCs w:val="20"/>
                <w:color w:val="auto"/>
              </w:rPr>
            </w:pPr>
            <w:r>
              <w:rPr>
                <w:rFonts w:ascii="Arial" w:cs="Arial" w:eastAsia="Arial" w:hAnsi="Arial"/>
                <w:sz w:val="13"/>
                <w:szCs w:val="13"/>
                <w:color w:val="auto"/>
              </w:rPr>
              <w:t>Less, Change in Pension Value and Non-Qualified Deferred Compensation Earnings in SCT</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(573,547)</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(498,217)</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(283,838)</w:t>
            </w:r>
          </w:p>
        </w:tc>
      </w:tr>
      <w:tr>
        <w:trPr>
          <w:trHeight w:val="136"/>
        </w:trPr>
        <w:tc>
          <w:tcPr>
            <w:tcW w:w="7620" w:type="dxa"/>
            <w:vAlign w:val="bottom"/>
            <w:tcBorders>
              <w:bottom w:val="single" w:sz="8" w:color="939598"/>
            </w:tcBorders>
          </w:tcPr>
          <w:p>
            <w:pPr>
              <w:spacing w:after="0"/>
              <w:rPr>
                <w:sz w:val="11"/>
                <w:szCs w:val="11"/>
                <w:color w:val="auto"/>
              </w:rPr>
            </w:pPr>
          </w:p>
        </w:tc>
        <w:tc>
          <w:tcPr>
            <w:tcW w:w="180" w:type="dxa"/>
            <w:vAlign w:val="bottom"/>
            <w:tcBorders>
              <w:bottom w:val="single" w:sz="8" w:color="939598"/>
            </w:tcBorders>
          </w:tcPr>
          <w:p>
            <w:pPr>
              <w:spacing w:after="0"/>
              <w:rPr>
                <w:sz w:val="11"/>
                <w:szCs w:val="11"/>
                <w:color w:val="auto"/>
              </w:rPr>
            </w:pPr>
          </w:p>
        </w:tc>
        <w:tc>
          <w:tcPr>
            <w:tcW w:w="880" w:type="dxa"/>
            <w:vAlign w:val="bottom"/>
            <w:tcBorders>
              <w:bottom w:val="single" w:sz="8" w:color="939598"/>
            </w:tcBorders>
          </w:tcPr>
          <w:p>
            <w:pPr>
              <w:spacing w:after="0"/>
              <w:rPr>
                <w:sz w:val="11"/>
                <w:szCs w:val="11"/>
                <w:color w:val="auto"/>
              </w:rPr>
            </w:pPr>
          </w:p>
        </w:tc>
        <w:tc>
          <w:tcPr>
            <w:tcW w:w="180" w:type="dxa"/>
            <w:vAlign w:val="bottom"/>
            <w:tcBorders>
              <w:bottom w:val="single" w:sz="8" w:color="939598"/>
            </w:tcBorders>
          </w:tcPr>
          <w:p>
            <w:pPr>
              <w:spacing w:after="0"/>
              <w:rPr>
                <w:sz w:val="11"/>
                <w:szCs w:val="11"/>
                <w:color w:val="auto"/>
              </w:rPr>
            </w:pPr>
          </w:p>
        </w:tc>
        <w:tc>
          <w:tcPr>
            <w:tcW w:w="860" w:type="dxa"/>
            <w:vAlign w:val="bottom"/>
            <w:tcBorders>
              <w:bottom w:val="single" w:sz="8" w:color="939598"/>
            </w:tcBorders>
          </w:tcPr>
          <w:p>
            <w:pPr>
              <w:spacing w:after="0"/>
              <w:rPr>
                <w:sz w:val="11"/>
                <w:szCs w:val="11"/>
                <w:color w:val="auto"/>
              </w:rPr>
            </w:pPr>
          </w:p>
        </w:tc>
        <w:tc>
          <w:tcPr>
            <w:tcW w:w="200" w:type="dxa"/>
            <w:vAlign w:val="bottom"/>
            <w:tcBorders>
              <w:bottom w:val="single" w:sz="8" w:color="939598"/>
            </w:tcBorders>
          </w:tcPr>
          <w:p>
            <w:pPr>
              <w:spacing w:after="0"/>
              <w:rPr>
                <w:sz w:val="11"/>
                <w:szCs w:val="11"/>
                <w:color w:val="auto"/>
              </w:rPr>
            </w:pPr>
          </w:p>
        </w:tc>
        <w:tc>
          <w:tcPr>
            <w:tcW w:w="840" w:type="dxa"/>
            <w:vAlign w:val="bottom"/>
            <w:tcBorders>
              <w:bottom w:val="single" w:sz="8" w:color="939598"/>
            </w:tcBorders>
          </w:tcPr>
          <w:p>
            <w:pPr>
              <w:spacing w:after="0"/>
              <w:rPr>
                <w:sz w:val="11"/>
                <w:szCs w:val="11"/>
                <w:color w:val="auto"/>
              </w:rPr>
            </w:pPr>
          </w:p>
        </w:tc>
      </w:tr>
      <w:tr>
        <w:trPr>
          <w:trHeight w:val="277"/>
        </w:trPr>
        <w:tc>
          <w:tcPr>
            <w:tcW w:w="7620" w:type="dxa"/>
            <w:vAlign w:val="bottom"/>
          </w:tcPr>
          <w:p>
            <w:pPr>
              <w:ind w:left="20"/>
              <w:spacing w:after="0"/>
              <w:rPr>
                <w:sz w:val="20"/>
                <w:szCs w:val="20"/>
                <w:color w:val="auto"/>
              </w:rPr>
            </w:pPr>
            <w:r>
              <w:rPr>
                <w:rFonts w:ascii="Arial" w:cs="Arial" w:eastAsia="Arial" w:hAnsi="Arial"/>
                <w:sz w:val="13"/>
                <w:szCs w:val="13"/>
                <w:color w:val="auto"/>
              </w:rPr>
              <w:t>Plus, Pension Service Cost</w:t>
            </w:r>
          </w:p>
        </w:tc>
        <w:tc>
          <w:tcPr>
            <w:tcW w:w="180" w:type="dxa"/>
            <w:vAlign w:val="bottom"/>
          </w:tcPr>
          <w:p>
            <w:pPr>
              <w:spacing w:after="0"/>
              <w:rPr>
                <w:sz w:val="24"/>
                <w:szCs w:val="24"/>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205,572</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94,485</w:t>
            </w:r>
          </w:p>
        </w:tc>
      </w:tr>
      <w:tr>
        <w:trPr>
          <w:trHeight w:val="135"/>
        </w:trPr>
        <w:tc>
          <w:tcPr>
            <w:tcW w:w="7620" w:type="dxa"/>
            <w:vAlign w:val="bottom"/>
            <w:tcBorders>
              <w:bottom w:val="single" w:sz="8" w:color="939598"/>
            </w:tcBorders>
          </w:tcPr>
          <w:p>
            <w:pPr>
              <w:spacing w:after="0"/>
              <w:rPr>
                <w:sz w:val="11"/>
                <w:szCs w:val="11"/>
                <w:color w:val="auto"/>
              </w:rPr>
            </w:pPr>
          </w:p>
        </w:tc>
        <w:tc>
          <w:tcPr>
            <w:tcW w:w="180" w:type="dxa"/>
            <w:vAlign w:val="bottom"/>
            <w:tcBorders>
              <w:bottom w:val="single" w:sz="8" w:color="939598"/>
            </w:tcBorders>
          </w:tcPr>
          <w:p>
            <w:pPr>
              <w:spacing w:after="0"/>
              <w:rPr>
                <w:sz w:val="11"/>
                <w:szCs w:val="11"/>
                <w:color w:val="auto"/>
              </w:rPr>
            </w:pPr>
          </w:p>
        </w:tc>
        <w:tc>
          <w:tcPr>
            <w:tcW w:w="880" w:type="dxa"/>
            <w:vAlign w:val="bottom"/>
            <w:tcBorders>
              <w:bottom w:val="single" w:sz="8" w:color="939598"/>
            </w:tcBorders>
          </w:tcPr>
          <w:p>
            <w:pPr>
              <w:spacing w:after="0"/>
              <w:rPr>
                <w:sz w:val="11"/>
                <w:szCs w:val="11"/>
                <w:color w:val="auto"/>
              </w:rPr>
            </w:pPr>
          </w:p>
        </w:tc>
        <w:tc>
          <w:tcPr>
            <w:tcW w:w="180" w:type="dxa"/>
            <w:vAlign w:val="bottom"/>
            <w:tcBorders>
              <w:bottom w:val="single" w:sz="8" w:color="939598"/>
            </w:tcBorders>
          </w:tcPr>
          <w:p>
            <w:pPr>
              <w:spacing w:after="0"/>
              <w:rPr>
                <w:sz w:val="11"/>
                <w:szCs w:val="11"/>
                <w:color w:val="auto"/>
              </w:rPr>
            </w:pPr>
          </w:p>
        </w:tc>
        <w:tc>
          <w:tcPr>
            <w:tcW w:w="860" w:type="dxa"/>
            <w:vAlign w:val="bottom"/>
            <w:tcBorders>
              <w:bottom w:val="single" w:sz="8" w:color="939598"/>
            </w:tcBorders>
          </w:tcPr>
          <w:p>
            <w:pPr>
              <w:spacing w:after="0"/>
              <w:rPr>
                <w:sz w:val="11"/>
                <w:szCs w:val="11"/>
                <w:color w:val="auto"/>
              </w:rPr>
            </w:pPr>
          </w:p>
        </w:tc>
        <w:tc>
          <w:tcPr>
            <w:tcW w:w="200" w:type="dxa"/>
            <w:vAlign w:val="bottom"/>
            <w:tcBorders>
              <w:bottom w:val="single" w:sz="8" w:color="939598"/>
            </w:tcBorders>
          </w:tcPr>
          <w:p>
            <w:pPr>
              <w:spacing w:after="0"/>
              <w:rPr>
                <w:sz w:val="11"/>
                <w:szCs w:val="11"/>
                <w:color w:val="auto"/>
              </w:rPr>
            </w:pPr>
          </w:p>
        </w:tc>
        <w:tc>
          <w:tcPr>
            <w:tcW w:w="840" w:type="dxa"/>
            <w:vAlign w:val="bottom"/>
            <w:tcBorders>
              <w:bottom w:val="single" w:sz="8" w:color="939598"/>
            </w:tcBorders>
          </w:tcPr>
          <w:p>
            <w:pPr>
              <w:spacing w:after="0"/>
              <w:rPr>
                <w:sz w:val="11"/>
                <w:szCs w:val="11"/>
                <w:color w:val="auto"/>
              </w:rPr>
            </w:pPr>
          </w:p>
        </w:tc>
      </w:tr>
      <w:tr>
        <w:trPr>
          <w:trHeight w:val="277"/>
        </w:trPr>
        <w:tc>
          <w:tcPr>
            <w:tcW w:w="7620" w:type="dxa"/>
            <w:vAlign w:val="bottom"/>
          </w:tcPr>
          <w:p>
            <w:pPr>
              <w:ind w:left="20"/>
              <w:spacing w:after="0"/>
              <w:rPr>
                <w:sz w:val="20"/>
                <w:szCs w:val="20"/>
                <w:color w:val="auto"/>
              </w:rPr>
            </w:pPr>
            <w:r>
              <w:rPr>
                <w:rFonts w:ascii="Arial" w:cs="Arial" w:eastAsia="Arial" w:hAnsi="Arial"/>
                <w:sz w:val="13"/>
                <w:szCs w:val="13"/>
                <w:color w:val="auto"/>
              </w:rPr>
              <w:t>Plus, Year-End Value of Awards Granted in Fiscal Year that are Unvested and Outstanding</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15,866,339</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16,385,615</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10,811,208</w:t>
            </w:r>
          </w:p>
        </w:tc>
      </w:tr>
      <w:tr>
        <w:trPr>
          <w:trHeight w:val="136"/>
        </w:trPr>
        <w:tc>
          <w:tcPr>
            <w:tcW w:w="7620" w:type="dxa"/>
            <w:vAlign w:val="bottom"/>
            <w:tcBorders>
              <w:bottom w:val="single" w:sz="8" w:color="939598"/>
            </w:tcBorders>
          </w:tcPr>
          <w:p>
            <w:pPr>
              <w:spacing w:after="0"/>
              <w:rPr>
                <w:sz w:val="11"/>
                <w:szCs w:val="11"/>
                <w:color w:val="auto"/>
              </w:rPr>
            </w:pPr>
          </w:p>
        </w:tc>
        <w:tc>
          <w:tcPr>
            <w:tcW w:w="180" w:type="dxa"/>
            <w:vAlign w:val="bottom"/>
            <w:tcBorders>
              <w:bottom w:val="single" w:sz="8" w:color="939598"/>
            </w:tcBorders>
          </w:tcPr>
          <w:p>
            <w:pPr>
              <w:spacing w:after="0"/>
              <w:rPr>
                <w:sz w:val="11"/>
                <w:szCs w:val="11"/>
                <w:color w:val="auto"/>
              </w:rPr>
            </w:pPr>
          </w:p>
        </w:tc>
        <w:tc>
          <w:tcPr>
            <w:tcW w:w="880" w:type="dxa"/>
            <w:vAlign w:val="bottom"/>
            <w:tcBorders>
              <w:bottom w:val="single" w:sz="8" w:color="939598"/>
            </w:tcBorders>
          </w:tcPr>
          <w:p>
            <w:pPr>
              <w:spacing w:after="0"/>
              <w:rPr>
                <w:sz w:val="11"/>
                <w:szCs w:val="11"/>
                <w:color w:val="auto"/>
              </w:rPr>
            </w:pPr>
          </w:p>
        </w:tc>
        <w:tc>
          <w:tcPr>
            <w:tcW w:w="180" w:type="dxa"/>
            <w:vAlign w:val="bottom"/>
            <w:tcBorders>
              <w:bottom w:val="single" w:sz="8" w:color="939598"/>
            </w:tcBorders>
          </w:tcPr>
          <w:p>
            <w:pPr>
              <w:spacing w:after="0"/>
              <w:rPr>
                <w:sz w:val="11"/>
                <w:szCs w:val="11"/>
                <w:color w:val="auto"/>
              </w:rPr>
            </w:pPr>
          </w:p>
        </w:tc>
        <w:tc>
          <w:tcPr>
            <w:tcW w:w="860" w:type="dxa"/>
            <w:vAlign w:val="bottom"/>
            <w:tcBorders>
              <w:bottom w:val="single" w:sz="8" w:color="939598"/>
            </w:tcBorders>
          </w:tcPr>
          <w:p>
            <w:pPr>
              <w:spacing w:after="0"/>
              <w:rPr>
                <w:sz w:val="11"/>
                <w:szCs w:val="11"/>
                <w:color w:val="auto"/>
              </w:rPr>
            </w:pPr>
          </w:p>
        </w:tc>
        <w:tc>
          <w:tcPr>
            <w:tcW w:w="200" w:type="dxa"/>
            <w:vAlign w:val="bottom"/>
            <w:tcBorders>
              <w:bottom w:val="single" w:sz="8" w:color="939598"/>
            </w:tcBorders>
          </w:tcPr>
          <w:p>
            <w:pPr>
              <w:spacing w:after="0"/>
              <w:rPr>
                <w:sz w:val="11"/>
                <w:szCs w:val="11"/>
                <w:color w:val="auto"/>
              </w:rPr>
            </w:pPr>
          </w:p>
        </w:tc>
        <w:tc>
          <w:tcPr>
            <w:tcW w:w="840" w:type="dxa"/>
            <w:vAlign w:val="bottom"/>
            <w:tcBorders>
              <w:bottom w:val="single" w:sz="8" w:color="939598"/>
            </w:tcBorders>
          </w:tcPr>
          <w:p>
            <w:pPr>
              <w:spacing w:after="0"/>
              <w:rPr>
                <w:sz w:val="11"/>
                <w:szCs w:val="11"/>
                <w:color w:val="auto"/>
              </w:rPr>
            </w:pPr>
          </w:p>
        </w:tc>
      </w:tr>
      <w:tr>
        <w:trPr>
          <w:trHeight w:val="276"/>
        </w:trPr>
        <w:tc>
          <w:tcPr>
            <w:tcW w:w="7620" w:type="dxa"/>
            <w:vAlign w:val="bottom"/>
          </w:tcPr>
          <w:p>
            <w:pPr>
              <w:ind w:left="20"/>
              <w:spacing w:after="0"/>
              <w:rPr>
                <w:sz w:val="20"/>
                <w:szCs w:val="20"/>
                <w:color w:val="auto"/>
              </w:rPr>
            </w:pPr>
            <w:r>
              <w:rPr>
                <w:rFonts w:ascii="Arial" w:cs="Arial" w:eastAsia="Arial" w:hAnsi="Arial"/>
                <w:sz w:val="13"/>
                <w:szCs w:val="13"/>
                <w:color w:val="auto"/>
              </w:rPr>
              <w:t>Plus, Change in Fair Value of Prior Year Awards that are Outstanding and Unvested</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(9,108,010)</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830,991</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467,763</w:t>
            </w:r>
          </w:p>
        </w:tc>
      </w:tr>
      <w:tr>
        <w:trPr>
          <w:trHeight w:val="136"/>
        </w:trPr>
        <w:tc>
          <w:tcPr>
            <w:tcW w:w="7620" w:type="dxa"/>
            <w:vAlign w:val="bottom"/>
            <w:tcBorders>
              <w:bottom w:val="single" w:sz="8" w:color="939598"/>
            </w:tcBorders>
          </w:tcPr>
          <w:p>
            <w:pPr>
              <w:spacing w:after="0"/>
              <w:rPr>
                <w:sz w:val="11"/>
                <w:szCs w:val="11"/>
                <w:color w:val="auto"/>
              </w:rPr>
            </w:pPr>
          </w:p>
        </w:tc>
        <w:tc>
          <w:tcPr>
            <w:tcW w:w="180" w:type="dxa"/>
            <w:vAlign w:val="bottom"/>
            <w:tcBorders>
              <w:bottom w:val="single" w:sz="8" w:color="939598"/>
            </w:tcBorders>
          </w:tcPr>
          <w:p>
            <w:pPr>
              <w:spacing w:after="0"/>
              <w:rPr>
                <w:sz w:val="11"/>
                <w:szCs w:val="11"/>
                <w:color w:val="auto"/>
              </w:rPr>
            </w:pPr>
          </w:p>
        </w:tc>
        <w:tc>
          <w:tcPr>
            <w:tcW w:w="880" w:type="dxa"/>
            <w:vAlign w:val="bottom"/>
            <w:tcBorders>
              <w:bottom w:val="single" w:sz="8" w:color="939598"/>
            </w:tcBorders>
          </w:tcPr>
          <w:p>
            <w:pPr>
              <w:spacing w:after="0"/>
              <w:rPr>
                <w:sz w:val="11"/>
                <w:szCs w:val="11"/>
                <w:color w:val="auto"/>
              </w:rPr>
            </w:pPr>
          </w:p>
        </w:tc>
        <w:tc>
          <w:tcPr>
            <w:tcW w:w="180" w:type="dxa"/>
            <w:vAlign w:val="bottom"/>
            <w:tcBorders>
              <w:bottom w:val="single" w:sz="8" w:color="939598"/>
            </w:tcBorders>
          </w:tcPr>
          <w:p>
            <w:pPr>
              <w:spacing w:after="0"/>
              <w:rPr>
                <w:sz w:val="11"/>
                <w:szCs w:val="11"/>
                <w:color w:val="auto"/>
              </w:rPr>
            </w:pPr>
          </w:p>
        </w:tc>
        <w:tc>
          <w:tcPr>
            <w:tcW w:w="860" w:type="dxa"/>
            <w:vAlign w:val="bottom"/>
            <w:tcBorders>
              <w:bottom w:val="single" w:sz="8" w:color="939598"/>
            </w:tcBorders>
          </w:tcPr>
          <w:p>
            <w:pPr>
              <w:spacing w:after="0"/>
              <w:rPr>
                <w:sz w:val="11"/>
                <w:szCs w:val="11"/>
                <w:color w:val="auto"/>
              </w:rPr>
            </w:pPr>
          </w:p>
        </w:tc>
        <w:tc>
          <w:tcPr>
            <w:tcW w:w="200" w:type="dxa"/>
            <w:vAlign w:val="bottom"/>
            <w:tcBorders>
              <w:bottom w:val="single" w:sz="8" w:color="939598"/>
            </w:tcBorders>
          </w:tcPr>
          <w:p>
            <w:pPr>
              <w:spacing w:after="0"/>
              <w:rPr>
                <w:sz w:val="11"/>
                <w:szCs w:val="11"/>
                <w:color w:val="auto"/>
              </w:rPr>
            </w:pPr>
          </w:p>
        </w:tc>
        <w:tc>
          <w:tcPr>
            <w:tcW w:w="840" w:type="dxa"/>
            <w:vAlign w:val="bottom"/>
            <w:tcBorders>
              <w:bottom w:val="single" w:sz="8" w:color="939598"/>
            </w:tcBorders>
          </w:tcPr>
          <w:p>
            <w:pPr>
              <w:spacing w:after="0"/>
              <w:rPr>
                <w:sz w:val="11"/>
                <w:szCs w:val="11"/>
                <w:color w:val="auto"/>
              </w:rPr>
            </w:pPr>
          </w:p>
        </w:tc>
      </w:tr>
      <w:tr>
        <w:trPr>
          <w:trHeight w:val="277"/>
        </w:trPr>
        <w:tc>
          <w:tcPr>
            <w:tcW w:w="7620" w:type="dxa"/>
            <w:vAlign w:val="bottom"/>
          </w:tcPr>
          <w:p>
            <w:pPr>
              <w:ind w:left="20"/>
              <w:spacing w:after="0"/>
              <w:rPr>
                <w:sz w:val="20"/>
                <w:szCs w:val="20"/>
                <w:color w:val="auto"/>
              </w:rPr>
            </w:pPr>
            <w:r>
              <w:rPr>
                <w:rFonts w:ascii="Arial" w:cs="Arial" w:eastAsia="Arial" w:hAnsi="Arial"/>
                <w:sz w:val="13"/>
                <w:szCs w:val="13"/>
                <w:color w:val="auto"/>
              </w:rPr>
              <w:t>Plus, FMV of Awards Granted this Year and that Vested this Year</w:t>
            </w:r>
          </w:p>
        </w:tc>
        <w:tc>
          <w:tcPr>
            <w:tcW w:w="180" w:type="dxa"/>
            <w:vAlign w:val="bottom"/>
          </w:tcPr>
          <w:p>
            <w:pPr>
              <w:spacing w:after="0"/>
              <w:rPr>
                <w:sz w:val="24"/>
                <w:szCs w:val="24"/>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35"/>
        </w:trPr>
        <w:tc>
          <w:tcPr>
            <w:tcW w:w="7620" w:type="dxa"/>
            <w:vAlign w:val="bottom"/>
            <w:tcBorders>
              <w:bottom w:val="single" w:sz="8" w:color="939598"/>
            </w:tcBorders>
          </w:tcPr>
          <w:p>
            <w:pPr>
              <w:spacing w:after="0"/>
              <w:rPr>
                <w:sz w:val="11"/>
                <w:szCs w:val="11"/>
                <w:color w:val="auto"/>
              </w:rPr>
            </w:pPr>
          </w:p>
        </w:tc>
        <w:tc>
          <w:tcPr>
            <w:tcW w:w="180" w:type="dxa"/>
            <w:vAlign w:val="bottom"/>
            <w:tcBorders>
              <w:bottom w:val="single" w:sz="8" w:color="939598"/>
            </w:tcBorders>
          </w:tcPr>
          <w:p>
            <w:pPr>
              <w:spacing w:after="0"/>
              <w:rPr>
                <w:sz w:val="11"/>
                <w:szCs w:val="11"/>
                <w:color w:val="auto"/>
              </w:rPr>
            </w:pPr>
          </w:p>
        </w:tc>
        <w:tc>
          <w:tcPr>
            <w:tcW w:w="880" w:type="dxa"/>
            <w:vAlign w:val="bottom"/>
            <w:tcBorders>
              <w:bottom w:val="single" w:sz="8" w:color="939598"/>
            </w:tcBorders>
          </w:tcPr>
          <w:p>
            <w:pPr>
              <w:spacing w:after="0"/>
              <w:rPr>
                <w:sz w:val="11"/>
                <w:szCs w:val="11"/>
                <w:color w:val="auto"/>
              </w:rPr>
            </w:pPr>
          </w:p>
        </w:tc>
        <w:tc>
          <w:tcPr>
            <w:tcW w:w="180" w:type="dxa"/>
            <w:vAlign w:val="bottom"/>
            <w:tcBorders>
              <w:bottom w:val="single" w:sz="8" w:color="939598"/>
            </w:tcBorders>
          </w:tcPr>
          <w:p>
            <w:pPr>
              <w:spacing w:after="0"/>
              <w:rPr>
                <w:sz w:val="11"/>
                <w:szCs w:val="11"/>
                <w:color w:val="auto"/>
              </w:rPr>
            </w:pPr>
          </w:p>
        </w:tc>
        <w:tc>
          <w:tcPr>
            <w:tcW w:w="860" w:type="dxa"/>
            <w:vAlign w:val="bottom"/>
            <w:tcBorders>
              <w:bottom w:val="single" w:sz="8" w:color="939598"/>
            </w:tcBorders>
          </w:tcPr>
          <w:p>
            <w:pPr>
              <w:spacing w:after="0"/>
              <w:rPr>
                <w:sz w:val="11"/>
                <w:szCs w:val="11"/>
                <w:color w:val="auto"/>
              </w:rPr>
            </w:pPr>
          </w:p>
        </w:tc>
        <w:tc>
          <w:tcPr>
            <w:tcW w:w="200" w:type="dxa"/>
            <w:vAlign w:val="bottom"/>
            <w:tcBorders>
              <w:bottom w:val="single" w:sz="8" w:color="939598"/>
            </w:tcBorders>
          </w:tcPr>
          <w:p>
            <w:pPr>
              <w:spacing w:after="0"/>
              <w:rPr>
                <w:sz w:val="11"/>
                <w:szCs w:val="11"/>
                <w:color w:val="auto"/>
              </w:rPr>
            </w:pPr>
          </w:p>
        </w:tc>
        <w:tc>
          <w:tcPr>
            <w:tcW w:w="840" w:type="dxa"/>
            <w:vAlign w:val="bottom"/>
            <w:tcBorders>
              <w:bottom w:val="single" w:sz="8" w:color="939598"/>
            </w:tcBorders>
          </w:tcPr>
          <w:p>
            <w:pPr>
              <w:spacing w:after="0"/>
              <w:rPr>
                <w:sz w:val="11"/>
                <w:szCs w:val="11"/>
                <w:color w:val="auto"/>
              </w:rPr>
            </w:pPr>
          </w:p>
        </w:tc>
      </w:tr>
      <w:tr>
        <w:trPr>
          <w:trHeight w:val="277"/>
        </w:trPr>
        <w:tc>
          <w:tcPr>
            <w:tcW w:w="7620" w:type="dxa"/>
            <w:vAlign w:val="bottom"/>
          </w:tcPr>
          <w:p>
            <w:pPr>
              <w:ind w:left="20"/>
              <w:spacing w:after="0"/>
              <w:rPr>
                <w:sz w:val="20"/>
                <w:szCs w:val="20"/>
                <w:color w:val="auto"/>
              </w:rPr>
            </w:pPr>
            <w:r>
              <w:rPr>
                <w:rFonts w:ascii="Arial" w:cs="Arial" w:eastAsia="Arial" w:hAnsi="Arial"/>
                <w:sz w:val="13"/>
                <w:szCs w:val="13"/>
                <w:color w:val="auto"/>
              </w:rPr>
              <w:t>Plus, Change in Fair Value (from Prior Year-End) of Prior Year Awards that Vested this Year</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(1,210,360)</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(549,956)</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(693,504)</w:t>
            </w:r>
          </w:p>
        </w:tc>
      </w:tr>
      <w:tr>
        <w:trPr>
          <w:trHeight w:val="136"/>
        </w:trPr>
        <w:tc>
          <w:tcPr>
            <w:tcW w:w="7620" w:type="dxa"/>
            <w:vAlign w:val="bottom"/>
            <w:tcBorders>
              <w:bottom w:val="single" w:sz="8" w:color="939598"/>
            </w:tcBorders>
          </w:tcPr>
          <w:p>
            <w:pPr>
              <w:spacing w:after="0"/>
              <w:rPr>
                <w:sz w:val="11"/>
                <w:szCs w:val="11"/>
                <w:color w:val="auto"/>
              </w:rPr>
            </w:pPr>
          </w:p>
        </w:tc>
        <w:tc>
          <w:tcPr>
            <w:tcW w:w="180" w:type="dxa"/>
            <w:vAlign w:val="bottom"/>
            <w:tcBorders>
              <w:bottom w:val="single" w:sz="8" w:color="939598"/>
            </w:tcBorders>
          </w:tcPr>
          <w:p>
            <w:pPr>
              <w:spacing w:after="0"/>
              <w:rPr>
                <w:sz w:val="11"/>
                <w:szCs w:val="11"/>
                <w:color w:val="auto"/>
              </w:rPr>
            </w:pPr>
          </w:p>
        </w:tc>
        <w:tc>
          <w:tcPr>
            <w:tcW w:w="880" w:type="dxa"/>
            <w:vAlign w:val="bottom"/>
            <w:tcBorders>
              <w:bottom w:val="single" w:sz="8" w:color="939598"/>
            </w:tcBorders>
          </w:tcPr>
          <w:p>
            <w:pPr>
              <w:spacing w:after="0"/>
              <w:rPr>
                <w:sz w:val="11"/>
                <w:szCs w:val="11"/>
                <w:color w:val="auto"/>
              </w:rPr>
            </w:pPr>
          </w:p>
        </w:tc>
        <w:tc>
          <w:tcPr>
            <w:tcW w:w="180" w:type="dxa"/>
            <w:vAlign w:val="bottom"/>
            <w:tcBorders>
              <w:bottom w:val="single" w:sz="8" w:color="939598"/>
            </w:tcBorders>
          </w:tcPr>
          <w:p>
            <w:pPr>
              <w:spacing w:after="0"/>
              <w:rPr>
                <w:sz w:val="11"/>
                <w:szCs w:val="11"/>
                <w:color w:val="auto"/>
              </w:rPr>
            </w:pPr>
          </w:p>
        </w:tc>
        <w:tc>
          <w:tcPr>
            <w:tcW w:w="860" w:type="dxa"/>
            <w:vAlign w:val="bottom"/>
            <w:tcBorders>
              <w:bottom w:val="single" w:sz="8" w:color="939598"/>
            </w:tcBorders>
          </w:tcPr>
          <w:p>
            <w:pPr>
              <w:spacing w:after="0"/>
              <w:rPr>
                <w:sz w:val="11"/>
                <w:szCs w:val="11"/>
                <w:color w:val="auto"/>
              </w:rPr>
            </w:pPr>
          </w:p>
        </w:tc>
        <w:tc>
          <w:tcPr>
            <w:tcW w:w="200" w:type="dxa"/>
            <w:vAlign w:val="bottom"/>
            <w:tcBorders>
              <w:bottom w:val="single" w:sz="8" w:color="939598"/>
            </w:tcBorders>
          </w:tcPr>
          <w:p>
            <w:pPr>
              <w:spacing w:after="0"/>
              <w:rPr>
                <w:sz w:val="11"/>
                <w:szCs w:val="11"/>
                <w:color w:val="auto"/>
              </w:rPr>
            </w:pPr>
          </w:p>
        </w:tc>
        <w:tc>
          <w:tcPr>
            <w:tcW w:w="840" w:type="dxa"/>
            <w:vAlign w:val="bottom"/>
            <w:tcBorders>
              <w:bottom w:val="single" w:sz="8" w:color="939598"/>
            </w:tcBorders>
          </w:tcPr>
          <w:p>
            <w:pPr>
              <w:spacing w:after="0"/>
              <w:rPr>
                <w:sz w:val="11"/>
                <w:szCs w:val="11"/>
                <w:color w:val="auto"/>
              </w:rPr>
            </w:pPr>
          </w:p>
        </w:tc>
      </w:tr>
      <w:tr>
        <w:trPr>
          <w:trHeight w:val="276"/>
        </w:trPr>
        <w:tc>
          <w:tcPr>
            <w:tcW w:w="7620" w:type="dxa"/>
            <w:vAlign w:val="bottom"/>
          </w:tcPr>
          <w:p>
            <w:pPr>
              <w:ind w:left="20"/>
              <w:spacing w:after="0"/>
              <w:rPr>
                <w:sz w:val="20"/>
                <w:szCs w:val="20"/>
                <w:color w:val="auto"/>
              </w:rPr>
            </w:pPr>
            <w:r>
              <w:rPr>
                <w:rFonts w:ascii="Arial" w:cs="Arial" w:eastAsia="Arial" w:hAnsi="Arial"/>
                <w:sz w:val="13"/>
                <w:szCs w:val="13"/>
                <w:color w:val="auto"/>
              </w:rPr>
              <w:t>Less, Prior Year Fair Value of Prior Year Awards that Failed to Vest this Year</w:t>
            </w:r>
          </w:p>
        </w:tc>
        <w:tc>
          <w:tcPr>
            <w:tcW w:w="180" w:type="dxa"/>
            <w:vAlign w:val="bottom"/>
          </w:tcPr>
          <w:p>
            <w:pPr>
              <w:spacing w:after="0"/>
              <w:rPr>
                <w:sz w:val="24"/>
                <w:szCs w:val="24"/>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36"/>
        </w:trPr>
        <w:tc>
          <w:tcPr>
            <w:tcW w:w="7620" w:type="dxa"/>
            <w:vAlign w:val="bottom"/>
            <w:tcBorders>
              <w:bottom w:val="single" w:sz="8" w:color="D7282F"/>
            </w:tcBorders>
          </w:tcPr>
          <w:p>
            <w:pPr>
              <w:spacing w:after="0"/>
              <w:rPr>
                <w:sz w:val="11"/>
                <w:szCs w:val="11"/>
                <w:color w:val="auto"/>
              </w:rPr>
            </w:pPr>
          </w:p>
        </w:tc>
        <w:tc>
          <w:tcPr>
            <w:tcW w:w="180" w:type="dxa"/>
            <w:vAlign w:val="bottom"/>
            <w:tcBorders>
              <w:bottom w:val="single" w:sz="8" w:color="D7282F"/>
            </w:tcBorders>
          </w:tcPr>
          <w:p>
            <w:pPr>
              <w:spacing w:after="0"/>
              <w:rPr>
                <w:sz w:val="11"/>
                <w:szCs w:val="11"/>
                <w:color w:val="auto"/>
              </w:rPr>
            </w:pPr>
          </w:p>
        </w:tc>
        <w:tc>
          <w:tcPr>
            <w:tcW w:w="880" w:type="dxa"/>
            <w:vAlign w:val="bottom"/>
            <w:tcBorders>
              <w:bottom w:val="single" w:sz="8" w:color="D7282F"/>
            </w:tcBorders>
          </w:tcPr>
          <w:p>
            <w:pPr>
              <w:spacing w:after="0"/>
              <w:rPr>
                <w:sz w:val="11"/>
                <w:szCs w:val="11"/>
                <w:color w:val="auto"/>
              </w:rPr>
            </w:pPr>
          </w:p>
        </w:tc>
        <w:tc>
          <w:tcPr>
            <w:tcW w:w="180" w:type="dxa"/>
            <w:vAlign w:val="bottom"/>
            <w:tcBorders>
              <w:bottom w:val="single" w:sz="8" w:color="D7282F"/>
            </w:tcBorders>
          </w:tcPr>
          <w:p>
            <w:pPr>
              <w:spacing w:after="0"/>
              <w:rPr>
                <w:sz w:val="11"/>
                <w:szCs w:val="11"/>
                <w:color w:val="auto"/>
              </w:rPr>
            </w:pPr>
          </w:p>
        </w:tc>
        <w:tc>
          <w:tcPr>
            <w:tcW w:w="860" w:type="dxa"/>
            <w:vAlign w:val="bottom"/>
            <w:tcBorders>
              <w:bottom w:val="single" w:sz="8" w:color="D7282F"/>
            </w:tcBorders>
          </w:tcPr>
          <w:p>
            <w:pPr>
              <w:spacing w:after="0"/>
              <w:rPr>
                <w:sz w:val="11"/>
                <w:szCs w:val="11"/>
                <w:color w:val="auto"/>
              </w:rPr>
            </w:pPr>
          </w:p>
        </w:tc>
        <w:tc>
          <w:tcPr>
            <w:tcW w:w="200" w:type="dxa"/>
            <w:vAlign w:val="bottom"/>
            <w:tcBorders>
              <w:bottom w:val="single" w:sz="8" w:color="D7282F"/>
            </w:tcBorders>
          </w:tcPr>
          <w:p>
            <w:pPr>
              <w:spacing w:after="0"/>
              <w:rPr>
                <w:sz w:val="11"/>
                <w:szCs w:val="11"/>
                <w:color w:val="auto"/>
              </w:rPr>
            </w:pPr>
          </w:p>
        </w:tc>
        <w:tc>
          <w:tcPr>
            <w:tcW w:w="840" w:type="dxa"/>
            <w:vAlign w:val="bottom"/>
            <w:tcBorders>
              <w:bottom w:val="single" w:sz="8" w:color="D7282F"/>
            </w:tcBorders>
          </w:tcPr>
          <w:p>
            <w:pPr>
              <w:spacing w:after="0"/>
              <w:rPr>
                <w:sz w:val="11"/>
                <w:szCs w:val="11"/>
                <w:color w:val="auto"/>
              </w:rPr>
            </w:pPr>
          </w:p>
        </w:tc>
      </w:tr>
      <w:tr>
        <w:trPr>
          <w:trHeight w:val="277"/>
        </w:trPr>
        <w:tc>
          <w:tcPr>
            <w:tcW w:w="7620" w:type="dxa"/>
            <w:vAlign w:val="bottom"/>
          </w:tcPr>
          <w:p>
            <w:pPr>
              <w:ind w:left="20"/>
              <w:spacing w:after="0"/>
              <w:rPr>
                <w:sz w:val="20"/>
                <w:szCs w:val="20"/>
                <w:color w:val="auto"/>
              </w:rPr>
            </w:pPr>
            <w:r>
              <w:rPr>
                <w:rFonts w:ascii="Arial" w:cs="Arial" w:eastAsia="Arial" w:hAnsi="Arial"/>
                <w:sz w:val="13"/>
                <w:szCs w:val="13"/>
                <w:color w:val="auto"/>
              </w:rPr>
              <w:t>Total Adjustments</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(9,515,761)</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3,346,770</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355,788</w:t>
            </w:r>
          </w:p>
        </w:tc>
      </w:tr>
      <w:tr>
        <w:trPr>
          <w:trHeight w:val="135"/>
        </w:trPr>
        <w:tc>
          <w:tcPr>
            <w:tcW w:w="7620" w:type="dxa"/>
            <w:vAlign w:val="bottom"/>
            <w:tcBorders>
              <w:bottom w:val="single" w:sz="8" w:color="D7282F"/>
            </w:tcBorders>
          </w:tcPr>
          <w:p>
            <w:pPr>
              <w:spacing w:after="0"/>
              <w:rPr>
                <w:sz w:val="11"/>
                <w:szCs w:val="11"/>
                <w:color w:val="auto"/>
              </w:rPr>
            </w:pPr>
          </w:p>
        </w:tc>
        <w:tc>
          <w:tcPr>
            <w:tcW w:w="180" w:type="dxa"/>
            <w:vAlign w:val="bottom"/>
            <w:tcBorders>
              <w:bottom w:val="single" w:sz="8" w:color="D7282F"/>
            </w:tcBorders>
          </w:tcPr>
          <w:p>
            <w:pPr>
              <w:spacing w:after="0"/>
              <w:rPr>
                <w:sz w:val="11"/>
                <w:szCs w:val="11"/>
                <w:color w:val="auto"/>
              </w:rPr>
            </w:pPr>
          </w:p>
        </w:tc>
        <w:tc>
          <w:tcPr>
            <w:tcW w:w="880" w:type="dxa"/>
            <w:vAlign w:val="bottom"/>
            <w:tcBorders>
              <w:bottom w:val="single" w:sz="8" w:color="D7282F"/>
            </w:tcBorders>
          </w:tcPr>
          <w:p>
            <w:pPr>
              <w:spacing w:after="0"/>
              <w:rPr>
                <w:sz w:val="11"/>
                <w:szCs w:val="11"/>
                <w:color w:val="auto"/>
              </w:rPr>
            </w:pPr>
          </w:p>
        </w:tc>
        <w:tc>
          <w:tcPr>
            <w:tcW w:w="180" w:type="dxa"/>
            <w:vAlign w:val="bottom"/>
            <w:tcBorders>
              <w:bottom w:val="single" w:sz="8" w:color="D7282F"/>
            </w:tcBorders>
          </w:tcPr>
          <w:p>
            <w:pPr>
              <w:spacing w:after="0"/>
              <w:rPr>
                <w:sz w:val="11"/>
                <w:szCs w:val="11"/>
                <w:color w:val="auto"/>
              </w:rPr>
            </w:pPr>
          </w:p>
        </w:tc>
        <w:tc>
          <w:tcPr>
            <w:tcW w:w="860" w:type="dxa"/>
            <w:vAlign w:val="bottom"/>
            <w:tcBorders>
              <w:bottom w:val="single" w:sz="8" w:color="D7282F"/>
            </w:tcBorders>
          </w:tcPr>
          <w:p>
            <w:pPr>
              <w:spacing w:after="0"/>
              <w:rPr>
                <w:sz w:val="11"/>
                <w:szCs w:val="11"/>
                <w:color w:val="auto"/>
              </w:rPr>
            </w:pPr>
          </w:p>
        </w:tc>
        <w:tc>
          <w:tcPr>
            <w:tcW w:w="200" w:type="dxa"/>
            <w:vAlign w:val="bottom"/>
            <w:tcBorders>
              <w:bottom w:val="single" w:sz="8" w:color="D7282F"/>
            </w:tcBorders>
          </w:tcPr>
          <w:p>
            <w:pPr>
              <w:spacing w:after="0"/>
              <w:rPr>
                <w:sz w:val="11"/>
                <w:szCs w:val="11"/>
                <w:color w:val="auto"/>
              </w:rPr>
            </w:pPr>
          </w:p>
        </w:tc>
        <w:tc>
          <w:tcPr>
            <w:tcW w:w="840" w:type="dxa"/>
            <w:vAlign w:val="bottom"/>
            <w:tcBorders>
              <w:bottom w:val="single" w:sz="8" w:color="D7282F"/>
            </w:tcBorders>
          </w:tcPr>
          <w:p>
            <w:pPr>
              <w:spacing w:after="0"/>
              <w:rPr>
                <w:sz w:val="11"/>
                <w:szCs w:val="11"/>
                <w:color w:val="auto"/>
              </w:rPr>
            </w:pPr>
          </w:p>
        </w:tc>
      </w:tr>
      <w:tr>
        <w:trPr>
          <w:trHeight w:val="283"/>
        </w:trPr>
        <w:tc>
          <w:tcPr>
            <w:tcW w:w="7620" w:type="dxa"/>
            <w:vAlign w:val="bottom"/>
          </w:tcPr>
          <w:p>
            <w:pPr>
              <w:ind w:left="20"/>
              <w:spacing w:after="0"/>
              <w:rPr>
                <w:sz w:val="20"/>
                <w:szCs w:val="20"/>
                <w:color w:val="auto"/>
              </w:rPr>
            </w:pPr>
            <w:r>
              <w:rPr>
                <w:rFonts w:ascii="Arial" w:cs="Arial" w:eastAsia="Arial" w:hAnsi="Arial"/>
                <w:sz w:val="13"/>
                <w:szCs w:val="13"/>
                <w:b w:val="1"/>
                <w:bCs w:val="1"/>
                <w:color w:val="auto"/>
              </w:rPr>
              <w:t>“Compensation Actually Paid” to PEO — Kapur</w:t>
            </w:r>
          </w:p>
        </w:tc>
        <w:tc>
          <w:tcPr>
            <w:tcW w:w="180" w:type="dxa"/>
            <w:vAlign w:val="bottom"/>
          </w:tcPr>
          <w:p>
            <w:pPr>
              <w:spacing w:after="0"/>
              <w:rPr>
                <w:sz w:val="24"/>
                <w:szCs w:val="24"/>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b w:val="1"/>
                <w:bCs w:val="1"/>
                <w:color w:val="auto"/>
              </w:rPr>
              <w:t>$10,865,674</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$21,623,963</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$14,757,418</w:t>
            </w:r>
          </w:p>
        </w:tc>
      </w:tr>
      <w:tr>
        <w:trPr>
          <w:trHeight w:val="130"/>
        </w:trPr>
        <w:tc>
          <w:tcPr>
            <w:tcW w:w="7620" w:type="dxa"/>
            <w:vAlign w:val="bottom"/>
            <w:tcBorders>
              <w:bottom w:val="single" w:sz="8" w:color="D7282F"/>
            </w:tcBorders>
          </w:tcPr>
          <w:p>
            <w:pPr>
              <w:spacing w:after="0"/>
              <w:rPr>
                <w:sz w:val="11"/>
                <w:szCs w:val="11"/>
                <w:color w:val="auto"/>
              </w:rPr>
            </w:pPr>
          </w:p>
        </w:tc>
        <w:tc>
          <w:tcPr>
            <w:tcW w:w="180" w:type="dxa"/>
            <w:vAlign w:val="bottom"/>
            <w:tcBorders>
              <w:bottom w:val="single" w:sz="8" w:color="D7282F"/>
            </w:tcBorders>
          </w:tcPr>
          <w:p>
            <w:pPr>
              <w:spacing w:after="0"/>
              <w:rPr>
                <w:sz w:val="11"/>
                <w:szCs w:val="11"/>
                <w:color w:val="auto"/>
              </w:rPr>
            </w:pPr>
          </w:p>
        </w:tc>
        <w:tc>
          <w:tcPr>
            <w:tcW w:w="880" w:type="dxa"/>
            <w:vAlign w:val="bottom"/>
            <w:tcBorders>
              <w:bottom w:val="single" w:sz="8" w:color="D7282F"/>
            </w:tcBorders>
          </w:tcPr>
          <w:p>
            <w:pPr>
              <w:spacing w:after="0"/>
              <w:rPr>
                <w:sz w:val="11"/>
                <w:szCs w:val="11"/>
                <w:color w:val="auto"/>
              </w:rPr>
            </w:pPr>
          </w:p>
        </w:tc>
        <w:tc>
          <w:tcPr>
            <w:tcW w:w="180" w:type="dxa"/>
            <w:vAlign w:val="bottom"/>
            <w:tcBorders>
              <w:bottom w:val="single" w:sz="8" w:color="D7282F"/>
            </w:tcBorders>
          </w:tcPr>
          <w:p>
            <w:pPr>
              <w:spacing w:after="0"/>
              <w:rPr>
                <w:sz w:val="11"/>
                <w:szCs w:val="11"/>
                <w:color w:val="auto"/>
              </w:rPr>
            </w:pPr>
          </w:p>
        </w:tc>
        <w:tc>
          <w:tcPr>
            <w:tcW w:w="860" w:type="dxa"/>
            <w:vAlign w:val="bottom"/>
            <w:tcBorders>
              <w:bottom w:val="single" w:sz="8" w:color="D7282F"/>
            </w:tcBorders>
          </w:tcPr>
          <w:p>
            <w:pPr>
              <w:spacing w:after="0"/>
              <w:rPr>
                <w:sz w:val="11"/>
                <w:szCs w:val="11"/>
                <w:color w:val="auto"/>
              </w:rPr>
            </w:pPr>
          </w:p>
        </w:tc>
        <w:tc>
          <w:tcPr>
            <w:tcW w:w="200" w:type="dxa"/>
            <w:vAlign w:val="bottom"/>
            <w:tcBorders>
              <w:bottom w:val="single" w:sz="8" w:color="D7282F"/>
            </w:tcBorders>
          </w:tcPr>
          <w:p>
            <w:pPr>
              <w:spacing w:after="0"/>
              <w:rPr>
                <w:sz w:val="11"/>
                <w:szCs w:val="11"/>
                <w:color w:val="auto"/>
              </w:rPr>
            </w:pPr>
          </w:p>
        </w:tc>
        <w:tc>
          <w:tcPr>
            <w:tcW w:w="840" w:type="dxa"/>
            <w:vAlign w:val="bottom"/>
            <w:tcBorders>
              <w:bottom w:val="single" w:sz="8" w:color="D7282F"/>
            </w:tcBorders>
          </w:tcPr>
          <w:p>
            <w:pPr>
              <w:spacing w:after="0"/>
              <w:rPr>
                <w:sz w:val="11"/>
                <w:szCs w:val="11"/>
                <w:color w:val="auto"/>
              </w:rPr>
            </w:pPr>
          </w:p>
        </w:tc>
      </w:tr>
    </w:tbl>
    <w:p>
      <w:pPr>
        <w:spacing w:after="0" w:line="346" w:lineRule="exact"/>
        <w:rPr>
          <w:sz w:val="20"/>
          <w:szCs w:val="20"/>
          <w:color w:val="auto"/>
        </w:rPr>
      </w:pPr>
    </w:p>
    <w:p>
      <w:pPr>
        <w:spacing w:after="0"/>
        <w:tabs>
          <w:tab w:leader="none" w:pos="1840" w:val="left"/>
        </w:tabs>
        <w:rPr>
          <w:sz w:val="20"/>
          <w:szCs w:val="20"/>
          <w:color w:val="auto"/>
        </w:rPr>
      </w:pPr>
      <w:r>
        <w:rPr>
          <w:rFonts w:ascii="Arial" w:cs="Arial" w:eastAsia="Arial" w:hAnsi="Arial"/>
          <w:sz w:val="18"/>
          <w:szCs w:val="18"/>
          <w:b w:val="1"/>
          <w:bCs w:val="1"/>
          <w:color w:val="auto"/>
        </w:rPr>
        <w:t xml:space="preserve">104  </w:t>
      </w:r>
      <w:r>
        <w:rPr>
          <w:sz w:val="1"/>
          <w:szCs w:val="1"/>
          <w:color w:val="auto"/>
        </w:rPr>
        <w:drawing>
          <wp:inline distT="0" distB="0" distL="0" distR="0">
            <wp:extent cx="548640" cy="102870"/>
            <wp:effectExtent l="0" t="0" r="0" b="0"/>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2026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245110</wp:posOffset>
            </wp:positionV>
            <wp:extent cx="7157720" cy="425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40" w:top="283" w:right="619" w:bottom="1440" w:gutter="0" w:footer="0" w:header="0"/>
        </w:sectPr>
      </w:pPr>
    </w:p>
    <w:bookmarkStart w:id="119" w:name="page120"/>
    <w:bookmarkEnd w:id="119"/>
    <w:p>
      <w:pPr>
        <w:jc w:val="right"/>
        <w:spacing w:after="0"/>
        <w:rPr>
          <w:sz w:val="20"/>
          <w:szCs w:val="20"/>
          <w:color w:val="auto"/>
        </w:rPr>
      </w:pPr>
      <w:r>
        <w:rPr>
          <w:rFonts w:ascii="Arial" w:cs="Arial" w:eastAsia="Arial" w:hAnsi="Arial"/>
          <w:sz w:val="13"/>
          <w:szCs w:val="13"/>
          <w:b w:val="1"/>
          <w:bCs w:val="1"/>
          <w:color w:val="6D6E71"/>
        </w:rPr>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0" w:right="60" w:hanging="192"/>
        <w:spacing w:after="0" w:line="251" w:lineRule="auto"/>
        <w:tabs>
          <w:tab w:leader="none" w:pos="200" w:val="left"/>
        </w:tabs>
        <w:numPr>
          <w:ilvl w:val="0"/>
          <w:numId w:val="209"/>
        </w:numPr>
        <w:rPr>
          <w:rFonts w:ascii="Arial" w:cs="Arial" w:eastAsia="Arial" w:hAnsi="Arial"/>
          <w:sz w:val="15"/>
          <w:szCs w:val="15"/>
          <w:color w:val="auto"/>
          <w:vertAlign w:val="superscript"/>
        </w:rPr>
      </w:pPr>
      <w:r>
        <w:rPr>
          <w:rFonts w:ascii="Arial" w:cs="Arial" w:eastAsia="Arial" w:hAnsi="Arial"/>
          <w:sz w:val="12"/>
          <w:szCs w:val="12"/>
          <w:color w:val="auto"/>
        </w:rPr>
        <w:t>The dollar amounts reported for Mr. Adamczyk under “Compensation Actually Paid” represent the amount of “compensation actually paid” to Mr. Adamczyk, as computed in accordance with Item 402(v) of Regulation S-K. The dollar amounts do not reflect the actual amount of compensation earned by or paid to Mr. Adamczyk during the applicable year. In accordance with the requirements of Item 402(v) of Regulation S-K, the adjustments in the table below were made to Mr. Adamczyk’s total compensation for each year to determine the compensation actually paid:</w:t>
      </w:r>
    </w:p>
    <w:p>
      <w:pPr>
        <w:spacing w:after="0" w:line="219" w:lineRule="exact"/>
        <w:rPr>
          <w:sz w:val="20"/>
          <w:szCs w:val="20"/>
          <w:color w:val="auto"/>
        </w:rPr>
      </w:pPr>
    </w:p>
    <w:tbl>
      <w:tblPr>
        <w:tblLayout w:type="fixed"/>
        <w:tblInd w:w="200" w:type="dxa"/>
        <w:tblCellMar>
          <w:top w:w="0" w:type="dxa"/>
          <w:left w:w="0" w:type="dxa"/>
          <w:bottom w:w="0" w:type="dxa"/>
          <w:right w:w="0" w:type="dxa"/>
        </w:tblCellMar>
      </w:tblPr>
      <w:tr>
        <w:trPr>
          <w:trHeight w:val="172"/>
        </w:trPr>
        <w:tc>
          <w:tcPr>
            <w:tcW w:w="7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40" w:type="dxa"/>
            <w:vAlign w:val="bottom"/>
            <w:gridSpan w:val="4"/>
          </w:tcPr>
          <w:p>
            <w:pPr>
              <w:jc w:val="right"/>
              <w:ind w:right="37"/>
              <w:spacing w:after="0"/>
              <w:rPr>
                <w:sz w:val="20"/>
                <w:szCs w:val="20"/>
                <w:color w:val="auto"/>
              </w:rPr>
            </w:pPr>
            <w:r>
              <w:rPr>
                <w:rFonts w:ascii="Arial" w:cs="Arial" w:eastAsia="Arial" w:hAnsi="Arial"/>
                <w:sz w:val="13"/>
                <w:szCs w:val="13"/>
                <w:b w:val="1"/>
                <w:bCs w:val="1"/>
                <w:color w:val="auto"/>
              </w:rPr>
              <w:t>PEO — Adamczyk ($)</w:t>
            </w:r>
          </w:p>
        </w:tc>
        <w:tc>
          <w:tcPr>
            <w:tcW w:w="840" w:type="dxa"/>
            <w:vAlign w:val="bottom"/>
          </w:tcPr>
          <w:p>
            <w:pPr>
              <w:spacing w:after="0"/>
              <w:rPr>
                <w:sz w:val="14"/>
                <w:szCs w:val="14"/>
                <w:color w:val="auto"/>
              </w:rPr>
            </w:pPr>
          </w:p>
        </w:tc>
      </w:tr>
      <w:tr>
        <w:trPr>
          <w:trHeight w:val="130"/>
        </w:trPr>
        <w:tc>
          <w:tcPr>
            <w:tcW w:w="7580" w:type="dxa"/>
            <w:vAlign w:val="bottom"/>
          </w:tcPr>
          <w:p>
            <w:pPr>
              <w:spacing w:after="0"/>
              <w:rPr>
                <w:sz w:val="11"/>
                <w:szCs w:val="11"/>
                <w:color w:val="auto"/>
              </w:rPr>
            </w:pPr>
          </w:p>
        </w:tc>
        <w:tc>
          <w:tcPr>
            <w:tcW w:w="200" w:type="dxa"/>
            <w:vAlign w:val="bottom"/>
            <w:tcBorders>
              <w:bottom w:val="single" w:sz="8" w:color="D7282F"/>
            </w:tcBorders>
          </w:tcPr>
          <w:p>
            <w:pPr>
              <w:spacing w:after="0"/>
              <w:rPr>
                <w:sz w:val="11"/>
                <w:szCs w:val="11"/>
                <w:color w:val="auto"/>
              </w:rPr>
            </w:pPr>
          </w:p>
        </w:tc>
        <w:tc>
          <w:tcPr>
            <w:tcW w:w="860" w:type="dxa"/>
            <w:vAlign w:val="bottom"/>
            <w:tcBorders>
              <w:bottom w:val="single" w:sz="8" w:color="D7282F"/>
            </w:tcBorders>
          </w:tcPr>
          <w:p>
            <w:pPr>
              <w:spacing w:after="0"/>
              <w:rPr>
                <w:sz w:val="11"/>
                <w:szCs w:val="11"/>
                <w:color w:val="auto"/>
              </w:rPr>
            </w:pPr>
          </w:p>
        </w:tc>
        <w:tc>
          <w:tcPr>
            <w:tcW w:w="220" w:type="dxa"/>
            <w:vAlign w:val="bottom"/>
            <w:tcBorders>
              <w:bottom w:val="single" w:sz="8" w:color="D7282F"/>
            </w:tcBorders>
          </w:tcPr>
          <w:p>
            <w:pPr>
              <w:spacing w:after="0"/>
              <w:rPr>
                <w:sz w:val="11"/>
                <w:szCs w:val="11"/>
                <w:color w:val="auto"/>
              </w:rPr>
            </w:pPr>
          </w:p>
        </w:tc>
        <w:tc>
          <w:tcPr>
            <w:tcW w:w="860" w:type="dxa"/>
            <w:vAlign w:val="bottom"/>
            <w:tcBorders>
              <w:bottom w:val="single" w:sz="8" w:color="D7282F"/>
            </w:tcBorders>
          </w:tcPr>
          <w:p>
            <w:pPr>
              <w:spacing w:after="0"/>
              <w:rPr>
                <w:sz w:val="11"/>
                <w:szCs w:val="11"/>
                <w:color w:val="auto"/>
              </w:rPr>
            </w:pPr>
          </w:p>
        </w:tc>
        <w:tc>
          <w:tcPr>
            <w:tcW w:w="200" w:type="dxa"/>
            <w:vAlign w:val="bottom"/>
            <w:tcBorders>
              <w:bottom w:val="single" w:sz="8" w:color="D7282F"/>
            </w:tcBorders>
          </w:tcPr>
          <w:p>
            <w:pPr>
              <w:spacing w:after="0"/>
              <w:rPr>
                <w:sz w:val="11"/>
                <w:szCs w:val="11"/>
                <w:color w:val="auto"/>
              </w:rPr>
            </w:pPr>
          </w:p>
        </w:tc>
        <w:tc>
          <w:tcPr>
            <w:tcW w:w="840" w:type="dxa"/>
            <w:vAlign w:val="bottom"/>
            <w:tcBorders>
              <w:bottom w:val="single" w:sz="8" w:color="D7282F"/>
            </w:tcBorders>
          </w:tcPr>
          <w:p>
            <w:pPr>
              <w:spacing w:after="0"/>
              <w:rPr>
                <w:sz w:val="11"/>
                <w:szCs w:val="11"/>
                <w:color w:val="auto"/>
              </w:rPr>
            </w:pPr>
          </w:p>
        </w:tc>
      </w:tr>
      <w:tr>
        <w:trPr>
          <w:trHeight w:val="282"/>
        </w:trPr>
        <w:tc>
          <w:tcPr>
            <w:tcW w:w="7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r>
      <w:tr>
        <w:trPr>
          <w:trHeight w:val="130"/>
        </w:trPr>
        <w:tc>
          <w:tcPr>
            <w:tcW w:w="7580" w:type="dxa"/>
            <w:vAlign w:val="bottom"/>
            <w:tcBorders>
              <w:bottom w:val="single" w:sz="8" w:color="D7282F"/>
            </w:tcBorders>
          </w:tcPr>
          <w:p>
            <w:pPr>
              <w:spacing w:after="0"/>
              <w:rPr>
                <w:sz w:val="11"/>
                <w:szCs w:val="11"/>
                <w:color w:val="auto"/>
              </w:rPr>
            </w:pPr>
          </w:p>
        </w:tc>
        <w:tc>
          <w:tcPr>
            <w:tcW w:w="200" w:type="dxa"/>
            <w:vAlign w:val="bottom"/>
            <w:tcBorders>
              <w:bottom w:val="single" w:sz="8" w:color="D7282F"/>
            </w:tcBorders>
          </w:tcPr>
          <w:p>
            <w:pPr>
              <w:spacing w:after="0"/>
              <w:rPr>
                <w:sz w:val="11"/>
                <w:szCs w:val="11"/>
                <w:color w:val="auto"/>
              </w:rPr>
            </w:pPr>
          </w:p>
        </w:tc>
        <w:tc>
          <w:tcPr>
            <w:tcW w:w="860" w:type="dxa"/>
            <w:vAlign w:val="bottom"/>
            <w:tcBorders>
              <w:bottom w:val="single" w:sz="8" w:color="D7282F"/>
            </w:tcBorders>
          </w:tcPr>
          <w:p>
            <w:pPr>
              <w:spacing w:after="0"/>
              <w:rPr>
                <w:sz w:val="11"/>
                <w:szCs w:val="11"/>
                <w:color w:val="auto"/>
              </w:rPr>
            </w:pPr>
          </w:p>
        </w:tc>
        <w:tc>
          <w:tcPr>
            <w:tcW w:w="220" w:type="dxa"/>
            <w:vAlign w:val="bottom"/>
            <w:tcBorders>
              <w:bottom w:val="single" w:sz="8" w:color="D7282F"/>
            </w:tcBorders>
          </w:tcPr>
          <w:p>
            <w:pPr>
              <w:spacing w:after="0"/>
              <w:rPr>
                <w:sz w:val="11"/>
                <w:szCs w:val="11"/>
                <w:color w:val="auto"/>
              </w:rPr>
            </w:pPr>
          </w:p>
        </w:tc>
        <w:tc>
          <w:tcPr>
            <w:tcW w:w="860" w:type="dxa"/>
            <w:vAlign w:val="bottom"/>
            <w:tcBorders>
              <w:bottom w:val="single" w:sz="8" w:color="D7282F"/>
            </w:tcBorders>
          </w:tcPr>
          <w:p>
            <w:pPr>
              <w:spacing w:after="0"/>
              <w:rPr>
                <w:sz w:val="11"/>
                <w:szCs w:val="11"/>
                <w:color w:val="auto"/>
              </w:rPr>
            </w:pPr>
          </w:p>
        </w:tc>
        <w:tc>
          <w:tcPr>
            <w:tcW w:w="200" w:type="dxa"/>
            <w:vAlign w:val="bottom"/>
            <w:tcBorders>
              <w:bottom w:val="single" w:sz="8" w:color="D7282F"/>
            </w:tcBorders>
          </w:tcPr>
          <w:p>
            <w:pPr>
              <w:spacing w:after="0"/>
              <w:rPr>
                <w:sz w:val="11"/>
                <w:szCs w:val="11"/>
                <w:color w:val="auto"/>
              </w:rPr>
            </w:pPr>
          </w:p>
        </w:tc>
        <w:tc>
          <w:tcPr>
            <w:tcW w:w="840" w:type="dxa"/>
            <w:vAlign w:val="bottom"/>
            <w:tcBorders>
              <w:bottom w:val="single" w:sz="8" w:color="D7282F"/>
            </w:tcBorders>
          </w:tcPr>
          <w:p>
            <w:pPr>
              <w:spacing w:after="0"/>
              <w:rPr>
                <w:sz w:val="11"/>
                <w:szCs w:val="11"/>
                <w:color w:val="auto"/>
              </w:rPr>
            </w:pPr>
          </w:p>
        </w:tc>
      </w:tr>
      <w:tr>
        <w:trPr>
          <w:trHeight w:val="283"/>
        </w:trPr>
        <w:tc>
          <w:tcPr>
            <w:tcW w:w="7580" w:type="dxa"/>
            <w:vAlign w:val="bottom"/>
          </w:tcPr>
          <w:p>
            <w:pPr>
              <w:ind w:left="20"/>
              <w:spacing w:after="0"/>
              <w:rPr>
                <w:sz w:val="20"/>
                <w:szCs w:val="20"/>
                <w:color w:val="auto"/>
              </w:rPr>
            </w:pPr>
            <w:r>
              <w:rPr>
                <w:rFonts w:ascii="Arial" w:cs="Arial" w:eastAsia="Arial" w:hAnsi="Arial"/>
                <w:sz w:val="13"/>
                <w:szCs w:val="13"/>
                <w:b w:val="1"/>
                <w:bCs w:val="1"/>
                <w:color w:val="auto"/>
              </w:rPr>
              <w:t>Total Reported in Summary Compensation Table (SCT)</w:t>
            </w:r>
          </w:p>
        </w:tc>
        <w:tc>
          <w:tcPr>
            <w:tcW w:w="20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23,029,368</w:t>
            </w:r>
          </w:p>
        </w:tc>
        <w:tc>
          <w:tcPr>
            <w:tcW w:w="220" w:type="dxa"/>
            <w:vAlign w:val="bottom"/>
          </w:tcPr>
          <w:p>
            <w:pPr>
              <w:jc w:val="right"/>
              <w:ind w:right="57"/>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right"/>
              <w:ind w:right="17"/>
              <w:spacing w:after="0"/>
              <w:rPr>
                <w:sz w:val="20"/>
                <w:szCs w:val="20"/>
                <w:color w:val="auto"/>
              </w:rPr>
            </w:pPr>
            <w:r>
              <w:rPr>
                <w:rFonts w:ascii="Arial" w:cs="Arial" w:eastAsia="Arial" w:hAnsi="Arial"/>
                <w:sz w:val="13"/>
                <w:szCs w:val="13"/>
                <w:b w:val="1"/>
                <w:bCs w:val="1"/>
                <w:color w:val="auto"/>
              </w:rPr>
              <w:t>25,437,598</w:t>
            </w:r>
          </w:p>
        </w:tc>
        <w:tc>
          <w:tcPr>
            <w:tcW w:w="200" w:type="dxa"/>
            <w:vAlign w:val="bottom"/>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26,100,120</w:t>
            </w:r>
          </w:p>
        </w:tc>
      </w:tr>
      <w:tr>
        <w:trPr>
          <w:trHeight w:val="129"/>
        </w:trPr>
        <w:tc>
          <w:tcPr>
            <w:tcW w:w="75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r>
      <w:tr>
        <w:trPr>
          <w:trHeight w:val="277"/>
        </w:trPr>
        <w:tc>
          <w:tcPr>
            <w:tcW w:w="7580" w:type="dxa"/>
            <w:vAlign w:val="bottom"/>
          </w:tcPr>
          <w:p>
            <w:pPr>
              <w:ind w:left="20"/>
              <w:spacing w:after="0"/>
              <w:rPr>
                <w:sz w:val="20"/>
                <w:szCs w:val="20"/>
                <w:color w:val="auto"/>
              </w:rPr>
            </w:pPr>
            <w:r>
              <w:rPr>
                <w:rFonts w:ascii="Arial" w:cs="Arial" w:eastAsia="Arial" w:hAnsi="Arial"/>
                <w:sz w:val="13"/>
                <w:szCs w:val="13"/>
                <w:color w:val="auto"/>
              </w:rPr>
              <w:t>Less, Value of Stock &amp; Option Awards Reported in SCT</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(18,000,300)</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(18,994,812)</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(19,734,739)</w:t>
            </w:r>
          </w:p>
        </w:tc>
      </w:tr>
      <w:tr>
        <w:trPr>
          <w:trHeight w:val="136"/>
        </w:trPr>
        <w:tc>
          <w:tcPr>
            <w:tcW w:w="7580" w:type="dxa"/>
            <w:vAlign w:val="bottom"/>
            <w:tcBorders>
              <w:bottom w:val="single" w:sz="8" w:color="939598"/>
            </w:tcBorders>
          </w:tcPr>
          <w:p>
            <w:pPr>
              <w:spacing w:after="0"/>
              <w:rPr>
                <w:sz w:val="11"/>
                <w:szCs w:val="11"/>
                <w:color w:val="auto"/>
              </w:rPr>
            </w:pPr>
          </w:p>
        </w:tc>
        <w:tc>
          <w:tcPr>
            <w:tcW w:w="200" w:type="dxa"/>
            <w:vAlign w:val="bottom"/>
            <w:tcBorders>
              <w:bottom w:val="single" w:sz="8" w:color="939598"/>
            </w:tcBorders>
          </w:tcPr>
          <w:p>
            <w:pPr>
              <w:spacing w:after="0"/>
              <w:rPr>
                <w:sz w:val="11"/>
                <w:szCs w:val="11"/>
                <w:color w:val="auto"/>
              </w:rPr>
            </w:pPr>
          </w:p>
        </w:tc>
        <w:tc>
          <w:tcPr>
            <w:tcW w:w="860" w:type="dxa"/>
            <w:vAlign w:val="bottom"/>
            <w:tcBorders>
              <w:bottom w:val="single" w:sz="8" w:color="939598"/>
            </w:tcBorders>
          </w:tcPr>
          <w:p>
            <w:pPr>
              <w:spacing w:after="0"/>
              <w:rPr>
                <w:sz w:val="11"/>
                <w:szCs w:val="11"/>
                <w:color w:val="auto"/>
              </w:rPr>
            </w:pPr>
          </w:p>
        </w:tc>
        <w:tc>
          <w:tcPr>
            <w:tcW w:w="220" w:type="dxa"/>
            <w:vAlign w:val="bottom"/>
            <w:tcBorders>
              <w:bottom w:val="single" w:sz="8" w:color="939598"/>
            </w:tcBorders>
          </w:tcPr>
          <w:p>
            <w:pPr>
              <w:spacing w:after="0"/>
              <w:rPr>
                <w:sz w:val="11"/>
                <w:szCs w:val="11"/>
                <w:color w:val="auto"/>
              </w:rPr>
            </w:pPr>
          </w:p>
        </w:tc>
        <w:tc>
          <w:tcPr>
            <w:tcW w:w="860" w:type="dxa"/>
            <w:vAlign w:val="bottom"/>
            <w:tcBorders>
              <w:bottom w:val="single" w:sz="8" w:color="939598"/>
            </w:tcBorders>
          </w:tcPr>
          <w:p>
            <w:pPr>
              <w:spacing w:after="0"/>
              <w:rPr>
                <w:sz w:val="11"/>
                <w:szCs w:val="11"/>
                <w:color w:val="auto"/>
              </w:rPr>
            </w:pPr>
          </w:p>
        </w:tc>
        <w:tc>
          <w:tcPr>
            <w:tcW w:w="200" w:type="dxa"/>
            <w:vAlign w:val="bottom"/>
            <w:tcBorders>
              <w:bottom w:val="single" w:sz="8" w:color="939598"/>
            </w:tcBorders>
          </w:tcPr>
          <w:p>
            <w:pPr>
              <w:spacing w:after="0"/>
              <w:rPr>
                <w:sz w:val="11"/>
                <w:szCs w:val="11"/>
                <w:color w:val="auto"/>
              </w:rPr>
            </w:pPr>
          </w:p>
        </w:tc>
        <w:tc>
          <w:tcPr>
            <w:tcW w:w="840" w:type="dxa"/>
            <w:vAlign w:val="bottom"/>
            <w:tcBorders>
              <w:bottom w:val="single" w:sz="8" w:color="939598"/>
            </w:tcBorders>
          </w:tcPr>
          <w:p>
            <w:pPr>
              <w:spacing w:after="0"/>
              <w:rPr>
                <w:sz w:val="11"/>
                <w:szCs w:val="11"/>
                <w:color w:val="auto"/>
              </w:rPr>
            </w:pPr>
          </w:p>
        </w:tc>
      </w:tr>
      <w:tr>
        <w:trPr>
          <w:trHeight w:val="277"/>
        </w:trPr>
        <w:tc>
          <w:tcPr>
            <w:tcW w:w="7580" w:type="dxa"/>
            <w:vAlign w:val="bottom"/>
          </w:tcPr>
          <w:p>
            <w:pPr>
              <w:ind w:left="20"/>
              <w:spacing w:after="0"/>
              <w:rPr>
                <w:sz w:val="20"/>
                <w:szCs w:val="20"/>
                <w:color w:val="auto"/>
              </w:rPr>
            </w:pPr>
            <w:r>
              <w:rPr>
                <w:rFonts w:ascii="Arial" w:cs="Arial" w:eastAsia="Arial" w:hAnsi="Arial"/>
                <w:sz w:val="13"/>
                <w:szCs w:val="13"/>
                <w:color w:val="auto"/>
              </w:rPr>
              <w:t>Less, Change in Pension Value and Non-Qualified Deferred Compensation Earnings in SCT</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(515,490)</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(757,453)</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(608,232)</w:t>
            </w:r>
          </w:p>
        </w:tc>
      </w:tr>
      <w:tr>
        <w:trPr>
          <w:trHeight w:val="135"/>
        </w:trPr>
        <w:tc>
          <w:tcPr>
            <w:tcW w:w="7580" w:type="dxa"/>
            <w:vAlign w:val="bottom"/>
            <w:tcBorders>
              <w:bottom w:val="single" w:sz="8" w:color="939598"/>
            </w:tcBorders>
          </w:tcPr>
          <w:p>
            <w:pPr>
              <w:spacing w:after="0"/>
              <w:rPr>
                <w:sz w:val="11"/>
                <w:szCs w:val="11"/>
                <w:color w:val="auto"/>
              </w:rPr>
            </w:pPr>
          </w:p>
        </w:tc>
        <w:tc>
          <w:tcPr>
            <w:tcW w:w="200" w:type="dxa"/>
            <w:vAlign w:val="bottom"/>
            <w:tcBorders>
              <w:bottom w:val="single" w:sz="8" w:color="939598"/>
            </w:tcBorders>
          </w:tcPr>
          <w:p>
            <w:pPr>
              <w:spacing w:after="0"/>
              <w:rPr>
                <w:sz w:val="11"/>
                <w:szCs w:val="11"/>
                <w:color w:val="auto"/>
              </w:rPr>
            </w:pPr>
          </w:p>
        </w:tc>
        <w:tc>
          <w:tcPr>
            <w:tcW w:w="860" w:type="dxa"/>
            <w:vAlign w:val="bottom"/>
            <w:tcBorders>
              <w:bottom w:val="single" w:sz="8" w:color="939598"/>
            </w:tcBorders>
          </w:tcPr>
          <w:p>
            <w:pPr>
              <w:spacing w:after="0"/>
              <w:rPr>
                <w:sz w:val="11"/>
                <w:szCs w:val="11"/>
                <w:color w:val="auto"/>
              </w:rPr>
            </w:pPr>
          </w:p>
        </w:tc>
        <w:tc>
          <w:tcPr>
            <w:tcW w:w="220" w:type="dxa"/>
            <w:vAlign w:val="bottom"/>
            <w:tcBorders>
              <w:bottom w:val="single" w:sz="8" w:color="939598"/>
            </w:tcBorders>
          </w:tcPr>
          <w:p>
            <w:pPr>
              <w:spacing w:after="0"/>
              <w:rPr>
                <w:sz w:val="11"/>
                <w:szCs w:val="11"/>
                <w:color w:val="auto"/>
              </w:rPr>
            </w:pPr>
          </w:p>
        </w:tc>
        <w:tc>
          <w:tcPr>
            <w:tcW w:w="860" w:type="dxa"/>
            <w:vAlign w:val="bottom"/>
            <w:tcBorders>
              <w:bottom w:val="single" w:sz="8" w:color="939598"/>
            </w:tcBorders>
          </w:tcPr>
          <w:p>
            <w:pPr>
              <w:spacing w:after="0"/>
              <w:rPr>
                <w:sz w:val="11"/>
                <w:szCs w:val="11"/>
                <w:color w:val="auto"/>
              </w:rPr>
            </w:pPr>
          </w:p>
        </w:tc>
        <w:tc>
          <w:tcPr>
            <w:tcW w:w="200" w:type="dxa"/>
            <w:vAlign w:val="bottom"/>
            <w:tcBorders>
              <w:bottom w:val="single" w:sz="8" w:color="939598"/>
            </w:tcBorders>
          </w:tcPr>
          <w:p>
            <w:pPr>
              <w:spacing w:after="0"/>
              <w:rPr>
                <w:sz w:val="11"/>
                <w:szCs w:val="11"/>
                <w:color w:val="auto"/>
              </w:rPr>
            </w:pPr>
          </w:p>
        </w:tc>
        <w:tc>
          <w:tcPr>
            <w:tcW w:w="840" w:type="dxa"/>
            <w:vAlign w:val="bottom"/>
            <w:tcBorders>
              <w:bottom w:val="single" w:sz="8" w:color="939598"/>
            </w:tcBorders>
          </w:tcPr>
          <w:p>
            <w:pPr>
              <w:spacing w:after="0"/>
              <w:rPr>
                <w:sz w:val="11"/>
                <w:szCs w:val="11"/>
                <w:color w:val="auto"/>
              </w:rPr>
            </w:pPr>
          </w:p>
        </w:tc>
      </w:tr>
      <w:tr>
        <w:trPr>
          <w:trHeight w:val="277"/>
        </w:trPr>
        <w:tc>
          <w:tcPr>
            <w:tcW w:w="7580" w:type="dxa"/>
            <w:vAlign w:val="bottom"/>
          </w:tcPr>
          <w:p>
            <w:pPr>
              <w:ind w:left="20"/>
              <w:spacing w:after="0"/>
              <w:rPr>
                <w:sz w:val="20"/>
                <w:szCs w:val="20"/>
                <w:color w:val="auto"/>
              </w:rPr>
            </w:pPr>
            <w:r>
              <w:rPr>
                <w:rFonts w:ascii="Arial" w:cs="Arial" w:eastAsia="Arial" w:hAnsi="Arial"/>
                <w:sz w:val="13"/>
                <w:szCs w:val="13"/>
                <w:color w:val="auto"/>
              </w:rPr>
              <w:t>Plus, Pension Service Cost</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59,709</w:t>
            </w:r>
          </w:p>
        </w:tc>
        <w:tc>
          <w:tcPr>
            <w:tcW w:w="220" w:type="dxa"/>
            <w:vAlign w:val="bottom"/>
          </w:tcPr>
          <w:p>
            <w:pPr>
              <w:spacing w:after="0"/>
              <w:rPr>
                <w:sz w:val="24"/>
                <w:szCs w:val="24"/>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189,227</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337,104</w:t>
            </w:r>
          </w:p>
        </w:tc>
      </w:tr>
      <w:tr>
        <w:trPr>
          <w:trHeight w:val="135"/>
        </w:trPr>
        <w:tc>
          <w:tcPr>
            <w:tcW w:w="7580" w:type="dxa"/>
            <w:vAlign w:val="bottom"/>
            <w:tcBorders>
              <w:bottom w:val="single" w:sz="8" w:color="939598"/>
            </w:tcBorders>
          </w:tcPr>
          <w:p>
            <w:pPr>
              <w:spacing w:after="0"/>
              <w:rPr>
                <w:sz w:val="11"/>
                <w:szCs w:val="11"/>
                <w:color w:val="auto"/>
              </w:rPr>
            </w:pPr>
          </w:p>
        </w:tc>
        <w:tc>
          <w:tcPr>
            <w:tcW w:w="200" w:type="dxa"/>
            <w:vAlign w:val="bottom"/>
            <w:tcBorders>
              <w:bottom w:val="single" w:sz="8" w:color="939598"/>
            </w:tcBorders>
          </w:tcPr>
          <w:p>
            <w:pPr>
              <w:spacing w:after="0"/>
              <w:rPr>
                <w:sz w:val="11"/>
                <w:szCs w:val="11"/>
                <w:color w:val="auto"/>
              </w:rPr>
            </w:pPr>
          </w:p>
        </w:tc>
        <w:tc>
          <w:tcPr>
            <w:tcW w:w="860" w:type="dxa"/>
            <w:vAlign w:val="bottom"/>
            <w:tcBorders>
              <w:bottom w:val="single" w:sz="8" w:color="939598"/>
            </w:tcBorders>
          </w:tcPr>
          <w:p>
            <w:pPr>
              <w:spacing w:after="0"/>
              <w:rPr>
                <w:sz w:val="11"/>
                <w:szCs w:val="11"/>
                <w:color w:val="auto"/>
              </w:rPr>
            </w:pPr>
          </w:p>
        </w:tc>
        <w:tc>
          <w:tcPr>
            <w:tcW w:w="220" w:type="dxa"/>
            <w:vAlign w:val="bottom"/>
            <w:tcBorders>
              <w:bottom w:val="single" w:sz="8" w:color="939598"/>
            </w:tcBorders>
          </w:tcPr>
          <w:p>
            <w:pPr>
              <w:spacing w:after="0"/>
              <w:rPr>
                <w:sz w:val="11"/>
                <w:szCs w:val="11"/>
                <w:color w:val="auto"/>
              </w:rPr>
            </w:pPr>
          </w:p>
        </w:tc>
        <w:tc>
          <w:tcPr>
            <w:tcW w:w="860" w:type="dxa"/>
            <w:vAlign w:val="bottom"/>
            <w:tcBorders>
              <w:bottom w:val="single" w:sz="8" w:color="939598"/>
            </w:tcBorders>
          </w:tcPr>
          <w:p>
            <w:pPr>
              <w:spacing w:after="0"/>
              <w:rPr>
                <w:sz w:val="11"/>
                <w:szCs w:val="11"/>
                <w:color w:val="auto"/>
              </w:rPr>
            </w:pPr>
          </w:p>
        </w:tc>
        <w:tc>
          <w:tcPr>
            <w:tcW w:w="200" w:type="dxa"/>
            <w:vAlign w:val="bottom"/>
            <w:tcBorders>
              <w:bottom w:val="single" w:sz="8" w:color="939598"/>
            </w:tcBorders>
          </w:tcPr>
          <w:p>
            <w:pPr>
              <w:spacing w:after="0"/>
              <w:rPr>
                <w:sz w:val="11"/>
                <w:szCs w:val="11"/>
                <w:color w:val="auto"/>
              </w:rPr>
            </w:pPr>
          </w:p>
        </w:tc>
        <w:tc>
          <w:tcPr>
            <w:tcW w:w="840" w:type="dxa"/>
            <w:vAlign w:val="bottom"/>
            <w:tcBorders>
              <w:bottom w:val="single" w:sz="8" w:color="939598"/>
            </w:tcBorders>
          </w:tcPr>
          <w:p>
            <w:pPr>
              <w:spacing w:after="0"/>
              <w:rPr>
                <w:sz w:val="11"/>
                <w:szCs w:val="11"/>
                <w:color w:val="auto"/>
              </w:rPr>
            </w:pPr>
          </w:p>
        </w:tc>
      </w:tr>
      <w:tr>
        <w:trPr>
          <w:trHeight w:val="277"/>
        </w:trPr>
        <w:tc>
          <w:tcPr>
            <w:tcW w:w="7580" w:type="dxa"/>
            <w:vAlign w:val="bottom"/>
          </w:tcPr>
          <w:p>
            <w:pPr>
              <w:ind w:left="20"/>
              <w:spacing w:after="0"/>
              <w:rPr>
                <w:sz w:val="20"/>
                <w:szCs w:val="20"/>
                <w:color w:val="auto"/>
              </w:rPr>
            </w:pPr>
            <w:r>
              <w:rPr>
                <w:rFonts w:ascii="Arial" w:cs="Arial" w:eastAsia="Arial" w:hAnsi="Arial"/>
                <w:sz w:val="13"/>
                <w:szCs w:val="13"/>
                <w:color w:val="auto"/>
              </w:rPr>
              <w:t>Plus, Year-End Value of Awards Granted in Fiscal Year that are Unvested and Outstanding</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18,914,098</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22,196,690</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14,602,954</w:t>
            </w:r>
          </w:p>
        </w:tc>
      </w:tr>
      <w:tr>
        <w:trPr>
          <w:trHeight w:val="136"/>
        </w:trPr>
        <w:tc>
          <w:tcPr>
            <w:tcW w:w="7580" w:type="dxa"/>
            <w:vAlign w:val="bottom"/>
            <w:tcBorders>
              <w:bottom w:val="single" w:sz="8" w:color="939598"/>
            </w:tcBorders>
          </w:tcPr>
          <w:p>
            <w:pPr>
              <w:spacing w:after="0"/>
              <w:rPr>
                <w:sz w:val="11"/>
                <w:szCs w:val="11"/>
                <w:color w:val="auto"/>
              </w:rPr>
            </w:pPr>
          </w:p>
        </w:tc>
        <w:tc>
          <w:tcPr>
            <w:tcW w:w="200" w:type="dxa"/>
            <w:vAlign w:val="bottom"/>
            <w:tcBorders>
              <w:bottom w:val="single" w:sz="8" w:color="939598"/>
            </w:tcBorders>
          </w:tcPr>
          <w:p>
            <w:pPr>
              <w:spacing w:after="0"/>
              <w:rPr>
                <w:sz w:val="11"/>
                <w:szCs w:val="11"/>
                <w:color w:val="auto"/>
              </w:rPr>
            </w:pPr>
          </w:p>
        </w:tc>
        <w:tc>
          <w:tcPr>
            <w:tcW w:w="860" w:type="dxa"/>
            <w:vAlign w:val="bottom"/>
            <w:tcBorders>
              <w:bottom w:val="single" w:sz="8" w:color="939598"/>
            </w:tcBorders>
          </w:tcPr>
          <w:p>
            <w:pPr>
              <w:spacing w:after="0"/>
              <w:rPr>
                <w:sz w:val="11"/>
                <w:szCs w:val="11"/>
                <w:color w:val="auto"/>
              </w:rPr>
            </w:pPr>
          </w:p>
        </w:tc>
        <w:tc>
          <w:tcPr>
            <w:tcW w:w="220" w:type="dxa"/>
            <w:vAlign w:val="bottom"/>
            <w:tcBorders>
              <w:bottom w:val="single" w:sz="8" w:color="939598"/>
            </w:tcBorders>
          </w:tcPr>
          <w:p>
            <w:pPr>
              <w:spacing w:after="0"/>
              <w:rPr>
                <w:sz w:val="11"/>
                <w:szCs w:val="11"/>
                <w:color w:val="auto"/>
              </w:rPr>
            </w:pPr>
          </w:p>
        </w:tc>
        <w:tc>
          <w:tcPr>
            <w:tcW w:w="860" w:type="dxa"/>
            <w:vAlign w:val="bottom"/>
            <w:tcBorders>
              <w:bottom w:val="single" w:sz="8" w:color="939598"/>
            </w:tcBorders>
          </w:tcPr>
          <w:p>
            <w:pPr>
              <w:spacing w:after="0"/>
              <w:rPr>
                <w:sz w:val="11"/>
                <w:szCs w:val="11"/>
                <w:color w:val="auto"/>
              </w:rPr>
            </w:pPr>
          </w:p>
        </w:tc>
        <w:tc>
          <w:tcPr>
            <w:tcW w:w="200" w:type="dxa"/>
            <w:vAlign w:val="bottom"/>
            <w:tcBorders>
              <w:bottom w:val="single" w:sz="8" w:color="939598"/>
            </w:tcBorders>
          </w:tcPr>
          <w:p>
            <w:pPr>
              <w:spacing w:after="0"/>
              <w:rPr>
                <w:sz w:val="11"/>
                <w:szCs w:val="11"/>
                <w:color w:val="auto"/>
              </w:rPr>
            </w:pPr>
          </w:p>
        </w:tc>
        <w:tc>
          <w:tcPr>
            <w:tcW w:w="840" w:type="dxa"/>
            <w:vAlign w:val="bottom"/>
            <w:tcBorders>
              <w:bottom w:val="single" w:sz="8" w:color="939598"/>
            </w:tcBorders>
          </w:tcPr>
          <w:p>
            <w:pPr>
              <w:spacing w:after="0"/>
              <w:rPr>
                <w:sz w:val="11"/>
                <w:szCs w:val="11"/>
                <w:color w:val="auto"/>
              </w:rPr>
            </w:pPr>
          </w:p>
        </w:tc>
      </w:tr>
      <w:tr>
        <w:trPr>
          <w:trHeight w:val="277"/>
        </w:trPr>
        <w:tc>
          <w:tcPr>
            <w:tcW w:w="7580" w:type="dxa"/>
            <w:vAlign w:val="bottom"/>
          </w:tcPr>
          <w:p>
            <w:pPr>
              <w:ind w:left="20"/>
              <w:spacing w:after="0"/>
              <w:rPr>
                <w:sz w:val="20"/>
                <w:szCs w:val="20"/>
                <w:color w:val="auto"/>
              </w:rPr>
            </w:pPr>
            <w:r>
              <w:rPr>
                <w:rFonts w:ascii="Arial" w:cs="Arial" w:eastAsia="Arial" w:hAnsi="Arial"/>
                <w:sz w:val="13"/>
                <w:szCs w:val="13"/>
                <w:color w:val="auto"/>
              </w:rPr>
              <w:t>Plus, Change in Fair Value of Prior Year Awards that are Outstanding and Unvested</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2,029,201</w:t>
            </w:r>
          </w:p>
        </w:tc>
        <w:tc>
          <w:tcPr>
            <w:tcW w:w="220" w:type="dxa"/>
            <w:vAlign w:val="bottom"/>
          </w:tcPr>
          <w:p>
            <w:pPr>
              <w:spacing w:after="0"/>
              <w:rPr>
                <w:sz w:val="24"/>
                <w:szCs w:val="24"/>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9,053,140</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(1,770,930)</w:t>
            </w:r>
          </w:p>
        </w:tc>
      </w:tr>
      <w:tr>
        <w:trPr>
          <w:trHeight w:val="135"/>
        </w:trPr>
        <w:tc>
          <w:tcPr>
            <w:tcW w:w="7580" w:type="dxa"/>
            <w:vAlign w:val="bottom"/>
            <w:tcBorders>
              <w:bottom w:val="single" w:sz="8" w:color="939598"/>
            </w:tcBorders>
          </w:tcPr>
          <w:p>
            <w:pPr>
              <w:spacing w:after="0"/>
              <w:rPr>
                <w:sz w:val="11"/>
                <w:szCs w:val="11"/>
                <w:color w:val="auto"/>
              </w:rPr>
            </w:pPr>
          </w:p>
        </w:tc>
        <w:tc>
          <w:tcPr>
            <w:tcW w:w="200" w:type="dxa"/>
            <w:vAlign w:val="bottom"/>
            <w:tcBorders>
              <w:bottom w:val="single" w:sz="8" w:color="939598"/>
            </w:tcBorders>
          </w:tcPr>
          <w:p>
            <w:pPr>
              <w:spacing w:after="0"/>
              <w:rPr>
                <w:sz w:val="11"/>
                <w:szCs w:val="11"/>
                <w:color w:val="auto"/>
              </w:rPr>
            </w:pPr>
          </w:p>
        </w:tc>
        <w:tc>
          <w:tcPr>
            <w:tcW w:w="860" w:type="dxa"/>
            <w:vAlign w:val="bottom"/>
            <w:tcBorders>
              <w:bottom w:val="single" w:sz="8" w:color="939598"/>
            </w:tcBorders>
          </w:tcPr>
          <w:p>
            <w:pPr>
              <w:spacing w:after="0"/>
              <w:rPr>
                <w:sz w:val="11"/>
                <w:szCs w:val="11"/>
                <w:color w:val="auto"/>
              </w:rPr>
            </w:pPr>
          </w:p>
        </w:tc>
        <w:tc>
          <w:tcPr>
            <w:tcW w:w="220" w:type="dxa"/>
            <w:vAlign w:val="bottom"/>
            <w:tcBorders>
              <w:bottom w:val="single" w:sz="8" w:color="939598"/>
            </w:tcBorders>
          </w:tcPr>
          <w:p>
            <w:pPr>
              <w:spacing w:after="0"/>
              <w:rPr>
                <w:sz w:val="11"/>
                <w:szCs w:val="11"/>
                <w:color w:val="auto"/>
              </w:rPr>
            </w:pPr>
          </w:p>
        </w:tc>
        <w:tc>
          <w:tcPr>
            <w:tcW w:w="860" w:type="dxa"/>
            <w:vAlign w:val="bottom"/>
            <w:tcBorders>
              <w:bottom w:val="single" w:sz="8" w:color="939598"/>
            </w:tcBorders>
          </w:tcPr>
          <w:p>
            <w:pPr>
              <w:spacing w:after="0"/>
              <w:rPr>
                <w:sz w:val="11"/>
                <w:szCs w:val="11"/>
                <w:color w:val="auto"/>
              </w:rPr>
            </w:pPr>
          </w:p>
        </w:tc>
        <w:tc>
          <w:tcPr>
            <w:tcW w:w="200" w:type="dxa"/>
            <w:vAlign w:val="bottom"/>
            <w:tcBorders>
              <w:bottom w:val="single" w:sz="8" w:color="939598"/>
            </w:tcBorders>
          </w:tcPr>
          <w:p>
            <w:pPr>
              <w:spacing w:after="0"/>
              <w:rPr>
                <w:sz w:val="11"/>
                <w:szCs w:val="11"/>
                <w:color w:val="auto"/>
              </w:rPr>
            </w:pPr>
          </w:p>
        </w:tc>
        <w:tc>
          <w:tcPr>
            <w:tcW w:w="840" w:type="dxa"/>
            <w:vAlign w:val="bottom"/>
            <w:tcBorders>
              <w:bottom w:val="single" w:sz="8" w:color="939598"/>
            </w:tcBorders>
          </w:tcPr>
          <w:p>
            <w:pPr>
              <w:spacing w:after="0"/>
              <w:rPr>
                <w:sz w:val="11"/>
                <w:szCs w:val="11"/>
                <w:color w:val="auto"/>
              </w:rPr>
            </w:pPr>
          </w:p>
        </w:tc>
      </w:tr>
      <w:tr>
        <w:trPr>
          <w:trHeight w:val="277"/>
        </w:trPr>
        <w:tc>
          <w:tcPr>
            <w:tcW w:w="7580" w:type="dxa"/>
            <w:vAlign w:val="bottom"/>
          </w:tcPr>
          <w:p>
            <w:pPr>
              <w:ind w:left="20"/>
              <w:spacing w:after="0"/>
              <w:rPr>
                <w:sz w:val="20"/>
                <w:szCs w:val="20"/>
                <w:color w:val="auto"/>
              </w:rPr>
            </w:pPr>
            <w:r>
              <w:rPr>
                <w:rFonts w:ascii="Arial" w:cs="Arial" w:eastAsia="Arial" w:hAnsi="Arial"/>
                <w:sz w:val="13"/>
                <w:szCs w:val="13"/>
                <w:color w:val="auto"/>
              </w:rPr>
              <w:t>Plus, FMV of Awards Granted this Year and that Vested this Year</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36"/>
        </w:trPr>
        <w:tc>
          <w:tcPr>
            <w:tcW w:w="7580" w:type="dxa"/>
            <w:vAlign w:val="bottom"/>
            <w:tcBorders>
              <w:bottom w:val="single" w:sz="8" w:color="939598"/>
            </w:tcBorders>
          </w:tcPr>
          <w:p>
            <w:pPr>
              <w:spacing w:after="0"/>
              <w:rPr>
                <w:sz w:val="11"/>
                <w:szCs w:val="11"/>
                <w:color w:val="auto"/>
              </w:rPr>
            </w:pPr>
          </w:p>
        </w:tc>
        <w:tc>
          <w:tcPr>
            <w:tcW w:w="200" w:type="dxa"/>
            <w:vAlign w:val="bottom"/>
            <w:tcBorders>
              <w:bottom w:val="single" w:sz="8" w:color="939598"/>
            </w:tcBorders>
          </w:tcPr>
          <w:p>
            <w:pPr>
              <w:spacing w:after="0"/>
              <w:rPr>
                <w:sz w:val="11"/>
                <w:szCs w:val="11"/>
                <w:color w:val="auto"/>
              </w:rPr>
            </w:pPr>
          </w:p>
        </w:tc>
        <w:tc>
          <w:tcPr>
            <w:tcW w:w="860" w:type="dxa"/>
            <w:vAlign w:val="bottom"/>
            <w:tcBorders>
              <w:bottom w:val="single" w:sz="8" w:color="939598"/>
            </w:tcBorders>
          </w:tcPr>
          <w:p>
            <w:pPr>
              <w:spacing w:after="0"/>
              <w:rPr>
                <w:sz w:val="11"/>
                <w:szCs w:val="11"/>
                <w:color w:val="auto"/>
              </w:rPr>
            </w:pPr>
          </w:p>
        </w:tc>
        <w:tc>
          <w:tcPr>
            <w:tcW w:w="220" w:type="dxa"/>
            <w:vAlign w:val="bottom"/>
            <w:tcBorders>
              <w:bottom w:val="single" w:sz="8" w:color="939598"/>
            </w:tcBorders>
          </w:tcPr>
          <w:p>
            <w:pPr>
              <w:spacing w:after="0"/>
              <w:rPr>
                <w:sz w:val="11"/>
                <w:szCs w:val="11"/>
                <w:color w:val="auto"/>
              </w:rPr>
            </w:pPr>
          </w:p>
        </w:tc>
        <w:tc>
          <w:tcPr>
            <w:tcW w:w="860" w:type="dxa"/>
            <w:vAlign w:val="bottom"/>
            <w:tcBorders>
              <w:bottom w:val="single" w:sz="8" w:color="939598"/>
            </w:tcBorders>
          </w:tcPr>
          <w:p>
            <w:pPr>
              <w:spacing w:after="0"/>
              <w:rPr>
                <w:sz w:val="11"/>
                <w:szCs w:val="11"/>
                <w:color w:val="auto"/>
              </w:rPr>
            </w:pPr>
          </w:p>
        </w:tc>
        <w:tc>
          <w:tcPr>
            <w:tcW w:w="200" w:type="dxa"/>
            <w:vAlign w:val="bottom"/>
            <w:tcBorders>
              <w:bottom w:val="single" w:sz="8" w:color="939598"/>
            </w:tcBorders>
          </w:tcPr>
          <w:p>
            <w:pPr>
              <w:spacing w:after="0"/>
              <w:rPr>
                <w:sz w:val="11"/>
                <w:szCs w:val="11"/>
                <w:color w:val="auto"/>
              </w:rPr>
            </w:pPr>
          </w:p>
        </w:tc>
        <w:tc>
          <w:tcPr>
            <w:tcW w:w="840" w:type="dxa"/>
            <w:vAlign w:val="bottom"/>
            <w:tcBorders>
              <w:bottom w:val="single" w:sz="8" w:color="939598"/>
            </w:tcBorders>
          </w:tcPr>
          <w:p>
            <w:pPr>
              <w:spacing w:after="0"/>
              <w:rPr>
                <w:sz w:val="11"/>
                <w:szCs w:val="11"/>
                <w:color w:val="auto"/>
              </w:rPr>
            </w:pPr>
          </w:p>
        </w:tc>
      </w:tr>
      <w:tr>
        <w:trPr>
          <w:trHeight w:val="276"/>
        </w:trPr>
        <w:tc>
          <w:tcPr>
            <w:tcW w:w="7580" w:type="dxa"/>
            <w:vAlign w:val="bottom"/>
          </w:tcPr>
          <w:p>
            <w:pPr>
              <w:ind w:left="20"/>
              <w:spacing w:after="0"/>
              <w:rPr>
                <w:sz w:val="20"/>
                <w:szCs w:val="20"/>
                <w:color w:val="auto"/>
              </w:rPr>
            </w:pPr>
            <w:r>
              <w:rPr>
                <w:rFonts w:ascii="Arial" w:cs="Arial" w:eastAsia="Arial" w:hAnsi="Arial"/>
                <w:sz w:val="13"/>
                <w:szCs w:val="13"/>
                <w:color w:val="auto"/>
              </w:rPr>
              <w:t>Plus, Change in Fair Value (from Prior Year-End) of Prior Year Awards that Vested this Year</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(3,995,801)</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(394,579)</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(3,238,305)</w:t>
            </w:r>
          </w:p>
        </w:tc>
      </w:tr>
      <w:tr>
        <w:trPr>
          <w:trHeight w:val="136"/>
        </w:trPr>
        <w:tc>
          <w:tcPr>
            <w:tcW w:w="7580" w:type="dxa"/>
            <w:vAlign w:val="bottom"/>
            <w:tcBorders>
              <w:bottom w:val="single" w:sz="8" w:color="939598"/>
            </w:tcBorders>
          </w:tcPr>
          <w:p>
            <w:pPr>
              <w:spacing w:after="0"/>
              <w:rPr>
                <w:sz w:val="11"/>
                <w:szCs w:val="11"/>
                <w:color w:val="auto"/>
              </w:rPr>
            </w:pPr>
          </w:p>
        </w:tc>
        <w:tc>
          <w:tcPr>
            <w:tcW w:w="200" w:type="dxa"/>
            <w:vAlign w:val="bottom"/>
            <w:tcBorders>
              <w:bottom w:val="single" w:sz="8" w:color="939598"/>
            </w:tcBorders>
          </w:tcPr>
          <w:p>
            <w:pPr>
              <w:spacing w:after="0"/>
              <w:rPr>
                <w:sz w:val="11"/>
                <w:szCs w:val="11"/>
                <w:color w:val="auto"/>
              </w:rPr>
            </w:pPr>
          </w:p>
        </w:tc>
        <w:tc>
          <w:tcPr>
            <w:tcW w:w="860" w:type="dxa"/>
            <w:vAlign w:val="bottom"/>
            <w:tcBorders>
              <w:bottom w:val="single" w:sz="8" w:color="939598"/>
            </w:tcBorders>
          </w:tcPr>
          <w:p>
            <w:pPr>
              <w:spacing w:after="0"/>
              <w:rPr>
                <w:sz w:val="11"/>
                <w:szCs w:val="11"/>
                <w:color w:val="auto"/>
              </w:rPr>
            </w:pPr>
          </w:p>
        </w:tc>
        <w:tc>
          <w:tcPr>
            <w:tcW w:w="220" w:type="dxa"/>
            <w:vAlign w:val="bottom"/>
            <w:tcBorders>
              <w:bottom w:val="single" w:sz="8" w:color="939598"/>
            </w:tcBorders>
          </w:tcPr>
          <w:p>
            <w:pPr>
              <w:spacing w:after="0"/>
              <w:rPr>
                <w:sz w:val="11"/>
                <w:szCs w:val="11"/>
                <w:color w:val="auto"/>
              </w:rPr>
            </w:pPr>
          </w:p>
        </w:tc>
        <w:tc>
          <w:tcPr>
            <w:tcW w:w="860" w:type="dxa"/>
            <w:vAlign w:val="bottom"/>
            <w:tcBorders>
              <w:bottom w:val="single" w:sz="8" w:color="939598"/>
            </w:tcBorders>
          </w:tcPr>
          <w:p>
            <w:pPr>
              <w:spacing w:after="0"/>
              <w:rPr>
                <w:sz w:val="11"/>
                <w:szCs w:val="11"/>
                <w:color w:val="auto"/>
              </w:rPr>
            </w:pPr>
          </w:p>
        </w:tc>
        <w:tc>
          <w:tcPr>
            <w:tcW w:w="200" w:type="dxa"/>
            <w:vAlign w:val="bottom"/>
            <w:tcBorders>
              <w:bottom w:val="single" w:sz="8" w:color="939598"/>
            </w:tcBorders>
          </w:tcPr>
          <w:p>
            <w:pPr>
              <w:spacing w:after="0"/>
              <w:rPr>
                <w:sz w:val="11"/>
                <w:szCs w:val="11"/>
                <w:color w:val="auto"/>
              </w:rPr>
            </w:pPr>
          </w:p>
        </w:tc>
        <w:tc>
          <w:tcPr>
            <w:tcW w:w="840" w:type="dxa"/>
            <w:vAlign w:val="bottom"/>
            <w:tcBorders>
              <w:bottom w:val="single" w:sz="8" w:color="939598"/>
            </w:tcBorders>
          </w:tcPr>
          <w:p>
            <w:pPr>
              <w:spacing w:after="0"/>
              <w:rPr>
                <w:sz w:val="11"/>
                <w:szCs w:val="11"/>
                <w:color w:val="auto"/>
              </w:rPr>
            </w:pPr>
          </w:p>
        </w:tc>
      </w:tr>
      <w:tr>
        <w:trPr>
          <w:trHeight w:val="277"/>
        </w:trPr>
        <w:tc>
          <w:tcPr>
            <w:tcW w:w="7580" w:type="dxa"/>
            <w:vAlign w:val="bottom"/>
          </w:tcPr>
          <w:p>
            <w:pPr>
              <w:ind w:left="20"/>
              <w:spacing w:after="0"/>
              <w:rPr>
                <w:sz w:val="20"/>
                <w:szCs w:val="20"/>
                <w:color w:val="auto"/>
              </w:rPr>
            </w:pPr>
            <w:r>
              <w:rPr>
                <w:rFonts w:ascii="Arial" w:cs="Arial" w:eastAsia="Arial" w:hAnsi="Arial"/>
                <w:sz w:val="13"/>
                <w:szCs w:val="13"/>
                <w:color w:val="auto"/>
              </w:rPr>
              <w:t>Less, Prior Year Fair Value of Prior Year Awards that Failed to Vest this Year</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35"/>
        </w:trPr>
        <w:tc>
          <w:tcPr>
            <w:tcW w:w="7580" w:type="dxa"/>
            <w:vAlign w:val="bottom"/>
            <w:tcBorders>
              <w:bottom w:val="single" w:sz="8" w:color="D7282F"/>
            </w:tcBorders>
          </w:tcPr>
          <w:p>
            <w:pPr>
              <w:spacing w:after="0"/>
              <w:rPr>
                <w:sz w:val="11"/>
                <w:szCs w:val="11"/>
                <w:color w:val="auto"/>
              </w:rPr>
            </w:pPr>
          </w:p>
        </w:tc>
        <w:tc>
          <w:tcPr>
            <w:tcW w:w="200" w:type="dxa"/>
            <w:vAlign w:val="bottom"/>
            <w:tcBorders>
              <w:bottom w:val="single" w:sz="8" w:color="D7282F"/>
            </w:tcBorders>
          </w:tcPr>
          <w:p>
            <w:pPr>
              <w:spacing w:after="0"/>
              <w:rPr>
                <w:sz w:val="11"/>
                <w:szCs w:val="11"/>
                <w:color w:val="auto"/>
              </w:rPr>
            </w:pPr>
          </w:p>
        </w:tc>
        <w:tc>
          <w:tcPr>
            <w:tcW w:w="860" w:type="dxa"/>
            <w:vAlign w:val="bottom"/>
            <w:tcBorders>
              <w:bottom w:val="single" w:sz="8" w:color="D7282F"/>
            </w:tcBorders>
          </w:tcPr>
          <w:p>
            <w:pPr>
              <w:spacing w:after="0"/>
              <w:rPr>
                <w:sz w:val="11"/>
                <w:szCs w:val="11"/>
                <w:color w:val="auto"/>
              </w:rPr>
            </w:pPr>
          </w:p>
        </w:tc>
        <w:tc>
          <w:tcPr>
            <w:tcW w:w="220" w:type="dxa"/>
            <w:vAlign w:val="bottom"/>
            <w:tcBorders>
              <w:bottom w:val="single" w:sz="8" w:color="D7282F"/>
            </w:tcBorders>
          </w:tcPr>
          <w:p>
            <w:pPr>
              <w:spacing w:after="0"/>
              <w:rPr>
                <w:sz w:val="11"/>
                <w:szCs w:val="11"/>
                <w:color w:val="auto"/>
              </w:rPr>
            </w:pPr>
          </w:p>
        </w:tc>
        <w:tc>
          <w:tcPr>
            <w:tcW w:w="860" w:type="dxa"/>
            <w:vAlign w:val="bottom"/>
            <w:tcBorders>
              <w:bottom w:val="single" w:sz="8" w:color="D7282F"/>
            </w:tcBorders>
          </w:tcPr>
          <w:p>
            <w:pPr>
              <w:spacing w:after="0"/>
              <w:rPr>
                <w:sz w:val="11"/>
                <w:szCs w:val="11"/>
                <w:color w:val="auto"/>
              </w:rPr>
            </w:pPr>
          </w:p>
        </w:tc>
        <w:tc>
          <w:tcPr>
            <w:tcW w:w="200" w:type="dxa"/>
            <w:vAlign w:val="bottom"/>
            <w:tcBorders>
              <w:bottom w:val="single" w:sz="8" w:color="D7282F"/>
            </w:tcBorders>
          </w:tcPr>
          <w:p>
            <w:pPr>
              <w:spacing w:after="0"/>
              <w:rPr>
                <w:sz w:val="11"/>
                <w:szCs w:val="11"/>
                <w:color w:val="auto"/>
              </w:rPr>
            </w:pPr>
          </w:p>
        </w:tc>
        <w:tc>
          <w:tcPr>
            <w:tcW w:w="840" w:type="dxa"/>
            <w:vAlign w:val="bottom"/>
            <w:tcBorders>
              <w:bottom w:val="single" w:sz="8" w:color="D7282F"/>
            </w:tcBorders>
          </w:tcPr>
          <w:p>
            <w:pPr>
              <w:spacing w:after="0"/>
              <w:rPr>
                <w:sz w:val="11"/>
                <w:szCs w:val="11"/>
                <w:color w:val="auto"/>
              </w:rPr>
            </w:pPr>
          </w:p>
        </w:tc>
      </w:tr>
      <w:tr>
        <w:trPr>
          <w:trHeight w:val="276"/>
        </w:trPr>
        <w:tc>
          <w:tcPr>
            <w:tcW w:w="7580" w:type="dxa"/>
            <w:vAlign w:val="bottom"/>
          </w:tcPr>
          <w:p>
            <w:pPr>
              <w:ind w:left="20"/>
              <w:spacing w:after="0"/>
              <w:rPr>
                <w:sz w:val="20"/>
                <w:szCs w:val="20"/>
                <w:color w:val="auto"/>
              </w:rPr>
            </w:pPr>
            <w:r>
              <w:rPr>
                <w:rFonts w:ascii="Arial" w:cs="Arial" w:eastAsia="Arial" w:hAnsi="Arial"/>
                <w:sz w:val="13"/>
                <w:szCs w:val="13"/>
                <w:color w:val="auto"/>
              </w:rPr>
              <w:t>Total Adjustments</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(1,508,582)</w:t>
            </w:r>
          </w:p>
        </w:tc>
        <w:tc>
          <w:tcPr>
            <w:tcW w:w="220" w:type="dxa"/>
            <w:vAlign w:val="bottom"/>
          </w:tcPr>
          <w:p>
            <w:pPr>
              <w:spacing w:after="0"/>
              <w:rPr>
                <w:sz w:val="24"/>
                <w:szCs w:val="24"/>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11,292,213</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(10,412,147)</w:t>
            </w:r>
          </w:p>
        </w:tc>
      </w:tr>
      <w:tr>
        <w:trPr>
          <w:trHeight w:val="135"/>
        </w:trPr>
        <w:tc>
          <w:tcPr>
            <w:tcW w:w="7580" w:type="dxa"/>
            <w:vAlign w:val="bottom"/>
            <w:tcBorders>
              <w:bottom w:val="single" w:sz="8" w:color="D7282F"/>
            </w:tcBorders>
          </w:tcPr>
          <w:p>
            <w:pPr>
              <w:spacing w:after="0"/>
              <w:rPr>
                <w:sz w:val="11"/>
                <w:szCs w:val="11"/>
                <w:color w:val="auto"/>
              </w:rPr>
            </w:pPr>
          </w:p>
        </w:tc>
        <w:tc>
          <w:tcPr>
            <w:tcW w:w="200" w:type="dxa"/>
            <w:vAlign w:val="bottom"/>
            <w:tcBorders>
              <w:bottom w:val="single" w:sz="8" w:color="D7282F"/>
            </w:tcBorders>
          </w:tcPr>
          <w:p>
            <w:pPr>
              <w:spacing w:after="0"/>
              <w:rPr>
                <w:sz w:val="11"/>
                <w:szCs w:val="11"/>
                <w:color w:val="auto"/>
              </w:rPr>
            </w:pPr>
          </w:p>
        </w:tc>
        <w:tc>
          <w:tcPr>
            <w:tcW w:w="860" w:type="dxa"/>
            <w:vAlign w:val="bottom"/>
            <w:tcBorders>
              <w:bottom w:val="single" w:sz="8" w:color="D7282F"/>
            </w:tcBorders>
          </w:tcPr>
          <w:p>
            <w:pPr>
              <w:spacing w:after="0"/>
              <w:rPr>
                <w:sz w:val="11"/>
                <w:szCs w:val="11"/>
                <w:color w:val="auto"/>
              </w:rPr>
            </w:pPr>
          </w:p>
        </w:tc>
        <w:tc>
          <w:tcPr>
            <w:tcW w:w="220" w:type="dxa"/>
            <w:vAlign w:val="bottom"/>
            <w:tcBorders>
              <w:bottom w:val="single" w:sz="8" w:color="D7282F"/>
            </w:tcBorders>
          </w:tcPr>
          <w:p>
            <w:pPr>
              <w:spacing w:after="0"/>
              <w:rPr>
                <w:sz w:val="11"/>
                <w:szCs w:val="11"/>
                <w:color w:val="auto"/>
              </w:rPr>
            </w:pPr>
          </w:p>
        </w:tc>
        <w:tc>
          <w:tcPr>
            <w:tcW w:w="860" w:type="dxa"/>
            <w:vAlign w:val="bottom"/>
            <w:tcBorders>
              <w:bottom w:val="single" w:sz="8" w:color="D7282F"/>
            </w:tcBorders>
          </w:tcPr>
          <w:p>
            <w:pPr>
              <w:spacing w:after="0"/>
              <w:rPr>
                <w:sz w:val="11"/>
                <w:szCs w:val="11"/>
                <w:color w:val="auto"/>
              </w:rPr>
            </w:pPr>
          </w:p>
        </w:tc>
        <w:tc>
          <w:tcPr>
            <w:tcW w:w="200" w:type="dxa"/>
            <w:vAlign w:val="bottom"/>
            <w:tcBorders>
              <w:bottom w:val="single" w:sz="8" w:color="D7282F"/>
            </w:tcBorders>
          </w:tcPr>
          <w:p>
            <w:pPr>
              <w:spacing w:after="0"/>
              <w:rPr>
                <w:sz w:val="11"/>
                <w:szCs w:val="11"/>
                <w:color w:val="auto"/>
              </w:rPr>
            </w:pPr>
          </w:p>
        </w:tc>
        <w:tc>
          <w:tcPr>
            <w:tcW w:w="840" w:type="dxa"/>
            <w:vAlign w:val="bottom"/>
            <w:tcBorders>
              <w:bottom w:val="single" w:sz="8" w:color="D7282F"/>
            </w:tcBorders>
          </w:tcPr>
          <w:p>
            <w:pPr>
              <w:spacing w:after="0"/>
              <w:rPr>
                <w:sz w:val="11"/>
                <w:szCs w:val="11"/>
                <w:color w:val="auto"/>
              </w:rPr>
            </w:pPr>
          </w:p>
        </w:tc>
      </w:tr>
      <w:tr>
        <w:trPr>
          <w:trHeight w:val="283"/>
        </w:trPr>
        <w:tc>
          <w:tcPr>
            <w:tcW w:w="7580" w:type="dxa"/>
            <w:vAlign w:val="bottom"/>
          </w:tcPr>
          <w:p>
            <w:pPr>
              <w:ind w:left="20"/>
              <w:spacing w:after="0"/>
              <w:rPr>
                <w:sz w:val="20"/>
                <w:szCs w:val="20"/>
                <w:color w:val="auto"/>
              </w:rPr>
            </w:pPr>
            <w:r>
              <w:rPr>
                <w:rFonts w:ascii="Arial" w:cs="Arial" w:eastAsia="Arial" w:hAnsi="Arial"/>
                <w:sz w:val="13"/>
                <w:szCs w:val="13"/>
                <w:b w:val="1"/>
                <w:bCs w:val="1"/>
                <w:color w:val="auto"/>
              </w:rPr>
              <w:t>“Compensation Actually Paid” to PEO — Adamczyk</w:t>
            </w:r>
          </w:p>
        </w:tc>
        <w:tc>
          <w:tcPr>
            <w:tcW w:w="20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21,520,786</w:t>
            </w:r>
          </w:p>
        </w:tc>
        <w:tc>
          <w:tcPr>
            <w:tcW w:w="220" w:type="dxa"/>
            <w:vAlign w:val="bottom"/>
          </w:tcPr>
          <w:p>
            <w:pPr>
              <w:jc w:val="right"/>
              <w:ind w:right="57"/>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right"/>
              <w:ind w:right="17"/>
              <w:spacing w:after="0"/>
              <w:rPr>
                <w:sz w:val="20"/>
                <w:szCs w:val="20"/>
                <w:color w:val="auto"/>
              </w:rPr>
            </w:pPr>
            <w:r>
              <w:rPr>
                <w:rFonts w:ascii="Arial" w:cs="Arial" w:eastAsia="Arial" w:hAnsi="Arial"/>
                <w:sz w:val="13"/>
                <w:szCs w:val="13"/>
                <w:b w:val="1"/>
                <w:bCs w:val="1"/>
                <w:color w:val="auto"/>
              </w:rPr>
              <w:t>36,729,811</w:t>
            </w:r>
          </w:p>
        </w:tc>
        <w:tc>
          <w:tcPr>
            <w:tcW w:w="200" w:type="dxa"/>
            <w:vAlign w:val="bottom"/>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15,687,973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82550</wp:posOffset>
            </wp:positionV>
            <wp:extent cx="6840855"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p>
      <w:pPr>
        <w:spacing w:after="0" w:line="267" w:lineRule="exact"/>
        <w:rPr>
          <w:sz w:val="20"/>
          <w:szCs w:val="20"/>
          <w:color w:val="auto"/>
        </w:rPr>
      </w:pPr>
    </w:p>
    <w:p>
      <w:pPr>
        <w:ind w:left="200" w:right="140" w:hanging="192"/>
        <w:spacing w:after="0" w:line="232" w:lineRule="auto"/>
        <w:tabs>
          <w:tab w:leader="none" w:pos="200" w:val="left"/>
        </w:tabs>
        <w:numPr>
          <w:ilvl w:val="0"/>
          <w:numId w:val="210"/>
        </w:numPr>
        <w:rPr>
          <w:rFonts w:ascii="Arial" w:cs="Arial" w:eastAsia="Arial" w:hAnsi="Arial"/>
          <w:sz w:val="16"/>
          <w:szCs w:val="16"/>
          <w:color w:val="auto"/>
          <w:vertAlign w:val="superscript"/>
        </w:rPr>
      </w:pPr>
      <w:r>
        <w:rPr>
          <w:rFonts w:ascii="Arial" w:cs="Arial" w:eastAsia="Arial" w:hAnsi="Arial"/>
          <w:sz w:val="13"/>
          <w:szCs w:val="13"/>
          <w:color w:val="auto"/>
        </w:rPr>
        <w:t>The dollar amounts reported under Average Compensation Actually Paid for Non-PEO NEOs represent the average amount of "compensation actually paid" to the Non-PEO NEOs as a group (excluding the PEOs), as computed in accordance with Items 402(v) of Regulation S-K. The dollar amounts do not reflect the actual average amount of compensation earned by or paid to the Non-PEO NEOs as a group during the applicable year. In accordance with the requirements of Item 402(v) of Regulation S-K, the adjustments in the table below were made to the Non-PEO NEOs' total compensation for each year to determine the compensation actually paid:</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72"/>
        </w:trPr>
        <w:tc>
          <w:tcPr>
            <w:tcW w:w="5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20" w:type="dxa"/>
            <w:vAlign w:val="bottom"/>
            <w:gridSpan w:val="5"/>
          </w:tcPr>
          <w:p>
            <w:pPr>
              <w:jc w:val="right"/>
              <w:ind w:right="577"/>
              <w:spacing w:after="0"/>
              <w:rPr>
                <w:sz w:val="20"/>
                <w:szCs w:val="20"/>
                <w:color w:val="auto"/>
              </w:rPr>
            </w:pPr>
            <w:r>
              <w:rPr>
                <w:rFonts w:ascii="Arial" w:cs="Arial" w:eastAsia="Arial" w:hAnsi="Arial"/>
                <w:sz w:val="13"/>
                <w:szCs w:val="13"/>
                <w:b w:val="1"/>
                <w:bCs w:val="1"/>
                <w:color w:val="auto"/>
              </w:rPr>
              <w:t>Non-PEO NEOs Average ($)</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0"/>
        </w:trPr>
        <w:tc>
          <w:tcPr>
            <w:tcW w:w="5900" w:type="dxa"/>
            <w:vAlign w:val="bottom"/>
          </w:tcPr>
          <w:p>
            <w:pPr>
              <w:spacing w:after="0"/>
              <w:rPr>
                <w:sz w:val="11"/>
                <w:szCs w:val="11"/>
                <w:color w:val="auto"/>
              </w:rPr>
            </w:pPr>
          </w:p>
        </w:tc>
        <w:tc>
          <w:tcPr>
            <w:tcW w:w="200" w:type="dxa"/>
            <w:vAlign w:val="bottom"/>
            <w:tcBorders>
              <w:bottom w:val="single" w:sz="8" w:color="D7282F"/>
            </w:tcBorders>
          </w:tcPr>
          <w:p>
            <w:pPr>
              <w:spacing w:after="0"/>
              <w:rPr>
                <w:sz w:val="11"/>
                <w:szCs w:val="11"/>
                <w:color w:val="auto"/>
              </w:rPr>
            </w:pPr>
          </w:p>
        </w:tc>
        <w:tc>
          <w:tcPr>
            <w:tcW w:w="780" w:type="dxa"/>
            <w:vAlign w:val="bottom"/>
            <w:tcBorders>
              <w:bottom w:val="single" w:sz="8" w:color="D7282F"/>
            </w:tcBorders>
          </w:tcPr>
          <w:p>
            <w:pPr>
              <w:spacing w:after="0"/>
              <w:rPr>
                <w:sz w:val="11"/>
                <w:szCs w:val="11"/>
                <w:color w:val="auto"/>
              </w:rPr>
            </w:pPr>
          </w:p>
        </w:tc>
        <w:tc>
          <w:tcPr>
            <w:tcW w:w="200" w:type="dxa"/>
            <w:vAlign w:val="bottom"/>
            <w:tcBorders>
              <w:bottom w:val="single" w:sz="8" w:color="D7282F"/>
            </w:tcBorders>
          </w:tcPr>
          <w:p>
            <w:pPr>
              <w:spacing w:after="0"/>
              <w:rPr>
                <w:sz w:val="11"/>
                <w:szCs w:val="11"/>
                <w:color w:val="auto"/>
              </w:rPr>
            </w:pPr>
          </w:p>
        </w:tc>
        <w:tc>
          <w:tcPr>
            <w:tcW w:w="760" w:type="dxa"/>
            <w:vAlign w:val="bottom"/>
            <w:tcBorders>
              <w:bottom w:val="single" w:sz="8" w:color="D7282F"/>
            </w:tcBorders>
          </w:tcPr>
          <w:p>
            <w:pPr>
              <w:spacing w:after="0"/>
              <w:rPr>
                <w:sz w:val="11"/>
                <w:szCs w:val="11"/>
                <w:color w:val="auto"/>
              </w:rPr>
            </w:pPr>
          </w:p>
        </w:tc>
        <w:tc>
          <w:tcPr>
            <w:tcW w:w="200" w:type="dxa"/>
            <w:vAlign w:val="bottom"/>
            <w:tcBorders>
              <w:bottom w:val="single" w:sz="8" w:color="D7282F"/>
            </w:tcBorders>
          </w:tcPr>
          <w:p>
            <w:pPr>
              <w:spacing w:after="0"/>
              <w:rPr>
                <w:sz w:val="11"/>
                <w:szCs w:val="11"/>
                <w:color w:val="auto"/>
              </w:rPr>
            </w:pPr>
          </w:p>
        </w:tc>
        <w:tc>
          <w:tcPr>
            <w:tcW w:w="780" w:type="dxa"/>
            <w:vAlign w:val="bottom"/>
            <w:tcBorders>
              <w:bottom w:val="single" w:sz="8" w:color="D7282F"/>
            </w:tcBorders>
          </w:tcPr>
          <w:p>
            <w:pPr>
              <w:spacing w:after="0"/>
              <w:rPr>
                <w:sz w:val="11"/>
                <w:szCs w:val="11"/>
                <w:color w:val="auto"/>
              </w:rPr>
            </w:pPr>
          </w:p>
        </w:tc>
        <w:tc>
          <w:tcPr>
            <w:tcW w:w="180" w:type="dxa"/>
            <w:vAlign w:val="bottom"/>
            <w:tcBorders>
              <w:bottom w:val="single" w:sz="8" w:color="D7282F"/>
            </w:tcBorders>
          </w:tcPr>
          <w:p>
            <w:pPr>
              <w:spacing w:after="0"/>
              <w:rPr>
                <w:sz w:val="11"/>
                <w:szCs w:val="11"/>
                <w:color w:val="auto"/>
              </w:rPr>
            </w:pPr>
          </w:p>
        </w:tc>
        <w:tc>
          <w:tcPr>
            <w:tcW w:w="800" w:type="dxa"/>
            <w:vAlign w:val="bottom"/>
            <w:tcBorders>
              <w:bottom w:val="single" w:sz="8" w:color="D7282F"/>
            </w:tcBorders>
          </w:tcPr>
          <w:p>
            <w:pPr>
              <w:spacing w:after="0"/>
              <w:rPr>
                <w:sz w:val="11"/>
                <w:szCs w:val="11"/>
                <w:color w:val="auto"/>
              </w:rPr>
            </w:pPr>
          </w:p>
        </w:tc>
        <w:tc>
          <w:tcPr>
            <w:tcW w:w="180" w:type="dxa"/>
            <w:vAlign w:val="bottom"/>
            <w:tcBorders>
              <w:bottom w:val="single" w:sz="8" w:color="D7282F"/>
            </w:tcBorders>
          </w:tcPr>
          <w:p>
            <w:pPr>
              <w:spacing w:after="0"/>
              <w:rPr>
                <w:sz w:val="11"/>
                <w:szCs w:val="11"/>
                <w:color w:val="auto"/>
              </w:rPr>
            </w:pPr>
          </w:p>
        </w:tc>
        <w:tc>
          <w:tcPr>
            <w:tcW w:w="780" w:type="dxa"/>
            <w:vAlign w:val="bottom"/>
            <w:tcBorders>
              <w:bottom w:val="single" w:sz="8" w:color="D7282F"/>
            </w:tcBorders>
          </w:tcPr>
          <w:p>
            <w:pPr>
              <w:spacing w:after="0"/>
              <w:rPr>
                <w:sz w:val="11"/>
                <w:szCs w:val="11"/>
                <w:color w:val="auto"/>
              </w:rPr>
            </w:pPr>
          </w:p>
        </w:tc>
      </w:tr>
      <w:tr>
        <w:trPr>
          <w:trHeight w:val="283"/>
        </w:trPr>
        <w:tc>
          <w:tcPr>
            <w:tcW w:w="5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2025</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r>
      <w:tr>
        <w:trPr>
          <w:trHeight w:val="130"/>
        </w:trPr>
        <w:tc>
          <w:tcPr>
            <w:tcW w:w="5900" w:type="dxa"/>
            <w:vAlign w:val="bottom"/>
            <w:tcBorders>
              <w:bottom w:val="single" w:sz="8" w:color="D7282F"/>
            </w:tcBorders>
          </w:tcPr>
          <w:p>
            <w:pPr>
              <w:spacing w:after="0"/>
              <w:rPr>
                <w:sz w:val="11"/>
                <w:szCs w:val="11"/>
                <w:color w:val="auto"/>
              </w:rPr>
            </w:pPr>
          </w:p>
        </w:tc>
        <w:tc>
          <w:tcPr>
            <w:tcW w:w="200" w:type="dxa"/>
            <w:vAlign w:val="bottom"/>
            <w:tcBorders>
              <w:bottom w:val="single" w:sz="8" w:color="D7282F"/>
            </w:tcBorders>
          </w:tcPr>
          <w:p>
            <w:pPr>
              <w:spacing w:after="0"/>
              <w:rPr>
                <w:sz w:val="11"/>
                <w:szCs w:val="11"/>
                <w:color w:val="auto"/>
              </w:rPr>
            </w:pPr>
          </w:p>
        </w:tc>
        <w:tc>
          <w:tcPr>
            <w:tcW w:w="780" w:type="dxa"/>
            <w:vAlign w:val="bottom"/>
            <w:tcBorders>
              <w:bottom w:val="single" w:sz="8" w:color="D7282F"/>
            </w:tcBorders>
          </w:tcPr>
          <w:p>
            <w:pPr>
              <w:spacing w:after="0"/>
              <w:rPr>
                <w:sz w:val="11"/>
                <w:szCs w:val="11"/>
                <w:color w:val="auto"/>
              </w:rPr>
            </w:pPr>
          </w:p>
        </w:tc>
        <w:tc>
          <w:tcPr>
            <w:tcW w:w="200" w:type="dxa"/>
            <w:vAlign w:val="bottom"/>
            <w:tcBorders>
              <w:bottom w:val="single" w:sz="8" w:color="D7282F"/>
            </w:tcBorders>
          </w:tcPr>
          <w:p>
            <w:pPr>
              <w:spacing w:after="0"/>
              <w:rPr>
                <w:sz w:val="11"/>
                <w:szCs w:val="11"/>
                <w:color w:val="auto"/>
              </w:rPr>
            </w:pPr>
          </w:p>
        </w:tc>
        <w:tc>
          <w:tcPr>
            <w:tcW w:w="760" w:type="dxa"/>
            <w:vAlign w:val="bottom"/>
            <w:tcBorders>
              <w:bottom w:val="single" w:sz="8" w:color="D7282F"/>
            </w:tcBorders>
          </w:tcPr>
          <w:p>
            <w:pPr>
              <w:spacing w:after="0"/>
              <w:rPr>
                <w:sz w:val="11"/>
                <w:szCs w:val="11"/>
                <w:color w:val="auto"/>
              </w:rPr>
            </w:pPr>
          </w:p>
        </w:tc>
        <w:tc>
          <w:tcPr>
            <w:tcW w:w="200" w:type="dxa"/>
            <w:vAlign w:val="bottom"/>
            <w:tcBorders>
              <w:bottom w:val="single" w:sz="8" w:color="D7282F"/>
            </w:tcBorders>
          </w:tcPr>
          <w:p>
            <w:pPr>
              <w:spacing w:after="0"/>
              <w:rPr>
                <w:sz w:val="11"/>
                <w:szCs w:val="11"/>
                <w:color w:val="auto"/>
              </w:rPr>
            </w:pPr>
          </w:p>
        </w:tc>
        <w:tc>
          <w:tcPr>
            <w:tcW w:w="780" w:type="dxa"/>
            <w:vAlign w:val="bottom"/>
            <w:tcBorders>
              <w:bottom w:val="single" w:sz="8" w:color="D7282F"/>
            </w:tcBorders>
          </w:tcPr>
          <w:p>
            <w:pPr>
              <w:spacing w:after="0"/>
              <w:rPr>
                <w:sz w:val="11"/>
                <w:szCs w:val="11"/>
                <w:color w:val="auto"/>
              </w:rPr>
            </w:pPr>
          </w:p>
        </w:tc>
        <w:tc>
          <w:tcPr>
            <w:tcW w:w="180" w:type="dxa"/>
            <w:vAlign w:val="bottom"/>
            <w:tcBorders>
              <w:bottom w:val="single" w:sz="8" w:color="D7282F"/>
            </w:tcBorders>
          </w:tcPr>
          <w:p>
            <w:pPr>
              <w:spacing w:after="0"/>
              <w:rPr>
                <w:sz w:val="11"/>
                <w:szCs w:val="11"/>
                <w:color w:val="auto"/>
              </w:rPr>
            </w:pPr>
          </w:p>
        </w:tc>
        <w:tc>
          <w:tcPr>
            <w:tcW w:w="800" w:type="dxa"/>
            <w:vAlign w:val="bottom"/>
            <w:tcBorders>
              <w:bottom w:val="single" w:sz="8" w:color="D7282F"/>
            </w:tcBorders>
          </w:tcPr>
          <w:p>
            <w:pPr>
              <w:spacing w:after="0"/>
              <w:rPr>
                <w:sz w:val="11"/>
                <w:szCs w:val="11"/>
                <w:color w:val="auto"/>
              </w:rPr>
            </w:pPr>
          </w:p>
        </w:tc>
        <w:tc>
          <w:tcPr>
            <w:tcW w:w="180" w:type="dxa"/>
            <w:vAlign w:val="bottom"/>
            <w:tcBorders>
              <w:bottom w:val="single" w:sz="8" w:color="D7282F"/>
            </w:tcBorders>
          </w:tcPr>
          <w:p>
            <w:pPr>
              <w:spacing w:after="0"/>
              <w:rPr>
                <w:sz w:val="11"/>
                <w:szCs w:val="11"/>
                <w:color w:val="auto"/>
              </w:rPr>
            </w:pPr>
          </w:p>
        </w:tc>
        <w:tc>
          <w:tcPr>
            <w:tcW w:w="780" w:type="dxa"/>
            <w:vAlign w:val="bottom"/>
            <w:tcBorders>
              <w:bottom w:val="single" w:sz="8" w:color="D7282F"/>
            </w:tcBorders>
          </w:tcPr>
          <w:p>
            <w:pPr>
              <w:spacing w:after="0"/>
              <w:rPr>
                <w:sz w:val="11"/>
                <w:szCs w:val="11"/>
                <w:color w:val="auto"/>
              </w:rPr>
            </w:pPr>
          </w:p>
        </w:tc>
      </w:tr>
      <w:tr>
        <w:trPr>
          <w:trHeight w:val="282"/>
        </w:trPr>
        <w:tc>
          <w:tcPr>
            <w:tcW w:w="5900" w:type="dxa"/>
            <w:vAlign w:val="bottom"/>
          </w:tcPr>
          <w:p>
            <w:pPr>
              <w:ind w:left="20"/>
              <w:spacing w:after="0"/>
              <w:rPr>
                <w:sz w:val="20"/>
                <w:szCs w:val="20"/>
                <w:color w:val="auto"/>
              </w:rPr>
            </w:pPr>
            <w:r>
              <w:rPr>
                <w:rFonts w:ascii="Arial" w:cs="Arial" w:eastAsia="Arial" w:hAnsi="Arial"/>
                <w:sz w:val="13"/>
                <w:szCs w:val="13"/>
                <w:b w:val="1"/>
                <w:bCs w:val="1"/>
                <w:color w:val="auto"/>
              </w:rPr>
              <w:t>Total Reported in Summary Compensation Table (SCT)</w:t>
            </w:r>
          </w:p>
        </w:tc>
        <w:tc>
          <w:tcPr>
            <w:tcW w:w="20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5,241,759</w:t>
            </w:r>
          </w:p>
        </w:tc>
        <w:tc>
          <w:tcPr>
            <w:tcW w:w="200" w:type="dxa"/>
            <w:vAlign w:val="bottom"/>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6,741,799</w:t>
            </w:r>
          </w:p>
        </w:tc>
        <w:tc>
          <w:tcPr>
            <w:tcW w:w="20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6,531,247</w:t>
            </w:r>
          </w:p>
        </w:tc>
        <w:tc>
          <w:tcPr>
            <w:tcW w:w="180" w:type="dxa"/>
            <w:vAlign w:val="bottom"/>
          </w:tcPr>
          <w:p>
            <w:pPr>
              <w:jc w:val="right"/>
              <w:ind w:right="17"/>
              <w:spacing w:after="0"/>
              <w:rPr>
                <w:sz w:val="20"/>
                <w:szCs w:val="20"/>
                <w:color w:val="auto"/>
              </w:rPr>
            </w:pPr>
            <w:r>
              <w:rPr>
                <w:rFonts w:ascii="Arial" w:cs="Arial" w:eastAsia="Arial" w:hAnsi="Arial"/>
                <w:sz w:val="13"/>
                <w:szCs w:val="13"/>
                <w:b w:val="1"/>
                <w:bCs w:val="1"/>
                <w:color w:val="auto"/>
              </w:rPr>
              <w:t>$</w:t>
            </w:r>
          </w:p>
        </w:tc>
        <w:tc>
          <w:tcPr>
            <w:tcW w:w="800" w:type="dxa"/>
            <w:vAlign w:val="bottom"/>
          </w:tcPr>
          <w:p>
            <w:pPr>
              <w:jc w:val="right"/>
              <w:ind w:right="17"/>
              <w:spacing w:after="0"/>
              <w:rPr>
                <w:sz w:val="20"/>
                <w:szCs w:val="20"/>
                <w:color w:val="auto"/>
              </w:rPr>
            </w:pPr>
            <w:r>
              <w:rPr>
                <w:rFonts w:ascii="Arial" w:cs="Arial" w:eastAsia="Arial" w:hAnsi="Arial"/>
                <w:sz w:val="13"/>
                <w:szCs w:val="13"/>
                <w:b w:val="1"/>
                <w:bCs w:val="1"/>
                <w:color w:val="auto"/>
              </w:rPr>
              <w:t>8,310,085</w:t>
            </w:r>
          </w:p>
        </w:tc>
        <w:tc>
          <w:tcPr>
            <w:tcW w:w="180" w:type="dxa"/>
            <w:vAlign w:val="bottom"/>
          </w:tcPr>
          <w:p>
            <w:pPr>
              <w:jc w:val="right"/>
              <w:ind w:right="37"/>
              <w:spacing w:after="0"/>
              <w:rPr>
                <w:sz w:val="20"/>
                <w:szCs w:val="20"/>
                <w:color w:val="auto"/>
              </w:rPr>
            </w:pPr>
            <w:r>
              <w:rPr>
                <w:rFonts w:ascii="Arial" w:cs="Arial" w:eastAsia="Arial" w:hAnsi="Arial"/>
                <w:sz w:val="13"/>
                <w:szCs w:val="13"/>
                <w:b w:val="1"/>
                <w:bCs w:val="1"/>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7,489,516</w:t>
            </w:r>
          </w:p>
        </w:tc>
      </w:tr>
      <w:tr>
        <w:trPr>
          <w:trHeight w:val="130"/>
        </w:trPr>
        <w:tc>
          <w:tcPr>
            <w:tcW w:w="59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r>
      <w:tr>
        <w:trPr>
          <w:trHeight w:val="276"/>
        </w:trPr>
        <w:tc>
          <w:tcPr>
            <w:tcW w:w="5900" w:type="dxa"/>
            <w:vAlign w:val="bottom"/>
          </w:tcPr>
          <w:p>
            <w:pPr>
              <w:ind w:left="20"/>
              <w:spacing w:after="0"/>
              <w:rPr>
                <w:sz w:val="20"/>
                <w:szCs w:val="20"/>
                <w:color w:val="auto"/>
              </w:rPr>
            </w:pPr>
            <w:r>
              <w:rPr>
                <w:rFonts w:ascii="Arial" w:cs="Arial" w:eastAsia="Arial" w:hAnsi="Arial"/>
                <w:sz w:val="13"/>
                <w:szCs w:val="13"/>
                <w:color w:val="auto"/>
              </w:rPr>
              <w:t>Less, Value of Stock &amp; Option Awards Reported in SCT</w:t>
            </w: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(3,332,757)</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(4,619,960)</w:t>
            </w: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(4,410,961)</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(6,206,612)</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(5,394,884)</w:t>
            </w:r>
          </w:p>
        </w:tc>
      </w:tr>
      <w:tr>
        <w:trPr>
          <w:trHeight w:val="135"/>
        </w:trPr>
        <w:tc>
          <w:tcPr>
            <w:tcW w:w="5900" w:type="dxa"/>
            <w:vAlign w:val="bottom"/>
            <w:tcBorders>
              <w:bottom w:val="single" w:sz="8" w:color="939598"/>
            </w:tcBorders>
          </w:tcPr>
          <w:p>
            <w:pPr>
              <w:spacing w:after="0"/>
              <w:rPr>
                <w:sz w:val="11"/>
                <w:szCs w:val="11"/>
                <w:color w:val="auto"/>
              </w:rPr>
            </w:pPr>
          </w:p>
        </w:tc>
        <w:tc>
          <w:tcPr>
            <w:tcW w:w="200" w:type="dxa"/>
            <w:vAlign w:val="bottom"/>
            <w:tcBorders>
              <w:bottom w:val="single" w:sz="8" w:color="939598"/>
            </w:tcBorders>
          </w:tcPr>
          <w:p>
            <w:pPr>
              <w:spacing w:after="0"/>
              <w:rPr>
                <w:sz w:val="11"/>
                <w:szCs w:val="11"/>
                <w:color w:val="auto"/>
              </w:rPr>
            </w:pPr>
          </w:p>
        </w:tc>
        <w:tc>
          <w:tcPr>
            <w:tcW w:w="780" w:type="dxa"/>
            <w:vAlign w:val="bottom"/>
            <w:tcBorders>
              <w:bottom w:val="single" w:sz="8" w:color="939598"/>
            </w:tcBorders>
          </w:tcPr>
          <w:p>
            <w:pPr>
              <w:spacing w:after="0"/>
              <w:rPr>
                <w:sz w:val="11"/>
                <w:szCs w:val="11"/>
                <w:color w:val="auto"/>
              </w:rPr>
            </w:pPr>
          </w:p>
        </w:tc>
        <w:tc>
          <w:tcPr>
            <w:tcW w:w="200" w:type="dxa"/>
            <w:vAlign w:val="bottom"/>
            <w:tcBorders>
              <w:bottom w:val="single" w:sz="8" w:color="939598"/>
            </w:tcBorders>
          </w:tcPr>
          <w:p>
            <w:pPr>
              <w:spacing w:after="0"/>
              <w:rPr>
                <w:sz w:val="11"/>
                <w:szCs w:val="11"/>
                <w:color w:val="auto"/>
              </w:rPr>
            </w:pPr>
          </w:p>
        </w:tc>
        <w:tc>
          <w:tcPr>
            <w:tcW w:w="760" w:type="dxa"/>
            <w:vAlign w:val="bottom"/>
            <w:tcBorders>
              <w:bottom w:val="single" w:sz="8" w:color="939598"/>
            </w:tcBorders>
          </w:tcPr>
          <w:p>
            <w:pPr>
              <w:spacing w:after="0"/>
              <w:rPr>
                <w:sz w:val="11"/>
                <w:szCs w:val="11"/>
                <w:color w:val="auto"/>
              </w:rPr>
            </w:pPr>
          </w:p>
        </w:tc>
        <w:tc>
          <w:tcPr>
            <w:tcW w:w="200" w:type="dxa"/>
            <w:vAlign w:val="bottom"/>
            <w:tcBorders>
              <w:bottom w:val="single" w:sz="8" w:color="939598"/>
            </w:tcBorders>
          </w:tcPr>
          <w:p>
            <w:pPr>
              <w:spacing w:after="0"/>
              <w:rPr>
                <w:sz w:val="11"/>
                <w:szCs w:val="11"/>
                <w:color w:val="auto"/>
              </w:rPr>
            </w:pPr>
          </w:p>
        </w:tc>
        <w:tc>
          <w:tcPr>
            <w:tcW w:w="780" w:type="dxa"/>
            <w:vAlign w:val="bottom"/>
            <w:tcBorders>
              <w:bottom w:val="single" w:sz="8" w:color="939598"/>
            </w:tcBorders>
          </w:tcPr>
          <w:p>
            <w:pPr>
              <w:spacing w:after="0"/>
              <w:rPr>
                <w:sz w:val="11"/>
                <w:szCs w:val="11"/>
                <w:color w:val="auto"/>
              </w:rPr>
            </w:pPr>
          </w:p>
        </w:tc>
        <w:tc>
          <w:tcPr>
            <w:tcW w:w="180" w:type="dxa"/>
            <w:vAlign w:val="bottom"/>
            <w:tcBorders>
              <w:bottom w:val="single" w:sz="8" w:color="939598"/>
            </w:tcBorders>
          </w:tcPr>
          <w:p>
            <w:pPr>
              <w:spacing w:after="0"/>
              <w:rPr>
                <w:sz w:val="11"/>
                <w:szCs w:val="11"/>
                <w:color w:val="auto"/>
              </w:rPr>
            </w:pPr>
          </w:p>
        </w:tc>
        <w:tc>
          <w:tcPr>
            <w:tcW w:w="800" w:type="dxa"/>
            <w:vAlign w:val="bottom"/>
            <w:tcBorders>
              <w:bottom w:val="single" w:sz="8" w:color="939598"/>
            </w:tcBorders>
          </w:tcPr>
          <w:p>
            <w:pPr>
              <w:spacing w:after="0"/>
              <w:rPr>
                <w:sz w:val="11"/>
                <w:szCs w:val="11"/>
                <w:color w:val="auto"/>
              </w:rPr>
            </w:pPr>
          </w:p>
        </w:tc>
        <w:tc>
          <w:tcPr>
            <w:tcW w:w="180" w:type="dxa"/>
            <w:vAlign w:val="bottom"/>
            <w:tcBorders>
              <w:bottom w:val="single" w:sz="8" w:color="939598"/>
            </w:tcBorders>
          </w:tcPr>
          <w:p>
            <w:pPr>
              <w:spacing w:after="0"/>
              <w:rPr>
                <w:sz w:val="11"/>
                <w:szCs w:val="11"/>
                <w:color w:val="auto"/>
              </w:rPr>
            </w:pPr>
          </w:p>
        </w:tc>
        <w:tc>
          <w:tcPr>
            <w:tcW w:w="780" w:type="dxa"/>
            <w:vAlign w:val="bottom"/>
            <w:tcBorders>
              <w:bottom w:val="single" w:sz="8" w:color="939598"/>
            </w:tcBorders>
          </w:tcPr>
          <w:p>
            <w:pPr>
              <w:spacing w:after="0"/>
              <w:rPr>
                <w:sz w:val="11"/>
                <w:szCs w:val="11"/>
                <w:color w:val="auto"/>
              </w:rPr>
            </w:pPr>
          </w:p>
        </w:tc>
      </w:tr>
      <w:tr>
        <w:trPr>
          <w:trHeight w:val="277"/>
        </w:trPr>
        <w:tc>
          <w:tcPr>
            <w:tcW w:w="5900" w:type="dxa"/>
            <w:vAlign w:val="bottom"/>
          </w:tcPr>
          <w:p>
            <w:pPr>
              <w:ind w:left="20"/>
              <w:spacing w:after="0"/>
              <w:rPr>
                <w:sz w:val="20"/>
                <w:szCs w:val="20"/>
                <w:color w:val="auto"/>
              </w:rPr>
            </w:pPr>
            <w:r>
              <w:rPr>
                <w:rFonts w:ascii="Arial" w:cs="Arial" w:eastAsia="Arial" w:hAnsi="Arial"/>
                <w:sz w:val="13"/>
                <w:szCs w:val="13"/>
                <w:color w:val="auto"/>
              </w:rPr>
              <w:t>Less, Change in Pension Value and Non-Qualified Deferred Compensation Earnings in SCT</w:t>
            </w: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(73,878)</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(240,762)</w:t>
            </w: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(228,752)</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(257,602)</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(151,402)</w:t>
            </w:r>
          </w:p>
        </w:tc>
      </w:tr>
      <w:tr>
        <w:trPr>
          <w:trHeight w:val="135"/>
        </w:trPr>
        <w:tc>
          <w:tcPr>
            <w:tcW w:w="5900" w:type="dxa"/>
            <w:vAlign w:val="bottom"/>
            <w:tcBorders>
              <w:bottom w:val="single" w:sz="8" w:color="939598"/>
            </w:tcBorders>
          </w:tcPr>
          <w:p>
            <w:pPr>
              <w:spacing w:after="0"/>
              <w:rPr>
                <w:sz w:val="11"/>
                <w:szCs w:val="11"/>
                <w:color w:val="auto"/>
              </w:rPr>
            </w:pPr>
          </w:p>
        </w:tc>
        <w:tc>
          <w:tcPr>
            <w:tcW w:w="200" w:type="dxa"/>
            <w:vAlign w:val="bottom"/>
            <w:tcBorders>
              <w:bottom w:val="single" w:sz="8" w:color="939598"/>
            </w:tcBorders>
          </w:tcPr>
          <w:p>
            <w:pPr>
              <w:spacing w:after="0"/>
              <w:rPr>
                <w:sz w:val="11"/>
                <w:szCs w:val="11"/>
                <w:color w:val="auto"/>
              </w:rPr>
            </w:pPr>
          </w:p>
        </w:tc>
        <w:tc>
          <w:tcPr>
            <w:tcW w:w="780" w:type="dxa"/>
            <w:vAlign w:val="bottom"/>
            <w:tcBorders>
              <w:bottom w:val="single" w:sz="8" w:color="939598"/>
            </w:tcBorders>
          </w:tcPr>
          <w:p>
            <w:pPr>
              <w:spacing w:after="0"/>
              <w:rPr>
                <w:sz w:val="11"/>
                <w:szCs w:val="11"/>
                <w:color w:val="auto"/>
              </w:rPr>
            </w:pPr>
          </w:p>
        </w:tc>
        <w:tc>
          <w:tcPr>
            <w:tcW w:w="200" w:type="dxa"/>
            <w:vAlign w:val="bottom"/>
            <w:tcBorders>
              <w:bottom w:val="single" w:sz="8" w:color="939598"/>
            </w:tcBorders>
          </w:tcPr>
          <w:p>
            <w:pPr>
              <w:spacing w:after="0"/>
              <w:rPr>
                <w:sz w:val="11"/>
                <w:szCs w:val="11"/>
                <w:color w:val="auto"/>
              </w:rPr>
            </w:pPr>
          </w:p>
        </w:tc>
        <w:tc>
          <w:tcPr>
            <w:tcW w:w="760" w:type="dxa"/>
            <w:vAlign w:val="bottom"/>
            <w:tcBorders>
              <w:bottom w:val="single" w:sz="8" w:color="939598"/>
            </w:tcBorders>
          </w:tcPr>
          <w:p>
            <w:pPr>
              <w:spacing w:after="0"/>
              <w:rPr>
                <w:sz w:val="11"/>
                <w:szCs w:val="11"/>
                <w:color w:val="auto"/>
              </w:rPr>
            </w:pPr>
          </w:p>
        </w:tc>
        <w:tc>
          <w:tcPr>
            <w:tcW w:w="200" w:type="dxa"/>
            <w:vAlign w:val="bottom"/>
            <w:tcBorders>
              <w:bottom w:val="single" w:sz="8" w:color="939598"/>
            </w:tcBorders>
          </w:tcPr>
          <w:p>
            <w:pPr>
              <w:spacing w:after="0"/>
              <w:rPr>
                <w:sz w:val="11"/>
                <w:szCs w:val="11"/>
                <w:color w:val="auto"/>
              </w:rPr>
            </w:pPr>
          </w:p>
        </w:tc>
        <w:tc>
          <w:tcPr>
            <w:tcW w:w="780" w:type="dxa"/>
            <w:vAlign w:val="bottom"/>
            <w:tcBorders>
              <w:bottom w:val="single" w:sz="8" w:color="939598"/>
            </w:tcBorders>
          </w:tcPr>
          <w:p>
            <w:pPr>
              <w:spacing w:after="0"/>
              <w:rPr>
                <w:sz w:val="11"/>
                <w:szCs w:val="11"/>
                <w:color w:val="auto"/>
              </w:rPr>
            </w:pPr>
          </w:p>
        </w:tc>
        <w:tc>
          <w:tcPr>
            <w:tcW w:w="180" w:type="dxa"/>
            <w:vAlign w:val="bottom"/>
            <w:tcBorders>
              <w:bottom w:val="single" w:sz="8" w:color="939598"/>
            </w:tcBorders>
          </w:tcPr>
          <w:p>
            <w:pPr>
              <w:spacing w:after="0"/>
              <w:rPr>
                <w:sz w:val="11"/>
                <w:szCs w:val="11"/>
                <w:color w:val="auto"/>
              </w:rPr>
            </w:pPr>
          </w:p>
        </w:tc>
        <w:tc>
          <w:tcPr>
            <w:tcW w:w="800" w:type="dxa"/>
            <w:vAlign w:val="bottom"/>
            <w:tcBorders>
              <w:bottom w:val="single" w:sz="8" w:color="939598"/>
            </w:tcBorders>
          </w:tcPr>
          <w:p>
            <w:pPr>
              <w:spacing w:after="0"/>
              <w:rPr>
                <w:sz w:val="11"/>
                <w:szCs w:val="11"/>
                <w:color w:val="auto"/>
              </w:rPr>
            </w:pPr>
          </w:p>
        </w:tc>
        <w:tc>
          <w:tcPr>
            <w:tcW w:w="180" w:type="dxa"/>
            <w:vAlign w:val="bottom"/>
            <w:tcBorders>
              <w:bottom w:val="single" w:sz="8" w:color="939598"/>
            </w:tcBorders>
          </w:tcPr>
          <w:p>
            <w:pPr>
              <w:spacing w:after="0"/>
              <w:rPr>
                <w:sz w:val="11"/>
                <w:szCs w:val="11"/>
                <w:color w:val="auto"/>
              </w:rPr>
            </w:pPr>
          </w:p>
        </w:tc>
        <w:tc>
          <w:tcPr>
            <w:tcW w:w="780" w:type="dxa"/>
            <w:vAlign w:val="bottom"/>
            <w:tcBorders>
              <w:bottom w:val="single" w:sz="8" w:color="939598"/>
            </w:tcBorders>
          </w:tcPr>
          <w:p>
            <w:pPr>
              <w:spacing w:after="0"/>
              <w:rPr>
                <w:sz w:val="11"/>
                <w:szCs w:val="11"/>
                <w:color w:val="auto"/>
              </w:rPr>
            </w:pPr>
          </w:p>
        </w:tc>
      </w:tr>
      <w:tr>
        <w:trPr>
          <w:trHeight w:val="277"/>
        </w:trPr>
        <w:tc>
          <w:tcPr>
            <w:tcW w:w="5900" w:type="dxa"/>
            <w:vAlign w:val="bottom"/>
          </w:tcPr>
          <w:p>
            <w:pPr>
              <w:ind w:left="20"/>
              <w:spacing w:after="0"/>
              <w:rPr>
                <w:sz w:val="20"/>
                <w:szCs w:val="20"/>
                <w:color w:val="auto"/>
              </w:rPr>
            </w:pPr>
            <w:r>
              <w:rPr>
                <w:rFonts w:ascii="Arial" w:cs="Arial" w:eastAsia="Arial" w:hAnsi="Arial"/>
                <w:sz w:val="13"/>
                <w:szCs w:val="13"/>
                <w:color w:val="auto"/>
              </w:rPr>
              <w:t>Plus, Pension Service Cost</w:t>
            </w: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79,833</w:t>
            </w: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61,265</w:t>
            </w:r>
          </w:p>
        </w:tc>
        <w:tc>
          <w:tcPr>
            <w:tcW w:w="180" w:type="dxa"/>
            <w:vAlign w:val="bottom"/>
          </w:tcPr>
          <w:p>
            <w:pPr>
              <w:spacing w:after="0"/>
              <w:rPr>
                <w:sz w:val="24"/>
                <w:szCs w:val="2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44,745</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82,389</w:t>
            </w:r>
          </w:p>
        </w:tc>
      </w:tr>
      <w:tr>
        <w:trPr>
          <w:trHeight w:val="135"/>
        </w:trPr>
        <w:tc>
          <w:tcPr>
            <w:tcW w:w="5900" w:type="dxa"/>
            <w:vAlign w:val="bottom"/>
            <w:tcBorders>
              <w:bottom w:val="single" w:sz="8" w:color="939598"/>
            </w:tcBorders>
          </w:tcPr>
          <w:p>
            <w:pPr>
              <w:spacing w:after="0"/>
              <w:rPr>
                <w:sz w:val="11"/>
                <w:szCs w:val="11"/>
                <w:color w:val="auto"/>
              </w:rPr>
            </w:pPr>
          </w:p>
        </w:tc>
        <w:tc>
          <w:tcPr>
            <w:tcW w:w="200" w:type="dxa"/>
            <w:vAlign w:val="bottom"/>
            <w:tcBorders>
              <w:bottom w:val="single" w:sz="8" w:color="939598"/>
            </w:tcBorders>
          </w:tcPr>
          <w:p>
            <w:pPr>
              <w:spacing w:after="0"/>
              <w:rPr>
                <w:sz w:val="11"/>
                <w:szCs w:val="11"/>
                <w:color w:val="auto"/>
              </w:rPr>
            </w:pPr>
          </w:p>
        </w:tc>
        <w:tc>
          <w:tcPr>
            <w:tcW w:w="780" w:type="dxa"/>
            <w:vAlign w:val="bottom"/>
            <w:tcBorders>
              <w:bottom w:val="single" w:sz="8" w:color="939598"/>
            </w:tcBorders>
          </w:tcPr>
          <w:p>
            <w:pPr>
              <w:spacing w:after="0"/>
              <w:rPr>
                <w:sz w:val="11"/>
                <w:szCs w:val="11"/>
                <w:color w:val="auto"/>
              </w:rPr>
            </w:pPr>
          </w:p>
        </w:tc>
        <w:tc>
          <w:tcPr>
            <w:tcW w:w="200" w:type="dxa"/>
            <w:vAlign w:val="bottom"/>
            <w:tcBorders>
              <w:bottom w:val="single" w:sz="8" w:color="939598"/>
            </w:tcBorders>
          </w:tcPr>
          <w:p>
            <w:pPr>
              <w:spacing w:after="0"/>
              <w:rPr>
                <w:sz w:val="11"/>
                <w:szCs w:val="11"/>
                <w:color w:val="auto"/>
              </w:rPr>
            </w:pPr>
          </w:p>
        </w:tc>
        <w:tc>
          <w:tcPr>
            <w:tcW w:w="760" w:type="dxa"/>
            <w:vAlign w:val="bottom"/>
            <w:tcBorders>
              <w:bottom w:val="single" w:sz="8" w:color="939598"/>
            </w:tcBorders>
          </w:tcPr>
          <w:p>
            <w:pPr>
              <w:spacing w:after="0"/>
              <w:rPr>
                <w:sz w:val="11"/>
                <w:szCs w:val="11"/>
                <w:color w:val="auto"/>
              </w:rPr>
            </w:pPr>
          </w:p>
        </w:tc>
        <w:tc>
          <w:tcPr>
            <w:tcW w:w="200" w:type="dxa"/>
            <w:vAlign w:val="bottom"/>
            <w:tcBorders>
              <w:bottom w:val="single" w:sz="8" w:color="939598"/>
            </w:tcBorders>
          </w:tcPr>
          <w:p>
            <w:pPr>
              <w:spacing w:after="0"/>
              <w:rPr>
                <w:sz w:val="11"/>
                <w:szCs w:val="11"/>
                <w:color w:val="auto"/>
              </w:rPr>
            </w:pPr>
          </w:p>
        </w:tc>
        <w:tc>
          <w:tcPr>
            <w:tcW w:w="780" w:type="dxa"/>
            <w:vAlign w:val="bottom"/>
            <w:tcBorders>
              <w:bottom w:val="single" w:sz="8" w:color="939598"/>
            </w:tcBorders>
          </w:tcPr>
          <w:p>
            <w:pPr>
              <w:spacing w:after="0"/>
              <w:rPr>
                <w:sz w:val="11"/>
                <w:szCs w:val="11"/>
                <w:color w:val="auto"/>
              </w:rPr>
            </w:pPr>
          </w:p>
        </w:tc>
        <w:tc>
          <w:tcPr>
            <w:tcW w:w="180" w:type="dxa"/>
            <w:vAlign w:val="bottom"/>
            <w:tcBorders>
              <w:bottom w:val="single" w:sz="8" w:color="939598"/>
            </w:tcBorders>
          </w:tcPr>
          <w:p>
            <w:pPr>
              <w:spacing w:after="0"/>
              <w:rPr>
                <w:sz w:val="11"/>
                <w:szCs w:val="11"/>
                <w:color w:val="auto"/>
              </w:rPr>
            </w:pPr>
          </w:p>
        </w:tc>
        <w:tc>
          <w:tcPr>
            <w:tcW w:w="800" w:type="dxa"/>
            <w:vAlign w:val="bottom"/>
            <w:tcBorders>
              <w:bottom w:val="single" w:sz="8" w:color="939598"/>
            </w:tcBorders>
          </w:tcPr>
          <w:p>
            <w:pPr>
              <w:spacing w:after="0"/>
              <w:rPr>
                <w:sz w:val="11"/>
                <w:szCs w:val="11"/>
                <w:color w:val="auto"/>
              </w:rPr>
            </w:pPr>
          </w:p>
        </w:tc>
        <w:tc>
          <w:tcPr>
            <w:tcW w:w="180" w:type="dxa"/>
            <w:vAlign w:val="bottom"/>
            <w:tcBorders>
              <w:bottom w:val="single" w:sz="8" w:color="939598"/>
            </w:tcBorders>
          </w:tcPr>
          <w:p>
            <w:pPr>
              <w:spacing w:after="0"/>
              <w:rPr>
                <w:sz w:val="11"/>
                <w:szCs w:val="11"/>
                <w:color w:val="auto"/>
              </w:rPr>
            </w:pPr>
          </w:p>
        </w:tc>
        <w:tc>
          <w:tcPr>
            <w:tcW w:w="780" w:type="dxa"/>
            <w:vAlign w:val="bottom"/>
            <w:tcBorders>
              <w:bottom w:val="single" w:sz="8" w:color="939598"/>
            </w:tcBorders>
          </w:tcPr>
          <w:p>
            <w:pPr>
              <w:spacing w:after="0"/>
              <w:rPr>
                <w:sz w:val="11"/>
                <w:szCs w:val="11"/>
                <w:color w:val="auto"/>
              </w:rPr>
            </w:pPr>
          </w:p>
        </w:tc>
      </w:tr>
      <w:tr>
        <w:trPr>
          <w:trHeight w:val="276"/>
        </w:trPr>
        <w:tc>
          <w:tcPr>
            <w:tcW w:w="5900" w:type="dxa"/>
            <w:vAlign w:val="bottom"/>
          </w:tcPr>
          <w:p>
            <w:pPr>
              <w:ind w:left="20"/>
              <w:spacing w:after="0"/>
              <w:rPr>
                <w:sz w:val="20"/>
                <w:szCs w:val="20"/>
                <w:color w:val="auto"/>
              </w:rPr>
            </w:pPr>
            <w:r>
              <w:rPr>
                <w:rFonts w:ascii="Arial" w:cs="Arial" w:eastAsia="Arial" w:hAnsi="Arial"/>
                <w:sz w:val="13"/>
                <w:szCs w:val="13"/>
                <w:color w:val="auto"/>
              </w:rPr>
              <w:t>Plus, Year-End Value of Awards Granted in Fiscal Year that are Unvested and Outstanding</w:t>
            </w: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3,106,216</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5,811,584</w:t>
            </w: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4,710,290</w:t>
            </w:r>
          </w:p>
        </w:tc>
        <w:tc>
          <w:tcPr>
            <w:tcW w:w="180" w:type="dxa"/>
            <w:vAlign w:val="bottom"/>
          </w:tcPr>
          <w:p>
            <w:pPr>
              <w:spacing w:after="0"/>
              <w:rPr>
                <w:sz w:val="24"/>
                <w:szCs w:val="2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7,905,172</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3,998,779</w:t>
            </w:r>
          </w:p>
        </w:tc>
      </w:tr>
      <w:tr>
        <w:trPr>
          <w:trHeight w:val="135"/>
        </w:trPr>
        <w:tc>
          <w:tcPr>
            <w:tcW w:w="5900" w:type="dxa"/>
            <w:vAlign w:val="bottom"/>
            <w:tcBorders>
              <w:bottom w:val="single" w:sz="8" w:color="939598"/>
            </w:tcBorders>
          </w:tcPr>
          <w:p>
            <w:pPr>
              <w:spacing w:after="0"/>
              <w:rPr>
                <w:sz w:val="11"/>
                <w:szCs w:val="11"/>
                <w:color w:val="auto"/>
              </w:rPr>
            </w:pPr>
          </w:p>
        </w:tc>
        <w:tc>
          <w:tcPr>
            <w:tcW w:w="200" w:type="dxa"/>
            <w:vAlign w:val="bottom"/>
            <w:tcBorders>
              <w:bottom w:val="single" w:sz="8" w:color="939598"/>
            </w:tcBorders>
          </w:tcPr>
          <w:p>
            <w:pPr>
              <w:spacing w:after="0"/>
              <w:rPr>
                <w:sz w:val="11"/>
                <w:szCs w:val="11"/>
                <w:color w:val="auto"/>
              </w:rPr>
            </w:pPr>
          </w:p>
        </w:tc>
        <w:tc>
          <w:tcPr>
            <w:tcW w:w="780" w:type="dxa"/>
            <w:vAlign w:val="bottom"/>
            <w:tcBorders>
              <w:bottom w:val="single" w:sz="8" w:color="939598"/>
            </w:tcBorders>
          </w:tcPr>
          <w:p>
            <w:pPr>
              <w:spacing w:after="0"/>
              <w:rPr>
                <w:sz w:val="11"/>
                <w:szCs w:val="11"/>
                <w:color w:val="auto"/>
              </w:rPr>
            </w:pPr>
          </w:p>
        </w:tc>
        <w:tc>
          <w:tcPr>
            <w:tcW w:w="200" w:type="dxa"/>
            <w:vAlign w:val="bottom"/>
            <w:tcBorders>
              <w:bottom w:val="single" w:sz="8" w:color="939598"/>
            </w:tcBorders>
          </w:tcPr>
          <w:p>
            <w:pPr>
              <w:spacing w:after="0"/>
              <w:rPr>
                <w:sz w:val="11"/>
                <w:szCs w:val="11"/>
                <w:color w:val="auto"/>
              </w:rPr>
            </w:pPr>
          </w:p>
        </w:tc>
        <w:tc>
          <w:tcPr>
            <w:tcW w:w="760" w:type="dxa"/>
            <w:vAlign w:val="bottom"/>
            <w:tcBorders>
              <w:bottom w:val="single" w:sz="8" w:color="939598"/>
            </w:tcBorders>
          </w:tcPr>
          <w:p>
            <w:pPr>
              <w:spacing w:after="0"/>
              <w:rPr>
                <w:sz w:val="11"/>
                <w:szCs w:val="11"/>
                <w:color w:val="auto"/>
              </w:rPr>
            </w:pPr>
          </w:p>
        </w:tc>
        <w:tc>
          <w:tcPr>
            <w:tcW w:w="200" w:type="dxa"/>
            <w:vAlign w:val="bottom"/>
            <w:tcBorders>
              <w:bottom w:val="single" w:sz="8" w:color="939598"/>
            </w:tcBorders>
          </w:tcPr>
          <w:p>
            <w:pPr>
              <w:spacing w:after="0"/>
              <w:rPr>
                <w:sz w:val="11"/>
                <w:szCs w:val="11"/>
                <w:color w:val="auto"/>
              </w:rPr>
            </w:pPr>
          </w:p>
        </w:tc>
        <w:tc>
          <w:tcPr>
            <w:tcW w:w="780" w:type="dxa"/>
            <w:vAlign w:val="bottom"/>
            <w:tcBorders>
              <w:bottom w:val="single" w:sz="8" w:color="939598"/>
            </w:tcBorders>
          </w:tcPr>
          <w:p>
            <w:pPr>
              <w:spacing w:after="0"/>
              <w:rPr>
                <w:sz w:val="11"/>
                <w:szCs w:val="11"/>
                <w:color w:val="auto"/>
              </w:rPr>
            </w:pPr>
          </w:p>
        </w:tc>
        <w:tc>
          <w:tcPr>
            <w:tcW w:w="180" w:type="dxa"/>
            <w:vAlign w:val="bottom"/>
            <w:tcBorders>
              <w:bottom w:val="single" w:sz="8" w:color="939598"/>
            </w:tcBorders>
          </w:tcPr>
          <w:p>
            <w:pPr>
              <w:spacing w:after="0"/>
              <w:rPr>
                <w:sz w:val="11"/>
                <w:szCs w:val="11"/>
                <w:color w:val="auto"/>
              </w:rPr>
            </w:pPr>
          </w:p>
        </w:tc>
        <w:tc>
          <w:tcPr>
            <w:tcW w:w="800" w:type="dxa"/>
            <w:vAlign w:val="bottom"/>
            <w:tcBorders>
              <w:bottom w:val="single" w:sz="8" w:color="939598"/>
            </w:tcBorders>
          </w:tcPr>
          <w:p>
            <w:pPr>
              <w:spacing w:after="0"/>
              <w:rPr>
                <w:sz w:val="11"/>
                <w:szCs w:val="11"/>
                <w:color w:val="auto"/>
              </w:rPr>
            </w:pPr>
          </w:p>
        </w:tc>
        <w:tc>
          <w:tcPr>
            <w:tcW w:w="180" w:type="dxa"/>
            <w:vAlign w:val="bottom"/>
            <w:tcBorders>
              <w:bottom w:val="single" w:sz="8" w:color="939598"/>
            </w:tcBorders>
          </w:tcPr>
          <w:p>
            <w:pPr>
              <w:spacing w:after="0"/>
              <w:rPr>
                <w:sz w:val="11"/>
                <w:szCs w:val="11"/>
                <w:color w:val="auto"/>
              </w:rPr>
            </w:pPr>
          </w:p>
        </w:tc>
        <w:tc>
          <w:tcPr>
            <w:tcW w:w="780" w:type="dxa"/>
            <w:vAlign w:val="bottom"/>
            <w:tcBorders>
              <w:bottom w:val="single" w:sz="8" w:color="939598"/>
            </w:tcBorders>
          </w:tcPr>
          <w:p>
            <w:pPr>
              <w:spacing w:after="0"/>
              <w:rPr>
                <w:sz w:val="11"/>
                <w:szCs w:val="11"/>
                <w:color w:val="auto"/>
              </w:rPr>
            </w:pPr>
          </w:p>
        </w:tc>
      </w:tr>
      <w:tr>
        <w:trPr>
          <w:trHeight w:val="277"/>
        </w:trPr>
        <w:tc>
          <w:tcPr>
            <w:tcW w:w="5900" w:type="dxa"/>
            <w:vAlign w:val="bottom"/>
          </w:tcPr>
          <w:p>
            <w:pPr>
              <w:ind w:left="20"/>
              <w:spacing w:after="0"/>
              <w:rPr>
                <w:sz w:val="20"/>
                <w:szCs w:val="20"/>
                <w:color w:val="auto"/>
              </w:rPr>
            </w:pPr>
            <w:r>
              <w:rPr>
                <w:rFonts w:ascii="Arial" w:cs="Arial" w:eastAsia="Arial" w:hAnsi="Arial"/>
                <w:sz w:val="13"/>
                <w:szCs w:val="13"/>
                <w:color w:val="auto"/>
              </w:rPr>
              <w:t>Plus, Change in Fair Value of Prior Year Awards that are Outstanding and Unvested</w:t>
            </w: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(1,518,402)</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376,031</w:t>
            </w: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282,769</w:t>
            </w:r>
          </w:p>
        </w:tc>
        <w:tc>
          <w:tcPr>
            <w:tcW w:w="180" w:type="dxa"/>
            <w:vAlign w:val="bottom"/>
          </w:tcPr>
          <w:p>
            <w:pPr>
              <w:spacing w:after="0"/>
              <w:rPr>
                <w:sz w:val="24"/>
                <w:szCs w:val="2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1,771,263</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(475,089)</w:t>
            </w:r>
          </w:p>
        </w:tc>
      </w:tr>
      <w:tr>
        <w:trPr>
          <w:trHeight w:val="135"/>
        </w:trPr>
        <w:tc>
          <w:tcPr>
            <w:tcW w:w="5900" w:type="dxa"/>
            <w:vAlign w:val="bottom"/>
            <w:tcBorders>
              <w:bottom w:val="single" w:sz="8" w:color="939598"/>
            </w:tcBorders>
          </w:tcPr>
          <w:p>
            <w:pPr>
              <w:spacing w:after="0"/>
              <w:rPr>
                <w:sz w:val="11"/>
                <w:szCs w:val="11"/>
                <w:color w:val="auto"/>
              </w:rPr>
            </w:pPr>
          </w:p>
        </w:tc>
        <w:tc>
          <w:tcPr>
            <w:tcW w:w="200" w:type="dxa"/>
            <w:vAlign w:val="bottom"/>
            <w:tcBorders>
              <w:bottom w:val="single" w:sz="8" w:color="939598"/>
            </w:tcBorders>
          </w:tcPr>
          <w:p>
            <w:pPr>
              <w:spacing w:after="0"/>
              <w:rPr>
                <w:sz w:val="11"/>
                <w:szCs w:val="11"/>
                <w:color w:val="auto"/>
              </w:rPr>
            </w:pPr>
          </w:p>
        </w:tc>
        <w:tc>
          <w:tcPr>
            <w:tcW w:w="780" w:type="dxa"/>
            <w:vAlign w:val="bottom"/>
            <w:tcBorders>
              <w:bottom w:val="single" w:sz="8" w:color="939598"/>
            </w:tcBorders>
          </w:tcPr>
          <w:p>
            <w:pPr>
              <w:spacing w:after="0"/>
              <w:rPr>
                <w:sz w:val="11"/>
                <w:szCs w:val="11"/>
                <w:color w:val="auto"/>
              </w:rPr>
            </w:pPr>
          </w:p>
        </w:tc>
        <w:tc>
          <w:tcPr>
            <w:tcW w:w="200" w:type="dxa"/>
            <w:vAlign w:val="bottom"/>
            <w:tcBorders>
              <w:bottom w:val="single" w:sz="8" w:color="939598"/>
            </w:tcBorders>
          </w:tcPr>
          <w:p>
            <w:pPr>
              <w:spacing w:after="0"/>
              <w:rPr>
                <w:sz w:val="11"/>
                <w:szCs w:val="11"/>
                <w:color w:val="auto"/>
              </w:rPr>
            </w:pPr>
          </w:p>
        </w:tc>
        <w:tc>
          <w:tcPr>
            <w:tcW w:w="760" w:type="dxa"/>
            <w:vAlign w:val="bottom"/>
            <w:tcBorders>
              <w:bottom w:val="single" w:sz="8" w:color="939598"/>
            </w:tcBorders>
          </w:tcPr>
          <w:p>
            <w:pPr>
              <w:spacing w:after="0"/>
              <w:rPr>
                <w:sz w:val="11"/>
                <w:szCs w:val="11"/>
                <w:color w:val="auto"/>
              </w:rPr>
            </w:pPr>
          </w:p>
        </w:tc>
        <w:tc>
          <w:tcPr>
            <w:tcW w:w="200" w:type="dxa"/>
            <w:vAlign w:val="bottom"/>
            <w:tcBorders>
              <w:bottom w:val="single" w:sz="8" w:color="939598"/>
            </w:tcBorders>
          </w:tcPr>
          <w:p>
            <w:pPr>
              <w:spacing w:after="0"/>
              <w:rPr>
                <w:sz w:val="11"/>
                <w:szCs w:val="11"/>
                <w:color w:val="auto"/>
              </w:rPr>
            </w:pPr>
          </w:p>
        </w:tc>
        <w:tc>
          <w:tcPr>
            <w:tcW w:w="780" w:type="dxa"/>
            <w:vAlign w:val="bottom"/>
            <w:tcBorders>
              <w:bottom w:val="single" w:sz="8" w:color="939598"/>
            </w:tcBorders>
          </w:tcPr>
          <w:p>
            <w:pPr>
              <w:spacing w:after="0"/>
              <w:rPr>
                <w:sz w:val="11"/>
                <w:szCs w:val="11"/>
                <w:color w:val="auto"/>
              </w:rPr>
            </w:pPr>
          </w:p>
        </w:tc>
        <w:tc>
          <w:tcPr>
            <w:tcW w:w="180" w:type="dxa"/>
            <w:vAlign w:val="bottom"/>
            <w:tcBorders>
              <w:bottom w:val="single" w:sz="8" w:color="939598"/>
            </w:tcBorders>
          </w:tcPr>
          <w:p>
            <w:pPr>
              <w:spacing w:after="0"/>
              <w:rPr>
                <w:sz w:val="11"/>
                <w:szCs w:val="11"/>
                <w:color w:val="auto"/>
              </w:rPr>
            </w:pPr>
          </w:p>
        </w:tc>
        <w:tc>
          <w:tcPr>
            <w:tcW w:w="800" w:type="dxa"/>
            <w:vAlign w:val="bottom"/>
            <w:tcBorders>
              <w:bottom w:val="single" w:sz="8" w:color="939598"/>
            </w:tcBorders>
          </w:tcPr>
          <w:p>
            <w:pPr>
              <w:spacing w:after="0"/>
              <w:rPr>
                <w:sz w:val="11"/>
                <w:szCs w:val="11"/>
                <w:color w:val="auto"/>
              </w:rPr>
            </w:pPr>
          </w:p>
        </w:tc>
        <w:tc>
          <w:tcPr>
            <w:tcW w:w="180" w:type="dxa"/>
            <w:vAlign w:val="bottom"/>
            <w:tcBorders>
              <w:bottom w:val="single" w:sz="8" w:color="939598"/>
            </w:tcBorders>
          </w:tcPr>
          <w:p>
            <w:pPr>
              <w:spacing w:after="0"/>
              <w:rPr>
                <w:sz w:val="11"/>
                <w:szCs w:val="11"/>
                <w:color w:val="auto"/>
              </w:rPr>
            </w:pPr>
          </w:p>
        </w:tc>
        <w:tc>
          <w:tcPr>
            <w:tcW w:w="780" w:type="dxa"/>
            <w:vAlign w:val="bottom"/>
            <w:tcBorders>
              <w:bottom w:val="single" w:sz="8" w:color="939598"/>
            </w:tcBorders>
          </w:tcPr>
          <w:p>
            <w:pPr>
              <w:spacing w:after="0"/>
              <w:rPr>
                <w:sz w:val="11"/>
                <w:szCs w:val="11"/>
                <w:color w:val="auto"/>
              </w:rPr>
            </w:pPr>
          </w:p>
        </w:tc>
      </w:tr>
      <w:tr>
        <w:trPr>
          <w:trHeight w:val="276"/>
        </w:trPr>
        <w:tc>
          <w:tcPr>
            <w:tcW w:w="5900" w:type="dxa"/>
            <w:vAlign w:val="bottom"/>
          </w:tcPr>
          <w:p>
            <w:pPr>
              <w:ind w:left="20"/>
              <w:spacing w:after="0"/>
              <w:rPr>
                <w:sz w:val="20"/>
                <w:szCs w:val="20"/>
                <w:color w:val="auto"/>
              </w:rPr>
            </w:pPr>
            <w:r>
              <w:rPr>
                <w:rFonts w:ascii="Arial" w:cs="Arial" w:eastAsia="Arial" w:hAnsi="Arial"/>
                <w:sz w:val="13"/>
                <w:szCs w:val="13"/>
                <w:color w:val="auto"/>
              </w:rPr>
              <w:t>Plus, FMV of Awards Granted this Year and that Vested this Year</w:t>
            </w: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36"/>
        </w:trPr>
        <w:tc>
          <w:tcPr>
            <w:tcW w:w="5900" w:type="dxa"/>
            <w:vAlign w:val="bottom"/>
            <w:tcBorders>
              <w:bottom w:val="single" w:sz="8" w:color="939598"/>
            </w:tcBorders>
          </w:tcPr>
          <w:p>
            <w:pPr>
              <w:spacing w:after="0"/>
              <w:rPr>
                <w:sz w:val="11"/>
                <w:szCs w:val="11"/>
                <w:color w:val="auto"/>
              </w:rPr>
            </w:pPr>
          </w:p>
        </w:tc>
        <w:tc>
          <w:tcPr>
            <w:tcW w:w="200" w:type="dxa"/>
            <w:vAlign w:val="bottom"/>
            <w:tcBorders>
              <w:bottom w:val="single" w:sz="8" w:color="939598"/>
            </w:tcBorders>
          </w:tcPr>
          <w:p>
            <w:pPr>
              <w:spacing w:after="0"/>
              <w:rPr>
                <w:sz w:val="11"/>
                <w:szCs w:val="11"/>
                <w:color w:val="auto"/>
              </w:rPr>
            </w:pPr>
          </w:p>
        </w:tc>
        <w:tc>
          <w:tcPr>
            <w:tcW w:w="780" w:type="dxa"/>
            <w:vAlign w:val="bottom"/>
            <w:tcBorders>
              <w:bottom w:val="single" w:sz="8" w:color="939598"/>
            </w:tcBorders>
          </w:tcPr>
          <w:p>
            <w:pPr>
              <w:spacing w:after="0"/>
              <w:rPr>
                <w:sz w:val="11"/>
                <w:szCs w:val="11"/>
                <w:color w:val="auto"/>
              </w:rPr>
            </w:pPr>
          </w:p>
        </w:tc>
        <w:tc>
          <w:tcPr>
            <w:tcW w:w="200" w:type="dxa"/>
            <w:vAlign w:val="bottom"/>
            <w:tcBorders>
              <w:bottom w:val="single" w:sz="8" w:color="939598"/>
            </w:tcBorders>
          </w:tcPr>
          <w:p>
            <w:pPr>
              <w:spacing w:after="0"/>
              <w:rPr>
                <w:sz w:val="11"/>
                <w:szCs w:val="11"/>
                <w:color w:val="auto"/>
              </w:rPr>
            </w:pPr>
          </w:p>
        </w:tc>
        <w:tc>
          <w:tcPr>
            <w:tcW w:w="760" w:type="dxa"/>
            <w:vAlign w:val="bottom"/>
            <w:tcBorders>
              <w:bottom w:val="single" w:sz="8" w:color="939598"/>
            </w:tcBorders>
          </w:tcPr>
          <w:p>
            <w:pPr>
              <w:spacing w:after="0"/>
              <w:rPr>
                <w:sz w:val="11"/>
                <w:szCs w:val="11"/>
                <w:color w:val="auto"/>
              </w:rPr>
            </w:pPr>
          </w:p>
        </w:tc>
        <w:tc>
          <w:tcPr>
            <w:tcW w:w="200" w:type="dxa"/>
            <w:vAlign w:val="bottom"/>
            <w:tcBorders>
              <w:bottom w:val="single" w:sz="8" w:color="939598"/>
            </w:tcBorders>
          </w:tcPr>
          <w:p>
            <w:pPr>
              <w:spacing w:after="0"/>
              <w:rPr>
                <w:sz w:val="11"/>
                <w:szCs w:val="11"/>
                <w:color w:val="auto"/>
              </w:rPr>
            </w:pPr>
          </w:p>
        </w:tc>
        <w:tc>
          <w:tcPr>
            <w:tcW w:w="780" w:type="dxa"/>
            <w:vAlign w:val="bottom"/>
            <w:tcBorders>
              <w:bottom w:val="single" w:sz="8" w:color="939598"/>
            </w:tcBorders>
          </w:tcPr>
          <w:p>
            <w:pPr>
              <w:spacing w:after="0"/>
              <w:rPr>
                <w:sz w:val="11"/>
                <w:szCs w:val="11"/>
                <w:color w:val="auto"/>
              </w:rPr>
            </w:pPr>
          </w:p>
        </w:tc>
        <w:tc>
          <w:tcPr>
            <w:tcW w:w="180" w:type="dxa"/>
            <w:vAlign w:val="bottom"/>
            <w:tcBorders>
              <w:bottom w:val="single" w:sz="8" w:color="939598"/>
            </w:tcBorders>
          </w:tcPr>
          <w:p>
            <w:pPr>
              <w:spacing w:after="0"/>
              <w:rPr>
                <w:sz w:val="11"/>
                <w:szCs w:val="11"/>
                <w:color w:val="auto"/>
              </w:rPr>
            </w:pPr>
          </w:p>
        </w:tc>
        <w:tc>
          <w:tcPr>
            <w:tcW w:w="800" w:type="dxa"/>
            <w:vAlign w:val="bottom"/>
            <w:tcBorders>
              <w:bottom w:val="single" w:sz="8" w:color="939598"/>
            </w:tcBorders>
          </w:tcPr>
          <w:p>
            <w:pPr>
              <w:spacing w:after="0"/>
              <w:rPr>
                <w:sz w:val="11"/>
                <w:szCs w:val="11"/>
                <w:color w:val="auto"/>
              </w:rPr>
            </w:pPr>
          </w:p>
        </w:tc>
        <w:tc>
          <w:tcPr>
            <w:tcW w:w="180" w:type="dxa"/>
            <w:vAlign w:val="bottom"/>
            <w:tcBorders>
              <w:bottom w:val="single" w:sz="8" w:color="939598"/>
            </w:tcBorders>
          </w:tcPr>
          <w:p>
            <w:pPr>
              <w:spacing w:after="0"/>
              <w:rPr>
                <w:sz w:val="11"/>
                <w:szCs w:val="11"/>
                <w:color w:val="auto"/>
              </w:rPr>
            </w:pPr>
          </w:p>
        </w:tc>
        <w:tc>
          <w:tcPr>
            <w:tcW w:w="780" w:type="dxa"/>
            <w:vAlign w:val="bottom"/>
            <w:tcBorders>
              <w:bottom w:val="single" w:sz="8" w:color="939598"/>
            </w:tcBorders>
          </w:tcPr>
          <w:p>
            <w:pPr>
              <w:spacing w:after="0"/>
              <w:rPr>
                <w:sz w:val="11"/>
                <w:szCs w:val="11"/>
                <w:color w:val="auto"/>
              </w:rPr>
            </w:pPr>
          </w:p>
        </w:tc>
      </w:tr>
      <w:tr>
        <w:trPr>
          <w:trHeight w:val="276"/>
        </w:trPr>
        <w:tc>
          <w:tcPr>
            <w:tcW w:w="5900" w:type="dxa"/>
            <w:vAlign w:val="bottom"/>
          </w:tcPr>
          <w:p>
            <w:pPr>
              <w:ind w:left="20"/>
              <w:spacing w:after="0"/>
              <w:rPr>
                <w:sz w:val="20"/>
                <w:szCs w:val="20"/>
                <w:color w:val="auto"/>
              </w:rPr>
            </w:pPr>
            <w:r>
              <w:rPr>
                <w:rFonts w:ascii="Arial" w:cs="Arial" w:eastAsia="Arial" w:hAnsi="Arial"/>
                <w:sz w:val="13"/>
                <w:szCs w:val="13"/>
                <w:color w:val="auto"/>
              </w:rPr>
              <w:t>Plus, Change in Fair Value (from Prior Year-End) of Prior Year Awards that Vested this Year</w:t>
            </w: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(366,414)</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(439,820)</w:t>
            </w: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(715,527)</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(161,917)</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(525,181)</w:t>
            </w:r>
          </w:p>
        </w:tc>
      </w:tr>
      <w:tr>
        <w:trPr>
          <w:trHeight w:val="135"/>
        </w:trPr>
        <w:tc>
          <w:tcPr>
            <w:tcW w:w="5900" w:type="dxa"/>
            <w:vAlign w:val="bottom"/>
            <w:tcBorders>
              <w:bottom w:val="single" w:sz="8" w:color="939598"/>
            </w:tcBorders>
          </w:tcPr>
          <w:p>
            <w:pPr>
              <w:spacing w:after="0"/>
              <w:rPr>
                <w:sz w:val="11"/>
                <w:szCs w:val="11"/>
                <w:color w:val="auto"/>
              </w:rPr>
            </w:pPr>
          </w:p>
        </w:tc>
        <w:tc>
          <w:tcPr>
            <w:tcW w:w="200" w:type="dxa"/>
            <w:vAlign w:val="bottom"/>
            <w:tcBorders>
              <w:bottom w:val="single" w:sz="8" w:color="939598"/>
            </w:tcBorders>
          </w:tcPr>
          <w:p>
            <w:pPr>
              <w:spacing w:after="0"/>
              <w:rPr>
                <w:sz w:val="11"/>
                <w:szCs w:val="11"/>
                <w:color w:val="auto"/>
              </w:rPr>
            </w:pPr>
          </w:p>
        </w:tc>
        <w:tc>
          <w:tcPr>
            <w:tcW w:w="780" w:type="dxa"/>
            <w:vAlign w:val="bottom"/>
            <w:tcBorders>
              <w:bottom w:val="single" w:sz="8" w:color="939598"/>
            </w:tcBorders>
          </w:tcPr>
          <w:p>
            <w:pPr>
              <w:spacing w:after="0"/>
              <w:rPr>
                <w:sz w:val="11"/>
                <w:szCs w:val="11"/>
                <w:color w:val="auto"/>
              </w:rPr>
            </w:pPr>
          </w:p>
        </w:tc>
        <w:tc>
          <w:tcPr>
            <w:tcW w:w="200" w:type="dxa"/>
            <w:vAlign w:val="bottom"/>
            <w:tcBorders>
              <w:bottom w:val="single" w:sz="8" w:color="939598"/>
            </w:tcBorders>
          </w:tcPr>
          <w:p>
            <w:pPr>
              <w:spacing w:after="0"/>
              <w:rPr>
                <w:sz w:val="11"/>
                <w:szCs w:val="11"/>
                <w:color w:val="auto"/>
              </w:rPr>
            </w:pPr>
          </w:p>
        </w:tc>
        <w:tc>
          <w:tcPr>
            <w:tcW w:w="760" w:type="dxa"/>
            <w:vAlign w:val="bottom"/>
            <w:tcBorders>
              <w:bottom w:val="single" w:sz="8" w:color="939598"/>
            </w:tcBorders>
          </w:tcPr>
          <w:p>
            <w:pPr>
              <w:spacing w:after="0"/>
              <w:rPr>
                <w:sz w:val="11"/>
                <w:szCs w:val="11"/>
                <w:color w:val="auto"/>
              </w:rPr>
            </w:pPr>
          </w:p>
        </w:tc>
        <w:tc>
          <w:tcPr>
            <w:tcW w:w="200" w:type="dxa"/>
            <w:vAlign w:val="bottom"/>
            <w:tcBorders>
              <w:bottom w:val="single" w:sz="8" w:color="939598"/>
            </w:tcBorders>
          </w:tcPr>
          <w:p>
            <w:pPr>
              <w:spacing w:after="0"/>
              <w:rPr>
                <w:sz w:val="11"/>
                <w:szCs w:val="11"/>
                <w:color w:val="auto"/>
              </w:rPr>
            </w:pPr>
          </w:p>
        </w:tc>
        <w:tc>
          <w:tcPr>
            <w:tcW w:w="780" w:type="dxa"/>
            <w:vAlign w:val="bottom"/>
            <w:tcBorders>
              <w:bottom w:val="single" w:sz="8" w:color="939598"/>
            </w:tcBorders>
          </w:tcPr>
          <w:p>
            <w:pPr>
              <w:spacing w:after="0"/>
              <w:rPr>
                <w:sz w:val="11"/>
                <w:szCs w:val="11"/>
                <w:color w:val="auto"/>
              </w:rPr>
            </w:pPr>
          </w:p>
        </w:tc>
        <w:tc>
          <w:tcPr>
            <w:tcW w:w="180" w:type="dxa"/>
            <w:vAlign w:val="bottom"/>
            <w:tcBorders>
              <w:bottom w:val="single" w:sz="8" w:color="939598"/>
            </w:tcBorders>
          </w:tcPr>
          <w:p>
            <w:pPr>
              <w:spacing w:after="0"/>
              <w:rPr>
                <w:sz w:val="11"/>
                <w:szCs w:val="11"/>
                <w:color w:val="auto"/>
              </w:rPr>
            </w:pPr>
          </w:p>
        </w:tc>
        <w:tc>
          <w:tcPr>
            <w:tcW w:w="800" w:type="dxa"/>
            <w:vAlign w:val="bottom"/>
            <w:tcBorders>
              <w:bottom w:val="single" w:sz="8" w:color="939598"/>
            </w:tcBorders>
          </w:tcPr>
          <w:p>
            <w:pPr>
              <w:spacing w:after="0"/>
              <w:rPr>
                <w:sz w:val="11"/>
                <w:szCs w:val="11"/>
                <w:color w:val="auto"/>
              </w:rPr>
            </w:pPr>
          </w:p>
        </w:tc>
        <w:tc>
          <w:tcPr>
            <w:tcW w:w="180" w:type="dxa"/>
            <w:vAlign w:val="bottom"/>
            <w:tcBorders>
              <w:bottom w:val="single" w:sz="8" w:color="939598"/>
            </w:tcBorders>
          </w:tcPr>
          <w:p>
            <w:pPr>
              <w:spacing w:after="0"/>
              <w:rPr>
                <w:sz w:val="11"/>
                <w:szCs w:val="11"/>
                <w:color w:val="auto"/>
              </w:rPr>
            </w:pPr>
          </w:p>
        </w:tc>
        <w:tc>
          <w:tcPr>
            <w:tcW w:w="780" w:type="dxa"/>
            <w:vAlign w:val="bottom"/>
            <w:tcBorders>
              <w:bottom w:val="single" w:sz="8" w:color="939598"/>
            </w:tcBorders>
          </w:tcPr>
          <w:p>
            <w:pPr>
              <w:spacing w:after="0"/>
              <w:rPr>
                <w:sz w:val="11"/>
                <w:szCs w:val="11"/>
                <w:color w:val="auto"/>
              </w:rPr>
            </w:pPr>
          </w:p>
        </w:tc>
      </w:tr>
      <w:tr>
        <w:trPr>
          <w:trHeight w:val="276"/>
        </w:trPr>
        <w:tc>
          <w:tcPr>
            <w:tcW w:w="5900" w:type="dxa"/>
            <w:vAlign w:val="bottom"/>
          </w:tcPr>
          <w:p>
            <w:pPr>
              <w:ind w:left="20"/>
              <w:spacing w:after="0"/>
              <w:rPr>
                <w:sz w:val="20"/>
                <w:szCs w:val="20"/>
                <w:color w:val="auto"/>
              </w:rPr>
            </w:pPr>
            <w:r>
              <w:rPr>
                <w:rFonts w:ascii="Arial" w:cs="Arial" w:eastAsia="Arial" w:hAnsi="Arial"/>
                <w:sz w:val="13"/>
                <w:szCs w:val="13"/>
                <w:color w:val="auto"/>
              </w:rPr>
              <w:t>Less, Prior Year Fair Value of Prior Year Awards that Failed to Vest this Year</w:t>
            </w: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(1,251,562)</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36"/>
        </w:trPr>
        <w:tc>
          <w:tcPr>
            <w:tcW w:w="5900" w:type="dxa"/>
            <w:vAlign w:val="bottom"/>
            <w:tcBorders>
              <w:bottom w:val="single" w:sz="8" w:color="D7282F"/>
            </w:tcBorders>
          </w:tcPr>
          <w:p>
            <w:pPr>
              <w:spacing w:after="0"/>
              <w:rPr>
                <w:sz w:val="11"/>
                <w:szCs w:val="11"/>
                <w:color w:val="auto"/>
              </w:rPr>
            </w:pPr>
          </w:p>
        </w:tc>
        <w:tc>
          <w:tcPr>
            <w:tcW w:w="200" w:type="dxa"/>
            <w:vAlign w:val="bottom"/>
            <w:tcBorders>
              <w:bottom w:val="single" w:sz="8" w:color="D7282F"/>
            </w:tcBorders>
          </w:tcPr>
          <w:p>
            <w:pPr>
              <w:spacing w:after="0"/>
              <w:rPr>
                <w:sz w:val="11"/>
                <w:szCs w:val="11"/>
                <w:color w:val="auto"/>
              </w:rPr>
            </w:pPr>
          </w:p>
        </w:tc>
        <w:tc>
          <w:tcPr>
            <w:tcW w:w="780" w:type="dxa"/>
            <w:vAlign w:val="bottom"/>
            <w:tcBorders>
              <w:bottom w:val="single" w:sz="8" w:color="D7282F"/>
            </w:tcBorders>
          </w:tcPr>
          <w:p>
            <w:pPr>
              <w:spacing w:after="0"/>
              <w:rPr>
                <w:sz w:val="11"/>
                <w:szCs w:val="11"/>
                <w:color w:val="auto"/>
              </w:rPr>
            </w:pPr>
          </w:p>
        </w:tc>
        <w:tc>
          <w:tcPr>
            <w:tcW w:w="200" w:type="dxa"/>
            <w:vAlign w:val="bottom"/>
            <w:tcBorders>
              <w:bottom w:val="single" w:sz="8" w:color="D7282F"/>
            </w:tcBorders>
          </w:tcPr>
          <w:p>
            <w:pPr>
              <w:spacing w:after="0"/>
              <w:rPr>
                <w:sz w:val="11"/>
                <w:szCs w:val="11"/>
                <w:color w:val="auto"/>
              </w:rPr>
            </w:pPr>
          </w:p>
        </w:tc>
        <w:tc>
          <w:tcPr>
            <w:tcW w:w="760" w:type="dxa"/>
            <w:vAlign w:val="bottom"/>
            <w:tcBorders>
              <w:bottom w:val="single" w:sz="8" w:color="D7282F"/>
            </w:tcBorders>
          </w:tcPr>
          <w:p>
            <w:pPr>
              <w:spacing w:after="0"/>
              <w:rPr>
                <w:sz w:val="11"/>
                <w:szCs w:val="11"/>
                <w:color w:val="auto"/>
              </w:rPr>
            </w:pPr>
          </w:p>
        </w:tc>
        <w:tc>
          <w:tcPr>
            <w:tcW w:w="200" w:type="dxa"/>
            <w:vAlign w:val="bottom"/>
            <w:tcBorders>
              <w:bottom w:val="single" w:sz="8" w:color="D7282F"/>
            </w:tcBorders>
          </w:tcPr>
          <w:p>
            <w:pPr>
              <w:spacing w:after="0"/>
              <w:rPr>
                <w:sz w:val="11"/>
                <w:szCs w:val="11"/>
                <w:color w:val="auto"/>
              </w:rPr>
            </w:pPr>
          </w:p>
        </w:tc>
        <w:tc>
          <w:tcPr>
            <w:tcW w:w="780" w:type="dxa"/>
            <w:vAlign w:val="bottom"/>
            <w:tcBorders>
              <w:bottom w:val="single" w:sz="8" w:color="D7282F"/>
            </w:tcBorders>
          </w:tcPr>
          <w:p>
            <w:pPr>
              <w:spacing w:after="0"/>
              <w:rPr>
                <w:sz w:val="11"/>
                <w:szCs w:val="11"/>
                <w:color w:val="auto"/>
              </w:rPr>
            </w:pPr>
          </w:p>
        </w:tc>
        <w:tc>
          <w:tcPr>
            <w:tcW w:w="180" w:type="dxa"/>
            <w:vAlign w:val="bottom"/>
            <w:tcBorders>
              <w:bottom w:val="single" w:sz="8" w:color="D7282F"/>
            </w:tcBorders>
          </w:tcPr>
          <w:p>
            <w:pPr>
              <w:spacing w:after="0"/>
              <w:rPr>
                <w:sz w:val="11"/>
                <w:szCs w:val="11"/>
                <w:color w:val="auto"/>
              </w:rPr>
            </w:pPr>
          </w:p>
        </w:tc>
        <w:tc>
          <w:tcPr>
            <w:tcW w:w="800" w:type="dxa"/>
            <w:vAlign w:val="bottom"/>
            <w:tcBorders>
              <w:bottom w:val="single" w:sz="8" w:color="D7282F"/>
            </w:tcBorders>
          </w:tcPr>
          <w:p>
            <w:pPr>
              <w:spacing w:after="0"/>
              <w:rPr>
                <w:sz w:val="11"/>
                <w:szCs w:val="11"/>
                <w:color w:val="auto"/>
              </w:rPr>
            </w:pPr>
          </w:p>
        </w:tc>
        <w:tc>
          <w:tcPr>
            <w:tcW w:w="180" w:type="dxa"/>
            <w:vAlign w:val="bottom"/>
            <w:tcBorders>
              <w:bottom w:val="single" w:sz="8" w:color="D7282F"/>
            </w:tcBorders>
          </w:tcPr>
          <w:p>
            <w:pPr>
              <w:spacing w:after="0"/>
              <w:rPr>
                <w:sz w:val="11"/>
                <w:szCs w:val="11"/>
                <w:color w:val="auto"/>
              </w:rPr>
            </w:pPr>
          </w:p>
        </w:tc>
        <w:tc>
          <w:tcPr>
            <w:tcW w:w="780" w:type="dxa"/>
            <w:vAlign w:val="bottom"/>
            <w:tcBorders>
              <w:bottom w:val="single" w:sz="8" w:color="D7282F"/>
            </w:tcBorders>
          </w:tcPr>
          <w:p>
            <w:pPr>
              <w:spacing w:after="0"/>
              <w:rPr>
                <w:sz w:val="11"/>
                <w:szCs w:val="11"/>
                <w:color w:val="auto"/>
              </w:rPr>
            </w:pPr>
          </w:p>
        </w:tc>
      </w:tr>
      <w:tr>
        <w:trPr>
          <w:trHeight w:val="276"/>
        </w:trPr>
        <w:tc>
          <w:tcPr>
            <w:tcW w:w="5900" w:type="dxa"/>
            <w:vAlign w:val="bottom"/>
          </w:tcPr>
          <w:p>
            <w:pPr>
              <w:ind w:left="20"/>
              <w:spacing w:after="0"/>
              <w:rPr>
                <w:sz w:val="20"/>
                <w:szCs w:val="20"/>
                <w:color w:val="auto"/>
              </w:rPr>
            </w:pPr>
            <w:r>
              <w:rPr>
                <w:rFonts w:ascii="Arial" w:cs="Arial" w:eastAsia="Arial" w:hAnsi="Arial"/>
                <w:sz w:val="13"/>
                <w:szCs w:val="13"/>
                <w:color w:val="auto"/>
              </w:rPr>
              <w:t>Total Adjustments</w:t>
            </w: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(3,436,796)</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966,906</w:t>
            </w: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(300,916)</w:t>
            </w:r>
          </w:p>
        </w:tc>
        <w:tc>
          <w:tcPr>
            <w:tcW w:w="180" w:type="dxa"/>
            <w:vAlign w:val="bottom"/>
          </w:tcPr>
          <w:p>
            <w:pPr>
              <w:spacing w:after="0"/>
              <w:rPr>
                <w:sz w:val="24"/>
                <w:szCs w:val="2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3,095,050</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(2,465,387)</w:t>
            </w:r>
          </w:p>
        </w:tc>
      </w:tr>
      <w:tr>
        <w:trPr>
          <w:trHeight w:val="135"/>
        </w:trPr>
        <w:tc>
          <w:tcPr>
            <w:tcW w:w="5900" w:type="dxa"/>
            <w:vAlign w:val="bottom"/>
            <w:tcBorders>
              <w:bottom w:val="single" w:sz="8" w:color="D7282F"/>
            </w:tcBorders>
          </w:tcPr>
          <w:p>
            <w:pPr>
              <w:spacing w:after="0"/>
              <w:rPr>
                <w:sz w:val="11"/>
                <w:szCs w:val="11"/>
                <w:color w:val="auto"/>
              </w:rPr>
            </w:pPr>
          </w:p>
        </w:tc>
        <w:tc>
          <w:tcPr>
            <w:tcW w:w="200" w:type="dxa"/>
            <w:vAlign w:val="bottom"/>
            <w:tcBorders>
              <w:bottom w:val="single" w:sz="8" w:color="D7282F"/>
            </w:tcBorders>
          </w:tcPr>
          <w:p>
            <w:pPr>
              <w:spacing w:after="0"/>
              <w:rPr>
                <w:sz w:val="11"/>
                <w:szCs w:val="11"/>
                <w:color w:val="auto"/>
              </w:rPr>
            </w:pPr>
          </w:p>
        </w:tc>
        <w:tc>
          <w:tcPr>
            <w:tcW w:w="780" w:type="dxa"/>
            <w:vAlign w:val="bottom"/>
            <w:tcBorders>
              <w:bottom w:val="single" w:sz="8" w:color="D7282F"/>
            </w:tcBorders>
          </w:tcPr>
          <w:p>
            <w:pPr>
              <w:spacing w:after="0"/>
              <w:rPr>
                <w:sz w:val="11"/>
                <w:szCs w:val="11"/>
                <w:color w:val="auto"/>
              </w:rPr>
            </w:pPr>
          </w:p>
        </w:tc>
        <w:tc>
          <w:tcPr>
            <w:tcW w:w="200" w:type="dxa"/>
            <w:vAlign w:val="bottom"/>
            <w:tcBorders>
              <w:bottom w:val="single" w:sz="8" w:color="D7282F"/>
            </w:tcBorders>
          </w:tcPr>
          <w:p>
            <w:pPr>
              <w:spacing w:after="0"/>
              <w:rPr>
                <w:sz w:val="11"/>
                <w:szCs w:val="11"/>
                <w:color w:val="auto"/>
              </w:rPr>
            </w:pPr>
          </w:p>
        </w:tc>
        <w:tc>
          <w:tcPr>
            <w:tcW w:w="760" w:type="dxa"/>
            <w:vAlign w:val="bottom"/>
            <w:tcBorders>
              <w:bottom w:val="single" w:sz="8" w:color="D7282F"/>
            </w:tcBorders>
          </w:tcPr>
          <w:p>
            <w:pPr>
              <w:spacing w:after="0"/>
              <w:rPr>
                <w:sz w:val="11"/>
                <w:szCs w:val="11"/>
                <w:color w:val="auto"/>
              </w:rPr>
            </w:pPr>
          </w:p>
        </w:tc>
        <w:tc>
          <w:tcPr>
            <w:tcW w:w="200" w:type="dxa"/>
            <w:vAlign w:val="bottom"/>
            <w:tcBorders>
              <w:bottom w:val="single" w:sz="8" w:color="D7282F"/>
            </w:tcBorders>
          </w:tcPr>
          <w:p>
            <w:pPr>
              <w:spacing w:after="0"/>
              <w:rPr>
                <w:sz w:val="11"/>
                <w:szCs w:val="11"/>
                <w:color w:val="auto"/>
              </w:rPr>
            </w:pPr>
          </w:p>
        </w:tc>
        <w:tc>
          <w:tcPr>
            <w:tcW w:w="780" w:type="dxa"/>
            <w:vAlign w:val="bottom"/>
            <w:tcBorders>
              <w:bottom w:val="single" w:sz="8" w:color="D7282F"/>
            </w:tcBorders>
          </w:tcPr>
          <w:p>
            <w:pPr>
              <w:spacing w:after="0"/>
              <w:rPr>
                <w:sz w:val="11"/>
                <w:szCs w:val="11"/>
                <w:color w:val="auto"/>
              </w:rPr>
            </w:pPr>
          </w:p>
        </w:tc>
        <w:tc>
          <w:tcPr>
            <w:tcW w:w="180" w:type="dxa"/>
            <w:vAlign w:val="bottom"/>
            <w:tcBorders>
              <w:bottom w:val="single" w:sz="8" w:color="D7282F"/>
            </w:tcBorders>
          </w:tcPr>
          <w:p>
            <w:pPr>
              <w:spacing w:after="0"/>
              <w:rPr>
                <w:sz w:val="11"/>
                <w:szCs w:val="11"/>
                <w:color w:val="auto"/>
              </w:rPr>
            </w:pPr>
          </w:p>
        </w:tc>
        <w:tc>
          <w:tcPr>
            <w:tcW w:w="800" w:type="dxa"/>
            <w:vAlign w:val="bottom"/>
            <w:tcBorders>
              <w:bottom w:val="single" w:sz="8" w:color="D7282F"/>
            </w:tcBorders>
          </w:tcPr>
          <w:p>
            <w:pPr>
              <w:spacing w:after="0"/>
              <w:rPr>
                <w:sz w:val="11"/>
                <w:szCs w:val="11"/>
                <w:color w:val="auto"/>
              </w:rPr>
            </w:pPr>
          </w:p>
        </w:tc>
        <w:tc>
          <w:tcPr>
            <w:tcW w:w="180" w:type="dxa"/>
            <w:vAlign w:val="bottom"/>
            <w:tcBorders>
              <w:bottom w:val="single" w:sz="8" w:color="D7282F"/>
            </w:tcBorders>
          </w:tcPr>
          <w:p>
            <w:pPr>
              <w:spacing w:after="0"/>
              <w:rPr>
                <w:sz w:val="11"/>
                <w:szCs w:val="11"/>
                <w:color w:val="auto"/>
              </w:rPr>
            </w:pPr>
          </w:p>
        </w:tc>
        <w:tc>
          <w:tcPr>
            <w:tcW w:w="780" w:type="dxa"/>
            <w:vAlign w:val="bottom"/>
            <w:tcBorders>
              <w:bottom w:val="single" w:sz="8" w:color="D7282F"/>
            </w:tcBorders>
          </w:tcPr>
          <w:p>
            <w:pPr>
              <w:spacing w:after="0"/>
              <w:rPr>
                <w:sz w:val="11"/>
                <w:szCs w:val="11"/>
                <w:color w:val="auto"/>
              </w:rPr>
            </w:pPr>
          </w:p>
        </w:tc>
      </w:tr>
      <w:tr>
        <w:trPr>
          <w:trHeight w:val="283"/>
        </w:trPr>
        <w:tc>
          <w:tcPr>
            <w:tcW w:w="5900" w:type="dxa"/>
            <w:vAlign w:val="bottom"/>
          </w:tcPr>
          <w:p>
            <w:pPr>
              <w:ind w:left="20"/>
              <w:spacing w:after="0"/>
              <w:rPr>
                <w:sz w:val="20"/>
                <w:szCs w:val="20"/>
                <w:color w:val="auto"/>
              </w:rPr>
            </w:pPr>
            <w:r>
              <w:rPr>
                <w:rFonts w:ascii="Arial" w:cs="Arial" w:eastAsia="Arial" w:hAnsi="Arial"/>
                <w:sz w:val="13"/>
                <w:szCs w:val="13"/>
                <w:b w:val="1"/>
                <w:bCs w:val="1"/>
                <w:color w:val="auto"/>
              </w:rPr>
              <w:t>Average “Compensation Actually Paid” to Non-PEO NEOs</w:t>
            </w:r>
          </w:p>
        </w:tc>
        <w:tc>
          <w:tcPr>
            <w:tcW w:w="20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1,804,962</w:t>
            </w:r>
          </w:p>
        </w:tc>
        <w:tc>
          <w:tcPr>
            <w:tcW w:w="200" w:type="dxa"/>
            <w:vAlign w:val="bottom"/>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7,708,705</w:t>
            </w:r>
          </w:p>
        </w:tc>
        <w:tc>
          <w:tcPr>
            <w:tcW w:w="20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6,230,330</w:t>
            </w:r>
          </w:p>
        </w:tc>
        <w:tc>
          <w:tcPr>
            <w:tcW w:w="180" w:type="dxa"/>
            <w:vAlign w:val="bottom"/>
          </w:tcPr>
          <w:p>
            <w:pPr>
              <w:jc w:val="right"/>
              <w:ind w:right="17"/>
              <w:spacing w:after="0"/>
              <w:rPr>
                <w:sz w:val="20"/>
                <w:szCs w:val="20"/>
                <w:color w:val="auto"/>
              </w:rPr>
            </w:pPr>
            <w:r>
              <w:rPr>
                <w:rFonts w:ascii="Arial" w:cs="Arial" w:eastAsia="Arial" w:hAnsi="Arial"/>
                <w:sz w:val="13"/>
                <w:szCs w:val="13"/>
                <w:b w:val="1"/>
                <w:bCs w:val="1"/>
                <w:color w:val="auto"/>
              </w:rPr>
              <w:t>$</w:t>
            </w:r>
          </w:p>
        </w:tc>
        <w:tc>
          <w:tcPr>
            <w:tcW w:w="800" w:type="dxa"/>
            <w:vAlign w:val="bottom"/>
          </w:tcPr>
          <w:p>
            <w:pPr>
              <w:jc w:val="right"/>
              <w:ind w:right="17"/>
              <w:spacing w:after="0"/>
              <w:rPr>
                <w:sz w:val="20"/>
                <w:szCs w:val="20"/>
                <w:color w:val="auto"/>
              </w:rPr>
            </w:pPr>
            <w:r>
              <w:rPr>
                <w:rFonts w:ascii="Arial" w:cs="Arial" w:eastAsia="Arial" w:hAnsi="Arial"/>
                <w:sz w:val="13"/>
                <w:szCs w:val="13"/>
                <w:b w:val="1"/>
                <w:bCs w:val="1"/>
                <w:color w:val="auto"/>
              </w:rPr>
              <w:t>11,405,134</w:t>
            </w:r>
          </w:p>
        </w:tc>
        <w:tc>
          <w:tcPr>
            <w:tcW w:w="180" w:type="dxa"/>
            <w:vAlign w:val="bottom"/>
          </w:tcPr>
          <w:p>
            <w:pPr>
              <w:jc w:val="right"/>
              <w:ind w:right="37"/>
              <w:spacing w:after="0"/>
              <w:rPr>
                <w:sz w:val="20"/>
                <w:szCs w:val="20"/>
                <w:color w:val="auto"/>
              </w:rPr>
            </w:pPr>
            <w:r>
              <w:rPr>
                <w:rFonts w:ascii="Arial" w:cs="Arial" w:eastAsia="Arial" w:hAnsi="Arial"/>
                <w:sz w:val="13"/>
                <w:szCs w:val="13"/>
                <w:b w:val="1"/>
                <w:bCs w:val="1"/>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5,024,129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82550</wp:posOffset>
            </wp:positionV>
            <wp:extent cx="6840855"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p>
      <w:pPr>
        <w:spacing w:after="0" w:line="267" w:lineRule="exact"/>
        <w:rPr>
          <w:sz w:val="20"/>
          <w:szCs w:val="20"/>
          <w:color w:val="auto"/>
        </w:rPr>
      </w:pPr>
    </w:p>
    <w:p>
      <w:pPr>
        <w:ind w:left="200" w:right="180" w:hanging="192"/>
        <w:spacing w:after="0" w:line="246" w:lineRule="auto"/>
        <w:tabs>
          <w:tab w:leader="none" w:pos="196" w:val="left"/>
        </w:tabs>
        <w:numPr>
          <w:ilvl w:val="0"/>
          <w:numId w:val="211"/>
        </w:numPr>
        <w:rPr>
          <w:rFonts w:ascii="Arial" w:cs="Arial" w:eastAsia="Arial" w:hAnsi="Arial"/>
          <w:sz w:val="15"/>
          <w:szCs w:val="15"/>
          <w:color w:val="auto"/>
          <w:vertAlign w:val="superscript"/>
        </w:rPr>
      </w:pPr>
      <w:r>
        <w:rPr>
          <w:rFonts w:ascii="Arial" w:cs="Arial" w:eastAsia="Arial" w:hAnsi="Arial"/>
          <w:sz w:val="12"/>
          <w:szCs w:val="12"/>
          <w:color w:val="auto"/>
        </w:rPr>
        <w:t>2025 Segment Margin reflects continuing operations, as a result of the Solstice spin-off and reclassification of the Advanced Materials business into discontinued operations. 2021-2024 – Segment Margin included in the table reflects our previously reported financial results and does not reflect the reclassification of the Advanced Materials business to discontinued operations.</w:t>
      </w:r>
    </w:p>
    <w:p>
      <w:pPr>
        <w:sectPr>
          <w:pgSz w:w="11900" w:h="16838" w:orient="portrait"/>
          <w:cols w:equalWidth="0" w:num="1">
            <w:col w:w="11240"/>
          </w:cols>
          <w:pgMar w:left="320" w:top="229" w:right="339" w:bottom="1111" w:gutter="0" w:footer="0" w:header="0"/>
        </w:sectPr>
      </w:pPr>
    </w:p>
    <w:p>
      <w:pPr>
        <w:spacing w:after="0" w:line="91"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The six items listed below represent the most important financial performance metrics we used to determine CAP for FY2025 as further described in our Compensation Discussion and Analysis within the sections titled “Annual Incentive Compensation Plan Decisions” and “Long-Term Incentive Compensation Decisions.”</w:t>
      </w:r>
    </w:p>
    <w:p>
      <w:pPr>
        <w:sectPr>
          <w:pgSz w:w="11900" w:h="16838" w:orient="portrait"/>
          <w:cols w:equalWidth="0" w:num="1">
            <w:col w:w="11240"/>
          </w:cols>
          <w:pgMar w:left="320" w:top="229" w:right="339" w:bottom="1111" w:gutter="0" w:footer="0" w:header="0"/>
          <w:type w:val="continuous"/>
        </w:sectPr>
      </w:pPr>
    </w:p>
    <w:bookmarkStart w:id="120" w:name="page121"/>
    <w:bookmarkEnd w:id="120"/>
    <w:p>
      <w:pPr>
        <w:ind w:left="20"/>
        <w:spacing w:after="0"/>
        <w:rPr>
          <w:sz w:val="20"/>
          <w:szCs w:val="20"/>
          <w:color w:val="auto"/>
        </w:rPr>
      </w:pPr>
      <w:r>
        <w:rPr>
          <w:rFonts w:ascii="Arial" w:cs="Arial" w:eastAsia="Arial" w:hAnsi="Arial"/>
          <w:sz w:val="14"/>
          <w:szCs w:val="14"/>
          <w:b w:val="1"/>
          <w:bCs w:val="1"/>
          <w:color w:val="auto"/>
        </w:rPr>
        <w:t>Most Important Financial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23430"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6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Adjusted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23430"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6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Average Segment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23430"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62" w:lineRule="exact"/>
        <w:rPr>
          <w:sz w:val="20"/>
          <w:szCs w:val="20"/>
          <w:color w:val="auto"/>
        </w:rPr>
      </w:pPr>
    </w:p>
    <w:p>
      <w:pPr>
        <w:ind w:left="20"/>
        <w:spacing w:after="0"/>
        <w:rPr>
          <w:sz w:val="20"/>
          <w:szCs w:val="20"/>
          <w:color w:val="auto"/>
        </w:rPr>
      </w:pPr>
      <w:r>
        <w:rPr>
          <w:rFonts w:ascii="Arial" w:cs="Arial" w:eastAsia="Arial" w:hAnsi="Arial"/>
          <w:sz w:val="14"/>
          <w:szCs w:val="14"/>
          <w:color w:val="auto"/>
        </w:rPr>
        <w:t>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2343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62" w:lineRule="exact"/>
        <w:rPr>
          <w:sz w:val="20"/>
          <w:szCs w:val="20"/>
          <w:color w:val="auto"/>
        </w:rPr>
      </w:pPr>
    </w:p>
    <w:p>
      <w:pPr>
        <w:ind w:left="20"/>
        <w:spacing w:after="0"/>
        <w:rPr>
          <w:sz w:val="20"/>
          <w:szCs w:val="20"/>
          <w:color w:val="auto"/>
        </w:rPr>
      </w:pPr>
      <w:r>
        <w:rPr>
          <w:rFonts w:ascii="Arial" w:cs="Arial" w:eastAsia="Arial" w:hAnsi="Arial"/>
          <w:sz w:val="14"/>
          <w:szCs w:val="14"/>
          <w:color w:val="auto"/>
        </w:rPr>
        <w:t>Cumulative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23430"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6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Average Return on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23430"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6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Relative Total Shareowner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2343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260" w:type="dxa"/>
            <w:vAlign w:val="bottom"/>
          </w:tcPr>
          <w:p>
            <w:pPr>
              <w:ind w:left="6840"/>
              <w:spacing w:after="0"/>
              <w:rPr>
                <w:sz w:val="20"/>
                <w:szCs w:val="20"/>
                <w:color w:val="auto"/>
              </w:rPr>
            </w:pPr>
            <w:r>
              <w:rPr>
                <w:rFonts w:ascii="Arial" w:cs="Arial" w:eastAsia="Arial" w:hAnsi="Arial"/>
                <w:sz w:val="13"/>
                <w:szCs w:val="13"/>
                <w:b w:val="1"/>
                <w:bCs w:val="1"/>
                <w:color w:val="6D6E71"/>
              </w:rPr>
              <w:t>2026 NOTICE AND PROXY STATEMENT   |</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105</w:t>
            </w:r>
          </w:p>
        </w:tc>
      </w:tr>
      <w:tr>
        <w:trPr>
          <w:trHeight w:val="373"/>
        </w:trPr>
        <w:tc>
          <w:tcPr>
            <w:tcW w:w="10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21" w:name="page122"/>
    <w:bookmarkEnd w:id="121"/>
    <w:p>
      <w:pPr>
        <w:spacing w:after="0"/>
        <w:rPr>
          <w:sz w:val="20"/>
          <w:szCs w:val="20"/>
          <w:color w:val="auto"/>
        </w:rPr>
      </w:pPr>
      <w:r>
        <w:rPr>
          <w:rFonts w:ascii="Arial" w:cs="Arial" w:eastAsia="Arial" w:hAnsi="Arial"/>
          <w:sz w:val="13"/>
          <w:szCs w:val="13"/>
          <w:b w:val="1"/>
          <w:bCs w:val="1"/>
          <w:color w:val="6D6E71"/>
        </w:rPr>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The graphs below illustrate the relationships between, respectively, our TSR and the TSR of our peer group, CAP and our TSR, CAP and our net income, and CAP and the CSM (segment margin).</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TSR: Company versus Peer Group</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chart below shows the Company’s TSR as well as that of our comparator index, the Nasdaq Industrial Select Sector Index (XLI), over a five-year period.</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6D6E71"/>
        </w:rPr>
        <w:t>TOTAL SHAREOWNER RETURN: HONEYWELL vs XLI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80645</wp:posOffset>
            </wp:positionV>
            <wp:extent cx="4114800" cy="180022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411480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CAP versus TSR</w:t>
      </w:r>
    </w:p>
    <w:p>
      <w:pPr>
        <w:spacing w:after="0" w:line="113"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As shown in the chart below, the PEO’s and average non-PEO NEOs’ CAP values are reasonably aligned with Honeywell's TSR. This is primarily due to the Honeywell’s use of Performance Shares (PSUs), NQSOs, and Restricted Stock Units (RSUs), which are tied directly to stock price and the Company’s financial performance.</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6D6E71"/>
        </w:rPr>
        <w:t>CAP vs HONEYWELL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89535</wp:posOffset>
            </wp:positionV>
            <wp:extent cx="5349240" cy="166306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5349240" cy="166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
        <w:spacing w:after="0"/>
        <w:tabs>
          <w:tab w:leader="none" w:pos="1860" w:val="left"/>
        </w:tabs>
        <w:rPr>
          <w:sz w:val="20"/>
          <w:szCs w:val="20"/>
          <w:color w:val="auto"/>
        </w:rPr>
      </w:pPr>
      <w:r>
        <w:rPr>
          <w:rFonts w:ascii="Arial" w:cs="Arial" w:eastAsia="Arial" w:hAnsi="Arial"/>
          <w:sz w:val="18"/>
          <w:szCs w:val="18"/>
          <w:b w:val="1"/>
          <w:bCs w:val="1"/>
          <w:color w:val="auto"/>
        </w:rPr>
        <w:t xml:space="preserve">106  </w:t>
      </w:r>
      <w:r>
        <w:rPr>
          <w:sz w:val="1"/>
          <w:szCs w:val="1"/>
          <w:color w:val="auto"/>
        </w:rPr>
        <w:drawing>
          <wp:inline distT="0" distB="0" distL="0" distR="0">
            <wp:extent cx="548640" cy="102870"/>
            <wp:effectExtent l="0" t="0" r="0" b="0"/>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2026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122" w:name="page123"/>
    <w:bookmarkEnd w:id="122"/>
    <w:p>
      <w:pPr>
        <w:jc w:val="right"/>
        <w:spacing w:after="0"/>
        <w:rPr>
          <w:sz w:val="20"/>
          <w:szCs w:val="20"/>
          <w:color w:val="auto"/>
        </w:rPr>
      </w:pPr>
      <w:r>
        <w:rPr>
          <w:rFonts w:ascii="Arial" w:cs="Arial" w:eastAsia="Arial" w:hAnsi="Arial"/>
          <w:sz w:val="13"/>
          <w:szCs w:val="13"/>
          <w:b w:val="1"/>
          <w:bCs w:val="1"/>
          <w:color w:val="6D6E71"/>
        </w:rPr>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CAP versus Net Income</w:t>
      </w:r>
    </w:p>
    <w:p>
      <w:pPr>
        <w:spacing w:after="0" w:line="113"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The charts below reflect the relationship between PEO CAP and Average Non-PEO NEOs CAP and Honeywell’s GAAP net income. The Company does not use net income to determine compensation levels, incentive plan payouts, or as a metric in our long-term incentive plans. Since long-term incentives comprise the largest portion of our NEOsʼ pay, and CAP values include multiple years of LTI awards, and only one year of annual incentives, the relationship between CAP and net income is less evident.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6D6E71"/>
        </w:rPr>
        <w:t>CAP vs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106680</wp:posOffset>
            </wp:positionV>
            <wp:extent cx="5349240" cy="166306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5349240" cy="166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CAP versus Segment Margin</w:t>
      </w:r>
    </w:p>
    <w:p>
      <w:pPr>
        <w:spacing w:after="0" w:line="113"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The chart below reflects the relationship between the PEO CAP and Average Non-PEO NEOs CAP and Honeywell’s segment margin for the applicable reporting year. Segment margin for 2021-2024 reflects previously reported financial results, while 2025 reflects continuing operations as a result of the Solstice spin-off and reclassification of the Advanced Materials business to discontinued operations. We consider segment margin to be the most important financial measure used to link pay to performance due to the strong correlation with long-term share price growth.</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6D6E71"/>
        </w:rPr>
        <w:t>CAP vs SEGMENT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80645</wp:posOffset>
            </wp:positionV>
            <wp:extent cx="5349240" cy="168021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5349240" cy="168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260" w:type="dxa"/>
            <w:vAlign w:val="bottom"/>
          </w:tcPr>
          <w:p>
            <w:pPr>
              <w:ind w:left="6840"/>
              <w:spacing w:after="0"/>
              <w:rPr>
                <w:sz w:val="20"/>
                <w:szCs w:val="20"/>
                <w:color w:val="auto"/>
              </w:rPr>
            </w:pPr>
            <w:r>
              <w:rPr>
                <w:rFonts w:ascii="Arial" w:cs="Arial" w:eastAsia="Arial" w:hAnsi="Arial"/>
                <w:sz w:val="13"/>
                <w:szCs w:val="13"/>
                <w:b w:val="1"/>
                <w:bCs w:val="1"/>
                <w:color w:val="6D6E71"/>
              </w:rPr>
              <w:t>2026 NOTICE AND PROXY STATEMENT   |</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107</w:t>
            </w:r>
          </w:p>
        </w:tc>
      </w:tr>
      <w:tr>
        <w:trPr>
          <w:trHeight w:val="373"/>
        </w:trPr>
        <w:tc>
          <w:tcPr>
            <w:tcW w:w="10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3" w:name="page124"/>
    <w:bookmarkEnd w:id="123"/>
    <w:p>
      <w:pPr>
        <w:spacing w:after="0"/>
        <w:rPr>
          <w:sz w:val="20"/>
          <w:szCs w:val="20"/>
          <w:color w:val="auto"/>
        </w:rPr>
      </w:pPr>
      <w:r>
        <w:rPr>
          <w:rFonts w:ascii="Arial" w:cs="Arial" w:eastAsia="Arial" w:hAnsi="Arial"/>
          <w:sz w:val="45"/>
          <w:szCs w:val="45"/>
          <w:b w:val="1"/>
          <w:bCs w:val="1"/>
          <w:color w:val="auto"/>
        </w:rPr>
        <w:t>PROPOSAL 3:</w:t>
      </w:r>
    </w:p>
    <w:p>
      <w:pPr>
        <w:spacing w:after="0" w:line="69" w:lineRule="exact"/>
        <w:rPr>
          <w:sz w:val="20"/>
          <w:szCs w:val="20"/>
          <w:color w:val="auto"/>
        </w:rPr>
      </w:pPr>
    </w:p>
    <w:p>
      <w:pPr>
        <w:spacing w:after="0"/>
        <w:rPr>
          <w:sz w:val="20"/>
          <w:szCs w:val="20"/>
          <w:color w:val="auto"/>
        </w:rPr>
      </w:pPr>
      <w:r>
        <w:rPr>
          <w:rFonts w:ascii="Arial" w:cs="Arial" w:eastAsia="Arial" w:hAnsi="Arial"/>
          <w:sz w:val="45"/>
          <w:szCs w:val="45"/>
          <w:b w:val="1"/>
          <w:bCs w:val="1"/>
          <w:color w:val="auto"/>
        </w:rPr>
        <w:t>APPROVAL OF INDEPENDENT ACCOUNTANTS</w:t>
      </w:r>
    </w:p>
    <w:p>
      <w:pPr>
        <w:spacing w:after="0" w:line="200" w:lineRule="exact"/>
        <w:rPr>
          <w:sz w:val="20"/>
          <w:szCs w:val="20"/>
          <w:color w:val="auto"/>
        </w:rPr>
      </w:pPr>
    </w:p>
    <w:p>
      <w:pPr>
        <w:spacing w:after="0" w:line="243"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The Audit Committee, which consists entirely of independent directors, is directly responsible for the appointment, compensation, retention, and oversight of the Company’s independent registered public accounting firm. The Audit Committee is recommending approval of its appointment of Deloitte &amp; Touche LLP (Deloitte) as independent accountants for Honeywell to audit its consolidated financial statements for 2026 and to perform audit-related services. These services include reviewing our quarterly interim financial information and periodic reports and registration statements filed with the SEC and consultation in connection with various accounting and financial reporting matters. If shareowners do not approve, the Audit Committee will reconsider the appointment.</w:t>
      </w:r>
    </w:p>
    <w:p>
      <w:pPr>
        <w:spacing w:after="0" w:line="64"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The Audit Committee, and Honeywell’s Board of Directors, believe that the continued retention of Deloitte as the Company’s independent registered public accounting firm is in the best interests of the Company and its shareowners. Honeywell has been advised by Deloitte that it will have a representative present virtually at the Annual Meeting who will be available to respond to appropriate questions. The representative will also have the opportunity to make a statement if he or she desires to do so.</w:t>
      </w:r>
    </w:p>
    <w:p>
      <w:pPr>
        <w:spacing w:after="0" w:line="256"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INDEPENDENT ACCOUNTING FIRM FEES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Deloitte provided the following audit and other services during 2025 and 2024: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7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(In Millions of $)</w:t>
            </w:r>
          </w:p>
        </w:tc>
        <w:tc>
          <w:tcPr>
            <w:tcW w:w="56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D7282F"/>
            </w:tcBorders>
          </w:tcPr>
          <w:p>
            <w:pPr>
              <w:spacing w:after="0"/>
              <w:rPr>
                <w:sz w:val="17"/>
                <w:szCs w:val="17"/>
                <w:color w:val="auto"/>
              </w:rPr>
            </w:pPr>
          </w:p>
        </w:tc>
        <w:tc>
          <w:tcPr>
            <w:tcW w:w="5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2024</w:t>
            </w:r>
          </w:p>
        </w:tc>
        <w:tc>
          <w:tcPr>
            <w:tcW w:w="742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720" w:type="dxa"/>
            <w:vAlign w:val="bottom"/>
          </w:tcPr>
          <w:p>
            <w:pPr>
              <w:ind w:left="20"/>
              <w:spacing w:after="0"/>
              <w:rPr>
                <w:sz w:val="20"/>
                <w:szCs w:val="20"/>
                <w:color w:val="auto"/>
              </w:rPr>
            </w:pPr>
            <w:r>
              <w:rPr>
                <w:rFonts w:ascii="Arial" w:cs="Arial" w:eastAsia="Arial" w:hAnsi="Arial"/>
                <w:sz w:val="14"/>
                <w:szCs w:val="14"/>
                <w:b w:val="1"/>
                <w:bCs w:val="1"/>
                <w:color w:val="auto"/>
              </w:rPr>
              <w:t>Audit Fees</w:t>
            </w:r>
          </w:p>
        </w:tc>
        <w:tc>
          <w:tcPr>
            <w:tcW w:w="5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ind w:right="108"/>
              <w:spacing w:after="0"/>
              <w:rPr>
                <w:sz w:val="20"/>
                <w:szCs w:val="20"/>
                <w:color w:val="auto"/>
              </w:rPr>
            </w:pPr>
            <w:r>
              <w:rPr>
                <w:rFonts w:ascii="Arial" w:cs="Arial" w:eastAsia="Arial" w:hAnsi="Arial"/>
                <w:sz w:val="14"/>
                <w:szCs w:val="14"/>
                <w:color w:val="auto"/>
              </w:rPr>
              <w:t>16.89</w:t>
            </w:r>
          </w:p>
        </w:tc>
        <w:tc>
          <w:tcPr>
            <w:tcW w:w="3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ind w:right="48"/>
              <w:spacing w:after="0"/>
              <w:rPr>
                <w:sz w:val="20"/>
                <w:szCs w:val="20"/>
                <w:color w:val="auto"/>
              </w:rPr>
            </w:pPr>
            <w:r>
              <w:rPr>
                <w:rFonts w:ascii="Arial" w:cs="Arial" w:eastAsia="Arial" w:hAnsi="Arial"/>
                <w:sz w:val="14"/>
                <w:szCs w:val="14"/>
                <w:color w:val="auto"/>
              </w:rPr>
              <w:t>18.65</w:t>
            </w:r>
          </w:p>
        </w:tc>
        <w:tc>
          <w:tcPr>
            <w:tcW w:w="7420" w:type="dxa"/>
            <w:vAlign w:val="bottom"/>
          </w:tcPr>
          <w:p>
            <w:pPr>
              <w:ind w:left="80"/>
              <w:spacing w:after="0"/>
              <w:rPr>
                <w:sz w:val="20"/>
                <w:szCs w:val="20"/>
                <w:color w:val="auto"/>
              </w:rPr>
            </w:pPr>
            <w:r>
              <w:rPr>
                <w:rFonts w:ascii="Arial" w:cs="Arial" w:eastAsia="Arial" w:hAnsi="Arial"/>
                <w:sz w:val="14"/>
                <w:szCs w:val="14"/>
                <w:color w:val="auto"/>
              </w:rPr>
              <w:t>Annual integrated audit of the Company’s consolidated financial statements, and internal control over financial</w:t>
            </w:r>
          </w:p>
        </w:tc>
        <w:tc>
          <w:tcPr>
            <w:tcW w:w="0" w:type="dxa"/>
            <w:vAlign w:val="bottom"/>
          </w:tcPr>
          <w:p>
            <w:pPr>
              <w:spacing w:after="0"/>
              <w:rPr>
                <w:sz w:val="1"/>
                <w:szCs w:val="1"/>
                <w:color w:val="auto"/>
              </w:rPr>
            </w:pPr>
          </w:p>
        </w:tc>
      </w:tr>
      <w:tr>
        <w:trPr>
          <w:trHeight w:val="123"/>
        </w:trPr>
        <w:tc>
          <w:tcPr>
            <w:tcW w:w="17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7420" w:type="dxa"/>
            <w:vAlign w:val="bottom"/>
            <w:vMerge w:val="restart"/>
          </w:tcPr>
          <w:p>
            <w:pPr>
              <w:ind w:left="80"/>
              <w:spacing w:after="0"/>
              <w:rPr>
                <w:sz w:val="20"/>
                <w:szCs w:val="20"/>
                <w:color w:val="auto"/>
              </w:rPr>
            </w:pPr>
            <w:r>
              <w:rPr>
                <w:rFonts w:ascii="Arial" w:cs="Arial" w:eastAsia="Arial" w:hAnsi="Arial"/>
                <w:sz w:val="14"/>
                <w:szCs w:val="14"/>
                <w:color w:val="auto"/>
              </w:rPr>
              <w:t>reporting, statutory audits of foreign subsidiaries, procedures over acquisitions and divestitures, attest services,</w:t>
            </w:r>
          </w:p>
        </w:tc>
        <w:tc>
          <w:tcPr>
            <w:tcW w:w="0" w:type="dxa"/>
            <w:vAlign w:val="bottom"/>
          </w:tcPr>
          <w:p>
            <w:pPr>
              <w:spacing w:after="0"/>
              <w:rPr>
                <w:sz w:val="1"/>
                <w:szCs w:val="1"/>
                <w:color w:val="auto"/>
              </w:rPr>
            </w:pPr>
          </w:p>
        </w:tc>
      </w:tr>
      <w:tr>
        <w:trPr>
          <w:trHeight w:val="53"/>
        </w:trPr>
        <w:tc>
          <w:tcPr>
            <w:tcW w:w="1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7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1720" w:type="dxa"/>
            <w:vAlign w:val="bottom"/>
            <w:tcBorders>
              <w:bottom w:val="single" w:sz="8" w:color="939598"/>
            </w:tcBorders>
          </w:tcPr>
          <w:p>
            <w:pPr>
              <w:spacing w:after="0"/>
              <w:rPr>
                <w:sz w:val="16"/>
                <w:szCs w:val="16"/>
                <w:color w:val="auto"/>
              </w:rPr>
            </w:pPr>
          </w:p>
        </w:tc>
        <w:tc>
          <w:tcPr>
            <w:tcW w:w="560" w:type="dxa"/>
            <w:vAlign w:val="bottom"/>
            <w:tcBorders>
              <w:bottom w:val="single" w:sz="8" w:color="939598"/>
            </w:tcBorders>
          </w:tcPr>
          <w:p>
            <w:pPr>
              <w:spacing w:after="0"/>
              <w:rPr>
                <w:sz w:val="16"/>
                <w:szCs w:val="16"/>
                <w:color w:val="auto"/>
              </w:rPr>
            </w:pPr>
          </w:p>
        </w:tc>
        <w:tc>
          <w:tcPr>
            <w:tcW w:w="640" w:type="dxa"/>
            <w:vAlign w:val="bottom"/>
            <w:tcBorders>
              <w:bottom w:val="single" w:sz="8" w:color="939598"/>
            </w:tcBorders>
          </w:tcPr>
          <w:p>
            <w:pPr>
              <w:spacing w:after="0"/>
              <w:rPr>
                <w:sz w:val="16"/>
                <w:szCs w:val="16"/>
                <w:color w:val="auto"/>
              </w:rPr>
            </w:pPr>
          </w:p>
        </w:tc>
        <w:tc>
          <w:tcPr>
            <w:tcW w:w="300" w:type="dxa"/>
            <w:vAlign w:val="bottom"/>
            <w:tcBorders>
              <w:bottom w:val="single" w:sz="8" w:color="939598"/>
            </w:tcBorders>
          </w:tcPr>
          <w:p>
            <w:pPr>
              <w:spacing w:after="0"/>
              <w:rPr>
                <w:sz w:val="16"/>
                <w:szCs w:val="16"/>
                <w:color w:val="auto"/>
              </w:rPr>
            </w:pPr>
          </w:p>
        </w:tc>
        <w:tc>
          <w:tcPr>
            <w:tcW w:w="580" w:type="dxa"/>
            <w:vAlign w:val="bottom"/>
            <w:tcBorders>
              <w:bottom w:val="single" w:sz="8" w:color="939598"/>
            </w:tcBorders>
          </w:tcPr>
          <w:p>
            <w:pPr>
              <w:spacing w:after="0"/>
              <w:rPr>
                <w:sz w:val="16"/>
                <w:szCs w:val="16"/>
                <w:color w:val="auto"/>
              </w:rPr>
            </w:pPr>
          </w:p>
        </w:tc>
        <w:tc>
          <w:tcPr>
            <w:tcW w:w="7420" w:type="dxa"/>
            <w:vAlign w:val="bottom"/>
            <w:tcBorders>
              <w:bottom w:val="single" w:sz="8" w:color="939598"/>
            </w:tcBorders>
          </w:tcPr>
          <w:p>
            <w:pPr>
              <w:ind w:left="80"/>
              <w:spacing w:after="0"/>
              <w:rPr>
                <w:sz w:val="20"/>
                <w:szCs w:val="20"/>
                <w:color w:val="auto"/>
              </w:rPr>
            </w:pPr>
            <w:r>
              <w:rPr>
                <w:rFonts w:ascii="Arial" w:cs="Arial" w:eastAsia="Arial" w:hAnsi="Arial"/>
                <w:sz w:val="14"/>
                <w:szCs w:val="14"/>
                <w:color w:val="auto"/>
              </w:rPr>
              <w:t>and review of documents filed with the SEC.</w:t>
            </w:r>
          </w:p>
        </w:tc>
        <w:tc>
          <w:tcPr>
            <w:tcW w:w="0" w:type="dxa"/>
            <w:vAlign w:val="bottom"/>
          </w:tcPr>
          <w:p>
            <w:pPr>
              <w:spacing w:after="0"/>
              <w:rPr>
                <w:sz w:val="1"/>
                <w:szCs w:val="1"/>
                <w:color w:val="auto"/>
              </w:rPr>
            </w:pPr>
          </w:p>
        </w:tc>
      </w:tr>
      <w:tr>
        <w:trPr>
          <w:trHeight w:val="191"/>
        </w:trPr>
        <w:tc>
          <w:tcPr>
            <w:tcW w:w="1720" w:type="dxa"/>
            <w:vAlign w:val="bottom"/>
          </w:tcPr>
          <w:p>
            <w:pPr>
              <w:ind w:left="20"/>
              <w:spacing w:after="0"/>
              <w:rPr>
                <w:sz w:val="20"/>
                <w:szCs w:val="20"/>
                <w:color w:val="auto"/>
              </w:rPr>
            </w:pPr>
            <w:r>
              <w:rPr>
                <w:rFonts w:ascii="Arial" w:cs="Arial" w:eastAsia="Arial" w:hAnsi="Arial"/>
                <w:sz w:val="14"/>
                <w:szCs w:val="14"/>
                <w:b w:val="1"/>
                <w:bCs w:val="1"/>
                <w:color w:val="auto"/>
              </w:rPr>
              <w:t>Audit-Related Fees</w:t>
            </w:r>
          </w:p>
        </w:tc>
        <w:tc>
          <w:tcPr>
            <w:tcW w:w="560" w:type="dxa"/>
            <w:vAlign w:val="bottom"/>
          </w:tcPr>
          <w:p>
            <w:pPr>
              <w:spacing w:after="0"/>
              <w:rPr>
                <w:sz w:val="16"/>
                <w:szCs w:val="16"/>
                <w:color w:val="auto"/>
              </w:rPr>
            </w:pPr>
          </w:p>
        </w:tc>
        <w:tc>
          <w:tcPr>
            <w:tcW w:w="640" w:type="dxa"/>
            <w:vAlign w:val="bottom"/>
            <w:vMerge w:val="restart"/>
          </w:tcPr>
          <w:p>
            <w:pPr>
              <w:jc w:val="right"/>
              <w:ind w:right="108"/>
              <w:spacing w:after="0"/>
              <w:rPr>
                <w:sz w:val="20"/>
                <w:szCs w:val="20"/>
                <w:color w:val="auto"/>
              </w:rPr>
            </w:pPr>
            <w:r>
              <w:rPr>
                <w:rFonts w:ascii="Arial" w:cs="Arial" w:eastAsia="Arial" w:hAnsi="Arial"/>
                <w:sz w:val="14"/>
                <w:szCs w:val="14"/>
                <w:color w:val="auto"/>
              </w:rPr>
              <w:t>29.58</w:t>
            </w:r>
          </w:p>
        </w:tc>
        <w:tc>
          <w:tcPr>
            <w:tcW w:w="300" w:type="dxa"/>
            <w:vAlign w:val="bottom"/>
          </w:tcPr>
          <w:p>
            <w:pPr>
              <w:spacing w:after="0"/>
              <w:rPr>
                <w:sz w:val="16"/>
                <w:szCs w:val="16"/>
                <w:color w:val="auto"/>
              </w:rPr>
            </w:pPr>
          </w:p>
        </w:tc>
        <w:tc>
          <w:tcPr>
            <w:tcW w:w="580" w:type="dxa"/>
            <w:vAlign w:val="bottom"/>
            <w:vMerge w:val="restart"/>
          </w:tcPr>
          <w:p>
            <w:pPr>
              <w:jc w:val="right"/>
              <w:ind w:right="48"/>
              <w:spacing w:after="0"/>
              <w:rPr>
                <w:sz w:val="20"/>
                <w:szCs w:val="20"/>
                <w:color w:val="auto"/>
              </w:rPr>
            </w:pPr>
            <w:r>
              <w:rPr>
                <w:rFonts w:ascii="Arial" w:cs="Arial" w:eastAsia="Arial" w:hAnsi="Arial"/>
                <w:sz w:val="14"/>
                <w:szCs w:val="14"/>
                <w:color w:val="auto"/>
              </w:rPr>
              <w:t>9.34</w:t>
            </w:r>
          </w:p>
        </w:tc>
        <w:tc>
          <w:tcPr>
            <w:tcW w:w="7420" w:type="dxa"/>
            <w:vAlign w:val="bottom"/>
          </w:tcPr>
          <w:p>
            <w:pPr>
              <w:ind w:left="80"/>
              <w:spacing w:after="0"/>
              <w:rPr>
                <w:sz w:val="20"/>
                <w:szCs w:val="20"/>
                <w:color w:val="auto"/>
              </w:rPr>
            </w:pPr>
            <w:r>
              <w:rPr>
                <w:rFonts w:ascii="Arial" w:cs="Arial" w:eastAsia="Arial" w:hAnsi="Arial"/>
                <w:sz w:val="14"/>
                <w:szCs w:val="14"/>
                <w:color w:val="auto"/>
              </w:rPr>
              <w:t>Audit-related services in both 2025 and 2024 related primarily to carve out audits, consents, issuance of comfort</w:t>
            </w:r>
          </w:p>
        </w:tc>
        <w:tc>
          <w:tcPr>
            <w:tcW w:w="0" w:type="dxa"/>
            <w:vAlign w:val="bottom"/>
          </w:tcPr>
          <w:p>
            <w:pPr>
              <w:spacing w:after="0"/>
              <w:rPr>
                <w:sz w:val="1"/>
                <w:szCs w:val="1"/>
                <w:color w:val="auto"/>
              </w:rPr>
            </w:pPr>
          </w:p>
        </w:tc>
      </w:tr>
      <w:tr>
        <w:trPr>
          <w:trHeight w:val="123"/>
        </w:trPr>
        <w:tc>
          <w:tcPr>
            <w:tcW w:w="1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7420" w:type="dxa"/>
            <w:vAlign w:val="bottom"/>
            <w:vMerge w:val="restart"/>
          </w:tcPr>
          <w:p>
            <w:pPr>
              <w:ind w:left="80"/>
              <w:spacing w:after="0"/>
              <w:rPr>
                <w:sz w:val="20"/>
                <w:szCs w:val="20"/>
                <w:color w:val="auto"/>
              </w:rPr>
            </w:pPr>
            <w:r>
              <w:rPr>
                <w:rFonts w:ascii="Arial" w:cs="Arial" w:eastAsia="Arial" w:hAnsi="Arial"/>
                <w:sz w:val="14"/>
                <w:szCs w:val="14"/>
                <w:color w:val="auto"/>
              </w:rPr>
              <w:t>letters, and agreed upon procedures.</w:t>
            </w:r>
          </w:p>
        </w:tc>
        <w:tc>
          <w:tcPr>
            <w:tcW w:w="0" w:type="dxa"/>
            <w:vAlign w:val="bottom"/>
          </w:tcPr>
          <w:p>
            <w:pPr>
              <w:spacing w:after="0"/>
              <w:rPr>
                <w:sz w:val="1"/>
                <w:szCs w:val="1"/>
                <w:color w:val="auto"/>
              </w:rPr>
            </w:pPr>
          </w:p>
        </w:tc>
      </w:tr>
      <w:tr>
        <w:trPr>
          <w:trHeight w:val="68"/>
        </w:trPr>
        <w:tc>
          <w:tcPr>
            <w:tcW w:w="1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1720" w:type="dxa"/>
            <w:vAlign w:val="bottom"/>
            <w:tcBorders>
              <w:bottom w:val="single" w:sz="8" w:color="939598"/>
            </w:tcBorders>
          </w:tcPr>
          <w:p>
            <w:pPr>
              <w:spacing w:after="0"/>
              <w:rPr>
                <w:sz w:val="5"/>
                <w:szCs w:val="5"/>
                <w:color w:val="auto"/>
              </w:rPr>
            </w:pPr>
          </w:p>
        </w:tc>
        <w:tc>
          <w:tcPr>
            <w:tcW w:w="560" w:type="dxa"/>
            <w:vAlign w:val="bottom"/>
            <w:tcBorders>
              <w:bottom w:val="single" w:sz="8" w:color="939598"/>
            </w:tcBorders>
          </w:tcPr>
          <w:p>
            <w:pPr>
              <w:spacing w:after="0"/>
              <w:rPr>
                <w:sz w:val="5"/>
                <w:szCs w:val="5"/>
                <w:color w:val="auto"/>
              </w:rPr>
            </w:pPr>
          </w:p>
        </w:tc>
        <w:tc>
          <w:tcPr>
            <w:tcW w:w="640" w:type="dxa"/>
            <w:vAlign w:val="bottom"/>
            <w:tcBorders>
              <w:bottom w:val="single" w:sz="8" w:color="939598"/>
            </w:tcBorders>
          </w:tcPr>
          <w:p>
            <w:pPr>
              <w:spacing w:after="0"/>
              <w:rPr>
                <w:sz w:val="5"/>
                <w:szCs w:val="5"/>
                <w:color w:val="auto"/>
              </w:rPr>
            </w:pPr>
          </w:p>
        </w:tc>
        <w:tc>
          <w:tcPr>
            <w:tcW w:w="300" w:type="dxa"/>
            <w:vAlign w:val="bottom"/>
            <w:tcBorders>
              <w:bottom w:val="single" w:sz="8" w:color="939598"/>
            </w:tcBorders>
          </w:tcPr>
          <w:p>
            <w:pPr>
              <w:spacing w:after="0"/>
              <w:rPr>
                <w:sz w:val="5"/>
                <w:szCs w:val="5"/>
                <w:color w:val="auto"/>
              </w:rPr>
            </w:pPr>
          </w:p>
        </w:tc>
        <w:tc>
          <w:tcPr>
            <w:tcW w:w="580" w:type="dxa"/>
            <w:vAlign w:val="bottom"/>
            <w:tcBorders>
              <w:bottom w:val="single" w:sz="8" w:color="939598"/>
            </w:tcBorders>
          </w:tcPr>
          <w:p>
            <w:pPr>
              <w:spacing w:after="0"/>
              <w:rPr>
                <w:sz w:val="5"/>
                <w:szCs w:val="5"/>
                <w:color w:val="auto"/>
              </w:rPr>
            </w:pPr>
          </w:p>
        </w:tc>
        <w:tc>
          <w:tcPr>
            <w:tcW w:w="7420" w:type="dxa"/>
            <w:vAlign w:val="bottom"/>
            <w:tcBorders>
              <w:bottom w:val="single" w:sz="8" w:color="939598"/>
            </w:tcBorders>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1720" w:type="dxa"/>
            <w:vAlign w:val="bottom"/>
          </w:tcPr>
          <w:p>
            <w:pPr>
              <w:ind w:left="20"/>
              <w:spacing w:after="0"/>
              <w:rPr>
                <w:sz w:val="20"/>
                <w:szCs w:val="20"/>
                <w:color w:val="auto"/>
              </w:rPr>
            </w:pPr>
            <w:r>
              <w:rPr>
                <w:rFonts w:ascii="Arial" w:cs="Arial" w:eastAsia="Arial" w:hAnsi="Arial"/>
                <w:sz w:val="14"/>
                <w:szCs w:val="14"/>
                <w:b w:val="1"/>
                <w:bCs w:val="1"/>
                <w:color w:val="auto"/>
              </w:rPr>
              <w:t>Tax Fees</w:t>
            </w:r>
          </w:p>
        </w:tc>
        <w:tc>
          <w:tcPr>
            <w:tcW w:w="560" w:type="dxa"/>
            <w:vAlign w:val="bottom"/>
          </w:tcPr>
          <w:p>
            <w:pPr>
              <w:spacing w:after="0"/>
              <w:rPr>
                <w:sz w:val="18"/>
                <w:szCs w:val="18"/>
                <w:color w:val="auto"/>
              </w:rPr>
            </w:pPr>
          </w:p>
        </w:tc>
        <w:tc>
          <w:tcPr>
            <w:tcW w:w="640" w:type="dxa"/>
            <w:vAlign w:val="bottom"/>
            <w:vMerge w:val="restart"/>
          </w:tcPr>
          <w:p>
            <w:pPr>
              <w:jc w:val="right"/>
              <w:ind w:right="108"/>
              <w:spacing w:after="0"/>
              <w:rPr>
                <w:sz w:val="20"/>
                <w:szCs w:val="20"/>
                <w:color w:val="auto"/>
              </w:rPr>
            </w:pPr>
            <w:r>
              <w:rPr>
                <w:rFonts w:ascii="Arial" w:cs="Arial" w:eastAsia="Arial" w:hAnsi="Arial"/>
                <w:sz w:val="14"/>
                <w:szCs w:val="14"/>
                <w:color w:val="auto"/>
              </w:rPr>
              <w:t>0.03</w:t>
            </w:r>
          </w:p>
        </w:tc>
        <w:tc>
          <w:tcPr>
            <w:tcW w:w="300" w:type="dxa"/>
            <w:vAlign w:val="bottom"/>
          </w:tcPr>
          <w:p>
            <w:pPr>
              <w:spacing w:after="0"/>
              <w:rPr>
                <w:sz w:val="18"/>
                <w:szCs w:val="18"/>
                <w:color w:val="auto"/>
              </w:rPr>
            </w:pPr>
          </w:p>
        </w:tc>
        <w:tc>
          <w:tcPr>
            <w:tcW w:w="580" w:type="dxa"/>
            <w:vAlign w:val="bottom"/>
            <w:vMerge w:val="restart"/>
          </w:tcPr>
          <w:p>
            <w:pPr>
              <w:jc w:val="right"/>
              <w:ind w:right="48"/>
              <w:spacing w:after="0"/>
              <w:rPr>
                <w:sz w:val="20"/>
                <w:szCs w:val="20"/>
                <w:color w:val="auto"/>
              </w:rPr>
            </w:pPr>
            <w:r>
              <w:rPr>
                <w:rFonts w:ascii="Arial" w:cs="Arial" w:eastAsia="Arial" w:hAnsi="Arial"/>
                <w:sz w:val="14"/>
                <w:szCs w:val="14"/>
                <w:color w:val="auto"/>
              </w:rPr>
              <w:t>0.01</w:t>
            </w:r>
          </w:p>
        </w:tc>
        <w:tc>
          <w:tcPr>
            <w:tcW w:w="7420" w:type="dxa"/>
            <w:vAlign w:val="bottom"/>
          </w:tcPr>
          <w:p>
            <w:pPr>
              <w:ind w:left="80"/>
              <w:spacing w:after="0"/>
              <w:rPr>
                <w:sz w:val="20"/>
                <w:szCs w:val="20"/>
                <w:color w:val="auto"/>
              </w:rPr>
            </w:pPr>
            <w:r>
              <w:rPr>
                <w:rFonts w:ascii="Arial" w:cs="Arial" w:eastAsia="Arial" w:hAnsi="Arial"/>
                <w:sz w:val="14"/>
                <w:szCs w:val="14"/>
                <w:color w:val="auto"/>
              </w:rPr>
              <w:t>Fees related to tax compliance.</w:t>
            </w:r>
          </w:p>
        </w:tc>
        <w:tc>
          <w:tcPr>
            <w:tcW w:w="0" w:type="dxa"/>
            <w:vAlign w:val="bottom"/>
          </w:tcPr>
          <w:p>
            <w:pPr>
              <w:spacing w:after="0"/>
              <w:rPr>
                <w:sz w:val="1"/>
                <w:szCs w:val="1"/>
                <w:color w:val="auto"/>
              </w:rPr>
            </w:pPr>
          </w:p>
        </w:tc>
      </w:tr>
      <w:tr>
        <w:trPr>
          <w:trHeight w:val="102"/>
        </w:trPr>
        <w:tc>
          <w:tcPr>
            <w:tcW w:w="1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720" w:type="dxa"/>
            <w:vAlign w:val="bottom"/>
            <w:tcBorders>
              <w:bottom w:val="single" w:sz="8" w:color="939598"/>
            </w:tcBorders>
          </w:tcPr>
          <w:p>
            <w:pPr>
              <w:spacing w:after="0"/>
              <w:rPr>
                <w:sz w:val="11"/>
                <w:szCs w:val="11"/>
                <w:color w:val="auto"/>
              </w:rPr>
            </w:pPr>
          </w:p>
        </w:tc>
        <w:tc>
          <w:tcPr>
            <w:tcW w:w="560" w:type="dxa"/>
            <w:vAlign w:val="bottom"/>
            <w:tcBorders>
              <w:bottom w:val="single" w:sz="8" w:color="939598"/>
            </w:tcBorders>
          </w:tcPr>
          <w:p>
            <w:pPr>
              <w:spacing w:after="0"/>
              <w:rPr>
                <w:sz w:val="11"/>
                <w:szCs w:val="11"/>
                <w:color w:val="auto"/>
              </w:rPr>
            </w:pPr>
          </w:p>
        </w:tc>
        <w:tc>
          <w:tcPr>
            <w:tcW w:w="640" w:type="dxa"/>
            <w:vAlign w:val="bottom"/>
            <w:tcBorders>
              <w:bottom w:val="single" w:sz="8" w:color="939598"/>
            </w:tcBorders>
          </w:tcPr>
          <w:p>
            <w:pPr>
              <w:spacing w:after="0"/>
              <w:rPr>
                <w:sz w:val="11"/>
                <w:szCs w:val="11"/>
                <w:color w:val="auto"/>
              </w:rPr>
            </w:pPr>
          </w:p>
        </w:tc>
        <w:tc>
          <w:tcPr>
            <w:tcW w:w="300" w:type="dxa"/>
            <w:vAlign w:val="bottom"/>
            <w:tcBorders>
              <w:bottom w:val="single" w:sz="8" w:color="939598"/>
            </w:tcBorders>
          </w:tcPr>
          <w:p>
            <w:pPr>
              <w:spacing w:after="0"/>
              <w:rPr>
                <w:sz w:val="11"/>
                <w:szCs w:val="11"/>
                <w:color w:val="auto"/>
              </w:rPr>
            </w:pPr>
          </w:p>
        </w:tc>
        <w:tc>
          <w:tcPr>
            <w:tcW w:w="580" w:type="dxa"/>
            <w:vAlign w:val="bottom"/>
            <w:tcBorders>
              <w:bottom w:val="single" w:sz="8" w:color="939598"/>
            </w:tcBorders>
          </w:tcPr>
          <w:p>
            <w:pPr>
              <w:spacing w:after="0"/>
              <w:rPr>
                <w:sz w:val="11"/>
                <w:szCs w:val="11"/>
                <w:color w:val="auto"/>
              </w:rPr>
            </w:pPr>
          </w:p>
        </w:tc>
        <w:tc>
          <w:tcPr>
            <w:tcW w:w="742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1720" w:type="dxa"/>
            <w:vAlign w:val="bottom"/>
          </w:tcPr>
          <w:p>
            <w:pPr>
              <w:ind w:left="20"/>
              <w:spacing w:after="0"/>
              <w:rPr>
                <w:sz w:val="20"/>
                <w:szCs w:val="20"/>
                <w:color w:val="auto"/>
              </w:rPr>
            </w:pPr>
            <w:r>
              <w:rPr>
                <w:rFonts w:ascii="Arial" w:cs="Arial" w:eastAsia="Arial" w:hAnsi="Arial"/>
                <w:sz w:val="14"/>
                <w:szCs w:val="14"/>
                <w:b w:val="1"/>
                <w:bCs w:val="1"/>
                <w:color w:val="auto"/>
              </w:rPr>
              <w:t>All Other Fees</w:t>
            </w:r>
          </w:p>
        </w:tc>
        <w:tc>
          <w:tcPr>
            <w:tcW w:w="560" w:type="dxa"/>
            <w:vAlign w:val="bottom"/>
          </w:tcPr>
          <w:p>
            <w:pPr>
              <w:spacing w:after="0"/>
              <w:rPr>
                <w:sz w:val="18"/>
                <w:szCs w:val="18"/>
                <w:color w:val="auto"/>
              </w:rPr>
            </w:pPr>
          </w:p>
        </w:tc>
        <w:tc>
          <w:tcPr>
            <w:tcW w:w="640" w:type="dxa"/>
            <w:vAlign w:val="bottom"/>
            <w:vMerge w:val="restart"/>
          </w:tcPr>
          <w:p>
            <w:pPr>
              <w:jc w:val="right"/>
              <w:ind w:right="108"/>
              <w:spacing w:after="0"/>
              <w:rPr>
                <w:sz w:val="20"/>
                <w:szCs w:val="20"/>
                <w:color w:val="auto"/>
              </w:rPr>
            </w:pPr>
            <w:r>
              <w:rPr>
                <w:rFonts w:ascii="Arial" w:cs="Arial" w:eastAsia="Arial" w:hAnsi="Arial"/>
                <w:sz w:val="14"/>
                <w:szCs w:val="14"/>
                <w:color w:val="auto"/>
              </w:rPr>
              <w:t>0.08</w:t>
            </w:r>
          </w:p>
        </w:tc>
        <w:tc>
          <w:tcPr>
            <w:tcW w:w="300" w:type="dxa"/>
            <w:vAlign w:val="bottom"/>
          </w:tcPr>
          <w:p>
            <w:pPr>
              <w:spacing w:after="0"/>
              <w:rPr>
                <w:sz w:val="18"/>
                <w:szCs w:val="18"/>
                <w:color w:val="auto"/>
              </w:rPr>
            </w:pPr>
          </w:p>
        </w:tc>
        <w:tc>
          <w:tcPr>
            <w:tcW w:w="580" w:type="dxa"/>
            <w:vAlign w:val="bottom"/>
            <w:vMerge w:val="restart"/>
          </w:tcPr>
          <w:p>
            <w:pPr>
              <w:jc w:val="right"/>
              <w:ind w:right="48"/>
              <w:spacing w:after="0"/>
              <w:rPr>
                <w:sz w:val="20"/>
                <w:szCs w:val="20"/>
                <w:color w:val="auto"/>
              </w:rPr>
            </w:pPr>
            <w:r>
              <w:rPr>
                <w:rFonts w:ascii="Arial" w:cs="Arial" w:eastAsia="Arial" w:hAnsi="Arial"/>
                <w:sz w:val="14"/>
                <w:szCs w:val="14"/>
                <w:color w:val="auto"/>
              </w:rPr>
              <w:t>0.03</w:t>
            </w:r>
          </w:p>
        </w:tc>
        <w:tc>
          <w:tcPr>
            <w:tcW w:w="7420" w:type="dxa"/>
            <w:vAlign w:val="bottom"/>
          </w:tcPr>
          <w:p>
            <w:pPr>
              <w:ind w:left="80"/>
              <w:spacing w:after="0"/>
              <w:rPr>
                <w:sz w:val="20"/>
                <w:szCs w:val="20"/>
                <w:color w:val="auto"/>
              </w:rPr>
            </w:pPr>
            <w:r>
              <w:rPr>
                <w:rFonts w:ascii="Arial" w:cs="Arial" w:eastAsia="Arial" w:hAnsi="Arial"/>
                <w:sz w:val="14"/>
                <w:szCs w:val="14"/>
                <w:color w:val="auto"/>
              </w:rPr>
              <w:t>Fees related to advisory and consulting services.</w:t>
            </w:r>
          </w:p>
        </w:tc>
        <w:tc>
          <w:tcPr>
            <w:tcW w:w="0" w:type="dxa"/>
            <w:vAlign w:val="bottom"/>
          </w:tcPr>
          <w:p>
            <w:pPr>
              <w:spacing w:after="0"/>
              <w:rPr>
                <w:sz w:val="1"/>
                <w:szCs w:val="1"/>
                <w:color w:val="auto"/>
              </w:rPr>
            </w:pPr>
          </w:p>
        </w:tc>
      </w:tr>
      <w:tr>
        <w:trPr>
          <w:trHeight w:val="102"/>
        </w:trPr>
        <w:tc>
          <w:tcPr>
            <w:tcW w:w="1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720" w:type="dxa"/>
            <w:vAlign w:val="bottom"/>
            <w:tcBorders>
              <w:bottom w:val="single" w:sz="8" w:color="D7282F"/>
            </w:tcBorders>
          </w:tcPr>
          <w:p>
            <w:pPr>
              <w:spacing w:after="0"/>
              <w:rPr>
                <w:sz w:val="11"/>
                <w:szCs w:val="11"/>
                <w:color w:val="auto"/>
              </w:rPr>
            </w:pPr>
          </w:p>
        </w:tc>
        <w:tc>
          <w:tcPr>
            <w:tcW w:w="560" w:type="dxa"/>
            <w:vAlign w:val="bottom"/>
            <w:tcBorders>
              <w:bottom w:val="single" w:sz="8" w:color="D7282F"/>
            </w:tcBorders>
          </w:tcPr>
          <w:p>
            <w:pPr>
              <w:spacing w:after="0"/>
              <w:rPr>
                <w:sz w:val="11"/>
                <w:szCs w:val="11"/>
                <w:color w:val="auto"/>
              </w:rPr>
            </w:pPr>
          </w:p>
        </w:tc>
        <w:tc>
          <w:tcPr>
            <w:tcW w:w="640" w:type="dxa"/>
            <w:vAlign w:val="bottom"/>
            <w:tcBorders>
              <w:bottom w:val="single" w:sz="8" w:color="D7282F"/>
            </w:tcBorders>
          </w:tcPr>
          <w:p>
            <w:pPr>
              <w:spacing w:after="0"/>
              <w:rPr>
                <w:sz w:val="11"/>
                <w:szCs w:val="11"/>
                <w:color w:val="auto"/>
              </w:rPr>
            </w:pPr>
          </w:p>
        </w:tc>
        <w:tc>
          <w:tcPr>
            <w:tcW w:w="300" w:type="dxa"/>
            <w:vAlign w:val="bottom"/>
            <w:tcBorders>
              <w:bottom w:val="single" w:sz="8" w:color="D7282F"/>
            </w:tcBorders>
          </w:tcPr>
          <w:p>
            <w:pPr>
              <w:spacing w:after="0"/>
              <w:rPr>
                <w:sz w:val="11"/>
                <w:szCs w:val="11"/>
                <w:color w:val="auto"/>
              </w:rPr>
            </w:pPr>
          </w:p>
        </w:tc>
        <w:tc>
          <w:tcPr>
            <w:tcW w:w="580" w:type="dxa"/>
            <w:vAlign w:val="bottom"/>
            <w:tcBorders>
              <w:bottom w:val="single" w:sz="8" w:color="D7282F"/>
            </w:tcBorders>
          </w:tcPr>
          <w:p>
            <w:pPr>
              <w:spacing w:after="0"/>
              <w:rPr>
                <w:sz w:val="11"/>
                <w:szCs w:val="11"/>
                <w:color w:val="auto"/>
              </w:rPr>
            </w:pPr>
          </w:p>
        </w:tc>
        <w:tc>
          <w:tcPr>
            <w:tcW w:w="7420" w:type="dxa"/>
            <w:vAlign w:val="bottom"/>
            <w:tcBorders>
              <w:bottom w:val="single" w:sz="8" w:color="D7282F"/>
            </w:tcBorders>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1720" w:type="dxa"/>
            <w:vAlign w:val="bottom"/>
          </w:tcPr>
          <w:p>
            <w:pPr>
              <w:ind w:left="20"/>
              <w:spacing w:after="0"/>
              <w:rPr>
                <w:sz w:val="20"/>
                <w:szCs w:val="20"/>
                <w:color w:val="auto"/>
              </w:rPr>
            </w:pPr>
            <w:r>
              <w:rPr>
                <w:rFonts w:ascii="Arial" w:cs="Arial" w:eastAsia="Arial" w:hAnsi="Arial"/>
                <w:sz w:val="14"/>
                <w:szCs w:val="14"/>
                <w:b w:val="1"/>
                <w:bCs w:val="1"/>
                <w:color w:val="auto"/>
              </w:rPr>
              <w:t>Total Fees</w:t>
            </w:r>
          </w:p>
        </w:tc>
        <w:tc>
          <w:tcPr>
            <w:tcW w:w="5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6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46.58</w:t>
            </w:r>
          </w:p>
        </w:tc>
        <w:tc>
          <w:tcPr>
            <w:tcW w:w="3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5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28.03</w:t>
            </w:r>
          </w:p>
        </w:tc>
        <w:tc>
          <w:tcPr>
            <w:tcW w:w="7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7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7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720" w:type="dxa"/>
            <w:vAlign w:val="bottom"/>
            <w:tcBorders>
              <w:bottom w:val="single" w:sz="8" w:color="D7282F"/>
            </w:tcBorders>
          </w:tcPr>
          <w:p>
            <w:pPr>
              <w:spacing w:after="0"/>
              <w:rPr>
                <w:sz w:val="10"/>
                <w:szCs w:val="10"/>
                <w:color w:val="auto"/>
              </w:rPr>
            </w:pPr>
          </w:p>
        </w:tc>
        <w:tc>
          <w:tcPr>
            <w:tcW w:w="56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spacing w:after="0"/>
              <w:rPr>
                <w:sz w:val="10"/>
                <w:szCs w:val="10"/>
                <w:color w:val="auto"/>
              </w:rPr>
            </w:pPr>
          </w:p>
        </w:tc>
        <w:tc>
          <w:tcPr>
            <w:tcW w:w="30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spacing w:after="0"/>
              <w:rPr>
                <w:sz w:val="10"/>
                <w:szCs w:val="10"/>
                <w:color w:val="auto"/>
              </w:rPr>
            </w:pPr>
          </w:p>
        </w:tc>
        <w:tc>
          <w:tcPr>
            <w:tcW w:w="7420" w:type="dxa"/>
            <w:vAlign w:val="bottom"/>
            <w:tcBorders>
              <w:bottom w:val="single" w:sz="8" w:color="D7282F"/>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366"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NON-AUDIT SERVICES</w:t>
      </w:r>
    </w:p>
    <w:p>
      <w:pPr>
        <w:spacing w:after="0" w:line="141" w:lineRule="exact"/>
        <w:rPr>
          <w:sz w:val="20"/>
          <w:szCs w:val="20"/>
          <w:color w:val="auto"/>
        </w:rPr>
      </w:pPr>
    </w:p>
    <w:p>
      <w:pPr>
        <w:jc w:val="both"/>
        <w:ind w:right="480"/>
        <w:spacing w:after="0" w:line="266" w:lineRule="auto"/>
        <w:rPr>
          <w:sz w:val="20"/>
          <w:szCs w:val="20"/>
          <w:color w:val="auto"/>
        </w:rPr>
      </w:pPr>
      <w:r>
        <w:rPr>
          <w:rFonts w:ascii="Arial" w:cs="Arial" w:eastAsia="Arial" w:hAnsi="Arial"/>
          <w:sz w:val="16"/>
          <w:szCs w:val="16"/>
          <w:color w:val="auto"/>
        </w:rPr>
        <w:t>The Audit Committee reviews non-audit services proposed to be provided by Deloitte to determine whether they would be compatible with maintaining Deloitte’s independence. The Audit Committee has established policies and procedures for the engagement of Deloitte to provide non-audit services. Specifically:</w:t>
      </w:r>
    </w:p>
    <w:p>
      <w:pPr>
        <w:spacing w:after="0" w:line="77" w:lineRule="exact"/>
        <w:rPr>
          <w:sz w:val="20"/>
          <w:szCs w:val="20"/>
          <w:color w:val="auto"/>
        </w:rPr>
      </w:pPr>
    </w:p>
    <w:p>
      <w:pPr>
        <w:ind w:left="200" w:right="160" w:hanging="192"/>
        <w:spacing w:after="0" w:line="265" w:lineRule="auto"/>
        <w:tabs>
          <w:tab w:leader="none" w:pos="197" w:val="left"/>
        </w:tabs>
        <w:numPr>
          <w:ilvl w:val="0"/>
          <w:numId w:val="212"/>
        </w:numPr>
        <w:rPr>
          <w:rFonts w:ascii="Arial" w:cs="Arial" w:eastAsia="Arial" w:hAnsi="Arial"/>
          <w:sz w:val="16"/>
          <w:szCs w:val="16"/>
          <w:b w:val="1"/>
          <w:bCs w:val="1"/>
          <w:color w:val="D7282F"/>
        </w:rPr>
      </w:pPr>
      <w:r>
        <w:rPr>
          <w:rFonts w:ascii="Arial" w:cs="Arial" w:eastAsia="Arial" w:hAnsi="Arial"/>
          <w:sz w:val="16"/>
          <w:szCs w:val="16"/>
          <w:color w:val="auto"/>
        </w:rPr>
        <w:t>The Audit Committee reviews and pre-approves an annual budget for specific categories of non-audit services (that are detailed as to the particular services) which Deloitte is to be permitted to provide (those categories do not include any of the prohibited services in the auditor independence provisions of the Sarbanes-Oxley Act of 2002). This review includes an evaluation of the possible impact of the provision of such services by Deloitte on the firm’s independence in performing its audit and audit-related services.</w:t>
      </w:r>
    </w:p>
    <w:p>
      <w:pPr>
        <w:spacing w:after="0" w:line="37" w:lineRule="exact"/>
        <w:rPr>
          <w:rFonts w:ascii="Arial" w:cs="Arial" w:eastAsia="Arial" w:hAnsi="Arial"/>
          <w:sz w:val="16"/>
          <w:szCs w:val="16"/>
          <w:b w:val="1"/>
          <w:bCs w:val="1"/>
          <w:color w:val="D7282F"/>
        </w:rPr>
      </w:pPr>
    </w:p>
    <w:p>
      <w:pPr>
        <w:ind w:left="200" w:right="200" w:hanging="192"/>
        <w:spacing w:after="0" w:line="286" w:lineRule="auto"/>
        <w:tabs>
          <w:tab w:leader="none" w:pos="197" w:val="left"/>
        </w:tabs>
        <w:numPr>
          <w:ilvl w:val="0"/>
          <w:numId w:val="212"/>
        </w:numPr>
        <w:rPr>
          <w:rFonts w:ascii="Arial" w:cs="Arial" w:eastAsia="Arial" w:hAnsi="Arial"/>
          <w:sz w:val="16"/>
          <w:szCs w:val="16"/>
          <w:b w:val="1"/>
          <w:bCs w:val="1"/>
          <w:color w:val="D7282F"/>
        </w:rPr>
      </w:pPr>
      <w:r>
        <w:rPr>
          <w:rFonts w:ascii="Arial" w:cs="Arial" w:eastAsia="Arial" w:hAnsi="Arial"/>
          <w:sz w:val="16"/>
          <w:szCs w:val="16"/>
          <w:color w:val="auto"/>
        </w:rPr>
        <w:t>The Audit Committee reviews the non-audit services performed by, and amount of fees paid to, Deloitte, by category in comparison to the pre-approved budget.</w:t>
      </w:r>
    </w:p>
    <w:p>
      <w:pPr>
        <w:spacing w:after="0" w:line="20" w:lineRule="exact"/>
        <w:rPr>
          <w:rFonts w:ascii="Arial" w:cs="Arial" w:eastAsia="Arial" w:hAnsi="Arial"/>
          <w:sz w:val="16"/>
          <w:szCs w:val="16"/>
          <w:b w:val="1"/>
          <w:bCs w:val="1"/>
          <w:color w:val="D7282F"/>
        </w:rPr>
      </w:pPr>
    </w:p>
    <w:p>
      <w:pPr>
        <w:ind w:left="200" w:right="160" w:hanging="192"/>
        <w:spacing w:after="0" w:line="265" w:lineRule="auto"/>
        <w:tabs>
          <w:tab w:leader="none" w:pos="197" w:val="left"/>
        </w:tabs>
        <w:numPr>
          <w:ilvl w:val="0"/>
          <w:numId w:val="212"/>
        </w:numPr>
        <w:rPr>
          <w:rFonts w:ascii="Arial" w:cs="Arial" w:eastAsia="Arial" w:hAnsi="Arial"/>
          <w:sz w:val="16"/>
          <w:szCs w:val="16"/>
          <w:b w:val="1"/>
          <w:bCs w:val="1"/>
          <w:color w:val="D7282F"/>
        </w:rPr>
      </w:pPr>
      <w:r>
        <w:rPr>
          <w:rFonts w:ascii="Arial" w:cs="Arial" w:eastAsia="Arial" w:hAnsi="Arial"/>
          <w:sz w:val="16"/>
          <w:szCs w:val="16"/>
          <w:color w:val="auto"/>
        </w:rPr>
        <w:t>The engagement of Deloitte to provide non-audit services that do not fall within a specific category of pre-approved services, or that would result in the total fees payable to Deloitte in any category to exceed the pre-approved amount, requires the prior approval of the Audit Committee. Between regularly scheduled meetings of the Audit Committee, the Audit Committee Chair may represent the entire committee for purposes of review and approval of any such engagement, and the Chair is required to report on all such interim reviews at the committee’s next regularly scheduled meeting.</w:t>
      </w:r>
    </w:p>
    <w:p>
      <w:pPr>
        <w:spacing w:after="0" w:line="195" w:lineRule="exact"/>
        <w:rPr>
          <w:sz w:val="20"/>
          <w:szCs w:val="20"/>
          <w:color w:val="auto"/>
        </w:rPr>
      </w:pPr>
    </w:p>
    <w:p>
      <w:pPr>
        <w:ind w:left="20"/>
        <w:spacing w:after="0"/>
        <w:tabs>
          <w:tab w:leader="none" w:pos="1860" w:val="left"/>
        </w:tabs>
        <w:rPr>
          <w:sz w:val="20"/>
          <w:szCs w:val="20"/>
          <w:color w:val="auto"/>
        </w:rPr>
      </w:pPr>
      <w:r>
        <w:rPr>
          <w:rFonts w:ascii="Arial" w:cs="Arial" w:eastAsia="Arial" w:hAnsi="Arial"/>
          <w:sz w:val="18"/>
          <w:szCs w:val="18"/>
          <w:b w:val="1"/>
          <w:bCs w:val="1"/>
          <w:color w:val="auto"/>
        </w:rPr>
        <w:t xml:space="preserve">108  </w:t>
      </w:r>
      <w:r>
        <w:rPr>
          <w:sz w:val="1"/>
          <w:szCs w:val="1"/>
          <w:color w:val="auto"/>
        </w:rPr>
        <w:drawing>
          <wp:inline distT="0" distB="0" distL="0" distR="0">
            <wp:extent cx="548640" cy="102870"/>
            <wp:effectExtent l="0" t="0" r="0" b="0"/>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2026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157720" cy="4254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3" w:right="359" w:bottom="1440" w:gutter="0" w:footer="0" w:header="0"/>
        </w:sectPr>
      </w:pPr>
    </w:p>
    <w:bookmarkStart w:id="124" w:name="page125"/>
    <w:bookmarkEnd w:id="124"/>
    <w:p>
      <w:pPr>
        <w:jc w:val="right"/>
        <w:spacing w:after="0"/>
        <w:rPr>
          <w:sz w:val="20"/>
          <w:szCs w:val="20"/>
          <w:color w:val="auto"/>
        </w:rPr>
      </w:pPr>
      <w:r>
        <w:rPr>
          <w:rFonts w:ascii="Arial" w:cs="Arial" w:eastAsia="Arial" w:hAnsi="Arial"/>
          <w:sz w:val="13"/>
          <w:szCs w:val="13"/>
          <w:b w:val="1"/>
          <w:bCs w:val="1"/>
          <w:color w:val="6D6E71"/>
        </w:rPr>
        <w:t>PROPOSAL 3: APPROVAL OF INDEPENDENT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AUDIT COMMITTEE REPORT</w:t>
      </w:r>
    </w:p>
    <w:p>
      <w:pPr>
        <w:spacing w:after="0" w:line="127" w:lineRule="exact"/>
        <w:rPr>
          <w:sz w:val="20"/>
          <w:szCs w:val="20"/>
          <w:color w:val="auto"/>
        </w:rPr>
      </w:pPr>
    </w:p>
    <w:p>
      <w:pPr>
        <w:ind w:right="760"/>
        <w:spacing w:after="0" w:line="286" w:lineRule="auto"/>
        <w:rPr>
          <w:sz w:val="20"/>
          <w:szCs w:val="20"/>
          <w:color w:val="auto"/>
        </w:rPr>
      </w:pPr>
      <w:r>
        <w:rPr>
          <w:rFonts w:ascii="Arial" w:cs="Arial" w:eastAsia="Arial" w:hAnsi="Arial"/>
          <w:sz w:val="16"/>
          <w:szCs w:val="16"/>
          <w:color w:val="auto"/>
        </w:rPr>
        <w:t>This Audit Committee Report was approved by the members of the Audit Committee listed below. Each such member of the Audit Committee is an independent director as defined by applicable SEC rules and stock exchange listing standards.</w:t>
      </w:r>
    </w:p>
    <w:p>
      <w:pPr>
        <w:spacing w:after="0" w:line="61"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Management is responsible for Honeywell’s internal controls and preparing the Company’s consolidated financial statements. The Company’s independent accountants are responsible for performing an independent audit of the consolidated financial statements in accordance with the standards of the Public Company Accounting Oversight Board (United States) and issuing a report thereon. The Committee is responsible for overseeing the conduct of these activities and appointing the Company’s independent accountants. As stated above and in the Committee’s charter, the Committee’s responsibility is one of oversight. The Committee does not provide any expert or special assurance as to Honeywell’s financial statements concerning compliance with laws, regulations, or generally accepted accounting principles. In performing its oversight function, the Committee relies, without independent verification, on the information provided to it and on representations made by management and the independent accountants.</w:t>
      </w:r>
    </w:p>
    <w:p>
      <w:pPr>
        <w:spacing w:after="0" w:line="68"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The Audit Committee reviewed and discussed Honeywell’s consolidated financial statements for the year ended December 31, 2025, with management and the independent accountants for 2025, Deloitte &amp; Touche LLP (Deloitte). Management represented to the Audit Committee that the Company’s consolidated financial statements were prepared in accordance with generally accepted accounting principles. The Audit Committee discussed with Deloitte matters required to be discussed by the applicable requirements of the Public Company Accounting Oversight Board and the SEC. The Committee also reviewed, and discussed with management and Deloitte, management’s report and Deloitte’s report on internal control over financial reporting in accordance with Section 404 of the Sarbanes-Oxley Act.</w:t>
      </w:r>
    </w:p>
    <w:p>
      <w:pPr>
        <w:spacing w:after="0" w:line="82" w:lineRule="exact"/>
        <w:rPr>
          <w:sz w:val="20"/>
          <w:szCs w:val="20"/>
          <w:color w:val="auto"/>
        </w:rPr>
      </w:pPr>
    </w:p>
    <w:p>
      <w:pPr>
        <w:ind w:right="260"/>
        <w:spacing w:after="0" w:line="265" w:lineRule="auto"/>
        <w:rPr>
          <w:sz w:val="20"/>
          <w:szCs w:val="20"/>
          <w:color w:val="auto"/>
        </w:rPr>
      </w:pPr>
      <w:r>
        <w:rPr>
          <w:rFonts w:ascii="Arial" w:cs="Arial" w:eastAsia="Arial" w:hAnsi="Arial"/>
          <w:sz w:val="16"/>
          <w:szCs w:val="16"/>
          <w:color w:val="auto"/>
        </w:rPr>
        <w:t>Honeywell’s independent accountants provided to the Audit Committee the written disclosures required by the applicable requirements of the Public Company Accounting Oversight Board regarding the independent accountants’ communications with the Audit Committee concerning independence, and the Committee discussed with the independent accountants their independence. The Audit Committee concluded that Deloitte’s provision of non-audit services, as detailed in the table on page 108, to the Company and its affiliates is compatible with Deloitte’s independence.</w:t>
      </w:r>
    </w:p>
    <w:p>
      <w:pPr>
        <w:spacing w:after="0" w:line="65"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Based on the Audit Committee’s discussion with management and the independent accountants and the Audit Committee’s review of the representations of management and the report of the independent accountants, the Audit Committee recommended to the Board of Directors that the audited consolidated financial statements in the Form 10-K for the year ended December 31, 2025, be filed with the SEC.</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Audit Committee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Michael W. Lamach (Chair)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William S. Ayer </w:t>
      </w:r>
      <w:r>
        <w:rPr>
          <w:rFonts w:ascii="Arial" w:cs="Arial" w:eastAsia="Arial" w:hAnsi="Arial"/>
          <w:sz w:val="16"/>
          <w:szCs w:val="16"/>
          <w:b w:val="1"/>
          <w:bCs w:val="1"/>
          <w:i w:val="1"/>
          <w:iCs w:val="1"/>
          <w:color w:val="auto"/>
        </w:rPr>
        <w:t>(ex officio)</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Kevin Burke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 Scott Davis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Marc Steinberg</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Robin Watson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Stephen Williamson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182245</wp:posOffset>
            </wp:positionV>
            <wp:extent cx="34290" cy="60833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34290" cy="608330"/>
                    </a:xfrm>
                    <a:prstGeom prst="rect">
                      <a:avLst/>
                    </a:prstGeom>
                    <a:noFill/>
                  </pic:spPr>
                </pic:pic>
              </a:graphicData>
            </a:graphic>
          </wp:anchor>
        </w:drawing>
      </w:r>
    </w:p>
    <w:p>
      <w:pPr>
        <w:spacing w:after="0" w:line="269" w:lineRule="exact"/>
        <w:rPr>
          <w:sz w:val="20"/>
          <w:szCs w:val="20"/>
          <w:color w:val="auto"/>
        </w:rPr>
      </w:pPr>
    </w:p>
    <w:p>
      <w:pPr>
        <w:ind w:left="160" w:right="160"/>
        <w:spacing w:after="0" w:line="278" w:lineRule="auto"/>
        <w:rPr>
          <w:sz w:val="20"/>
          <w:szCs w:val="20"/>
          <w:color w:val="auto"/>
        </w:rPr>
      </w:pPr>
      <w:r>
        <w:rPr>
          <w:rFonts w:ascii="Arial" w:cs="Arial" w:eastAsia="Arial" w:hAnsi="Arial"/>
          <w:sz w:val="25"/>
          <w:szCs w:val="25"/>
          <w:b w:val="1"/>
          <w:bCs w:val="1"/>
          <w:color w:val="auto"/>
        </w:rPr>
        <w:t xml:space="preserve">THE BOARD OF DIRECTORS UNANIMOUSLY RECOMMENDS A VOTE </w:t>
      </w:r>
      <w:r>
        <w:rPr>
          <w:rFonts w:ascii="Arial" w:cs="Arial" w:eastAsia="Arial" w:hAnsi="Arial"/>
          <w:sz w:val="25"/>
          <w:szCs w:val="25"/>
          <w:b w:val="1"/>
          <w:bCs w:val="1"/>
          <w:color w:val="D7282F"/>
        </w:rPr>
        <w:t>FOR</w:t>
      </w:r>
      <w:r>
        <w:rPr>
          <w:rFonts w:ascii="Arial" w:cs="Arial" w:eastAsia="Arial" w:hAnsi="Arial"/>
          <w:sz w:val="25"/>
          <w:szCs w:val="25"/>
          <w:b w:val="1"/>
          <w:bCs w:val="1"/>
          <w:color w:val="auto"/>
        </w:rPr>
        <w:t xml:space="preserve"> THE APPROVAL OF THE APPOINTMENT OF DELOITTE &amp; TOUCHE LLP AS HONEYWELL'S INDEPENDENT ACCOUNTANTS.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260" w:type="dxa"/>
            <w:vAlign w:val="bottom"/>
          </w:tcPr>
          <w:p>
            <w:pPr>
              <w:ind w:left="6840"/>
              <w:spacing w:after="0"/>
              <w:rPr>
                <w:sz w:val="20"/>
                <w:szCs w:val="20"/>
                <w:color w:val="auto"/>
              </w:rPr>
            </w:pPr>
            <w:r>
              <w:rPr>
                <w:rFonts w:ascii="Arial" w:cs="Arial" w:eastAsia="Arial" w:hAnsi="Arial"/>
                <w:sz w:val="13"/>
                <w:szCs w:val="13"/>
                <w:b w:val="1"/>
                <w:bCs w:val="1"/>
                <w:color w:val="6D6E71"/>
              </w:rPr>
              <w:t>2026 NOTICE AND PROXY STATEMENT   |</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109</w:t>
            </w:r>
          </w:p>
        </w:tc>
      </w:tr>
      <w:tr>
        <w:trPr>
          <w:trHeight w:val="373"/>
        </w:trPr>
        <w:tc>
          <w:tcPr>
            <w:tcW w:w="10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5" w:name="page126"/>
    <w:bookmarkEnd w:id="125"/>
    <w:p>
      <w:pPr>
        <w:spacing w:after="0"/>
        <w:rPr>
          <w:sz w:val="20"/>
          <w:szCs w:val="20"/>
          <w:color w:val="auto"/>
        </w:rPr>
      </w:pPr>
      <w:r>
        <w:rPr>
          <w:rFonts w:ascii="Arial" w:cs="Arial" w:eastAsia="Arial" w:hAnsi="Arial"/>
          <w:sz w:val="45"/>
          <w:szCs w:val="45"/>
          <w:b w:val="1"/>
          <w:bCs w:val="1"/>
          <w:color w:val="auto"/>
        </w:rPr>
        <w:t>PROPOSAL 4:</w:t>
      </w:r>
    </w:p>
    <w:p>
      <w:pPr>
        <w:spacing w:after="0" w:line="28" w:lineRule="exact"/>
        <w:rPr>
          <w:sz w:val="20"/>
          <w:szCs w:val="20"/>
          <w:color w:val="auto"/>
        </w:rPr>
      </w:pPr>
    </w:p>
    <w:p>
      <w:pPr>
        <w:spacing w:after="0"/>
        <w:rPr>
          <w:sz w:val="20"/>
          <w:szCs w:val="20"/>
          <w:color w:val="auto"/>
        </w:rPr>
      </w:pPr>
      <w:r>
        <w:rPr>
          <w:rFonts w:ascii="Arial" w:cs="Arial" w:eastAsia="Arial" w:hAnsi="Arial"/>
          <w:sz w:val="45"/>
          <w:szCs w:val="45"/>
          <w:b w:val="1"/>
          <w:bCs w:val="1"/>
          <w:color w:val="auto"/>
        </w:rPr>
        <w:t>REVERSE STOCK SPLIT PROPOSAL</w:t>
      </w:r>
    </w:p>
    <w:p>
      <w:pPr>
        <w:spacing w:after="0" w:line="92"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This section of this Proxy Statement describes the proposal (the “Reverse Stock Split Proposal”) to adopt and approve an amendment to our Amended and Restated Certificate of Incorporation to effect, at the discretion of the Board at any time prior to the one-year anniversary of the Annual Meeting, the following:</w:t>
      </w:r>
    </w:p>
    <w:p>
      <w:pPr>
        <w:spacing w:after="0" w:line="267" w:lineRule="exact"/>
        <w:rPr>
          <w:sz w:val="20"/>
          <w:szCs w:val="20"/>
          <w:color w:val="auto"/>
        </w:rPr>
      </w:pPr>
    </w:p>
    <w:p>
      <w:pPr>
        <w:ind w:left="200" w:hanging="192"/>
        <w:spacing w:after="0"/>
        <w:tabs>
          <w:tab w:leader="none" w:pos="200" w:val="left"/>
        </w:tabs>
        <w:numPr>
          <w:ilvl w:val="0"/>
          <w:numId w:val="213"/>
        </w:numPr>
        <w:rPr>
          <w:rFonts w:ascii="Arial" w:cs="Arial" w:eastAsia="Arial" w:hAnsi="Arial"/>
          <w:sz w:val="16"/>
          <w:szCs w:val="16"/>
          <w:b w:val="1"/>
          <w:bCs w:val="1"/>
          <w:color w:val="D7282F"/>
        </w:rPr>
      </w:pPr>
      <w:r>
        <w:rPr>
          <w:rFonts w:ascii="Arial" w:cs="Arial" w:eastAsia="Arial" w:hAnsi="Arial"/>
          <w:sz w:val="16"/>
          <w:szCs w:val="16"/>
          <w:color w:val="auto"/>
        </w:rPr>
        <w:t>a reverse stock split at a ratio of 1-for-2 (referred to as the “Reverse Stock Split”) and</w:t>
      </w:r>
    </w:p>
    <w:p>
      <w:pPr>
        <w:spacing w:after="0" w:line="86" w:lineRule="exact"/>
        <w:rPr>
          <w:rFonts w:ascii="Arial" w:cs="Arial" w:eastAsia="Arial" w:hAnsi="Arial"/>
          <w:sz w:val="16"/>
          <w:szCs w:val="16"/>
          <w:b w:val="1"/>
          <w:bCs w:val="1"/>
          <w:color w:val="D7282F"/>
        </w:rPr>
      </w:pPr>
    </w:p>
    <w:p>
      <w:pPr>
        <w:ind w:left="200" w:right="440" w:hanging="192"/>
        <w:spacing w:after="0" w:line="286" w:lineRule="auto"/>
        <w:tabs>
          <w:tab w:leader="none" w:pos="197" w:val="left"/>
        </w:tabs>
        <w:numPr>
          <w:ilvl w:val="0"/>
          <w:numId w:val="213"/>
        </w:numPr>
        <w:rPr>
          <w:rFonts w:ascii="Arial" w:cs="Arial" w:eastAsia="Arial" w:hAnsi="Arial"/>
          <w:sz w:val="16"/>
          <w:szCs w:val="16"/>
          <w:b w:val="1"/>
          <w:bCs w:val="1"/>
          <w:color w:val="D7282F"/>
        </w:rPr>
      </w:pPr>
      <w:r>
        <w:rPr>
          <w:rFonts w:ascii="Arial" w:cs="Arial" w:eastAsia="Arial" w:hAnsi="Arial"/>
          <w:sz w:val="16"/>
          <w:szCs w:val="16"/>
          <w:color w:val="auto"/>
        </w:rPr>
        <w:t>contemporaneously with the Reverse Stock Split, a corresponding proportionate reduction in the total number of shares of Honeywell common stock authorized for issuance under our Amended and Restated Certificate of Incorporation (referred to as the “Authorized Share Reduction”).</w:t>
      </w:r>
    </w:p>
    <w:p>
      <w:pPr>
        <w:spacing w:after="0" w:line="48" w:lineRule="exact"/>
        <w:rPr>
          <w:sz w:val="20"/>
          <w:szCs w:val="20"/>
          <w:color w:val="auto"/>
        </w:rPr>
      </w:pPr>
    </w:p>
    <w:p>
      <w:pPr>
        <w:ind w:right="400"/>
        <w:spacing w:after="0" w:line="304" w:lineRule="auto"/>
        <w:rPr>
          <w:sz w:val="20"/>
          <w:szCs w:val="20"/>
          <w:color w:val="auto"/>
        </w:rPr>
      </w:pPr>
      <w:r>
        <w:rPr>
          <w:rFonts w:ascii="Arial" w:cs="Arial" w:eastAsia="Arial" w:hAnsi="Arial"/>
          <w:sz w:val="16"/>
          <w:szCs w:val="16"/>
          <w:color w:val="auto"/>
        </w:rPr>
        <w:t>The Reverse Stock Split and the Authorized Share Reduction are collectively referred to as the “Reverse Stock Split Amendment”, and the form of such amendment is set forth in Appendix B and is referred to as the “Certificate of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141605</wp:posOffset>
            </wp:positionV>
            <wp:extent cx="34290" cy="42037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34290" cy="420370"/>
                    </a:xfrm>
                    <a:prstGeom prst="rect">
                      <a:avLst/>
                    </a:prstGeom>
                    <a:noFill/>
                  </pic:spPr>
                </pic:pic>
              </a:graphicData>
            </a:graphic>
          </wp:anchor>
        </w:drawing>
      </w:r>
    </w:p>
    <w:p>
      <w:pPr>
        <w:spacing w:after="0" w:line="206" w:lineRule="exact"/>
        <w:rPr>
          <w:sz w:val="20"/>
          <w:szCs w:val="20"/>
          <w:color w:val="auto"/>
        </w:rPr>
      </w:pPr>
    </w:p>
    <w:p>
      <w:pPr>
        <w:ind w:left="160" w:right="1520"/>
        <w:spacing w:after="0" w:line="298" w:lineRule="auto"/>
        <w:rPr>
          <w:sz w:val="20"/>
          <w:szCs w:val="20"/>
          <w:color w:val="auto"/>
        </w:rPr>
      </w:pPr>
      <w:r>
        <w:rPr>
          <w:rFonts w:ascii="Arial" w:cs="Arial" w:eastAsia="Arial" w:hAnsi="Arial"/>
          <w:sz w:val="25"/>
          <w:szCs w:val="25"/>
          <w:b w:val="1"/>
          <w:bCs w:val="1"/>
          <w:color w:val="auto"/>
        </w:rPr>
        <w:t xml:space="preserve">THE BOARD OF DIRECTORS UNANIMOUSLY RECOMMENDS A VOTE </w:t>
      </w:r>
      <w:r>
        <w:rPr>
          <w:rFonts w:ascii="Arial" w:cs="Arial" w:eastAsia="Arial" w:hAnsi="Arial"/>
          <w:sz w:val="25"/>
          <w:szCs w:val="25"/>
          <w:b w:val="1"/>
          <w:bCs w:val="1"/>
          <w:color w:val="D7282F"/>
        </w:rPr>
        <w:t>FOR</w:t>
      </w:r>
      <w:r>
        <w:rPr>
          <w:rFonts w:ascii="Arial" w:cs="Arial" w:eastAsia="Arial" w:hAnsi="Arial"/>
          <w:sz w:val="25"/>
          <w:szCs w:val="25"/>
          <w:b w:val="1"/>
          <w:bCs w:val="1"/>
          <w:color w:val="auto"/>
        </w:rPr>
        <w:t xml:space="preserve"> THIS PROPOSAL.</w:t>
      </w:r>
    </w:p>
    <w:p>
      <w:pPr>
        <w:spacing w:after="0" w:line="311"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REASONS FOR THE BOARD’S RECOMMENDATION</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REVERSE STOCK SPLIT</w:t>
      </w:r>
    </w:p>
    <w:p>
      <w:pPr>
        <w:spacing w:after="0" w:line="128"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On February 6, 2025, the Company announced a plan to separate Honeywell and Honeywell Aerospace into two independent public companies. As a result of this planned separation, which is currently expected to be completed in the third quarter of 2026, the trading price of the Company’s shares of common stock is expected to decrease to reflect the spin-off of Honeywell Aerospace.</w:t>
      </w:r>
    </w:p>
    <w:p>
      <w:pPr>
        <w:spacing w:after="0" w:line="56"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The purpose of the Reverse Stock Split is to increase this per-share trading price following the spin-off to an amount that is more in line with the per share price range of Honeywell’s peer companies after the spin-off that are of similar size and market capitalization. The Reverse Stock Split also better aligns the number of outstanding shares to the Company's peer group of companies of similar size and market capitalization. In addition, the Board believes that this increase may improve the marketability of, and may encourage interest and trading in, Honeywell common stock.</w:t>
      </w:r>
    </w:p>
    <w:p>
      <w:pPr>
        <w:spacing w:after="0" w:line="60"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While we expect that the Reverse Stock Split will result in a proportionate increase in the per share price of Honeywell common stock, the Reverse Stock Split may not increase the per share price of Honeywell common stock in proportion to the reduction in the number of shares of Honeywell common stock outstanding or result in a permanent increase in the per share price (which depends on many factors, including our performance, prospects, market conditions and other factors that may be unrelated to the number of shares outstanding). The Reverse Stock Split may also increase the number of shareowners who own odd lots (less than 100 shares). Shareowners who hold odd lots typically will experience an increase in the cost or difficulty of selling their shares. Accordingly, a Reverse Stock Split may not achieve all of the desired results that have been outlined above.</w:t>
      </w:r>
    </w:p>
    <w:p>
      <w:pPr>
        <w:spacing w:after="0" w:line="68"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Board considered all of the foregoing factors and determined that seeking shareowner approval for the Reverse Stock Split Amendment is in the best interests of the Company and its shareowners. As noted below, even if shareowners approve the Reverse Stock Split Amendment, the Board reserves the right not to effect the Reverse Stock Split Amendment if the Board does not deem it to be in the best interests of the Company or its shareowners at the time.</w:t>
      </w:r>
    </w:p>
    <w:p>
      <w:pPr>
        <w:spacing w:after="0" w:line="227" w:lineRule="exact"/>
        <w:rPr>
          <w:sz w:val="20"/>
          <w:szCs w:val="20"/>
          <w:color w:val="auto"/>
        </w:rPr>
      </w:pPr>
    </w:p>
    <w:p>
      <w:pPr>
        <w:ind w:left="20"/>
        <w:spacing w:after="0"/>
        <w:tabs>
          <w:tab w:leader="none" w:pos="1860" w:val="left"/>
        </w:tabs>
        <w:rPr>
          <w:sz w:val="20"/>
          <w:szCs w:val="20"/>
          <w:color w:val="auto"/>
        </w:rPr>
      </w:pPr>
      <w:r>
        <w:rPr>
          <w:rFonts w:ascii="Arial" w:cs="Arial" w:eastAsia="Arial" w:hAnsi="Arial"/>
          <w:sz w:val="18"/>
          <w:szCs w:val="18"/>
          <w:b w:val="1"/>
          <w:bCs w:val="1"/>
          <w:color w:val="auto"/>
        </w:rPr>
        <w:t xml:space="preserve">110  </w:t>
      </w:r>
      <w:r>
        <w:rPr>
          <w:sz w:val="1"/>
          <w:szCs w:val="1"/>
          <w:color w:val="auto"/>
        </w:rPr>
        <w:drawing>
          <wp:inline distT="0" distB="0" distL="0" distR="0">
            <wp:extent cx="548640" cy="102870"/>
            <wp:effectExtent l="0" t="0" r="0" b="0"/>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2026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157720" cy="4254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9"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3"/>
          <w:szCs w:val="13"/>
          <w:b w:val="1"/>
          <w:bCs w:val="1"/>
          <w:color w:val="6D6E71"/>
        </w:rPr>
        <w:t>PROPOSAL 4: REVERSE STOCK SPLIT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AUTHORIZED SHARE REDUCTION</w:t>
      </w:r>
    </w:p>
    <w:p>
      <w:pPr>
        <w:spacing w:after="0" w:line="128"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Although Delaware law does not require a reduction in the total number of authorized shares of Honeywell common stock in connection with implementation of the Reverse Stock Split, if shareowners adopt and approve the Reverse Stock Split Amendment, and the Board decides to implement the Reverse Stock Split, the authorized number of shares of Honeywell common stock would be correspondingly reduced by a proportionate amount. The Board believes this reduction is appropriate because, if the Reverse Stock Split is effectuated, it does not anticipate needing two billion authorized shares of Honeywell common stock in the foreseeable future.</w:t>
      </w:r>
    </w:p>
    <w:p>
      <w:pPr>
        <w:spacing w:after="0" w:line="256"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EFFECTS OF THE REVERSE STOCK SPLIT AMENDMENT</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GENERAL</w:t>
      </w:r>
    </w:p>
    <w:p>
      <w:pPr>
        <w:spacing w:after="0" w:line="128"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If the Reverse Stock Split Amendment is approved, there will be no impact on shareowners until the Board determines to implement the Reverse Stock Split. In order to implement the Reverse Stock Split Amendment, the Company would file the Certificate of Amendment with the Delaware Secretary of State, which would be effective immediately or at such time as the Company may specify at the time of filing (referred to as the “Effective Time”).</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the Reverse Stock Split, the outstanding shares of Honeywell common stock will be combined at a ratio of</w:t>
      </w:r>
    </w:p>
    <w:p>
      <w:pPr>
        <w:spacing w:after="0" w:line="21"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color w:val="auto"/>
        </w:rPr>
        <w:t>1-for-2 (referred to as the “Split Ratio”). However, no fractional shares of Honeywell common stock will be issued as a result of the Reverse Stock Split, and instead, any shareowner who would have been entitled to receive a fractional share as a result of the Reverse Stock Split will instead receive a cash payment in lieu of such fractional share, as described below.</w:t>
      </w:r>
    </w:p>
    <w:p>
      <w:pPr>
        <w:spacing w:after="0" w:line="79" w:lineRule="exact"/>
        <w:rPr>
          <w:sz w:val="20"/>
          <w:szCs w:val="20"/>
          <w:color w:val="auto"/>
        </w:rPr>
      </w:pPr>
    </w:p>
    <w:p>
      <w:pPr>
        <w:ind w:right="500"/>
        <w:spacing w:after="0" w:line="266" w:lineRule="auto"/>
        <w:rPr>
          <w:sz w:val="20"/>
          <w:szCs w:val="20"/>
          <w:color w:val="auto"/>
        </w:rPr>
      </w:pPr>
      <w:r>
        <w:rPr>
          <w:rFonts w:ascii="Arial" w:cs="Arial" w:eastAsia="Arial" w:hAnsi="Arial"/>
          <w:sz w:val="16"/>
          <w:szCs w:val="16"/>
          <w:color w:val="auto"/>
        </w:rPr>
        <w:t>If the Reverse Stock Split is implemented, shareowners of Honeywell common stock will own a smaller number of shares than they currently own. The Reverse Stock Split would affect all the Company’s shareowners uniformly and would not affect any shareowner’s percentage ownership interest or proportionate voting power, except for the cash out of fractional shares of common stock.</w:t>
      </w:r>
    </w:p>
    <w:p>
      <w:pPr>
        <w:spacing w:after="0" w:line="77" w:lineRule="exact"/>
        <w:rPr>
          <w:sz w:val="20"/>
          <w:szCs w:val="20"/>
          <w:color w:val="auto"/>
        </w:rPr>
      </w:pPr>
    </w:p>
    <w:p>
      <w:pPr>
        <w:jc w:val="both"/>
        <w:ind w:right="140"/>
        <w:spacing w:after="0" w:line="275" w:lineRule="auto"/>
        <w:rPr>
          <w:sz w:val="20"/>
          <w:szCs w:val="20"/>
          <w:color w:val="auto"/>
        </w:rPr>
      </w:pPr>
      <w:r>
        <w:rPr>
          <w:rFonts w:ascii="Arial" w:cs="Arial" w:eastAsia="Arial" w:hAnsi="Arial"/>
          <w:sz w:val="16"/>
          <w:szCs w:val="16"/>
          <w:color w:val="auto"/>
        </w:rPr>
        <w:t>The following table contains approximate information, based on share information as of March 28, 2026, relating to Honeywell’s outstanding common stock based on the Split Ratio and information regarding our authorized shares assuming that the Reverse Stock Split Amendment is approved and the Reverse Stock Split and the Authorized Share Reduction are implemented: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40" w:type="dxa"/>
            <w:vAlign w:val="bottom"/>
          </w:tcPr>
          <w:p>
            <w:pPr>
              <w:spacing w:after="0"/>
              <w:rPr>
                <w:sz w:val="15"/>
                <w:szCs w:val="15"/>
                <w:color w:val="auto"/>
              </w:rPr>
            </w:pPr>
          </w:p>
        </w:tc>
        <w:tc>
          <w:tcPr>
            <w:tcW w:w="5020" w:type="dxa"/>
            <w:vAlign w:val="bottom"/>
          </w:tcPr>
          <w:p>
            <w:pPr>
              <w:jc w:val="right"/>
              <w:ind w:right="169"/>
              <w:spacing w:after="0"/>
              <w:rPr>
                <w:sz w:val="20"/>
                <w:szCs w:val="20"/>
                <w:color w:val="auto"/>
              </w:rPr>
            </w:pPr>
            <w:r>
              <w:rPr>
                <w:rFonts w:ascii="Arial" w:cs="Arial" w:eastAsia="Arial" w:hAnsi="Arial"/>
                <w:sz w:val="14"/>
                <w:szCs w:val="14"/>
                <w:b w:val="1"/>
                <w:bCs w:val="1"/>
                <w:color w:val="auto"/>
              </w:rPr>
              <w:t>Number of Shares of</w:t>
            </w:r>
          </w:p>
        </w:tc>
        <w:tc>
          <w:tcPr>
            <w:tcW w:w="340" w:type="dxa"/>
            <w:vAlign w:val="bottom"/>
          </w:tcPr>
          <w:p>
            <w:pPr>
              <w:spacing w:after="0"/>
              <w:rPr>
                <w:sz w:val="15"/>
                <w:szCs w:val="15"/>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Number of Shares of</w:t>
            </w:r>
          </w:p>
        </w:tc>
      </w:tr>
      <w:tr>
        <w:trPr>
          <w:trHeight w:val="176"/>
        </w:trPr>
        <w:tc>
          <w:tcPr>
            <w:tcW w:w="4340" w:type="dxa"/>
            <w:vAlign w:val="bottom"/>
          </w:tcPr>
          <w:p>
            <w:pPr>
              <w:spacing w:after="0"/>
              <w:rPr>
                <w:sz w:val="15"/>
                <w:szCs w:val="15"/>
                <w:color w:val="auto"/>
              </w:rPr>
            </w:pPr>
          </w:p>
        </w:tc>
        <w:tc>
          <w:tcPr>
            <w:tcW w:w="5020" w:type="dxa"/>
            <w:vAlign w:val="bottom"/>
          </w:tcPr>
          <w:p>
            <w:pPr>
              <w:jc w:val="right"/>
              <w:ind w:right="169"/>
              <w:spacing w:after="0"/>
              <w:rPr>
                <w:sz w:val="20"/>
                <w:szCs w:val="20"/>
                <w:color w:val="auto"/>
              </w:rPr>
            </w:pPr>
            <w:r>
              <w:rPr>
                <w:rFonts w:ascii="Arial" w:cs="Arial" w:eastAsia="Arial" w:hAnsi="Arial"/>
                <w:sz w:val="14"/>
                <w:szCs w:val="14"/>
                <w:b w:val="1"/>
                <w:bCs w:val="1"/>
                <w:color w:val="auto"/>
              </w:rPr>
              <w:t>Common Stock</w:t>
            </w:r>
          </w:p>
        </w:tc>
        <w:tc>
          <w:tcPr>
            <w:tcW w:w="18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Common Stock Issued and</w:t>
            </w:r>
          </w:p>
        </w:tc>
      </w:tr>
      <w:tr>
        <w:trPr>
          <w:trHeight w:val="197"/>
        </w:trPr>
        <w:tc>
          <w:tcPr>
            <w:tcW w:w="4340" w:type="dxa"/>
            <w:vAlign w:val="bottom"/>
          </w:tcPr>
          <w:p>
            <w:pPr>
              <w:spacing w:after="0"/>
              <w:rPr>
                <w:sz w:val="17"/>
                <w:szCs w:val="17"/>
                <w:color w:val="auto"/>
              </w:rPr>
            </w:pPr>
          </w:p>
        </w:tc>
        <w:tc>
          <w:tcPr>
            <w:tcW w:w="5020" w:type="dxa"/>
            <w:vAlign w:val="bottom"/>
          </w:tcPr>
          <w:p>
            <w:pPr>
              <w:jc w:val="right"/>
              <w:ind w:right="169"/>
              <w:spacing w:after="0"/>
              <w:rPr>
                <w:sz w:val="20"/>
                <w:szCs w:val="20"/>
                <w:color w:val="auto"/>
              </w:rPr>
            </w:pPr>
            <w:r>
              <w:rPr>
                <w:rFonts w:ascii="Arial" w:cs="Arial" w:eastAsia="Arial" w:hAnsi="Arial"/>
                <w:sz w:val="14"/>
                <w:szCs w:val="14"/>
                <w:b w:val="1"/>
                <w:bCs w:val="1"/>
                <w:color w:val="auto"/>
              </w:rPr>
              <w:t>Authorized</w:t>
            </w:r>
          </w:p>
        </w:tc>
        <w:tc>
          <w:tcPr>
            <w:tcW w:w="340" w:type="dxa"/>
            <w:vAlign w:val="bottom"/>
          </w:tcPr>
          <w:p>
            <w:pPr>
              <w:spacing w:after="0"/>
              <w:rPr>
                <w:sz w:val="17"/>
                <w:szCs w:val="17"/>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Outstanding</w:t>
            </w:r>
          </w:p>
        </w:tc>
      </w:tr>
      <w:tr>
        <w:trPr>
          <w:trHeight w:val="310"/>
        </w:trPr>
        <w:tc>
          <w:tcPr>
            <w:tcW w:w="4340" w:type="dxa"/>
            <w:vAlign w:val="bottom"/>
            <w:tcBorders>
              <w:top w:val="single" w:sz="8" w:color="D7282F"/>
            </w:tcBorders>
          </w:tcPr>
          <w:p>
            <w:pPr>
              <w:ind w:left="20"/>
              <w:spacing w:after="0"/>
              <w:rPr>
                <w:sz w:val="20"/>
                <w:szCs w:val="20"/>
                <w:color w:val="auto"/>
              </w:rPr>
            </w:pPr>
            <w:r>
              <w:rPr>
                <w:rFonts w:ascii="Arial" w:cs="Arial" w:eastAsia="Arial" w:hAnsi="Arial"/>
                <w:sz w:val="14"/>
                <w:szCs w:val="14"/>
                <w:color w:val="auto"/>
              </w:rPr>
              <w:t>Pre-Reverse Stock Split</w:t>
            </w:r>
          </w:p>
        </w:tc>
        <w:tc>
          <w:tcPr>
            <w:tcW w:w="5020" w:type="dxa"/>
            <w:vAlign w:val="bottom"/>
            <w:tcBorders>
              <w:top w:val="single" w:sz="8" w:color="D7282F"/>
            </w:tcBorders>
          </w:tcPr>
          <w:p>
            <w:pPr>
              <w:jc w:val="right"/>
              <w:ind w:right="169"/>
              <w:spacing w:after="0"/>
              <w:rPr>
                <w:sz w:val="20"/>
                <w:szCs w:val="20"/>
                <w:color w:val="auto"/>
              </w:rPr>
            </w:pPr>
            <w:r>
              <w:rPr>
                <w:rFonts w:ascii="Arial" w:cs="Arial" w:eastAsia="Arial" w:hAnsi="Arial"/>
                <w:sz w:val="14"/>
                <w:szCs w:val="14"/>
                <w:color w:val="auto"/>
              </w:rPr>
              <w:t>2,000,000,000</w:t>
            </w:r>
          </w:p>
        </w:tc>
        <w:tc>
          <w:tcPr>
            <w:tcW w:w="340" w:type="dxa"/>
            <w:vAlign w:val="bottom"/>
            <w:tcBorders>
              <w:top w:val="single" w:sz="8" w:color="D7282F"/>
            </w:tcBorders>
          </w:tcPr>
          <w:p>
            <w:pPr>
              <w:spacing w:after="0"/>
              <w:rPr>
                <w:sz w:val="24"/>
                <w:szCs w:val="24"/>
                <w:color w:val="auto"/>
              </w:rPr>
            </w:pPr>
          </w:p>
        </w:tc>
        <w:tc>
          <w:tcPr>
            <w:tcW w:w="1520" w:type="dxa"/>
            <w:vAlign w:val="bottom"/>
            <w:tcBorders>
              <w:top w:val="single" w:sz="8" w:color="D7282F"/>
            </w:tcBorders>
          </w:tcPr>
          <w:p>
            <w:pPr>
              <w:jc w:val="right"/>
              <w:spacing w:after="0"/>
              <w:rPr>
                <w:sz w:val="20"/>
                <w:szCs w:val="20"/>
                <w:color w:val="auto"/>
              </w:rPr>
            </w:pPr>
            <w:r>
              <w:rPr>
                <w:rFonts w:ascii="Arial" w:cs="Arial" w:eastAsia="Arial" w:hAnsi="Arial"/>
                <w:sz w:val="14"/>
                <w:szCs w:val="14"/>
                <w:color w:val="auto"/>
              </w:rPr>
              <w:t>633,700,000</w:t>
            </w:r>
          </w:p>
        </w:tc>
        <w:tc>
          <w:tcPr>
            <w:tcW w:w="20" w:type="dxa"/>
            <w:vAlign w:val="bottom"/>
          </w:tcPr>
          <w:p>
            <w:pPr>
              <w:spacing w:after="0"/>
              <w:rPr>
                <w:sz w:val="24"/>
                <w:szCs w:val="24"/>
                <w:color w:val="auto"/>
              </w:rPr>
            </w:pPr>
          </w:p>
        </w:tc>
      </w:tr>
      <w:tr>
        <w:trPr>
          <w:trHeight w:val="130"/>
        </w:trPr>
        <w:tc>
          <w:tcPr>
            <w:tcW w:w="4340" w:type="dxa"/>
            <w:vAlign w:val="bottom"/>
            <w:tcBorders>
              <w:bottom w:val="single" w:sz="8" w:color="939598"/>
            </w:tcBorders>
          </w:tcPr>
          <w:p>
            <w:pPr>
              <w:spacing w:after="0"/>
              <w:rPr>
                <w:sz w:val="11"/>
                <w:szCs w:val="11"/>
                <w:color w:val="auto"/>
              </w:rPr>
            </w:pPr>
          </w:p>
        </w:tc>
        <w:tc>
          <w:tcPr>
            <w:tcW w:w="5020" w:type="dxa"/>
            <w:vAlign w:val="bottom"/>
            <w:tcBorders>
              <w:bottom w:val="single" w:sz="8" w:color="939598"/>
            </w:tcBorders>
          </w:tcPr>
          <w:p>
            <w:pPr>
              <w:spacing w:after="0"/>
              <w:rPr>
                <w:sz w:val="11"/>
                <w:szCs w:val="11"/>
                <w:color w:val="auto"/>
              </w:rPr>
            </w:pPr>
          </w:p>
        </w:tc>
        <w:tc>
          <w:tcPr>
            <w:tcW w:w="340" w:type="dxa"/>
            <w:vAlign w:val="bottom"/>
            <w:tcBorders>
              <w:bottom w:val="single" w:sz="8" w:color="939598"/>
            </w:tcBorders>
          </w:tcPr>
          <w:p>
            <w:pPr>
              <w:spacing w:after="0"/>
              <w:rPr>
                <w:sz w:val="11"/>
                <w:szCs w:val="11"/>
                <w:color w:val="auto"/>
              </w:rPr>
            </w:pPr>
          </w:p>
        </w:tc>
        <w:tc>
          <w:tcPr>
            <w:tcW w:w="1520" w:type="dxa"/>
            <w:vAlign w:val="bottom"/>
            <w:tcBorders>
              <w:bottom w:val="single" w:sz="8" w:color="939598"/>
            </w:tcBorders>
          </w:tcPr>
          <w:p>
            <w:pPr>
              <w:spacing w:after="0"/>
              <w:rPr>
                <w:sz w:val="11"/>
                <w:szCs w:val="11"/>
                <w:color w:val="auto"/>
              </w:rPr>
            </w:pPr>
          </w:p>
        </w:tc>
        <w:tc>
          <w:tcPr>
            <w:tcW w:w="20" w:type="dxa"/>
            <w:vAlign w:val="bottom"/>
          </w:tcPr>
          <w:p>
            <w:pPr>
              <w:spacing w:after="0"/>
              <w:rPr>
                <w:sz w:val="11"/>
                <w:szCs w:val="11"/>
                <w:color w:val="auto"/>
              </w:rPr>
            </w:pPr>
          </w:p>
        </w:tc>
      </w:tr>
      <w:tr>
        <w:trPr>
          <w:trHeight w:val="309"/>
        </w:trPr>
        <w:tc>
          <w:tcPr>
            <w:tcW w:w="4340" w:type="dxa"/>
            <w:vAlign w:val="bottom"/>
          </w:tcPr>
          <w:p>
            <w:pPr>
              <w:ind w:left="20"/>
              <w:spacing w:after="0"/>
              <w:rPr>
                <w:sz w:val="20"/>
                <w:szCs w:val="20"/>
                <w:color w:val="auto"/>
              </w:rPr>
            </w:pPr>
            <w:r>
              <w:rPr>
                <w:rFonts w:ascii="Arial" w:cs="Arial" w:eastAsia="Arial" w:hAnsi="Arial"/>
                <w:sz w:val="14"/>
                <w:szCs w:val="14"/>
                <w:color w:val="auto"/>
              </w:rPr>
              <w:t>Post-Reverse Stock Split 1:2</w:t>
            </w:r>
          </w:p>
        </w:tc>
        <w:tc>
          <w:tcPr>
            <w:tcW w:w="5020" w:type="dxa"/>
            <w:vAlign w:val="bottom"/>
          </w:tcPr>
          <w:p>
            <w:pPr>
              <w:jc w:val="right"/>
              <w:ind w:right="209"/>
              <w:spacing w:after="0"/>
              <w:rPr>
                <w:sz w:val="20"/>
                <w:szCs w:val="20"/>
                <w:color w:val="auto"/>
              </w:rPr>
            </w:pPr>
            <w:r>
              <w:rPr>
                <w:rFonts w:ascii="Arial" w:cs="Arial" w:eastAsia="Arial" w:hAnsi="Arial"/>
                <w:sz w:val="14"/>
                <w:szCs w:val="14"/>
                <w:color w:val="auto"/>
              </w:rPr>
              <w:t>1,000,000,000</w:t>
            </w:r>
          </w:p>
        </w:tc>
        <w:tc>
          <w:tcPr>
            <w:tcW w:w="3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316,850,000</w:t>
            </w:r>
          </w:p>
        </w:tc>
        <w:tc>
          <w:tcPr>
            <w:tcW w:w="20" w:type="dxa"/>
            <w:vAlign w:val="bottom"/>
          </w:tcPr>
          <w:p>
            <w:pPr>
              <w:spacing w:after="0"/>
              <w:rPr>
                <w:sz w:val="24"/>
                <w:szCs w:val="24"/>
                <w:color w:val="auto"/>
              </w:rPr>
            </w:pPr>
          </w:p>
        </w:tc>
      </w:tr>
      <w:tr>
        <w:trPr>
          <w:trHeight w:val="130"/>
        </w:trPr>
        <w:tc>
          <w:tcPr>
            <w:tcW w:w="4340" w:type="dxa"/>
            <w:vAlign w:val="bottom"/>
            <w:tcBorders>
              <w:bottom w:val="single" w:sz="8" w:color="D7282F"/>
            </w:tcBorders>
          </w:tcPr>
          <w:p>
            <w:pPr>
              <w:spacing w:after="0"/>
              <w:rPr>
                <w:sz w:val="11"/>
                <w:szCs w:val="11"/>
                <w:color w:val="auto"/>
              </w:rPr>
            </w:pPr>
          </w:p>
        </w:tc>
        <w:tc>
          <w:tcPr>
            <w:tcW w:w="5020" w:type="dxa"/>
            <w:vAlign w:val="bottom"/>
            <w:tcBorders>
              <w:bottom w:val="single" w:sz="8" w:color="D7282F"/>
            </w:tcBorders>
          </w:tcPr>
          <w:p>
            <w:pPr>
              <w:spacing w:after="0"/>
              <w:rPr>
                <w:sz w:val="11"/>
                <w:szCs w:val="11"/>
                <w:color w:val="auto"/>
              </w:rPr>
            </w:pPr>
          </w:p>
        </w:tc>
        <w:tc>
          <w:tcPr>
            <w:tcW w:w="340" w:type="dxa"/>
            <w:vAlign w:val="bottom"/>
            <w:tcBorders>
              <w:bottom w:val="single" w:sz="8" w:color="D7282F"/>
            </w:tcBorders>
          </w:tcPr>
          <w:p>
            <w:pPr>
              <w:spacing w:after="0"/>
              <w:rPr>
                <w:sz w:val="11"/>
                <w:szCs w:val="11"/>
                <w:color w:val="auto"/>
              </w:rPr>
            </w:pPr>
          </w:p>
        </w:tc>
        <w:tc>
          <w:tcPr>
            <w:tcW w:w="1520" w:type="dxa"/>
            <w:vAlign w:val="bottom"/>
            <w:tcBorders>
              <w:bottom w:val="single" w:sz="8" w:color="D7282F"/>
            </w:tcBorders>
          </w:tcPr>
          <w:p>
            <w:pPr>
              <w:spacing w:after="0"/>
              <w:rPr>
                <w:sz w:val="11"/>
                <w:szCs w:val="11"/>
                <w:color w:val="auto"/>
              </w:rPr>
            </w:pPr>
          </w:p>
        </w:tc>
        <w:tc>
          <w:tcPr>
            <w:tcW w:w="20" w:type="dxa"/>
            <w:vAlign w:val="bottom"/>
          </w:tcPr>
          <w:p>
            <w:pPr>
              <w:spacing w:after="0"/>
              <w:rPr>
                <w:sz w:val="11"/>
                <w:szCs w:val="11"/>
                <w:color w:val="auto"/>
              </w:rPr>
            </w:pPr>
          </w:p>
        </w:tc>
      </w:tr>
      <w:tr>
        <w:trPr>
          <w:trHeight w:val="478"/>
        </w:trPr>
        <w:tc>
          <w:tcPr>
            <w:tcW w:w="4340" w:type="dxa"/>
            <w:vAlign w:val="bottom"/>
          </w:tcPr>
          <w:p>
            <w:pPr>
              <w:spacing w:after="0"/>
              <w:rPr>
                <w:sz w:val="24"/>
                <w:szCs w:val="24"/>
                <w:color w:val="auto"/>
              </w:rPr>
            </w:pPr>
          </w:p>
        </w:tc>
        <w:tc>
          <w:tcPr>
            <w:tcW w:w="5020" w:type="dxa"/>
            <w:vAlign w:val="bottom"/>
          </w:tcPr>
          <w:p>
            <w:pPr>
              <w:jc w:val="right"/>
              <w:spacing w:after="0"/>
              <w:rPr>
                <w:sz w:val="20"/>
                <w:szCs w:val="20"/>
                <w:color w:val="auto"/>
              </w:rPr>
            </w:pPr>
            <w:r>
              <w:rPr>
                <w:rFonts w:ascii="Arial" w:cs="Arial" w:eastAsia="Arial" w:hAnsi="Arial"/>
                <w:sz w:val="13"/>
                <w:szCs w:val="13"/>
                <w:b w:val="1"/>
                <w:bCs w:val="1"/>
                <w:color w:val="6D6E71"/>
              </w:rPr>
              <w:t>2026 NOTICE AND PROXY STATEMENT</w:t>
            </w:r>
          </w:p>
        </w:tc>
        <w:tc>
          <w:tcPr>
            <w:tcW w:w="340" w:type="dxa"/>
            <w:vAlign w:val="bottom"/>
          </w:tcPr>
          <w:p>
            <w:pPr>
              <w:jc w:val="right"/>
              <w:ind w:right="50"/>
              <w:spacing w:after="0"/>
              <w:rPr>
                <w:sz w:val="20"/>
                <w:szCs w:val="20"/>
                <w:color w:val="auto"/>
              </w:rPr>
            </w:pPr>
            <w:r>
              <w:rPr>
                <w:rFonts w:ascii="Arial" w:cs="Arial" w:eastAsia="Arial" w:hAnsi="Arial"/>
                <w:sz w:val="13"/>
                <w:szCs w:val="13"/>
                <w:b w:val="1"/>
                <w:bCs w:val="1"/>
                <w:color w:val="6D6E71"/>
              </w:rPr>
              <w:t>|</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111</w:t>
            </w:r>
          </w:p>
        </w:tc>
        <w:tc>
          <w:tcPr>
            <w:tcW w:w="20" w:type="dxa"/>
            <w:vAlign w:val="bottom"/>
          </w:tcPr>
          <w:p>
            <w:pPr>
              <w:spacing w:after="0"/>
              <w:rPr>
                <w:sz w:val="24"/>
                <w:szCs w:val="24"/>
                <w:color w:val="auto"/>
              </w:rPr>
            </w:pPr>
          </w:p>
        </w:tc>
      </w:tr>
      <w:tr>
        <w:trPr>
          <w:trHeight w:val="373"/>
        </w:trPr>
        <w:tc>
          <w:tcPr>
            <w:tcW w:w="4340" w:type="dxa"/>
            <w:vAlign w:val="bottom"/>
            <w:tcBorders>
              <w:bottom w:val="single" w:sz="8" w:color="9A9A9A"/>
            </w:tcBorders>
          </w:tcPr>
          <w:p>
            <w:pPr>
              <w:spacing w:after="0"/>
              <w:rPr>
                <w:sz w:val="24"/>
                <w:szCs w:val="24"/>
                <w:color w:val="auto"/>
              </w:rPr>
            </w:pPr>
          </w:p>
        </w:tc>
        <w:tc>
          <w:tcPr>
            <w:tcW w:w="50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7" w:name="page128"/>
    <w:bookmarkEnd w:id="127"/>
    <w:p>
      <w:pPr>
        <w:spacing w:after="0"/>
        <w:rPr>
          <w:sz w:val="20"/>
          <w:szCs w:val="20"/>
          <w:color w:val="auto"/>
        </w:rPr>
      </w:pPr>
      <w:r>
        <w:rPr>
          <w:rFonts w:ascii="Arial" w:cs="Arial" w:eastAsia="Arial" w:hAnsi="Arial"/>
          <w:sz w:val="13"/>
          <w:szCs w:val="13"/>
          <w:b w:val="1"/>
          <w:bCs w:val="1"/>
          <w:color w:val="6D6E71"/>
        </w:rPr>
        <w:t>PROPOSAL 4: REVERSE STOCK SPLIT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ANTICIPATED IMPACT ON DIVIDENDS</w:t>
      </w:r>
    </w:p>
    <w:p>
      <w:pPr>
        <w:spacing w:after="0" w:line="114"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The Board has not yet determined the Company’s dividend policy following the separation of Honeywell Aerospace but does not currently anticipate that the Reverse Stock Split will result in a change to the total value of the quarterly dividend that shareowners receive. Although the Board reserves the right to change the Company’s dividend policy in the future, all other things being equal, we currently anticipate that the per share dividend paid after the Reverse Stock Split will be proportionately adjusted to reflect the Split Ratio.</w:t>
      </w:r>
    </w:p>
    <w:p>
      <w:pPr>
        <w:spacing w:after="0" w:line="22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EFFECT ON EQUITY COMPENSATION ARRANGEMENTS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If the Reverse Stock Split is implemented:</w:t>
      </w:r>
    </w:p>
    <w:p>
      <w:pPr>
        <w:spacing w:after="0" w:line="113" w:lineRule="exact"/>
        <w:rPr>
          <w:sz w:val="20"/>
          <w:szCs w:val="20"/>
          <w:color w:val="auto"/>
        </w:rPr>
      </w:pPr>
    </w:p>
    <w:p>
      <w:pPr>
        <w:ind w:left="200" w:right="220" w:hanging="192"/>
        <w:spacing w:after="0" w:line="266" w:lineRule="auto"/>
        <w:tabs>
          <w:tab w:leader="none" w:pos="197" w:val="left"/>
        </w:tabs>
        <w:numPr>
          <w:ilvl w:val="0"/>
          <w:numId w:val="214"/>
        </w:numPr>
        <w:rPr>
          <w:rFonts w:ascii="Arial" w:cs="Arial" w:eastAsia="Arial" w:hAnsi="Arial"/>
          <w:sz w:val="16"/>
          <w:szCs w:val="16"/>
          <w:b w:val="1"/>
          <w:bCs w:val="1"/>
          <w:color w:val="D7282F"/>
        </w:rPr>
      </w:pPr>
      <w:r>
        <w:rPr>
          <w:rFonts w:ascii="Arial" w:cs="Arial" w:eastAsia="Arial" w:hAnsi="Arial"/>
          <w:sz w:val="16"/>
          <w:szCs w:val="16"/>
          <w:color w:val="auto"/>
        </w:rPr>
        <w:t>The per share exercise price or purchase price of any outstanding stock options or other stock purchase rights would be increased proportionately, and the number of shares issuable under outstanding stock options, restricted stock units, performance stock units and all other outstanding equity-based awards would be reduced proportionately;</w:t>
      </w:r>
    </w:p>
    <w:p>
      <w:pPr>
        <w:spacing w:after="0" w:line="22" w:lineRule="exact"/>
        <w:rPr>
          <w:rFonts w:ascii="Arial" w:cs="Arial" w:eastAsia="Arial" w:hAnsi="Arial"/>
          <w:sz w:val="16"/>
          <w:szCs w:val="16"/>
          <w:b w:val="1"/>
          <w:bCs w:val="1"/>
          <w:color w:val="D7282F"/>
        </w:rPr>
      </w:pPr>
    </w:p>
    <w:p>
      <w:pPr>
        <w:ind w:left="200" w:right="440" w:hanging="192"/>
        <w:spacing w:after="0" w:line="286" w:lineRule="auto"/>
        <w:tabs>
          <w:tab w:leader="none" w:pos="197" w:val="left"/>
        </w:tabs>
        <w:numPr>
          <w:ilvl w:val="0"/>
          <w:numId w:val="214"/>
        </w:numPr>
        <w:rPr>
          <w:rFonts w:ascii="Arial" w:cs="Arial" w:eastAsia="Arial" w:hAnsi="Arial"/>
          <w:sz w:val="16"/>
          <w:szCs w:val="16"/>
          <w:b w:val="1"/>
          <w:bCs w:val="1"/>
          <w:color w:val="D7282F"/>
        </w:rPr>
      </w:pPr>
      <w:r>
        <w:rPr>
          <w:rFonts w:ascii="Arial" w:cs="Arial" w:eastAsia="Arial" w:hAnsi="Arial"/>
          <w:sz w:val="16"/>
          <w:szCs w:val="16"/>
          <w:color w:val="auto"/>
        </w:rPr>
        <w:t>the number of shares of Honeywell common stock authorized for future issuance under our equity plans would be proportionately reduced and other similar adjustments would be made under the equity plans to reflect the Reverse Stock Split; and</w:t>
      </w:r>
    </w:p>
    <w:p>
      <w:pPr>
        <w:spacing w:after="0" w:line="7" w:lineRule="exact"/>
        <w:rPr>
          <w:rFonts w:ascii="Arial" w:cs="Arial" w:eastAsia="Arial" w:hAnsi="Arial"/>
          <w:sz w:val="16"/>
          <w:szCs w:val="16"/>
          <w:b w:val="1"/>
          <w:bCs w:val="1"/>
          <w:color w:val="D7282F"/>
        </w:rPr>
      </w:pPr>
    </w:p>
    <w:p>
      <w:pPr>
        <w:ind w:left="200" w:right="160" w:hanging="192"/>
        <w:spacing w:after="0" w:line="286" w:lineRule="auto"/>
        <w:tabs>
          <w:tab w:leader="none" w:pos="197" w:val="left"/>
        </w:tabs>
        <w:numPr>
          <w:ilvl w:val="0"/>
          <w:numId w:val="214"/>
        </w:numPr>
        <w:rPr>
          <w:rFonts w:ascii="Arial" w:cs="Arial" w:eastAsia="Arial" w:hAnsi="Arial"/>
          <w:sz w:val="16"/>
          <w:szCs w:val="16"/>
          <w:b w:val="1"/>
          <w:bCs w:val="1"/>
          <w:color w:val="D7282F"/>
        </w:rPr>
      </w:pPr>
      <w:r>
        <w:rPr>
          <w:rFonts w:ascii="Arial" w:cs="Arial" w:eastAsia="Arial" w:hAnsi="Arial"/>
          <w:sz w:val="16"/>
          <w:szCs w:val="16"/>
          <w:color w:val="auto"/>
        </w:rPr>
        <w:t>with respect to performance goals applicable to outstanding performance-based equity awards that relate to Honeywell’s total shareholder return, actual performance results will be proportionately adjusted to reflect the Reverse Stock Split.</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FRACTIONAL SHARES</w:t>
      </w:r>
    </w:p>
    <w:p>
      <w:pPr>
        <w:spacing w:after="0" w:line="114"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We do not plan to issue fractional shares in connection with the Reverse Stock Split. As soon as practicable after the Effective Time, Honeywell’s transfer agent will aggregate such fractional shares into whole shares and sell the whole shares at the then-prevailing trading prices in the open market on behalf of those shareowners who would otherwise be entitled to receive a fractional share, and after Honeywell’s transfer agent’s completion of such sale, such shareowners will receive a cash payment (without interest or deduction) from Honeywell’s transfer agent in an amount equal to their respective pro rata shares of the total net proceeds of that sale and, where shares are held in certificated form, upon the surrender of such shareowners’ stock certificates.</w:t>
      </w:r>
    </w:p>
    <w:p>
      <w:pPr>
        <w:spacing w:after="0" w:line="21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CONTINUED SEC REPORTING REQUIREMENTS AND STOCK LISTING</w:t>
      </w:r>
    </w:p>
    <w:p>
      <w:pPr>
        <w:spacing w:after="0" w:line="114"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After the Effective Time, the Company would continue to be subject to periodic reporting and other requirements of the Exchange Act, and Honeywell’s common stock would continue to be listed on the Nasdaq under the symbol “HON”.</w:t>
      </w:r>
    </w:p>
    <w:p>
      <w:pPr>
        <w:spacing w:after="0" w:line="19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NEW CUSIP NUMBER</w:t>
      </w:r>
    </w:p>
    <w:p>
      <w:pPr>
        <w:spacing w:after="0" w:line="114"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After the Effective Time, the post-Reverse Stock Split shares of Honeywell’s common stock would have a new CUSIP number, which is a number used to identify the Company’s equity securities. Stock certificates issued before the Reverse Stock Split will reflect the older CUSIP number and should be returned to the Company’s transfer agent by following the procedures described below under “Holders of Certificated Shares of Honeywell Common Stock.”</w:t>
      </w:r>
    </w:p>
    <w:p>
      <w:pPr>
        <w:spacing w:after="0" w:line="20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HOLDERS OF CERTIFICATED SHARES OF HONEYWELL COMMON STOCK</w:t>
      </w:r>
    </w:p>
    <w:p>
      <w:pPr>
        <w:spacing w:after="0" w:line="114"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If any shareowner’s shares of Honeywell common stock are held in certificated form, that shareowner will receive a transmittal letter from the Company’s transfer agent as soon as practicable after the Effective Time. The transmittal letter will be accompanied by instructions specifying how the shareowner may exchange its certificates representing the pre-Reverse Stock Split shares of Honeywell common stock for a statement of holding (as described below). When a shareowner submits its stock certificates, the post-Reverse Stock Split shares of Honeywell common stock will be held electronically in book-entry form. This means that, instead of receiving a new stock certificate, that shareowner will receive a statement of holding that indicates the number of post-Reverse Stock Split shares of Honeywell common stock held in book-entry form. The Company will no longer issue physical stock certificates, unless a stock certificate is specifically requested by a shareowner in accordance with the Company’s By-laws. Beginning at the Effective Time, each stock certificate representing pre-Reverse Stock Split shares will be deemed to evidence ownership of post-Reverse Stock Split shares. Shareowners will need to exchange their stock certificates in order to effect transfers of shares. If a stock certificate bears a restrictive legend, the registered shares in book-entry form will bear the same restrictive legend.</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Shareowners should not destroy any stock certificate(s) and should not submit any stock certificate(s) until requested to do so.</w:t>
      </w:r>
    </w:p>
    <w:p>
      <w:pPr>
        <w:spacing w:after="0" w:line="297" w:lineRule="exact"/>
        <w:rPr>
          <w:sz w:val="20"/>
          <w:szCs w:val="20"/>
          <w:color w:val="auto"/>
        </w:rPr>
      </w:pPr>
    </w:p>
    <w:p>
      <w:pPr>
        <w:ind w:left="20"/>
        <w:spacing w:after="0"/>
        <w:tabs>
          <w:tab w:leader="none" w:pos="1860" w:val="left"/>
        </w:tabs>
        <w:rPr>
          <w:sz w:val="20"/>
          <w:szCs w:val="20"/>
          <w:color w:val="auto"/>
        </w:rPr>
      </w:pPr>
      <w:r>
        <w:rPr>
          <w:rFonts w:ascii="Arial" w:cs="Arial" w:eastAsia="Arial" w:hAnsi="Arial"/>
          <w:sz w:val="18"/>
          <w:szCs w:val="18"/>
          <w:b w:val="1"/>
          <w:bCs w:val="1"/>
          <w:color w:val="auto"/>
        </w:rPr>
        <w:t xml:space="preserve">112  </w:t>
      </w:r>
      <w:r>
        <w:rPr>
          <w:sz w:val="1"/>
          <w:szCs w:val="1"/>
          <w:color w:val="auto"/>
        </w:rPr>
        <w:drawing>
          <wp:inline distT="0" distB="0" distL="0" distR="0">
            <wp:extent cx="548640" cy="102870"/>
            <wp:effectExtent l="0" t="0" r="0" b="0"/>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2026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28" w:name="page129"/>
    <w:bookmarkEnd w:id="128"/>
    <w:p>
      <w:pPr>
        <w:jc w:val="right"/>
        <w:spacing w:after="0"/>
        <w:rPr>
          <w:sz w:val="20"/>
          <w:szCs w:val="20"/>
          <w:color w:val="auto"/>
        </w:rPr>
      </w:pPr>
      <w:r>
        <w:rPr>
          <w:rFonts w:ascii="Arial" w:cs="Arial" w:eastAsia="Arial" w:hAnsi="Arial"/>
          <w:sz w:val="13"/>
          <w:szCs w:val="13"/>
          <w:b w:val="1"/>
          <w:bCs w:val="1"/>
          <w:color w:val="6D6E71"/>
        </w:rPr>
        <w:t>PROPOSAL 4: REVERSE STOCK SPLIT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EFFECT ON REGISTERED BOOK-ENTRY HOLDERS OF HONEYWELL COMMON STOCK</w:t>
      </w:r>
    </w:p>
    <w:p>
      <w:pPr>
        <w:spacing w:after="0" w:line="128" w:lineRule="exact"/>
        <w:rPr>
          <w:sz w:val="20"/>
          <w:szCs w:val="20"/>
          <w:color w:val="auto"/>
        </w:rPr>
      </w:pPr>
    </w:p>
    <w:p>
      <w:pPr>
        <w:jc w:val="both"/>
        <w:ind w:right="80"/>
        <w:spacing w:after="0" w:line="275" w:lineRule="auto"/>
        <w:rPr>
          <w:sz w:val="20"/>
          <w:szCs w:val="20"/>
          <w:color w:val="auto"/>
        </w:rPr>
      </w:pPr>
      <w:r>
        <w:rPr>
          <w:rFonts w:ascii="Arial" w:cs="Arial" w:eastAsia="Arial" w:hAnsi="Arial"/>
          <w:sz w:val="16"/>
          <w:szCs w:val="16"/>
          <w:color w:val="auto"/>
        </w:rPr>
        <w:t>Registered holders of shares of Honeywell common stock may hold some or all of their shares electronically in book-entry form under the direct registration system for the securities. Those shareowners do not have stock certificates evidencing their ownership of shares of Honeywell common stock, but generally have a statement reflecting the number of shares registered in their accounts.</w:t>
      </w:r>
    </w:p>
    <w:p>
      <w:pPr>
        <w:spacing w:after="0" w:line="56" w:lineRule="exact"/>
        <w:rPr>
          <w:sz w:val="20"/>
          <w:szCs w:val="20"/>
          <w:color w:val="auto"/>
        </w:rPr>
      </w:pPr>
    </w:p>
    <w:p>
      <w:pPr>
        <w:jc w:val="both"/>
        <w:ind w:right="80"/>
        <w:spacing w:after="0" w:line="265" w:lineRule="auto"/>
        <w:rPr>
          <w:sz w:val="20"/>
          <w:szCs w:val="20"/>
          <w:color w:val="auto"/>
        </w:rPr>
      </w:pPr>
      <w:r>
        <w:rPr>
          <w:rFonts w:ascii="Arial" w:cs="Arial" w:eastAsia="Arial" w:hAnsi="Arial"/>
          <w:sz w:val="16"/>
          <w:szCs w:val="16"/>
          <w:color w:val="auto"/>
        </w:rPr>
        <w:t>Shareowners that hold registered shares of Honeywell common stock in book-entry form do not need to take any action to receive post-Reverse Stock Split shares. Any such shareowner that is entitled to post-Reverse Stock Split shares of Honeywell common stock will automatically receive, at the shareowner’s address of record, a transaction statement indicating the number of post-Reverse Stock Split shares held following the implementation of the Reverse Stock Split.</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EFFECT ON REGISTERED AND BENEFICIAL HOLDERS OF HONEYWELL COMMON STOCK</w:t>
      </w:r>
    </w:p>
    <w:p>
      <w:pPr>
        <w:spacing w:after="0" w:line="141"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After the Effective Time, shares of Honeywell common stock held by shareowners that hold their shares through a broker or other nominee will be treated in the same manner as shares held by registered shareowners that hold their shares in their names. Brokers and other nominees that hold shares of Honeywell common stock will be instructed to effect the Reverse Stock Split for the beneficial owners of such shares. However, those brokers or other nominees may implement different procedures than those to be followed by registered shareowners for processing the Reverse Stock Split, particularly with respect to the treatment of fractional shares. Shareowners whose shares of Honeywell common stock are held in the name of a broker or other nominee are encouraged to contact their broker or other nominee with any questions regarding the procedure of implementing the Reverse Stock Split with respect to their shares.</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REQUIRED VOTE</w:t>
      </w:r>
    </w:p>
    <w:p>
      <w:pPr>
        <w:spacing w:after="0" w:line="128" w:lineRule="exact"/>
        <w:rPr>
          <w:sz w:val="20"/>
          <w:szCs w:val="20"/>
          <w:color w:val="auto"/>
        </w:rPr>
      </w:pPr>
    </w:p>
    <w:p>
      <w:pPr>
        <w:ind w:right="260"/>
        <w:spacing w:after="0" w:line="275" w:lineRule="auto"/>
        <w:rPr>
          <w:sz w:val="20"/>
          <w:szCs w:val="20"/>
          <w:color w:val="auto"/>
        </w:rPr>
      </w:pPr>
      <w:r>
        <w:rPr>
          <w:rFonts w:ascii="Arial" w:cs="Arial" w:eastAsia="Arial" w:hAnsi="Arial"/>
          <w:sz w:val="16"/>
          <w:szCs w:val="16"/>
          <w:color w:val="auto"/>
        </w:rPr>
        <w:t>The Reverse Stock Split Proposal will be approved by shareowners if the votes cast "FOR" the proposal represent a majority of the total votes cast by shareowners on such proposal. Abstentions will not be counted toward the tabulation of votes cast on the proposal, and accordingly will have no effect on the number of total votes that are counted as "FOR" or "AGAINST" such proposal.</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 IMPACT ON PREFERRED STOCK</w:t>
      </w:r>
    </w:p>
    <w:p>
      <w:pPr>
        <w:spacing w:after="0" w:line="128"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The Reverse Stock Split Amendment does not change the number of outstanding or authorized shares of Honeywell’s preferred stock, without par value, or change the par value of such preferred stock.</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ACCOUNTING CONSEQUENCES</w:t>
      </w:r>
    </w:p>
    <w:p>
      <w:pPr>
        <w:spacing w:after="0" w:line="128"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Reverse Stock Split Amendment will not affect the common stock capital account on the Company’s balance sheet and the par value of Honeywell common stock will remain unchanged. The stated capital component, which consists of the par value per share of Honeywell common stock multiplied by the aggregate number of shares of Honeywell common stock issued and outstanding, will be reduced in proportion to the size of the Reverse Stock Split, subject to a minor adjustment in respect of the treatment of fractional shares, and the additional paid-in capital account will be increased by the amount by which the stated capital is reduced. Shareowners’ equity, in the aggregate, will remain unchanged. As a result of the Reverse Stock Split, reported per share net earnings or loss and other per share of Honeywell common stock amounts will increase because there will be fewer shares of Honeywell common stock outstanding. In future financial statements, per share net earnings or loss and other per share of Honeywell common stock amounts for periods ending before the Effective Time will be adjusted to give retroactive effect to the Reverse Stock Split.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260" w:type="dxa"/>
            <w:vAlign w:val="bottom"/>
          </w:tcPr>
          <w:p>
            <w:pPr>
              <w:ind w:left="6840"/>
              <w:spacing w:after="0"/>
              <w:rPr>
                <w:sz w:val="20"/>
                <w:szCs w:val="20"/>
                <w:color w:val="auto"/>
              </w:rPr>
            </w:pPr>
            <w:r>
              <w:rPr>
                <w:rFonts w:ascii="Arial" w:cs="Arial" w:eastAsia="Arial" w:hAnsi="Arial"/>
                <w:sz w:val="13"/>
                <w:szCs w:val="13"/>
                <w:b w:val="1"/>
                <w:bCs w:val="1"/>
                <w:color w:val="6D6E71"/>
              </w:rPr>
              <w:t>2026 NOTICE AND PROXY STATEMENT   |</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113</w:t>
            </w:r>
          </w:p>
        </w:tc>
      </w:tr>
      <w:tr>
        <w:trPr>
          <w:trHeight w:val="360"/>
        </w:trPr>
        <w:tc>
          <w:tcPr>
            <w:tcW w:w="10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-368300</wp:posOffset>
            </wp:positionV>
            <wp:extent cx="548640" cy="10287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9" w:name="page130"/>
    <w:bookmarkEnd w:id="129"/>
    <w:p>
      <w:pPr>
        <w:spacing w:after="0"/>
        <w:rPr>
          <w:sz w:val="20"/>
          <w:szCs w:val="20"/>
          <w:color w:val="auto"/>
        </w:rPr>
      </w:pPr>
      <w:r>
        <w:rPr>
          <w:rFonts w:ascii="Arial" w:cs="Arial" w:eastAsia="Arial" w:hAnsi="Arial"/>
          <w:sz w:val="13"/>
          <w:szCs w:val="13"/>
          <w:b w:val="1"/>
          <w:bCs w:val="1"/>
          <w:color w:val="6D6E71"/>
        </w:rPr>
        <w:t>PROPOSAL 4: REVERSE STOCK SPLIT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HOW LONG THE AUTHORIZATION TO EFFECTUATE A REVERSE STOCK SPLIT WILL LAST</w:t>
      </w:r>
    </w:p>
    <w:p>
      <w:pPr>
        <w:spacing w:after="0" w:line="12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Upon receiving shareowner approval of the Reverse Stock Split Amendment, the Board will have the authority, but not the obligation, at any time prior to the one-year anniversary of the Annual Meeting, to determine whether to effectuate the Reverse Stock Split and the Authorized Share Reduction.</w:t>
      </w:r>
    </w:p>
    <w:p>
      <w:pPr>
        <w:spacing w:after="0" w:line="61"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The Board (or any authorized committee thereof) reserves the right to elect to abandon the Reverse Stock Split Amendment, even if shareowner approval has been obtained, if it determines in its discretion that the Reverse Stock Split and Authorized Share Reduction are no longer in the best interest of the Company and its shareowners. By voting in favor of the approval of the Reverse Stock Split Amendment, each shareowner is expressly also authorizing the Board to determine not to proceed with and to abandon the Reverse Stock Split Amendment if it should so decide.</w:t>
      </w:r>
    </w:p>
    <w:p>
      <w:pPr>
        <w:spacing w:after="0" w:line="65"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If the Certificate of Amendment effecting the Reverse Stock Split Amendment has not been filed with the Delaware Secretary of State prior to the one-year anniversary of the Annual Meeting, then the Reverse Stock Split Amendment will be automatically abandoned.</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 DISSENTERS’ RIGHTS OF APPRAISAL</w:t>
      </w:r>
    </w:p>
    <w:p>
      <w:pPr>
        <w:spacing w:after="0" w:line="128" w:lineRule="exact"/>
        <w:rPr>
          <w:sz w:val="20"/>
          <w:szCs w:val="20"/>
          <w:color w:val="auto"/>
        </w:rPr>
      </w:pPr>
    </w:p>
    <w:p>
      <w:pPr>
        <w:ind w:right="780"/>
        <w:spacing w:after="0" w:line="304" w:lineRule="auto"/>
        <w:rPr>
          <w:sz w:val="20"/>
          <w:szCs w:val="20"/>
          <w:color w:val="auto"/>
        </w:rPr>
      </w:pPr>
      <w:r>
        <w:rPr>
          <w:rFonts w:ascii="Arial" w:cs="Arial" w:eastAsia="Arial" w:hAnsi="Arial"/>
          <w:sz w:val="16"/>
          <w:szCs w:val="16"/>
          <w:color w:val="auto"/>
        </w:rPr>
        <w:t>Under Delaware law, shareowners of Honeywell common stock will not be entitled to dissenters’ rights in connection with the Reverse Stock Split Amendment.</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 GOING PRIVATE TRANSACTION</w:t>
      </w:r>
    </w:p>
    <w:p>
      <w:pPr>
        <w:spacing w:after="0" w:line="128" w:lineRule="exact"/>
        <w:rPr>
          <w:sz w:val="20"/>
          <w:szCs w:val="20"/>
          <w:color w:val="auto"/>
        </w:rPr>
      </w:pPr>
    </w:p>
    <w:p>
      <w:pPr>
        <w:jc w:val="both"/>
        <w:ind w:right="160"/>
        <w:spacing w:after="0" w:line="275" w:lineRule="auto"/>
        <w:rPr>
          <w:sz w:val="20"/>
          <w:szCs w:val="20"/>
          <w:color w:val="auto"/>
        </w:rPr>
      </w:pPr>
      <w:r>
        <w:rPr>
          <w:rFonts w:ascii="Arial" w:cs="Arial" w:eastAsia="Arial" w:hAnsi="Arial"/>
          <w:sz w:val="16"/>
          <w:szCs w:val="16"/>
          <w:color w:val="auto"/>
        </w:rPr>
        <w:t>Notwithstanding the decrease in the number of outstanding shares following the proposed Reverse Stock Split Amendment, our Board does not intend for this transaction to be the first step in a “going private transaction” within the meaning of Rule 13e-3 of the Exchange Act. Implementing the Reverse Stock Split would not be reasonably likely result in, and would not have a purpose to, produce a “going private” effect.</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INTERESTS OF DIRECTORS AND EXECUTIVE OFFICERS</w:t>
      </w:r>
    </w:p>
    <w:p>
      <w:pPr>
        <w:spacing w:after="0" w:line="128"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Certain of our officers and directors have an interest in the Reverse Stock Split Proposal as a result of their ownership of shares of Honeywell common stock. However, we do not believe that our officers or directors have interests in this proposal that are different than or greater than those of any of our other shareowners.</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MATERIAL U.S. FEDERAL INCOME TAX CONSEQUENCES OF THE REVERSE STOCK SPLIT</w:t>
      </w:r>
    </w:p>
    <w:p>
      <w:pPr>
        <w:spacing w:after="0" w:line="128"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following is a summary of material U.S. federal income tax consequences of the Reverse Stock Split to holders of Honeywell common stock. This summary is based on the provisions of the Internal Revenue Code, U.S. Treasury regulations, administrative rulings and judicial decisions, all as in effect on the date hereof, and all of which are subject to change or differing interpretations, possibly with retroactive effect. Any such change or differing interpretation could affect the accuracy of the statements and conclusions set forth below.</w:t>
      </w:r>
    </w:p>
    <w:p>
      <w:pPr>
        <w:spacing w:after="0" w:line="60"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We have not sought and will not seek an opinion of counsel or ruling from the IRS with respect to the statements made and the conclusions reached in the following summary, and there can be no assurance that the IRS or a court will agree with such statements and conclusions.</w:t>
      </w:r>
    </w:p>
    <w:p>
      <w:pPr>
        <w:spacing w:after="0" w:line="6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This summary is limited to holders of Honeywell common stock that are U.S. holders, as defined below, and that hold Honeywell common stock as a capital asset within the meaning of Section 1221 of the Internal Revenue Code (generally, property held for investment).</w:t>
      </w:r>
    </w:p>
    <w:p>
      <w:pPr>
        <w:spacing w:after="0" w:line="61"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This summary is for general information only and does not address all U.S. federal income tax considerations that may be applicable to a holder’s particular circumstances or to holders that may be subject to special treatment under U.S. federal income tax rules, such as, without limitation, brokers and dealers in securities, currencies or commodities, banks and financial institutions, regulated investment companies, real estate investment trusts, tax-exempt entities, governmental organizations, traders in securities that elect to use a mark-to-market method of accounting for their securities, certain former citizens or long-term residents of the United States, insurance companies, persons holding shares of Honeywell common stock as part of a hedging, integrated, or conversion transaction or a straddle or persons deemed to sell shares of Honeywell common stock under the constructive sale provisions of the Internal Revenue Code, persons that actually or constructively hold more than 5% of Honeywell common stock, persons that hold Honeywell common stock in an individual retirement account, 401(k) plan or similar tax-favored account, holders who acquired Honeywell common stock upon the exercise of employee stock</w:t>
      </w:r>
    </w:p>
    <w:p>
      <w:pPr>
        <w:spacing w:after="0" w:line="227" w:lineRule="exact"/>
        <w:rPr>
          <w:sz w:val="20"/>
          <w:szCs w:val="20"/>
          <w:color w:val="auto"/>
        </w:rPr>
      </w:pPr>
    </w:p>
    <w:p>
      <w:pPr>
        <w:ind w:left="20"/>
        <w:spacing w:after="0"/>
        <w:tabs>
          <w:tab w:leader="none" w:pos="1860" w:val="left"/>
        </w:tabs>
        <w:rPr>
          <w:sz w:val="20"/>
          <w:szCs w:val="20"/>
          <w:color w:val="auto"/>
        </w:rPr>
      </w:pPr>
      <w:r>
        <w:rPr>
          <w:rFonts w:ascii="Arial" w:cs="Arial" w:eastAsia="Arial" w:hAnsi="Arial"/>
          <w:sz w:val="18"/>
          <w:szCs w:val="18"/>
          <w:b w:val="1"/>
          <w:bCs w:val="1"/>
          <w:color w:val="auto"/>
        </w:rPr>
        <w:t xml:space="preserve">114  </w:t>
      </w:r>
      <w:r>
        <w:rPr>
          <w:sz w:val="1"/>
          <w:szCs w:val="1"/>
          <w:color w:val="auto"/>
        </w:rPr>
        <w:drawing>
          <wp:inline distT="0" distB="0" distL="0" distR="0">
            <wp:extent cx="548640" cy="102870"/>
            <wp:effectExtent l="0" t="0" r="0" b="0"/>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2026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157720" cy="4254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29" w:right="419" w:bottom="1440" w:gutter="0" w:footer="0" w:header="0"/>
        </w:sectPr>
      </w:pPr>
    </w:p>
    <w:bookmarkStart w:id="130" w:name="page131"/>
    <w:bookmarkEnd w:id="130"/>
    <w:p>
      <w:pPr>
        <w:jc w:val="right"/>
        <w:spacing w:after="0"/>
        <w:rPr>
          <w:sz w:val="20"/>
          <w:szCs w:val="20"/>
          <w:color w:val="auto"/>
        </w:rPr>
      </w:pPr>
      <w:r>
        <w:rPr>
          <w:rFonts w:ascii="Arial" w:cs="Arial" w:eastAsia="Arial" w:hAnsi="Arial"/>
          <w:sz w:val="13"/>
          <w:szCs w:val="13"/>
          <w:b w:val="1"/>
          <w:bCs w:val="1"/>
          <w:color w:val="6D6E71"/>
        </w:rPr>
        <w:t>PROPOSAL 4: REVERSE STOCK SPLIT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options or otherwise as compensation, holders whose functional currency is not the U.S. dollar, or partnerships or other pass-through entities for U.S. federal income tax purposes and investors in such entities. This summary does not address any U.S. federal tax consequences other than U.S. federal income tax consequences (such as estate or gift tax consequences), the Medicare tax on net investment income, any alternative minimum tax or any U.S. state, local or foreign tax consequences.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For purposes of this summary, a “U.S. holder” means a beneficial owner of Honeywell common stock that is, for U.S. federal income tax purposes:</w:t>
      </w:r>
    </w:p>
    <w:p>
      <w:pPr>
        <w:spacing w:after="0" w:line="113" w:lineRule="exact"/>
        <w:rPr>
          <w:sz w:val="20"/>
          <w:szCs w:val="20"/>
          <w:color w:val="auto"/>
        </w:rPr>
      </w:pPr>
    </w:p>
    <w:p>
      <w:pPr>
        <w:ind w:left="200" w:hanging="192"/>
        <w:spacing w:after="0"/>
        <w:tabs>
          <w:tab w:leader="none" w:pos="200" w:val="left"/>
        </w:tabs>
        <w:numPr>
          <w:ilvl w:val="0"/>
          <w:numId w:val="215"/>
        </w:numPr>
        <w:rPr>
          <w:rFonts w:ascii="Arial" w:cs="Arial" w:eastAsia="Arial" w:hAnsi="Arial"/>
          <w:sz w:val="16"/>
          <w:szCs w:val="16"/>
          <w:b w:val="1"/>
          <w:bCs w:val="1"/>
          <w:color w:val="D7282F"/>
        </w:rPr>
      </w:pPr>
      <w:r>
        <w:rPr>
          <w:rFonts w:ascii="Arial" w:cs="Arial" w:eastAsia="Arial" w:hAnsi="Arial"/>
          <w:sz w:val="16"/>
          <w:szCs w:val="16"/>
          <w:color w:val="auto"/>
        </w:rPr>
        <w:t>an individual who is a citizen or resident of the United States;</w:t>
      </w:r>
    </w:p>
    <w:p>
      <w:pPr>
        <w:spacing w:after="0" w:line="86" w:lineRule="exact"/>
        <w:rPr>
          <w:rFonts w:ascii="Arial" w:cs="Arial" w:eastAsia="Arial" w:hAnsi="Arial"/>
          <w:sz w:val="16"/>
          <w:szCs w:val="16"/>
          <w:b w:val="1"/>
          <w:bCs w:val="1"/>
          <w:color w:val="D7282F"/>
        </w:rPr>
      </w:pPr>
    </w:p>
    <w:p>
      <w:pPr>
        <w:ind w:left="200" w:hanging="192"/>
        <w:spacing w:after="0"/>
        <w:tabs>
          <w:tab w:leader="none" w:pos="200" w:val="left"/>
        </w:tabs>
        <w:numPr>
          <w:ilvl w:val="0"/>
          <w:numId w:val="215"/>
        </w:numPr>
        <w:rPr>
          <w:rFonts w:ascii="Arial" w:cs="Arial" w:eastAsia="Arial" w:hAnsi="Arial"/>
          <w:sz w:val="16"/>
          <w:szCs w:val="16"/>
          <w:b w:val="1"/>
          <w:bCs w:val="1"/>
          <w:color w:val="D7282F"/>
        </w:rPr>
      </w:pPr>
      <w:r>
        <w:rPr>
          <w:rFonts w:ascii="Arial" w:cs="Arial" w:eastAsia="Arial" w:hAnsi="Arial"/>
          <w:sz w:val="16"/>
          <w:szCs w:val="16"/>
          <w:color w:val="auto"/>
        </w:rPr>
        <w:t>a corporation created or organized in or under the laws of the United States, any state thereof or the District of Columbia;</w:t>
      </w:r>
    </w:p>
    <w:p>
      <w:pPr>
        <w:spacing w:after="0" w:line="72" w:lineRule="exact"/>
        <w:rPr>
          <w:rFonts w:ascii="Arial" w:cs="Arial" w:eastAsia="Arial" w:hAnsi="Arial"/>
          <w:sz w:val="16"/>
          <w:szCs w:val="16"/>
          <w:b w:val="1"/>
          <w:bCs w:val="1"/>
          <w:color w:val="D7282F"/>
        </w:rPr>
      </w:pPr>
    </w:p>
    <w:p>
      <w:pPr>
        <w:ind w:left="200" w:hanging="192"/>
        <w:spacing w:after="0"/>
        <w:tabs>
          <w:tab w:leader="none" w:pos="200" w:val="left"/>
        </w:tabs>
        <w:numPr>
          <w:ilvl w:val="0"/>
          <w:numId w:val="215"/>
        </w:numPr>
        <w:rPr>
          <w:rFonts w:ascii="Arial" w:cs="Arial" w:eastAsia="Arial" w:hAnsi="Arial"/>
          <w:sz w:val="16"/>
          <w:szCs w:val="16"/>
          <w:b w:val="1"/>
          <w:bCs w:val="1"/>
          <w:color w:val="D7282F"/>
        </w:rPr>
      </w:pPr>
      <w:r>
        <w:rPr>
          <w:rFonts w:ascii="Arial" w:cs="Arial" w:eastAsia="Arial" w:hAnsi="Arial"/>
          <w:sz w:val="16"/>
          <w:szCs w:val="16"/>
          <w:color w:val="auto"/>
        </w:rPr>
        <w:t>an estate the income of which is subject to U.S. federal income taxation regardless of its source; or</w:t>
      </w:r>
    </w:p>
    <w:p>
      <w:pPr>
        <w:spacing w:after="0" w:line="86" w:lineRule="exact"/>
        <w:rPr>
          <w:rFonts w:ascii="Arial" w:cs="Arial" w:eastAsia="Arial" w:hAnsi="Arial"/>
          <w:sz w:val="16"/>
          <w:szCs w:val="16"/>
          <w:b w:val="1"/>
          <w:bCs w:val="1"/>
          <w:color w:val="D7282F"/>
        </w:rPr>
      </w:pPr>
    </w:p>
    <w:p>
      <w:pPr>
        <w:ind w:left="200" w:right="540" w:hanging="192"/>
        <w:spacing w:after="0" w:line="304" w:lineRule="auto"/>
        <w:tabs>
          <w:tab w:leader="none" w:pos="197" w:val="left"/>
        </w:tabs>
        <w:numPr>
          <w:ilvl w:val="0"/>
          <w:numId w:val="215"/>
        </w:numPr>
        <w:rPr>
          <w:rFonts w:ascii="Arial" w:cs="Arial" w:eastAsia="Arial" w:hAnsi="Arial"/>
          <w:sz w:val="16"/>
          <w:szCs w:val="16"/>
          <w:b w:val="1"/>
          <w:bCs w:val="1"/>
          <w:color w:val="D7282F"/>
        </w:rPr>
      </w:pPr>
      <w:r>
        <w:rPr>
          <w:rFonts w:ascii="Arial" w:cs="Arial" w:eastAsia="Arial" w:hAnsi="Arial"/>
          <w:sz w:val="16"/>
          <w:szCs w:val="16"/>
          <w:color w:val="auto"/>
        </w:rPr>
        <w:t>a trust if (1) it is subject to the primary supervision of a court within the United States and one or more U.S. persons have the authority to control all substantial decisions of the trust, or (2) it has a valid election in effect under applicable U.S. Treasury regulations to be treated as a U.S. person.</w:t>
      </w:r>
    </w:p>
    <w:p>
      <w:pPr>
        <w:spacing w:after="0" w:line="33"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If an entity (or arrangement) classified as a partnership for U.S. federal income tax purposes holds shares of Honeywell common stock, the tax treatment of a partner in the partnership will generally depend upon the status of the partner and the activities of the partnership. Holders of Honeywell common stock that are partnerships and partners in such partnerships should consult their tax advisors as to the tax consequences to them of the Reverse Stock Split.</w:t>
      </w:r>
    </w:p>
    <w:p>
      <w:pPr>
        <w:spacing w:after="0" w:line="56" w:lineRule="exact"/>
        <w:rPr>
          <w:sz w:val="20"/>
          <w:szCs w:val="20"/>
          <w:color w:val="auto"/>
        </w:rPr>
      </w:pPr>
    </w:p>
    <w:p>
      <w:pPr>
        <w:ind w:right="380"/>
        <w:spacing w:after="0" w:line="269" w:lineRule="auto"/>
        <w:rPr>
          <w:sz w:val="20"/>
          <w:szCs w:val="20"/>
          <w:color w:val="auto"/>
        </w:rPr>
      </w:pPr>
      <w:r>
        <w:rPr>
          <w:rFonts w:ascii="Arial" w:cs="Arial" w:eastAsia="Arial" w:hAnsi="Arial"/>
          <w:sz w:val="16"/>
          <w:szCs w:val="16"/>
          <w:b w:val="1"/>
          <w:bCs w:val="1"/>
          <w:color w:val="auto"/>
        </w:rPr>
        <w:t>This summary of certain U.S. federal income tax consequences is for general information only and is not tax advice. Holders of Honeywell common stock should consult their tax advisor with respect to the application of United States federal income tax laws to their particular situation as well as any tax considerations arising under other United States federal tax laws (such as the estate or gift tax laws) or under the laws of any state, local, foreign or other taxing jurisdiction or under any applicable tax treaty.</w:t>
      </w:r>
    </w:p>
    <w:p>
      <w:pPr>
        <w:spacing w:after="0" w:line="66"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The Reverse Stock Split is intended to qualify as a tax-free recapitalization for U.S. federal income tax purposes. Assuming the Reverse Stock Split qualifies as a recapitalization, except as described below with respect to cash received in lieu of a fractional share, a U.S. holder will not recognize any gain or loss for U.S. federal income tax purposes upon the Reverse Stock Split. In the aggregate, a U.S. holder’s tax basis in the Honeywell common stock received pursuant to the Reverse Stock Split (excluding the portion of the tax basis that is allocable to any fractional share) will equal the U.S. holder’s tax basis in its Honeywell common stock surrendered in the Reverse Stock Split in exchange therefor, and the holding period of the U.S. holder’s Honeywell common stock received pursuant to the Reverse Stock Split will include the holding period of the Honeywell common stock surrendered in the Reverse Stock Split in exchange therefor.</w:t>
      </w:r>
    </w:p>
    <w:p>
      <w:pPr>
        <w:spacing w:after="0" w:line="68"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In general, a U.S. holder who receives cash in lieu of a fractional share will recognize capital gain or loss equal to the difference between the amount of cash received in lieu of the fractional share and the portion of the U.S. holder’s tax basis of the Honeywell common stock surrendered in the Reverse Stock Split that is allocable to the fractional share. Such gain or loss generally will be long-term capital gain or loss if the U.S. holder’s holding period in its Honeywell common stock surrendered in the Reverse Stock Split is more than one year as of the date of the Reverse Stock Split. The deductibility of capital losses is subject to limitations.</w:t>
      </w:r>
    </w:p>
    <w:p>
      <w:pPr>
        <w:spacing w:after="0" w:line="64" w:lineRule="exact"/>
        <w:rPr>
          <w:sz w:val="20"/>
          <w:szCs w:val="20"/>
          <w:color w:val="auto"/>
        </w:rPr>
      </w:pPr>
    </w:p>
    <w:p>
      <w:pPr>
        <w:ind w:right="280"/>
        <w:spacing w:after="0" w:line="304" w:lineRule="auto"/>
        <w:rPr>
          <w:sz w:val="20"/>
          <w:szCs w:val="20"/>
          <w:color w:val="auto"/>
        </w:rPr>
      </w:pPr>
      <w:r>
        <w:rPr>
          <w:rFonts w:ascii="Arial" w:cs="Arial" w:eastAsia="Arial" w:hAnsi="Arial"/>
          <w:sz w:val="16"/>
          <w:szCs w:val="16"/>
          <w:color w:val="auto"/>
        </w:rPr>
        <w:t>U.S. holders that acquired different blocks of Honeywell common stock at different times or different prices should consult their tax advisors regarding the determination of the tax basis and holding period of shares of Honeywell common stock that they hold following the Reverse Stock Split.</w:t>
      </w:r>
    </w:p>
    <w:p>
      <w:pPr>
        <w:spacing w:after="0" w:line="33"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Information returns generally will be required to be filed with the IRS with respect to the payment of cash in lieu of a fractional share made pursuant to the Reverse Stock Split unless such U.S. holder is an exempt recipient and timely and properly establishes the exemption. In addition, payments of cash in lieu of a fractional share made pursuant to the Reverse Stock Split may, under certain circumstances, be subject to backup withholding, unless a U.S. holder timely provides proof of an applicable exemption or a correct taxpayer identification number, and otherwise complies with the applicable requirements of the backup withholding rules. Any amounts withheld under the backup withholding rules are not additional tax and may be refunded or credited against the U.S. holder’s U.S. federal income tax liability, provided that the U.S. holder timely furnishes the required information to the IRS.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260" w:type="dxa"/>
            <w:vAlign w:val="bottom"/>
          </w:tcPr>
          <w:p>
            <w:pPr>
              <w:ind w:left="6840"/>
              <w:spacing w:after="0"/>
              <w:rPr>
                <w:sz w:val="20"/>
                <w:szCs w:val="20"/>
                <w:color w:val="auto"/>
              </w:rPr>
            </w:pPr>
            <w:r>
              <w:rPr>
                <w:rFonts w:ascii="Arial" w:cs="Arial" w:eastAsia="Arial" w:hAnsi="Arial"/>
                <w:sz w:val="13"/>
                <w:szCs w:val="13"/>
                <w:b w:val="1"/>
                <w:bCs w:val="1"/>
                <w:color w:val="6D6E71"/>
              </w:rPr>
              <w:t>2026 NOTICE AND PROXY STATEMENT   |</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115</w:t>
            </w:r>
          </w:p>
        </w:tc>
      </w:tr>
      <w:tr>
        <w:trPr>
          <w:trHeight w:val="360"/>
        </w:trPr>
        <w:tc>
          <w:tcPr>
            <w:tcW w:w="10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-368300</wp:posOffset>
            </wp:positionV>
            <wp:extent cx="548640" cy="10287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1" w:name="page132"/>
    <w:bookmarkEnd w:id="131"/>
    <w:p>
      <w:pPr>
        <w:spacing w:after="0"/>
        <w:rPr>
          <w:sz w:val="20"/>
          <w:szCs w:val="20"/>
          <w:color w:val="auto"/>
        </w:rPr>
      </w:pPr>
      <w:r>
        <w:rPr>
          <w:rFonts w:ascii="Arial" w:cs="Arial" w:eastAsia="Arial" w:hAnsi="Arial"/>
          <w:sz w:val="45"/>
          <w:szCs w:val="45"/>
          <w:b w:val="1"/>
          <w:bCs w:val="1"/>
          <w:color w:val="auto"/>
        </w:rPr>
        <w:t>PROPOSAL 5:</w:t>
      </w:r>
    </w:p>
    <w:p>
      <w:pPr>
        <w:spacing w:after="0" w:line="42" w:lineRule="exact"/>
        <w:rPr>
          <w:sz w:val="20"/>
          <w:szCs w:val="20"/>
          <w:color w:val="auto"/>
        </w:rPr>
      </w:pPr>
    </w:p>
    <w:p>
      <w:pPr>
        <w:spacing w:after="0"/>
        <w:rPr>
          <w:sz w:val="20"/>
          <w:szCs w:val="20"/>
          <w:color w:val="auto"/>
        </w:rPr>
      </w:pPr>
      <w:r>
        <w:rPr>
          <w:rFonts w:ascii="Arial" w:cs="Arial" w:eastAsia="Arial" w:hAnsi="Arial"/>
          <w:sz w:val="45"/>
          <w:szCs w:val="45"/>
          <w:b w:val="1"/>
          <w:bCs w:val="1"/>
          <w:color w:val="auto"/>
        </w:rPr>
        <w:t>SHAREOWNER PROPOSAL —</w:t>
      </w:r>
    </w:p>
    <w:p>
      <w:pPr>
        <w:spacing w:after="0" w:line="5" w:lineRule="exact"/>
        <w:rPr>
          <w:sz w:val="20"/>
          <w:szCs w:val="20"/>
          <w:color w:val="auto"/>
        </w:rPr>
      </w:pPr>
    </w:p>
    <w:p>
      <w:pPr>
        <w:spacing w:after="0"/>
        <w:rPr>
          <w:sz w:val="20"/>
          <w:szCs w:val="20"/>
          <w:color w:val="auto"/>
        </w:rPr>
      </w:pPr>
      <w:r>
        <w:rPr>
          <w:rFonts w:ascii="Arial" w:cs="Arial" w:eastAsia="Arial" w:hAnsi="Arial"/>
          <w:sz w:val="45"/>
          <w:szCs w:val="45"/>
          <w:b w:val="1"/>
          <w:bCs w:val="1"/>
          <w:color w:val="auto"/>
        </w:rPr>
        <w:t>SHAREHOLDER RIGHT TO ACT BY WRITTEN</w:t>
      </w:r>
    </w:p>
    <w:p>
      <w:pPr>
        <w:spacing w:after="0"/>
        <w:rPr>
          <w:sz w:val="20"/>
          <w:szCs w:val="20"/>
          <w:color w:val="auto"/>
        </w:rPr>
      </w:pPr>
      <w:r>
        <w:rPr>
          <w:rFonts w:ascii="Arial" w:cs="Arial" w:eastAsia="Arial" w:hAnsi="Arial"/>
          <w:sz w:val="45"/>
          <w:szCs w:val="45"/>
          <w:b w:val="1"/>
          <w:bCs w:val="1"/>
          <w:color w:val="auto"/>
        </w:rPr>
        <w:t>CONSENT</w:t>
      </w:r>
    </w:p>
    <w:p>
      <w:pPr>
        <w:spacing w:after="0" w:line="260" w:lineRule="auto"/>
        <w:rPr>
          <w:sz w:val="20"/>
          <w:szCs w:val="20"/>
          <w:color w:val="auto"/>
        </w:rPr>
      </w:pPr>
      <w:r>
        <w:rPr>
          <w:rFonts w:ascii="Arial" w:cs="Arial" w:eastAsia="Arial" w:hAnsi="Arial"/>
          <w:sz w:val="16"/>
          <w:szCs w:val="16"/>
          <w:color w:val="auto"/>
        </w:rPr>
        <w:t>The following proposal was submitted for inclusion in this Proxy Statement by John Chevedden (the beneficial owner of 50 shares of common stock). We will provide the proponent’s address upon a shareowner’s oral or written request. If Mr. Chevedden, or a representative who is qualified under state law, properly presents such proposal for a vote, then the proposal will be voted on at the Annual Meeting. In accordance with rules of the SEC, other than minor formatting changes, we are reprinting Mr. Chevedden’s proposal and supporting statement as it was submitted to us, including Mr. Chevedden’s graphic in red below, and we take no responsibility for its content.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Proposal 5 — </w:t>
      </w:r>
      <w:r>
        <w:rPr>
          <w:rFonts w:ascii="Arial" w:cs="Arial" w:eastAsia="Arial" w:hAnsi="Arial"/>
          <w:sz w:val="16"/>
          <w:szCs w:val="16"/>
          <w:b w:val="1"/>
          <w:bCs w:val="1"/>
          <w:color w:val="auto"/>
        </w:rPr>
        <w:t>Shareholder Right to Act by Written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86360</wp:posOffset>
            </wp:positionV>
            <wp:extent cx="2828925" cy="65151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282892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Shareholders request that the board of directors take the necessary steps to permit written consent by the shareholders entitled to cast the minimum number of votes that would be necessary to authorize an action at a meeting at which all shareholders entitled to vote thereon were present and voting (without any unnecessary restriction based on length of stock ownership or the method by which shareholders hold their shares). This includes shareowner ability to initiate any appropriate topic for written consent.</w:t>
      </w:r>
    </w:p>
    <w:p>
      <w:pPr>
        <w:spacing w:after="0" w:line="78"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Shareholders acting by written consent and calling for a special shareholder meeting are 2 means that shareholders of a company can use to put forth a proposal on a timely basis without waiting for the annual shareholder meeting.</w:t>
      </w:r>
    </w:p>
    <w:p>
      <w:pPr>
        <w:spacing w:after="0" w:line="48" w:lineRule="exact"/>
        <w:rPr>
          <w:sz w:val="20"/>
          <w:szCs w:val="20"/>
          <w:color w:val="auto"/>
        </w:rPr>
      </w:pPr>
    </w:p>
    <w:p>
      <w:pPr>
        <w:ind w:right="260"/>
        <w:spacing w:after="0" w:line="304" w:lineRule="auto"/>
        <w:rPr>
          <w:sz w:val="20"/>
          <w:szCs w:val="20"/>
          <w:color w:val="auto"/>
        </w:rPr>
      </w:pPr>
      <w:r>
        <w:rPr>
          <w:rFonts w:ascii="Arial" w:cs="Arial" w:eastAsia="Arial" w:hAnsi="Arial"/>
          <w:sz w:val="16"/>
          <w:szCs w:val="16"/>
          <w:color w:val="auto"/>
        </w:rPr>
        <w:t>This proposal topic won 42% shareholder support at an earlier HON annual meeting without any special effort by the proponent. Meanwhile HON made a special effort to keep the vote from exceeding 50%.</w:t>
      </w:r>
    </w:p>
    <w:p>
      <w:pPr>
        <w:spacing w:after="0" w:line="33" w:lineRule="exact"/>
        <w:rPr>
          <w:sz w:val="20"/>
          <w:szCs w:val="20"/>
          <w:color w:val="auto"/>
        </w:rPr>
      </w:pPr>
    </w:p>
    <w:p>
      <w:pPr>
        <w:ind w:right="480"/>
        <w:spacing w:after="0" w:line="304" w:lineRule="auto"/>
        <w:rPr>
          <w:sz w:val="20"/>
          <w:szCs w:val="20"/>
          <w:color w:val="auto"/>
        </w:rPr>
      </w:pPr>
      <w:r>
        <w:rPr>
          <w:rFonts w:ascii="Arial" w:cs="Arial" w:eastAsia="Arial" w:hAnsi="Arial"/>
          <w:sz w:val="16"/>
          <w:szCs w:val="16"/>
          <w:color w:val="auto"/>
        </w:rPr>
        <w:t>Acting by written consent is hardly ever used by shareholders but the main point of having a right to act by written consent is that it gives shareholders greater standing to engage effectively with management when Honeywell International (HON) underperforms.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challenging 2025 news reports on HON make it more important to adopt this proposal without delay:</w:t>
      </w:r>
    </w:p>
    <w:p>
      <w:pPr>
        <w:spacing w:after="0" w:line="113"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A Bank of America analyst issued a rare double downgrade on Honeywell's stock from "Buy" to "Sell," citing limited 2026 earnings growth and weak trading performance of the newly spun-off Solstice Advanced Materials (November 2025).</w:t>
      </w:r>
    </w:p>
    <w:p>
      <w:pPr>
        <w:spacing w:after="0" w:line="33" w:lineRule="exact"/>
        <w:rPr>
          <w:sz w:val="20"/>
          <w:szCs w:val="20"/>
          <w:color w:val="auto"/>
        </w:rPr>
      </w:pPr>
    </w:p>
    <w:p>
      <w:pPr>
        <w:ind w:right="400"/>
        <w:spacing w:after="0" w:line="304" w:lineRule="auto"/>
        <w:rPr>
          <w:sz w:val="20"/>
          <w:szCs w:val="20"/>
          <w:color w:val="auto"/>
        </w:rPr>
      </w:pPr>
      <w:r>
        <w:rPr>
          <w:rFonts w:ascii="Arial" w:cs="Arial" w:eastAsia="Arial" w:hAnsi="Arial"/>
          <w:sz w:val="16"/>
          <w:szCs w:val="16"/>
          <w:color w:val="auto"/>
        </w:rPr>
        <w:t>Honeywell's shares faced rough waters, dropping significantly throughout 2025 and sitting 10% below where they started the year as of mid-November, lagging behind its peers.</w:t>
      </w:r>
    </w:p>
    <w:p>
      <w:pPr>
        <w:spacing w:after="0" w:line="33"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Morningstar DBRS and Fitch Ratings placed Honeywell's credit ratings on "Under Review with Negative Implications" or "Rating Watch Negative" following the announcement of its plan to separate the Aerospace and Automation businesses. This reflected uncertainty regarding the company's future capital structure and financial policy after the spin-offs (February 2025).</w:t>
      </w:r>
    </w:p>
    <w:p>
      <w:pPr>
        <w:spacing w:after="0" w:line="56"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In Q3 2025, the Energy and Sustainability Solutions segment was the company's worst performer, with a 2% organic sales decline, primarily due to challenges and a 13% sales fall in its Honeywell UOP unit. The Industrial Automation segment also faced cost inflation crimping margins and expected low single-digit losses for the full year 2025.</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HON reported significant liabilities, including $1.3 billion in net asbestos liabilities and $747 million in environmental liabilities.</w:t>
      </w:r>
    </w:p>
    <w:p>
      <w:pPr>
        <w:spacing w:after="0" w:line="127"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Please vote yes: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Shareholder Right to Act by Written Consent - Proposal 5</w:t>
      </w:r>
    </w:p>
    <w:p>
      <w:pPr>
        <w:spacing w:after="0" w:line="284" w:lineRule="exact"/>
        <w:rPr>
          <w:sz w:val="20"/>
          <w:szCs w:val="20"/>
          <w:color w:val="auto"/>
        </w:rPr>
      </w:pPr>
    </w:p>
    <w:p>
      <w:pPr>
        <w:ind w:left="20"/>
        <w:spacing w:after="0"/>
        <w:tabs>
          <w:tab w:leader="none" w:pos="1860" w:val="left"/>
        </w:tabs>
        <w:rPr>
          <w:sz w:val="20"/>
          <w:szCs w:val="20"/>
          <w:color w:val="auto"/>
        </w:rPr>
      </w:pPr>
      <w:r>
        <w:rPr>
          <w:rFonts w:ascii="Arial" w:cs="Arial" w:eastAsia="Arial" w:hAnsi="Arial"/>
          <w:sz w:val="18"/>
          <w:szCs w:val="18"/>
          <w:b w:val="1"/>
          <w:bCs w:val="1"/>
          <w:color w:val="auto"/>
        </w:rPr>
        <w:t xml:space="preserve">116  </w:t>
      </w:r>
      <w:r>
        <w:rPr>
          <w:sz w:val="1"/>
          <w:szCs w:val="1"/>
          <w:color w:val="auto"/>
        </w:rPr>
        <w:drawing>
          <wp:inline distT="0" distB="0" distL="0" distR="0">
            <wp:extent cx="548640" cy="102870"/>
            <wp:effectExtent l="0" t="0" r="0" b="0"/>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2026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79" w:right="359" w:bottom="1440" w:gutter="0" w:footer="0" w:header="0"/>
        </w:sectPr>
      </w:pPr>
    </w:p>
    <w:bookmarkStart w:id="132" w:name="page133"/>
    <w:bookmarkEnd w:id="132"/>
    <w:p>
      <w:pPr>
        <w:jc w:val="right"/>
        <w:spacing w:after="0"/>
        <w:rPr>
          <w:sz w:val="20"/>
          <w:szCs w:val="20"/>
          <w:color w:val="auto"/>
        </w:rPr>
      </w:pPr>
      <w:r>
        <w:rPr>
          <w:rFonts w:ascii="Arial" w:cs="Arial" w:eastAsia="Arial" w:hAnsi="Arial"/>
          <w:sz w:val="13"/>
          <w:szCs w:val="13"/>
          <w:b w:val="1"/>
          <w:bCs w:val="1"/>
          <w:color w:val="6D6E71"/>
        </w:rPr>
        <w:t>PROPOSAL 5: SHAREOWNER PROPOSAL — SHAREHOLDER RIGHT TO ACT BY WRITTEN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BOARD RECOMMENDATION – PROPOSAL 5</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The Honeywell Board recommends that shareowners vote AGAINST this proposal for the following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97790</wp:posOffset>
            </wp:positionV>
            <wp:extent cx="34290" cy="42037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34290" cy="420370"/>
                    </a:xfrm>
                    <a:prstGeom prst="rect">
                      <a:avLst/>
                    </a:prstGeom>
                    <a:noFill/>
                  </pic:spPr>
                </pic:pic>
              </a:graphicData>
            </a:graphic>
          </wp:anchor>
        </w:drawing>
      </w:r>
    </w:p>
    <w:p>
      <w:pPr>
        <w:spacing w:after="0" w:line="255" w:lineRule="exact"/>
        <w:rPr>
          <w:sz w:val="20"/>
          <w:szCs w:val="20"/>
          <w:color w:val="auto"/>
        </w:rPr>
      </w:pPr>
    </w:p>
    <w:p>
      <w:pPr>
        <w:ind w:left="160" w:right="880"/>
        <w:spacing w:after="0" w:line="296" w:lineRule="auto"/>
        <w:rPr>
          <w:sz w:val="20"/>
          <w:szCs w:val="20"/>
          <w:color w:val="auto"/>
        </w:rPr>
      </w:pPr>
      <w:r>
        <w:rPr>
          <w:rFonts w:ascii="Arial" w:cs="Arial" w:eastAsia="Arial" w:hAnsi="Arial"/>
          <w:sz w:val="16"/>
          <w:szCs w:val="16"/>
          <w:b w:val="1"/>
          <w:bCs w:val="1"/>
          <w:color w:val="auto"/>
        </w:rPr>
        <w:t>We believe that matters requiring shareowner approval should be presented to, and voted on, by shareowners at a meeting where all shareowners can participate.</w:t>
      </w:r>
    </w:p>
    <w:p>
      <w:pPr>
        <w:spacing w:after="0" w:line="275"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Shareowner meetings are a more democratic way for shareowners to express their views on important financial, governance, or strategic questions related to Honeywell. The Board believes that all matters requiring shareowner approval should be presented and considered at an annual or special meeting of shareowners to allow all shareowners equal time and opportunity to consider and act upon any matter requiring shareowner approval. In a shareowner meeting, whether a regular annual meeting or a special meeting, voting occurs on a specified date that is publicly announced well in advance of the meeting. All interested parties have an opportunity to express their views and solicit proxies from shareowners. By contrast, action by written consent does not require notice to all shareowners about a proposed action, nor does it permit differing views on a particular action or issue to be fully aired and debated. As such, action by written consent can disenfranchise shareowners who do not have the opportunity to vote. Adoption of the written consent right requested by this proposal would permit a small group of shareowners (including those who accumulate a short-term voting position through the borrowing of shares) with no fiduciary duties to other shareowners to initiate action with no prior notice either to other shareowners or to the Company. Any such action would prevent all shareowners from having an opportunity to deliberate on matters in an open and transparent manner, and to consider arguments for and against any action, including the Company’s position.</w:t>
      </w:r>
    </w:p>
    <w:p>
      <w:pPr>
        <w:spacing w:after="0" w:line="91"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In addition, a shareowner seeking action by written consent may attempt to solicit the fewest possible shareowners needed to take action, rather than seeking input from all shareowners, and may rely on consents obtained from some shareowners without allowing shareowners to evaluate a proposal, express their views, and vote. Unlike action by written consent, when shareowners act at a special or annual meeting of shareowners, all shareowners receive advance notice of the meeting and have clearly established times during which they can evaluate the issues, engage with our Company and other shareowners, communicate their views, and vote. Permitting shareowner action by written consent could also lead to substantial confusion and disruption for shareowners, with potentially multiple, even conflicting, written consents being solicited by multiple shareowner groups.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69850</wp:posOffset>
            </wp:positionV>
            <wp:extent cx="34290" cy="29146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34290" cy="291465"/>
                    </a:xfrm>
                    <a:prstGeom prst="rect">
                      <a:avLst/>
                    </a:prstGeom>
                    <a:noFill/>
                  </pic:spPr>
                </pic:pic>
              </a:graphicData>
            </a:graphic>
          </wp:anchor>
        </w:drawing>
      </w:r>
    </w:p>
    <w:p>
      <w:pPr>
        <w:spacing w:after="0" w:line="21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Shareowners holding 15% of our outstanding shares already have the right to call a special meeting.</w:t>
      </w:r>
    </w:p>
    <w:p>
      <w:pPr>
        <w:spacing w:after="0" w:line="343"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Board further believes that shareowner action by written consent is unnecessary in light of our shareowners’ right to call special meetings, which can be in-person or virtual, pursuant to the written request of 15% of our outstanding shares of common stock. A special meeting permits shareowners, the Board, and Company management to hold a discussion on matters in between annual meetings and empowers all shareowners to participate collectively in a single meeting, and encompasses the full range of benefits associated with shareowner meetings described above. We believe that the 15% ownership threshold required to call a special meeting of shareowners guards against the exertion of undue influence by individual shareowners in pursuit of special interests that may be inconsistent with our shareowners’ long-term best interests. Additionally, allowing any shareowner, regardless of ownership interest, to initiate a potentially unlimited number of written consent solicitations on any topic at any time could enable a single shareowner to advance its own narrow interests in a manner that unduly disrupts the effective management of our Company and is detrimental to shareowner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71755</wp:posOffset>
            </wp:positionV>
            <wp:extent cx="34290" cy="28257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34290" cy="282575"/>
                    </a:xfrm>
                    <a:prstGeom prst="rect">
                      <a:avLst/>
                    </a:prstGeom>
                    <a:noFill/>
                  </pic:spPr>
                </pic:pic>
              </a:graphicData>
            </a:graphic>
          </wp:anchor>
        </w:drawing>
      </w:r>
    </w:p>
    <w:p>
      <w:pPr>
        <w:spacing w:after="0" w:line="106" w:lineRule="exact"/>
        <w:rPr>
          <w:sz w:val="20"/>
          <w:szCs w:val="20"/>
          <w:color w:val="auto"/>
        </w:rPr>
      </w:pPr>
    </w:p>
    <w:p>
      <w:pPr>
        <w:ind w:left="160" w:right="700"/>
        <w:spacing w:after="0" w:line="296" w:lineRule="auto"/>
        <w:rPr>
          <w:sz w:val="20"/>
          <w:szCs w:val="20"/>
          <w:color w:val="auto"/>
        </w:rPr>
      </w:pPr>
      <w:r>
        <w:rPr>
          <w:rFonts w:ascii="Arial" w:cs="Arial" w:eastAsia="Arial" w:hAnsi="Arial"/>
          <w:sz w:val="16"/>
          <w:szCs w:val="16"/>
          <w:b w:val="1"/>
          <w:bCs w:val="1"/>
          <w:color w:val="auto"/>
        </w:rPr>
        <w:t>The majority of shareowners with whom we have previously discussed this matter believe that the right to act by written consent is not necessary where shareowners already have the right to call a special meeting.</w:t>
      </w:r>
    </w:p>
    <w:p>
      <w:pPr>
        <w:spacing w:after="0" w:line="167"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We have previously discussed written consent proposals with our largest shareowners as part of our shareowner outreach program in prior years when this proposal was raised. The overwhelming majority of those shareowners shared their belief that the right to act by written consent is not warranted where shareowners already have the right to call a special meeting. After we lowered the ownership threshold for calling a special meeting in 2018 (from 20% to 15%), support for our position has only increased, both in conversations with our largest shareowners and in our annual meeting voting results. In addition, Honeywell has received a shareowner written consent proposal six times between 2013 and 2025, and our shareowners have previously rejected all of the prior proposals on this topic.</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260" w:type="dxa"/>
            <w:vAlign w:val="bottom"/>
          </w:tcPr>
          <w:p>
            <w:pPr>
              <w:ind w:left="6840"/>
              <w:spacing w:after="0"/>
              <w:rPr>
                <w:sz w:val="20"/>
                <w:szCs w:val="20"/>
                <w:color w:val="auto"/>
              </w:rPr>
            </w:pPr>
            <w:r>
              <w:rPr>
                <w:rFonts w:ascii="Arial" w:cs="Arial" w:eastAsia="Arial" w:hAnsi="Arial"/>
                <w:sz w:val="13"/>
                <w:szCs w:val="13"/>
                <w:b w:val="1"/>
                <w:bCs w:val="1"/>
                <w:color w:val="6D6E71"/>
              </w:rPr>
              <w:t>2026 NOTICE AND PROXY STATEMENT   |</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117</w:t>
            </w:r>
          </w:p>
        </w:tc>
      </w:tr>
      <w:tr>
        <w:trPr>
          <w:trHeight w:val="373"/>
        </w:trPr>
        <w:tc>
          <w:tcPr>
            <w:tcW w:w="10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spacing w:after="0"/>
        <w:rPr>
          <w:sz w:val="20"/>
          <w:szCs w:val="20"/>
          <w:color w:val="auto"/>
        </w:rPr>
      </w:pPr>
      <w:r>
        <w:rPr>
          <w:rFonts w:ascii="Arial" w:cs="Arial" w:eastAsia="Arial" w:hAnsi="Arial"/>
          <w:sz w:val="13"/>
          <w:szCs w:val="13"/>
          <w:b w:val="1"/>
          <w:bCs w:val="1"/>
          <w:color w:val="6D6E71"/>
        </w:rPr>
        <w:t>PROPOSAL 5: SHAREOWNER PROPOSAL — SHAREHOLDER RIGHT TO ACT BY WRITTEN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833755</wp:posOffset>
            </wp:positionV>
            <wp:extent cx="34290" cy="22288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3429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The right to act by written consent is further unnecessary given Honeywell's other strong corporate governance practices.</w:t>
      </w:r>
    </w:p>
    <w:p>
      <w:pPr>
        <w:spacing w:after="0" w:line="34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ability to act by written consent is further unnecessary because we continually evaluate shareowner feedback and implement appropriate changes to our corporate governance policies and practices that we believe are in the best interests of Honeywell and its shareowners. These include:</w:t>
      </w:r>
    </w:p>
    <w:p>
      <w:pPr>
        <w:spacing w:after="0" w:line="61" w:lineRule="exact"/>
        <w:rPr>
          <w:sz w:val="20"/>
          <w:szCs w:val="20"/>
          <w:color w:val="auto"/>
        </w:rPr>
      </w:pPr>
    </w:p>
    <w:p>
      <w:pPr>
        <w:ind w:left="200" w:right="420" w:hanging="192"/>
        <w:spacing w:after="0" w:line="286" w:lineRule="auto"/>
        <w:tabs>
          <w:tab w:leader="none" w:pos="197" w:val="left"/>
        </w:tabs>
        <w:numPr>
          <w:ilvl w:val="0"/>
          <w:numId w:val="216"/>
        </w:numPr>
        <w:rPr>
          <w:rFonts w:ascii="Arial" w:cs="Arial" w:eastAsia="Arial" w:hAnsi="Arial"/>
          <w:sz w:val="16"/>
          <w:szCs w:val="16"/>
          <w:b w:val="1"/>
          <w:bCs w:val="1"/>
          <w:color w:val="D7282F"/>
        </w:rPr>
      </w:pPr>
      <w:r>
        <w:rPr>
          <w:rFonts w:ascii="Arial" w:cs="Arial" w:eastAsia="Arial" w:hAnsi="Arial"/>
          <w:sz w:val="16"/>
          <w:szCs w:val="16"/>
          <w:color w:val="auto"/>
        </w:rPr>
        <w:t>The 15% ownership threshold for shareowners’ right to call a special meeting of shareowners (reduced from 20% in 2018 in response to shareowner sentiment).</w:t>
      </w:r>
    </w:p>
    <w:p>
      <w:pPr>
        <w:spacing w:after="0" w:line="20" w:lineRule="exact"/>
        <w:rPr>
          <w:rFonts w:ascii="Arial" w:cs="Arial" w:eastAsia="Arial" w:hAnsi="Arial"/>
          <w:sz w:val="16"/>
          <w:szCs w:val="16"/>
          <w:b w:val="1"/>
          <w:bCs w:val="1"/>
          <w:color w:val="D7282F"/>
        </w:rPr>
      </w:pPr>
    </w:p>
    <w:p>
      <w:pPr>
        <w:ind w:left="200" w:hanging="192"/>
        <w:spacing w:after="0"/>
        <w:tabs>
          <w:tab w:leader="none" w:pos="200" w:val="left"/>
        </w:tabs>
        <w:numPr>
          <w:ilvl w:val="0"/>
          <w:numId w:val="216"/>
        </w:numPr>
        <w:rPr>
          <w:rFonts w:ascii="Arial" w:cs="Arial" w:eastAsia="Arial" w:hAnsi="Arial"/>
          <w:sz w:val="16"/>
          <w:szCs w:val="16"/>
          <w:b w:val="1"/>
          <w:bCs w:val="1"/>
          <w:color w:val="D7282F"/>
        </w:rPr>
      </w:pPr>
      <w:r>
        <w:rPr>
          <w:rFonts w:ascii="Arial" w:cs="Arial" w:eastAsia="Arial" w:hAnsi="Arial"/>
          <w:sz w:val="16"/>
          <w:szCs w:val="16"/>
          <w:color w:val="auto"/>
        </w:rPr>
        <w:t>The annual election of directors and majority voting in uncontested director elections.</w:t>
      </w:r>
    </w:p>
    <w:p>
      <w:pPr>
        <w:spacing w:after="0" w:line="86" w:lineRule="exact"/>
        <w:rPr>
          <w:rFonts w:ascii="Arial" w:cs="Arial" w:eastAsia="Arial" w:hAnsi="Arial"/>
          <w:sz w:val="16"/>
          <w:szCs w:val="16"/>
          <w:b w:val="1"/>
          <w:bCs w:val="1"/>
          <w:color w:val="D7282F"/>
        </w:rPr>
      </w:pPr>
    </w:p>
    <w:p>
      <w:pPr>
        <w:ind w:left="200" w:hanging="192"/>
        <w:spacing w:after="0"/>
        <w:tabs>
          <w:tab w:leader="none" w:pos="200" w:val="left"/>
        </w:tabs>
        <w:numPr>
          <w:ilvl w:val="0"/>
          <w:numId w:val="216"/>
        </w:numPr>
        <w:rPr>
          <w:rFonts w:ascii="Arial" w:cs="Arial" w:eastAsia="Arial" w:hAnsi="Arial"/>
          <w:sz w:val="16"/>
          <w:szCs w:val="16"/>
          <w:b w:val="1"/>
          <w:bCs w:val="1"/>
          <w:color w:val="D7282F"/>
        </w:rPr>
      </w:pPr>
      <w:r>
        <w:rPr>
          <w:rFonts w:ascii="Arial" w:cs="Arial" w:eastAsia="Arial" w:hAnsi="Arial"/>
          <w:sz w:val="16"/>
          <w:szCs w:val="16"/>
          <w:color w:val="auto"/>
        </w:rPr>
        <w:t>The adoption of a proxy access By-laws amendment (instituted in 2015 in response to shareowner sentiment).</w:t>
      </w:r>
    </w:p>
    <w:p>
      <w:pPr>
        <w:spacing w:after="0" w:line="72" w:lineRule="exact"/>
        <w:rPr>
          <w:rFonts w:ascii="Arial" w:cs="Arial" w:eastAsia="Arial" w:hAnsi="Arial"/>
          <w:sz w:val="16"/>
          <w:szCs w:val="16"/>
          <w:b w:val="1"/>
          <w:bCs w:val="1"/>
          <w:color w:val="D7282F"/>
        </w:rPr>
      </w:pPr>
    </w:p>
    <w:p>
      <w:pPr>
        <w:ind w:left="200" w:hanging="192"/>
        <w:spacing w:after="0"/>
        <w:tabs>
          <w:tab w:leader="none" w:pos="200" w:val="left"/>
        </w:tabs>
        <w:numPr>
          <w:ilvl w:val="0"/>
          <w:numId w:val="216"/>
        </w:numPr>
        <w:rPr>
          <w:rFonts w:ascii="Arial" w:cs="Arial" w:eastAsia="Arial" w:hAnsi="Arial"/>
          <w:sz w:val="16"/>
          <w:szCs w:val="16"/>
          <w:b w:val="1"/>
          <w:bCs w:val="1"/>
          <w:color w:val="D7282F"/>
        </w:rPr>
      </w:pPr>
      <w:r>
        <w:rPr>
          <w:rFonts w:ascii="Arial" w:cs="Arial" w:eastAsia="Arial" w:hAnsi="Arial"/>
          <w:sz w:val="16"/>
          <w:szCs w:val="16"/>
          <w:color w:val="auto"/>
        </w:rPr>
        <w:t>The ability of shareowners to submit proposals and nominees for presentation at an annual meeting.</w:t>
      </w:r>
    </w:p>
    <w:p>
      <w:pPr>
        <w:spacing w:after="0" w:line="127"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In addition, a key component of our corporate governance program is our annual shareowner engagement process. During 2025, we proactively invited holders of approximately 60% of our outstanding stock to engage with us to discuss corporate governance and other topics, and we ultimately engaged with holders of approximately 34% of our common stock during the year, held by 23 of our largest shareowners. Our shareholders did not raise concerns about our corporate governance practices during these conversations.</w:t>
      </w:r>
    </w:p>
    <w:p>
      <w:pPr>
        <w:spacing w:after="0" w:line="65" w:lineRule="exact"/>
        <w:rPr>
          <w:sz w:val="20"/>
          <w:szCs w:val="20"/>
          <w:color w:val="auto"/>
        </w:rPr>
      </w:pPr>
    </w:p>
    <w:p>
      <w:pPr>
        <w:ind w:right="660"/>
        <w:spacing w:after="0" w:line="304" w:lineRule="auto"/>
        <w:rPr>
          <w:sz w:val="20"/>
          <w:szCs w:val="20"/>
          <w:color w:val="auto"/>
        </w:rPr>
      </w:pPr>
      <w:r>
        <w:rPr>
          <w:rFonts w:ascii="Arial" w:cs="Arial" w:eastAsia="Arial" w:hAnsi="Arial"/>
          <w:sz w:val="16"/>
          <w:szCs w:val="16"/>
          <w:color w:val="auto"/>
        </w:rPr>
        <w:t>Our continual engagement with shareowners complements our robust corporate governance practices that empower and protect the interests of our shareowners.</w:t>
      </w:r>
    </w:p>
    <w:p>
      <w:pPr>
        <w:spacing w:after="0" w:line="33"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Given the actions that Honeywell has taken to protect shareowner value, increase shareowner rights, and ensure director accountability, the Board believes that adoption of the above proposal would not add significant value to the Company’s performance or to shareowners’ interests. It would, instead, have a detrimental effect by providing the means for short-term or individual shareowners to act in their own self-interest by advocating proposals that neither enhance shareowner value nor advance the interests of shareowners as a whole.</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Our shareowners did not raise concerns about our corporate governance practices during those conversations.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192405</wp:posOffset>
            </wp:positionV>
            <wp:extent cx="34290" cy="42037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34290" cy="420370"/>
                    </a:xfrm>
                    <a:prstGeom prst="rect">
                      <a:avLst/>
                    </a:prstGeom>
                    <a:noFill/>
                  </pic:spPr>
                </pic:pic>
              </a:graphicData>
            </a:graphic>
          </wp:anchor>
        </w:drawing>
      </w:r>
    </w:p>
    <w:p>
      <w:pPr>
        <w:spacing w:after="0" w:line="285" w:lineRule="exact"/>
        <w:rPr>
          <w:sz w:val="20"/>
          <w:szCs w:val="20"/>
          <w:color w:val="auto"/>
        </w:rPr>
      </w:pPr>
    </w:p>
    <w:p>
      <w:pPr>
        <w:ind w:left="160" w:right="920"/>
        <w:spacing w:after="0" w:line="298" w:lineRule="auto"/>
        <w:rPr>
          <w:sz w:val="20"/>
          <w:szCs w:val="20"/>
          <w:color w:val="auto"/>
        </w:rPr>
      </w:pPr>
      <w:r>
        <w:rPr>
          <w:rFonts w:ascii="Arial" w:cs="Arial" w:eastAsia="Arial" w:hAnsi="Arial"/>
          <w:sz w:val="25"/>
          <w:szCs w:val="25"/>
          <w:b w:val="1"/>
          <w:bCs w:val="1"/>
          <w:color w:val="auto"/>
        </w:rPr>
        <w:t xml:space="preserve">THE BOARD OF DIRECTORS UNANIMOUSLY RECOMMENDS A VOTE </w:t>
      </w:r>
      <w:r>
        <w:rPr>
          <w:rFonts w:ascii="Arial" w:cs="Arial" w:eastAsia="Arial" w:hAnsi="Arial"/>
          <w:sz w:val="25"/>
          <w:szCs w:val="25"/>
          <w:b w:val="1"/>
          <w:bCs w:val="1"/>
          <w:color w:val="D7282F"/>
        </w:rPr>
        <w:t>AGAINST</w:t>
      </w:r>
      <w:r>
        <w:rPr>
          <w:rFonts w:ascii="Arial" w:cs="Arial" w:eastAsia="Arial" w:hAnsi="Arial"/>
          <w:sz w:val="25"/>
          <w:szCs w:val="25"/>
          <w:b w:val="1"/>
          <w:bCs w:val="1"/>
          <w:color w:val="auto"/>
        </w:rPr>
        <w:t xml:space="preserve"> THIS PROPOSAL.</w:t>
      </w:r>
    </w:p>
    <w:p>
      <w:pPr>
        <w:spacing w:after="0" w:line="291" w:lineRule="exact"/>
        <w:rPr>
          <w:sz w:val="20"/>
          <w:szCs w:val="20"/>
          <w:color w:val="auto"/>
        </w:rPr>
      </w:pPr>
    </w:p>
    <w:p>
      <w:pPr>
        <w:ind w:left="20"/>
        <w:spacing w:after="0"/>
        <w:tabs>
          <w:tab w:leader="none" w:pos="1860" w:val="left"/>
        </w:tabs>
        <w:rPr>
          <w:sz w:val="20"/>
          <w:szCs w:val="20"/>
          <w:color w:val="auto"/>
        </w:rPr>
      </w:pPr>
      <w:r>
        <w:rPr>
          <w:rFonts w:ascii="Arial" w:cs="Arial" w:eastAsia="Arial" w:hAnsi="Arial"/>
          <w:sz w:val="18"/>
          <w:szCs w:val="18"/>
          <w:b w:val="1"/>
          <w:bCs w:val="1"/>
          <w:color w:val="auto"/>
        </w:rPr>
        <w:t xml:space="preserve">118  </w:t>
      </w:r>
      <w:r>
        <w:rPr>
          <w:sz w:val="1"/>
          <w:szCs w:val="1"/>
          <w:color w:val="auto"/>
        </w:rPr>
        <w:drawing>
          <wp:inline distT="0" distB="0" distL="0" distR="0">
            <wp:extent cx="548640" cy="102870"/>
            <wp:effectExtent l="0" t="0" r="0" b="0"/>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2026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spacing w:after="0"/>
        <w:rPr>
          <w:sz w:val="20"/>
          <w:szCs w:val="20"/>
          <w:color w:val="auto"/>
        </w:rPr>
      </w:pPr>
      <w:r>
        <w:rPr>
          <w:rFonts w:ascii="Arial" w:cs="Arial" w:eastAsia="Arial" w:hAnsi="Arial"/>
          <w:sz w:val="45"/>
          <w:szCs w:val="45"/>
          <w:b w:val="1"/>
          <w:bCs w:val="1"/>
          <w:color w:val="auto"/>
        </w:rPr>
        <w:t>ADDITIONAL INFORMATION</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OTHER BUSINESS</w:t>
      </w:r>
    </w:p>
    <w:p>
      <w:pPr>
        <w:spacing w:after="0" w:line="141"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The Board knows of no other matters to be presented for shareowner action at the meeting. If other matters are properly brought before the meeting, the persons named as proxies in the accompanying proxy card intend to vote the shares represented by them in accordance with their best judgment.</w:t>
      </w:r>
    </w:p>
    <w:p>
      <w:pPr>
        <w:spacing w:after="0" w:line="239"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CERTAIN RELATIONSHIPS AND RELATED TRANSACTIONS</w:t>
      </w:r>
    </w:p>
    <w:p>
      <w:pPr>
        <w:spacing w:after="0" w:line="127"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Honeywell has written policies and procedures for approval or ratification of related person transactions. Article Eighth of Honeywell’s Amended and Restated Certificate of Incorporation provides that a related or interested party transaction shall not be void or voidable if such transaction is duly authorized or ratified by a majority of the disinterested members of the Board. Consistent with SEC rules, a related or interested party transaction includes a transaction between the Company and a director, director nominee, or executive officer of the Company or a beneficial owner of more than 5% of the Company’s common stock or any of their respective immediate family members. Furthermore, the Honeywell Code of Business Conduct requires that each director and executive officer report to the Board of Directors on an ongoing basis any relationship or transaction that may create or appear to create a conflict between the personal interests of those individuals (or their immediate family members) and the interests of the Company. A conflict, or appearance of a conflict, might arise, for example, by accepting gifts or loans from a current or potential customer, supplier, or competitor, owning a financial interest in, or serving in a business capacity with, an outside enterprise that competes with or does or wishes to do business with the Company, serving as an intermediary for the benefit of a third party in transactions involving the Company, or using confidential Company information or other corporate assets for personal profit.</w:t>
      </w:r>
    </w:p>
    <w:p>
      <w:pPr>
        <w:spacing w:after="0" w:line="74"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Conflict of interest or related party transactions are referred to the Corporate Governance and Responsibility Committee (CGRC), which is responsible for reviewing and overseeing related party transactions for potential conflict of interest situations on an ongoing basis, as appropriate. The CGRC and the Board must review any potential conflict and determine whether any action is required. This includes whether to authorize, ratify, or direct the unwinding of the relationship or transaction under consideration, as well as ensure that appropriate controls are in place to protect Honeywell and its shareowners. In making that determination, the Board and CGRC consider all relevant facts and circumstances, such as:</w:t>
      </w:r>
    </w:p>
    <w:p>
      <w:pPr>
        <w:spacing w:after="0" w:line="64" w:lineRule="exact"/>
        <w:rPr>
          <w:sz w:val="20"/>
          <w:szCs w:val="20"/>
          <w:color w:val="auto"/>
        </w:rPr>
      </w:pPr>
    </w:p>
    <w:p>
      <w:pPr>
        <w:ind w:left="200" w:hanging="192"/>
        <w:spacing w:after="0"/>
        <w:tabs>
          <w:tab w:leader="none" w:pos="200" w:val="left"/>
        </w:tabs>
        <w:numPr>
          <w:ilvl w:val="0"/>
          <w:numId w:val="217"/>
        </w:numPr>
        <w:rPr>
          <w:rFonts w:ascii="Arial" w:cs="Arial" w:eastAsia="Arial" w:hAnsi="Arial"/>
          <w:sz w:val="16"/>
          <w:szCs w:val="16"/>
          <w:b w:val="1"/>
          <w:bCs w:val="1"/>
          <w:color w:val="D7282F"/>
        </w:rPr>
      </w:pPr>
      <w:r>
        <w:rPr>
          <w:rFonts w:ascii="Arial" w:cs="Arial" w:eastAsia="Arial" w:hAnsi="Arial"/>
          <w:sz w:val="16"/>
          <w:szCs w:val="16"/>
          <w:color w:val="auto"/>
        </w:rPr>
        <w:t>The benefits of the transaction to Honeywell;</w:t>
      </w:r>
    </w:p>
    <w:p>
      <w:pPr>
        <w:spacing w:after="0" w:line="86" w:lineRule="exact"/>
        <w:rPr>
          <w:rFonts w:ascii="Arial" w:cs="Arial" w:eastAsia="Arial" w:hAnsi="Arial"/>
          <w:sz w:val="16"/>
          <w:szCs w:val="16"/>
          <w:b w:val="1"/>
          <w:bCs w:val="1"/>
          <w:color w:val="D7282F"/>
        </w:rPr>
      </w:pPr>
    </w:p>
    <w:p>
      <w:pPr>
        <w:ind w:left="200" w:hanging="192"/>
        <w:spacing w:after="0"/>
        <w:tabs>
          <w:tab w:leader="none" w:pos="200" w:val="left"/>
        </w:tabs>
        <w:numPr>
          <w:ilvl w:val="0"/>
          <w:numId w:val="217"/>
        </w:numPr>
        <w:rPr>
          <w:rFonts w:ascii="Arial" w:cs="Arial" w:eastAsia="Arial" w:hAnsi="Arial"/>
          <w:sz w:val="16"/>
          <w:szCs w:val="16"/>
          <w:b w:val="1"/>
          <w:bCs w:val="1"/>
          <w:color w:val="D7282F"/>
        </w:rPr>
      </w:pPr>
      <w:r>
        <w:rPr>
          <w:rFonts w:ascii="Arial" w:cs="Arial" w:eastAsia="Arial" w:hAnsi="Arial"/>
          <w:sz w:val="16"/>
          <w:szCs w:val="16"/>
          <w:color w:val="auto"/>
        </w:rPr>
        <w:t>The terms of the transaction and whether they are arm’s-length and in the ordinary course of the Company’s business;</w:t>
      </w:r>
    </w:p>
    <w:p>
      <w:pPr>
        <w:spacing w:after="0" w:line="72" w:lineRule="exact"/>
        <w:rPr>
          <w:rFonts w:ascii="Arial" w:cs="Arial" w:eastAsia="Arial" w:hAnsi="Arial"/>
          <w:sz w:val="16"/>
          <w:szCs w:val="16"/>
          <w:b w:val="1"/>
          <w:bCs w:val="1"/>
          <w:color w:val="D7282F"/>
        </w:rPr>
      </w:pPr>
    </w:p>
    <w:p>
      <w:pPr>
        <w:ind w:left="200" w:hanging="192"/>
        <w:spacing w:after="0"/>
        <w:tabs>
          <w:tab w:leader="none" w:pos="200" w:val="left"/>
        </w:tabs>
        <w:numPr>
          <w:ilvl w:val="0"/>
          <w:numId w:val="217"/>
        </w:numPr>
        <w:rPr>
          <w:rFonts w:ascii="Arial" w:cs="Arial" w:eastAsia="Arial" w:hAnsi="Arial"/>
          <w:sz w:val="16"/>
          <w:szCs w:val="16"/>
          <w:b w:val="1"/>
          <w:bCs w:val="1"/>
          <w:color w:val="D7282F"/>
        </w:rPr>
      </w:pPr>
      <w:r>
        <w:rPr>
          <w:rFonts w:ascii="Arial" w:cs="Arial" w:eastAsia="Arial" w:hAnsi="Arial"/>
          <w:sz w:val="16"/>
          <w:szCs w:val="16"/>
          <w:color w:val="auto"/>
        </w:rPr>
        <w:t>The direct or indirect nature of the related person’s interest in the transaction;</w:t>
      </w:r>
    </w:p>
    <w:p>
      <w:pPr>
        <w:spacing w:after="0" w:line="86" w:lineRule="exact"/>
        <w:rPr>
          <w:rFonts w:ascii="Arial" w:cs="Arial" w:eastAsia="Arial" w:hAnsi="Arial"/>
          <w:sz w:val="16"/>
          <w:szCs w:val="16"/>
          <w:b w:val="1"/>
          <w:bCs w:val="1"/>
          <w:color w:val="D7282F"/>
        </w:rPr>
      </w:pPr>
    </w:p>
    <w:p>
      <w:pPr>
        <w:ind w:left="200" w:hanging="192"/>
        <w:spacing w:after="0"/>
        <w:tabs>
          <w:tab w:leader="none" w:pos="200" w:val="left"/>
        </w:tabs>
        <w:numPr>
          <w:ilvl w:val="0"/>
          <w:numId w:val="217"/>
        </w:numPr>
        <w:rPr>
          <w:rFonts w:ascii="Arial" w:cs="Arial" w:eastAsia="Arial" w:hAnsi="Arial"/>
          <w:sz w:val="16"/>
          <w:szCs w:val="16"/>
          <w:b w:val="1"/>
          <w:bCs w:val="1"/>
          <w:color w:val="D7282F"/>
        </w:rPr>
      </w:pPr>
      <w:r>
        <w:rPr>
          <w:rFonts w:ascii="Arial" w:cs="Arial" w:eastAsia="Arial" w:hAnsi="Arial"/>
          <w:sz w:val="16"/>
          <w:szCs w:val="16"/>
          <w:color w:val="auto"/>
        </w:rPr>
        <w:t>The size and expected term of the transaction; and</w:t>
      </w:r>
    </w:p>
    <w:p>
      <w:pPr>
        <w:spacing w:after="0" w:line="86" w:lineRule="exact"/>
        <w:rPr>
          <w:rFonts w:ascii="Arial" w:cs="Arial" w:eastAsia="Arial" w:hAnsi="Arial"/>
          <w:sz w:val="16"/>
          <w:szCs w:val="16"/>
          <w:b w:val="1"/>
          <w:bCs w:val="1"/>
          <w:color w:val="D7282F"/>
        </w:rPr>
      </w:pPr>
    </w:p>
    <w:p>
      <w:pPr>
        <w:ind w:left="200" w:hanging="192"/>
        <w:spacing w:after="0"/>
        <w:tabs>
          <w:tab w:leader="none" w:pos="200" w:val="left"/>
        </w:tabs>
        <w:numPr>
          <w:ilvl w:val="0"/>
          <w:numId w:val="217"/>
        </w:numPr>
        <w:rPr>
          <w:rFonts w:ascii="Arial" w:cs="Arial" w:eastAsia="Arial" w:hAnsi="Arial"/>
          <w:sz w:val="16"/>
          <w:szCs w:val="16"/>
          <w:b w:val="1"/>
          <w:bCs w:val="1"/>
          <w:color w:val="D7282F"/>
        </w:rPr>
      </w:pPr>
      <w:r>
        <w:rPr>
          <w:rFonts w:ascii="Arial" w:cs="Arial" w:eastAsia="Arial" w:hAnsi="Arial"/>
          <w:sz w:val="16"/>
          <w:szCs w:val="16"/>
          <w:color w:val="auto"/>
        </w:rPr>
        <w:t>Other facts and circumstances that bear on the materiality of the related person transaction under applicable law and listing standards.</w:t>
      </w:r>
    </w:p>
    <w:p>
      <w:pPr>
        <w:spacing w:after="0" w:line="113"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Each director and officer also completes and signs a questionnaire at the end of each fiscal year to confirm that there are no material relationships or related person transactions between such individuals and the Company other than those previously disclosed to Honeywell. This ensures that all material relationships and related person transactions are identified, reviewed, and disclosed in accordance with applicable policies, procedures, and regulations. There are no family relationships among any of our directors or executive officers.</w:t>
      </w:r>
    </w:p>
    <w:p>
      <w:pPr>
        <w:spacing w:after="0" w:line="78" w:lineRule="exact"/>
        <w:rPr>
          <w:sz w:val="20"/>
          <w:szCs w:val="20"/>
          <w:color w:val="auto"/>
        </w:rPr>
      </w:pPr>
    </w:p>
    <w:p>
      <w:pPr>
        <w:ind w:right="640"/>
        <w:spacing w:after="0" w:line="286" w:lineRule="auto"/>
        <w:rPr>
          <w:sz w:val="20"/>
          <w:szCs w:val="20"/>
          <w:color w:val="auto"/>
        </w:rPr>
      </w:pPr>
      <w:r>
        <w:rPr>
          <w:rFonts w:ascii="Arial" w:cs="Arial" w:eastAsia="Arial" w:hAnsi="Arial"/>
          <w:sz w:val="16"/>
          <w:szCs w:val="16"/>
          <w:color w:val="auto"/>
        </w:rPr>
        <w:t>In May 2025, we entered into a cooperation agreement with Elliott Investment Management L.P., as described in the section entitled “Evaluation and Nomination of Director Candidates” on page 34. Director Marc Steinberg is affiliated with Elliott.</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260" w:type="dxa"/>
            <w:vAlign w:val="bottom"/>
          </w:tcPr>
          <w:p>
            <w:pPr>
              <w:ind w:left="6840"/>
              <w:spacing w:after="0"/>
              <w:rPr>
                <w:sz w:val="20"/>
                <w:szCs w:val="20"/>
                <w:color w:val="auto"/>
              </w:rPr>
            </w:pPr>
            <w:r>
              <w:rPr>
                <w:rFonts w:ascii="Arial" w:cs="Arial" w:eastAsia="Arial" w:hAnsi="Arial"/>
                <w:sz w:val="13"/>
                <w:szCs w:val="13"/>
                <w:b w:val="1"/>
                <w:bCs w:val="1"/>
                <w:color w:val="6D6E71"/>
              </w:rPr>
              <w:t>2026 NOTICE AND PROXY STATEMENT   |</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119</w:t>
            </w:r>
          </w:p>
        </w:tc>
      </w:tr>
      <w:tr>
        <w:trPr>
          <w:trHeight w:val="373"/>
        </w:trPr>
        <w:tc>
          <w:tcPr>
            <w:tcW w:w="10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1185" w:right="339" w:bottom="1440" w:gutter="0" w:footer="0" w:header="0"/>
        </w:sectPr>
      </w:pPr>
    </w:p>
    <w:bookmarkStart w:id="135" w:name="page136"/>
    <w:bookmarkEnd w:id="135"/>
    <w:p>
      <w:pPr>
        <w:spacing w:after="0"/>
        <w:rPr>
          <w:sz w:val="20"/>
          <w:szCs w:val="20"/>
          <w:color w:val="auto"/>
        </w:rPr>
      </w:pPr>
      <w:r>
        <w:rPr>
          <w:rFonts w:ascii="Arial" w:cs="Arial" w:eastAsia="Arial" w:hAnsi="Arial"/>
          <w:sz w:val="13"/>
          <w:szCs w:val="13"/>
          <w:b w:val="1"/>
          <w:bCs w:val="1"/>
          <w:color w:val="6D6E71"/>
        </w:rPr>
        <w:t>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VIRTUAL ANNUAL MEETING</w:t>
      </w:r>
    </w:p>
    <w:p>
      <w:pPr>
        <w:spacing w:after="0" w:line="141"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auto"/>
        </w:rPr>
        <w:t>Considering our positive virtual meeting experience the last several years, the Board has chosen to hold the Company’s Annual Meeting in a virtual format again this year. Last year, Honeywell’s Chairman and CEO led the meeting and used the platform to speak directly to shareowners. The proponent of the one shareowner proposal had a choice between presenting his statement live by dialing in to the meeting or providing a pre-recorded message, and shareowners also had an opportunity to submit questions both before and during the meeting. Honeywell’s Chairman and CEO answered most of the questions during the time allotted for Q&amp;A. We responded to appropriately submitted, but unanswered, questions in writing by posting the questions and answers on our Investor Relations website after the meeting. In comparison to typical in-person meetings, the Company believes the virtual format enables more meaningful engagement and a greater level of information sharing with a broader group of shareowners. See “Participation in the Annual Meeting” below for additional information regarding attending our virtual Annual Meeting.</w:t>
      </w:r>
    </w:p>
    <w:p>
      <w:pPr>
        <w:spacing w:after="0" w:line="20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PARTICIPATION IN THE ANNUAL MEETING</w:t>
      </w:r>
    </w:p>
    <w:p>
      <w:pPr>
        <w:spacing w:after="0" w:line="141"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 xml:space="preserve">We will be hosting the Annual Meeting in a virtual-only format. Any shareowner as of the record date can listen to and participate in, and vote at, the Annual Meeting live via the Internet at </w:t>
      </w:r>
      <w:r>
        <w:rPr>
          <w:rFonts w:ascii="Arial" w:cs="Arial" w:eastAsia="Arial" w:hAnsi="Arial"/>
          <w:sz w:val="16"/>
          <w:szCs w:val="16"/>
          <w:b w:val="1"/>
          <w:bCs w:val="1"/>
          <w:color w:val="D7282F"/>
        </w:rPr>
        <w:t>www.virtualshareholdermeeting.com/HON2026</w:t>
      </w:r>
      <w:r>
        <w:rPr>
          <w:rFonts w:ascii="Arial" w:cs="Arial" w:eastAsia="Arial" w:hAnsi="Arial"/>
          <w:sz w:val="16"/>
          <w:szCs w:val="16"/>
          <w:color w:val="auto"/>
        </w:rPr>
        <w:t xml:space="preserve">, and a transcript of the meeting will be posted after the meeting on our Investor Relations website at </w:t>
      </w:r>
      <w:r>
        <w:rPr>
          <w:rFonts w:ascii="Arial" w:cs="Arial" w:eastAsia="Arial" w:hAnsi="Arial"/>
          <w:sz w:val="16"/>
          <w:szCs w:val="16"/>
          <w:b w:val="1"/>
          <w:bCs w:val="1"/>
          <w:color w:val="D7282F"/>
        </w:rPr>
        <w:t>investor.honeywell.com</w:t>
      </w:r>
      <w:r>
        <w:rPr>
          <w:rFonts w:ascii="Arial" w:cs="Arial" w:eastAsia="Arial" w:hAnsi="Arial"/>
          <w:sz w:val="16"/>
          <w:szCs w:val="16"/>
          <w:color w:val="auto"/>
        </w:rPr>
        <w:t xml:space="preserve">. After the Annual Meeting, we will spend up to 15 minutes answering shareowner questions that comply with our Annual Meeting rules of conduct. The questions and responses will be included in the meeting transcript. Shareowners may submit questions before the meeting through </w:t>
      </w:r>
      <w:r>
        <w:rPr>
          <w:rFonts w:ascii="Arial" w:cs="Arial" w:eastAsia="Arial" w:hAnsi="Arial"/>
          <w:sz w:val="16"/>
          <w:szCs w:val="16"/>
          <w:b w:val="1"/>
          <w:bCs w:val="1"/>
          <w:color w:val="D7282F"/>
        </w:rPr>
        <w:t>www.proxyvote.com</w:t>
      </w:r>
      <w:r>
        <w:rPr>
          <w:rFonts w:ascii="Arial" w:cs="Arial" w:eastAsia="Arial" w:hAnsi="Arial"/>
          <w:sz w:val="16"/>
          <w:szCs w:val="16"/>
          <w:color w:val="auto"/>
        </w:rPr>
        <w:t xml:space="preserve"> and during the meeting through the virtual Annual Meeting web portal. We will respond to appropriately submitted, but unanswered, questions in writing by posting the questions and answers on our Investor Relations website soon after the meeting.</w:t>
      </w:r>
    </w:p>
    <w:p>
      <w:pPr>
        <w:spacing w:after="0" w:line="68" w:lineRule="exact"/>
        <w:rPr>
          <w:sz w:val="20"/>
          <w:szCs w:val="20"/>
          <w:color w:val="auto"/>
        </w:rPr>
      </w:pPr>
    </w:p>
    <w:p>
      <w:pPr>
        <w:ind w:right="240"/>
        <w:spacing w:after="0" w:line="304" w:lineRule="auto"/>
        <w:rPr>
          <w:sz w:val="20"/>
          <w:szCs w:val="20"/>
          <w:color w:val="auto"/>
        </w:rPr>
      </w:pPr>
      <w:r>
        <w:rPr>
          <w:rFonts w:ascii="Arial" w:cs="Arial" w:eastAsia="Arial" w:hAnsi="Arial"/>
          <w:sz w:val="16"/>
          <w:szCs w:val="16"/>
          <w:color w:val="auto"/>
        </w:rPr>
        <w:t>The Annual Meeting webcast will begin promptly at 10:30 a.m. EDT. We encourage you to access the Annual Meeting portal prior to the start time. Online check-in will begin approximately 15 minutes prior to the start of the Annual Meeting on May 22, 2026.</w:t>
      </w:r>
    </w:p>
    <w:p>
      <w:pPr>
        <w:spacing w:after="0" w:line="33" w:lineRule="exact"/>
        <w:rPr>
          <w:sz w:val="20"/>
          <w:szCs w:val="20"/>
          <w:color w:val="auto"/>
        </w:rPr>
      </w:pPr>
    </w:p>
    <w:p>
      <w:pPr>
        <w:ind w:right="480"/>
        <w:spacing w:after="0" w:line="304" w:lineRule="auto"/>
        <w:rPr>
          <w:sz w:val="20"/>
          <w:szCs w:val="20"/>
          <w:color w:val="auto"/>
        </w:rPr>
      </w:pPr>
      <w:r>
        <w:rPr>
          <w:rFonts w:ascii="Arial" w:cs="Arial" w:eastAsia="Arial" w:hAnsi="Arial"/>
          <w:sz w:val="16"/>
          <w:szCs w:val="16"/>
          <w:color w:val="auto"/>
        </w:rPr>
        <w:t>Even if you plan on attending the Annual Meeting, we encourage you to vote your shares in advance using one of the methods described in this Proxy Statement to ensure that your vote will be represented at the Annual Meeting.</w:t>
      </w:r>
    </w:p>
    <w:p>
      <w:pPr>
        <w:spacing w:after="0" w:line="33"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b w:val="1"/>
          <w:bCs w:val="1"/>
          <w:color w:val="auto"/>
        </w:rPr>
        <w:t xml:space="preserve">Materials Needed to Participate in the Annual Meeting. </w:t>
      </w:r>
      <w:r>
        <w:rPr>
          <w:rFonts w:ascii="Arial" w:cs="Arial" w:eastAsia="Arial" w:hAnsi="Arial"/>
          <w:sz w:val="16"/>
          <w:szCs w:val="16"/>
          <w:color w:val="auto"/>
        </w:rPr>
        <w:t>You will need the 16-digit control number included on your Notice of Internet Availability, proxy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card, or voting instruction form (if you received a printed copy of the Proxy Materials) or included in the email to you (if you received your Proxy Materials by email) in order to access the meeting, vote your shares, and submit questions. If you do not have your control number, you will not be able to attend, vote your shares, or submit questions before or during the Annual Meeting. Please contact Honeywell Investor Relations at </w:t>
      </w:r>
      <w:r>
        <w:rPr>
          <w:rFonts w:ascii="Arial" w:cs="Arial" w:eastAsia="Arial" w:hAnsi="Arial"/>
          <w:sz w:val="16"/>
          <w:szCs w:val="16"/>
          <w:b w:val="1"/>
          <w:bCs w:val="1"/>
          <w:color w:val="D7282F"/>
        </w:rPr>
        <w:t>investorrelations@honeywell.com</w:t>
      </w:r>
      <w:r>
        <w:rPr>
          <w:rFonts w:ascii="Arial" w:cs="Arial" w:eastAsia="Arial" w:hAnsi="Arial"/>
          <w:sz w:val="16"/>
          <w:szCs w:val="16"/>
          <w:color w:val="auto"/>
        </w:rPr>
        <w:t xml:space="preserve"> for assistance if you are unable to locate your control number.</w:t>
      </w:r>
    </w:p>
    <w:p>
      <w:pPr>
        <w:spacing w:after="0" w:line="64"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 xml:space="preserve">If your shares are held in a stock brokerage account by a bank, broker, trustee, or other nominee (that is, in street name), and your voting instruction form or Notice of Internet Availability indicates that you may vote those shares through </w:t>
      </w:r>
      <w:r>
        <w:rPr>
          <w:rFonts w:ascii="Arial" w:cs="Arial" w:eastAsia="Arial" w:hAnsi="Arial"/>
          <w:sz w:val="16"/>
          <w:szCs w:val="16"/>
          <w:b w:val="1"/>
          <w:bCs w:val="1"/>
          <w:color w:val="D7282F"/>
        </w:rPr>
        <w:t>www.proxyvote.com</w:t>
      </w:r>
      <w:r>
        <w:rPr>
          <w:rFonts w:ascii="Arial" w:cs="Arial" w:eastAsia="Arial" w:hAnsi="Arial"/>
          <w:sz w:val="16"/>
          <w:szCs w:val="16"/>
          <w:color w:val="auto"/>
        </w:rPr>
        <w:t>, then you may access, participate in, or vote at the Annual Meeting using the 16-digit control number indicated on that voting instruction form or Notice of Internet Availability. Otherwise, shareowners who hold their shares in street name should contact their bank, broker, trustee, or other nominee (preferably at least five days before the Annual Meeting) and obtain a “legal proxy” in order to be able to attend, participate in, or vote at the Annual Meeting.</w:t>
      </w:r>
    </w:p>
    <w:p>
      <w:pPr>
        <w:spacing w:after="0" w:line="64"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b w:val="1"/>
          <w:bCs w:val="1"/>
          <w:color w:val="auto"/>
        </w:rPr>
        <w:t xml:space="preserve">Technical Assistance. </w:t>
      </w:r>
      <w:r>
        <w:rPr>
          <w:rFonts w:ascii="Arial" w:cs="Arial" w:eastAsia="Arial" w:hAnsi="Arial"/>
          <w:sz w:val="16"/>
          <w:szCs w:val="16"/>
          <w:color w:val="auto"/>
        </w:rPr>
        <w:t>There will be technicians ready to assist you with any technical difficulties you may have when trying to access the meeting or</w:t>
      </w:r>
      <w:r>
        <w:rPr>
          <w:rFonts w:ascii="Arial" w:cs="Arial" w:eastAsia="Arial" w:hAnsi="Arial"/>
          <w:sz w:val="16"/>
          <w:szCs w:val="16"/>
          <w:b w:val="1"/>
          <w:bCs w:val="1"/>
          <w:color w:val="auto"/>
        </w:rPr>
        <w:t xml:space="preserve"> </w:t>
      </w:r>
      <w:r>
        <w:rPr>
          <w:rFonts w:ascii="Arial" w:cs="Arial" w:eastAsia="Arial" w:hAnsi="Arial"/>
          <w:sz w:val="16"/>
          <w:szCs w:val="16"/>
          <w:color w:val="auto"/>
        </w:rPr>
        <w:t>submitting questions during the meeting. If you encounter any difficulties accessing the virtual Annual Meeting during the check-in or meeting time, please call the technical support number which will be posted on the virtual Annual Meeting log-in page.</w:t>
      </w:r>
    </w:p>
    <w:p>
      <w:pPr>
        <w:spacing w:after="0" w:line="105" w:lineRule="exact"/>
        <w:rPr>
          <w:sz w:val="20"/>
          <w:szCs w:val="20"/>
          <w:color w:val="auto"/>
        </w:rPr>
      </w:pPr>
    </w:p>
    <w:p>
      <w:pPr>
        <w:ind w:left="20"/>
        <w:spacing w:after="0"/>
        <w:tabs>
          <w:tab w:leader="none" w:pos="1860" w:val="left"/>
        </w:tabs>
        <w:rPr>
          <w:sz w:val="20"/>
          <w:szCs w:val="20"/>
          <w:color w:val="auto"/>
        </w:rPr>
      </w:pPr>
      <w:r>
        <w:rPr>
          <w:rFonts w:ascii="Arial" w:cs="Arial" w:eastAsia="Arial" w:hAnsi="Arial"/>
          <w:sz w:val="18"/>
          <w:szCs w:val="18"/>
          <w:b w:val="1"/>
          <w:bCs w:val="1"/>
          <w:color w:val="auto"/>
        </w:rPr>
        <w:t xml:space="preserve">120  </w:t>
      </w:r>
      <w:r>
        <w:rPr>
          <w:sz w:val="1"/>
          <w:szCs w:val="1"/>
          <w:color w:val="auto"/>
        </w:rPr>
        <w:drawing>
          <wp:inline distT="0" distB="0" distL="0" distR="0">
            <wp:extent cx="548640" cy="102870"/>
            <wp:effectExtent l="0" t="0" r="0" b="0"/>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2026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157720" cy="4254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6" w:name="page137"/>
    <w:bookmarkEnd w:id="136"/>
    <w:p>
      <w:pPr>
        <w:jc w:val="right"/>
        <w:spacing w:after="0"/>
        <w:rPr>
          <w:sz w:val="20"/>
          <w:szCs w:val="20"/>
          <w:color w:val="auto"/>
        </w:rPr>
      </w:pPr>
      <w:r>
        <w:rPr>
          <w:rFonts w:ascii="Arial" w:cs="Arial" w:eastAsia="Arial" w:hAnsi="Arial"/>
          <w:sz w:val="13"/>
          <w:szCs w:val="13"/>
          <w:b w:val="1"/>
          <w:bCs w:val="1"/>
          <w:color w:val="6D6E71"/>
        </w:rPr>
        <w:t>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NOTICE AND ACCESS</w:t>
      </w:r>
    </w:p>
    <w:p>
      <w:pPr>
        <w:spacing w:after="0" w:line="141"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The SEC’s “Notice and Access” rule allows companies to deliver a Notice of Internet Availability of Proxy Materials (Notice of Internet Availability) to shareowners in lieu of a paper copy of the Proxy Statement and related materials and the Company’s Annual Report to Shareowners (Proxy Materials). The Notice of Internet Availability provides instructions as to how shareowners can access the Proxy Materials online, contains a listing of matters to be considered at the meeting, and sets forth instructions as to how shares can be voted. Instructions for requesting a paper copy of the Proxy Materials are set forth in the Notice of Internet Availability.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70485</wp:posOffset>
            </wp:positionV>
            <wp:extent cx="34290" cy="28257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34290" cy="282575"/>
                    </a:xfrm>
                    <a:prstGeom prst="rect">
                      <a:avLst/>
                    </a:prstGeom>
                    <a:noFill/>
                  </pic:spPr>
                </pic:pic>
              </a:graphicData>
            </a:graphic>
          </wp:anchor>
        </w:drawing>
      </w:r>
    </w:p>
    <w:p>
      <w:pPr>
        <w:spacing w:after="0" w:line="104" w:lineRule="exact"/>
        <w:rPr>
          <w:sz w:val="20"/>
          <w:szCs w:val="20"/>
          <w:color w:val="auto"/>
        </w:rPr>
      </w:pPr>
    </w:p>
    <w:p>
      <w:pPr>
        <w:ind w:left="140" w:right="1080"/>
        <w:spacing w:after="0" w:line="304" w:lineRule="auto"/>
        <w:rPr>
          <w:sz w:val="20"/>
          <w:szCs w:val="20"/>
          <w:color w:val="auto"/>
        </w:rPr>
      </w:pPr>
      <w:r>
        <w:rPr>
          <w:rFonts w:ascii="Arial" w:cs="Arial" w:eastAsia="Arial" w:hAnsi="Arial"/>
          <w:sz w:val="16"/>
          <w:szCs w:val="16"/>
          <w:b w:val="1"/>
          <w:bCs w:val="1"/>
          <w:color w:val="auto"/>
        </w:rPr>
        <w:t xml:space="preserve">Proxy Materials Are Available at </w:t>
      </w:r>
      <w:r>
        <w:rPr>
          <w:rFonts w:ascii="Arial" w:cs="Arial" w:eastAsia="Arial" w:hAnsi="Arial"/>
          <w:sz w:val="16"/>
          <w:szCs w:val="16"/>
          <w:b w:val="1"/>
          <w:bCs w:val="1"/>
          <w:color w:val="D7282F"/>
        </w:rPr>
        <w:t>www.proxyvote.com</w:t>
      </w:r>
      <w:r>
        <w:rPr>
          <w:rFonts w:ascii="Arial" w:cs="Arial" w:eastAsia="Arial" w:hAnsi="Arial"/>
          <w:sz w:val="16"/>
          <w:szCs w:val="16"/>
          <w:b w:val="1"/>
          <w:bCs w:val="1"/>
          <w:color w:val="auto"/>
        </w:rPr>
        <w:t xml:space="preserve">. </w:t>
      </w:r>
      <w:r>
        <w:rPr>
          <w:rFonts w:ascii="Arial" w:cs="Arial" w:eastAsia="Arial" w:hAnsi="Arial"/>
          <w:sz w:val="16"/>
          <w:szCs w:val="16"/>
          <w:color w:val="auto"/>
        </w:rPr>
        <w:t>You will need to enter the 16-digit control number located on the Notice of Internet</w:t>
      </w:r>
      <w:r>
        <w:rPr>
          <w:rFonts w:ascii="Arial" w:cs="Arial" w:eastAsia="Arial" w:hAnsi="Arial"/>
          <w:sz w:val="16"/>
          <w:szCs w:val="16"/>
          <w:b w:val="1"/>
          <w:bCs w:val="1"/>
          <w:color w:val="auto"/>
        </w:rPr>
        <w:t xml:space="preserve"> </w:t>
      </w:r>
      <w:r>
        <w:rPr>
          <w:rFonts w:ascii="Arial" w:cs="Arial" w:eastAsia="Arial" w:hAnsi="Arial"/>
          <w:sz w:val="16"/>
          <w:szCs w:val="16"/>
          <w:color w:val="auto"/>
        </w:rPr>
        <w:t>Availability or proxy card.</w:t>
      </w:r>
    </w:p>
    <w:p>
      <w:pPr>
        <w:spacing w:after="0" w:line="103"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STOCK OWNERSHIP INFORMATION</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FIVE PERCENT OWNERS OF COMPANY STOCK</w:t>
      </w:r>
    </w:p>
    <w:p>
      <w:pPr>
        <w:spacing w:after="0" w:line="14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following table lists information about those holders known to Honeywell to be the beneficial owners of 5% or more of our outstanding shares of common stock as of December 31, 2025:</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1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Arial" w:cs="Arial" w:eastAsia="Arial" w:hAnsi="Arial"/>
                <w:sz w:val="14"/>
                <w:szCs w:val="14"/>
                <w:b w:val="1"/>
                <w:bCs w:val="1"/>
                <w:color w:val="auto"/>
              </w:rPr>
              <w:t>Percent of Common</w:t>
            </w:r>
          </w:p>
        </w:tc>
        <w:tc>
          <w:tcPr>
            <w:tcW w:w="0" w:type="dxa"/>
            <w:vAlign w:val="bottom"/>
          </w:tcPr>
          <w:p>
            <w:pPr>
              <w:spacing w:after="0"/>
              <w:rPr>
                <w:sz w:val="1"/>
                <w:szCs w:val="1"/>
                <w:color w:val="auto"/>
              </w:rPr>
            </w:pPr>
          </w:p>
        </w:tc>
      </w:tr>
      <w:tr>
        <w:trPr>
          <w:trHeight w:val="205"/>
        </w:trPr>
        <w:tc>
          <w:tcPr>
            <w:tcW w:w="51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Name and Complete Mailing Address</w:t>
            </w:r>
          </w:p>
        </w:tc>
        <w:tc>
          <w:tcPr>
            <w:tcW w:w="4260" w:type="dxa"/>
            <w:vAlign w:val="bottom"/>
            <w:tcBorders>
              <w:bottom w:val="single" w:sz="8" w:color="D7282F"/>
            </w:tcBorders>
          </w:tcPr>
          <w:p>
            <w:pPr>
              <w:jc w:val="right"/>
              <w:ind w:right="398"/>
              <w:spacing w:after="0"/>
              <w:rPr>
                <w:sz w:val="20"/>
                <w:szCs w:val="20"/>
                <w:color w:val="auto"/>
              </w:rPr>
            </w:pPr>
            <w:r>
              <w:rPr>
                <w:rFonts w:ascii="Arial" w:cs="Arial" w:eastAsia="Arial" w:hAnsi="Arial"/>
                <w:sz w:val="14"/>
                <w:szCs w:val="14"/>
                <w:b w:val="1"/>
                <w:bCs w:val="1"/>
                <w:color w:val="auto"/>
              </w:rPr>
              <w:t>Number of Shares</w:t>
            </w:r>
          </w:p>
        </w:tc>
        <w:tc>
          <w:tcPr>
            <w:tcW w:w="18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Stock Outstanding</w:t>
            </w:r>
            <w:r>
              <w:rPr>
                <w:rFonts w:ascii="Arial" w:cs="Arial" w:eastAsia="Arial" w:hAnsi="Arial"/>
                <w:sz w:val="9"/>
                <w:szCs w:val="9"/>
                <w:b w:val="1"/>
                <w:bCs w:val="1"/>
                <w:color w:val="auto"/>
              </w:rPr>
              <w:t>(3)</w:t>
            </w:r>
          </w:p>
        </w:tc>
        <w:tc>
          <w:tcPr>
            <w:tcW w:w="0" w:type="dxa"/>
            <w:vAlign w:val="bottom"/>
          </w:tcPr>
          <w:p>
            <w:pPr>
              <w:spacing w:after="0"/>
              <w:rPr>
                <w:sz w:val="1"/>
                <w:szCs w:val="1"/>
                <w:color w:val="auto"/>
              </w:rPr>
            </w:pPr>
          </w:p>
        </w:tc>
      </w:tr>
      <w:tr>
        <w:trPr>
          <w:trHeight w:val="123"/>
        </w:trPr>
        <w:tc>
          <w:tcPr>
            <w:tcW w:w="5120" w:type="dxa"/>
            <w:vAlign w:val="bottom"/>
            <w:vMerge w:val="restart"/>
          </w:tcPr>
          <w:p>
            <w:pPr>
              <w:ind w:left="20"/>
              <w:spacing w:after="0"/>
              <w:rPr>
                <w:sz w:val="20"/>
                <w:szCs w:val="20"/>
                <w:color w:val="auto"/>
              </w:rPr>
            </w:pPr>
            <w:r>
              <w:rPr>
                <w:rFonts w:ascii="Arial" w:cs="Arial" w:eastAsia="Arial" w:hAnsi="Arial"/>
                <w:sz w:val="14"/>
                <w:szCs w:val="14"/>
                <w:color w:val="auto"/>
              </w:rPr>
              <w:t>The Vanguard Group</w:t>
            </w:r>
          </w:p>
        </w:tc>
        <w:tc>
          <w:tcPr>
            <w:tcW w:w="4260" w:type="dxa"/>
            <w:vAlign w:val="bottom"/>
          </w:tcPr>
          <w:p>
            <w:pPr>
              <w:jc w:val="right"/>
              <w:ind w:right="538"/>
              <w:spacing w:after="0"/>
              <w:rPr>
                <w:sz w:val="20"/>
                <w:szCs w:val="20"/>
                <w:color w:val="auto"/>
              </w:rPr>
            </w:pPr>
            <w:r>
              <w:rPr>
                <w:rFonts w:ascii="Arial" w:cs="Arial" w:eastAsia="Arial" w:hAnsi="Arial"/>
                <w:sz w:val="9"/>
                <w:szCs w:val="9"/>
                <w:color w:val="auto"/>
              </w:rPr>
              <w:t>(1)</w:t>
            </w:r>
          </w:p>
        </w:tc>
        <w:tc>
          <w:tcPr>
            <w:tcW w:w="1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5120" w:type="dxa"/>
            <w:vAlign w:val="bottom"/>
            <w:vMerge w:val="continue"/>
          </w:tcPr>
          <w:p>
            <w:pPr>
              <w:spacing w:after="0"/>
              <w:rPr>
                <w:sz w:val="6"/>
                <w:szCs w:val="6"/>
                <w:color w:val="auto"/>
              </w:rPr>
            </w:pPr>
          </w:p>
        </w:tc>
        <w:tc>
          <w:tcPr>
            <w:tcW w:w="4260" w:type="dxa"/>
            <w:vAlign w:val="bottom"/>
            <w:vMerge w:val="restart"/>
          </w:tcPr>
          <w:p>
            <w:pPr>
              <w:jc w:val="right"/>
              <w:ind w:right="738"/>
              <w:spacing w:after="0"/>
              <w:rPr>
                <w:sz w:val="20"/>
                <w:szCs w:val="20"/>
                <w:color w:val="auto"/>
              </w:rPr>
            </w:pPr>
            <w:r>
              <w:rPr>
                <w:rFonts w:ascii="Arial" w:cs="Arial" w:eastAsia="Arial" w:hAnsi="Arial"/>
                <w:sz w:val="14"/>
                <w:szCs w:val="14"/>
                <w:color w:val="auto"/>
              </w:rPr>
              <w:t>61,121,019</w:t>
            </w:r>
          </w:p>
        </w:tc>
        <w:tc>
          <w:tcPr>
            <w:tcW w:w="1840" w:type="dxa"/>
            <w:vAlign w:val="bottom"/>
            <w:vMerge w:val="restart"/>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23"/>
        </w:trPr>
        <w:tc>
          <w:tcPr>
            <w:tcW w:w="5120" w:type="dxa"/>
            <w:vAlign w:val="bottom"/>
            <w:vMerge w:val="restart"/>
          </w:tcPr>
          <w:p>
            <w:pPr>
              <w:ind w:left="20"/>
              <w:spacing w:after="0"/>
              <w:rPr>
                <w:sz w:val="20"/>
                <w:szCs w:val="20"/>
                <w:color w:val="auto"/>
              </w:rPr>
            </w:pPr>
            <w:r>
              <w:rPr>
                <w:rFonts w:ascii="Arial" w:cs="Arial" w:eastAsia="Arial" w:hAnsi="Arial"/>
                <w:sz w:val="14"/>
                <w:szCs w:val="14"/>
                <w:color w:val="auto"/>
              </w:rPr>
              <w:t>100 Vanguard Blvd., Malvern, PA 19355</w:t>
            </w:r>
          </w:p>
        </w:tc>
        <w:tc>
          <w:tcPr>
            <w:tcW w:w="4260" w:type="dxa"/>
            <w:vAlign w:val="bottom"/>
            <w:vMerge w:val="continue"/>
          </w:tcPr>
          <w:p>
            <w:pPr>
              <w:spacing w:after="0"/>
              <w:rPr>
                <w:sz w:val="10"/>
                <w:szCs w:val="10"/>
                <w:color w:val="auto"/>
              </w:rPr>
            </w:pPr>
          </w:p>
        </w:tc>
        <w:tc>
          <w:tcPr>
            <w:tcW w:w="1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5120" w:type="dxa"/>
            <w:vAlign w:val="bottom"/>
            <w:vMerge w:val="continue"/>
          </w:tcPr>
          <w:p>
            <w:pPr>
              <w:spacing w:after="0"/>
              <w:rPr>
                <w:sz w:val="5"/>
                <w:szCs w:val="5"/>
                <w:color w:val="auto"/>
              </w:rPr>
            </w:pPr>
          </w:p>
        </w:tc>
        <w:tc>
          <w:tcPr>
            <w:tcW w:w="4260" w:type="dxa"/>
            <w:vAlign w:val="bottom"/>
          </w:tcPr>
          <w:p>
            <w:pPr>
              <w:spacing w:after="0"/>
              <w:rPr>
                <w:sz w:val="5"/>
                <w:szCs w:val="5"/>
                <w:color w:val="auto"/>
              </w:rPr>
            </w:pPr>
          </w:p>
        </w:tc>
        <w:tc>
          <w:tcPr>
            <w:tcW w:w="1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5120" w:type="dxa"/>
            <w:vAlign w:val="bottom"/>
            <w:tcBorders>
              <w:bottom w:val="single" w:sz="8" w:color="939598"/>
            </w:tcBorders>
          </w:tcPr>
          <w:p>
            <w:pPr>
              <w:spacing w:after="0"/>
              <w:rPr>
                <w:sz w:val="5"/>
                <w:szCs w:val="5"/>
                <w:color w:val="auto"/>
              </w:rPr>
            </w:pPr>
          </w:p>
        </w:tc>
        <w:tc>
          <w:tcPr>
            <w:tcW w:w="4260" w:type="dxa"/>
            <w:vAlign w:val="bottom"/>
            <w:tcBorders>
              <w:bottom w:val="single" w:sz="8" w:color="939598"/>
            </w:tcBorders>
          </w:tcPr>
          <w:p>
            <w:pPr>
              <w:spacing w:after="0"/>
              <w:rPr>
                <w:sz w:val="5"/>
                <w:szCs w:val="5"/>
                <w:color w:val="auto"/>
              </w:rPr>
            </w:pPr>
          </w:p>
        </w:tc>
        <w:tc>
          <w:tcPr>
            <w:tcW w:w="1840" w:type="dxa"/>
            <w:vAlign w:val="bottom"/>
            <w:tcBorders>
              <w:bottom w:val="single" w:sz="8" w:color="939598"/>
            </w:tcBorders>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5120" w:type="dxa"/>
            <w:vAlign w:val="bottom"/>
            <w:vMerge w:val="restart"/>
          </w:tcPr>
          <w:p>
            <w:pPr>
              <w:ind w:left="20"/>
              <w:spacing w:after="0" w:line="147" w:lineRule="exact"/>
              <w:rPr>
                <w:sz w:val="20"/>
                <w:szCs w:val="20"/>
                <w:color w:val="auto"/>
              </w:rPr>
            </w:pPr>
            <w:r>
              <w:rPr>
                <w:rFonts w:ascii="Arial" w:cs="Arial" w:eastAsia="Arial" w:hAnsi="Arial"/>
                <w:sz w:val="14"/>
                <w:szCs w:val="14"/>
                <w:color w:val="auto"/>
              </w:rPr>
              <w:t>BlackRock, Inc.</w:t>
            </w:r>
          </w:p>
        </w:tc>
        <w:tc>
          <w:tcPr>
            <w:tcW w:w="4260" w:type="dxa"/>
            <w:vAlign w:val="bottom"/>
          </w:tcPr>
          <w:p>
            <w:pPr>
              <w:jc w:val="right"/>
              <w:ind w:right="538"/>
              <w:spacing w:after="0"/>
              <w:rPr>
                <w:sz w:val="20"/>
                <w:szCs w:val="20"/>
                <w:color w:val="auto"/>
              </w:rPr>
            </w:pPr>
            <w:r>
              <w:rPr>
                <w:rFonts w:ascii="Arial" w:cs="Arial" w:eastAsia="Arial" w:hAnsi="Arial"/>
                <w:sz w:val="9"/>
                <w:szCs w:val="9"/>
                <w:color w:val="auto"/>
              </w:rPr>
              <w:t>(2)</w:t>
            </w:r>
          </w:p>
        </w:tc>
        <w:tc>
          <w:tcPr>
            <w:tcW w:w="1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5120" w:type="dxa"/>
            <w:vAlign w:val="bottom"/>
            <w:vMerge w:val="continue"/>
          </w:tcPr>
          <w:p>
            <w:pPr>
              <w:spacing w:after="0"/>
              <w:rPr>
                <w:sz w:val="2"/>
                <w:szCs w:val="2"/>
                <w:color w:val="auto"/>
              </w:rPr>
            </w:pPr>
          </w:p>
        </w:tc>
        <w:tc>
          <w:tcPr>
            <w:tcW w:w="4260" w:type="dxa"/>
            <w:vAlign w:val="bottom"/>
            <w:vMerge w:val="restart"/>
          </w:tcPr>
          <w:p>
            <w:pPr>
              <w:jc w:val="right"/>
              <w:ind w:right="738"/>
              <w:spacing w:after="0"/>
              <w:rPr>
                <w:sz w:val="20"/>
                <w:szCs w:val="20"/>
                <w:color w:val="auto"/>
              </w:rPr>
            </w:pPr>
            <w:r>
              <w:rPr>
                <w:rFonts w:ascii="Arial" w:cs="Arial" w:eastAsia="Arial" w:hAnsi="Arial"/>
                <w:sz w:val="14"/>
                <w:szCs w:val="14"/>
                <w:color w:val="auto"/>
              </w:rPr>
              <w:t>42,313,312</w:t>
            </w:r>
          </w:p>
        </w:tc>
        <w:tc>
          <w:tcPr>
            <w:tcW w:w="1840" w:type="dxa"/>
            <w:vAlign w:val="bottom"/>
            <w:vMerge w:val="restart"/>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line="20" w:lineRule="exact"/>
              <w:rPr>
                <w:sz w:val="1"/>
                <w:szCs w:val="1"/>
                <w:color w:val="auto"/>
              </w:rPr>
            </w:pPr>
          </w:p>
        </w:tc>
      </w:tr>
      <w:tr>
        <w:trPr>
          <w:trHeight w:val="190"/>
        </w:trPr>
        <w:tc>
          <w:tcPr>
            <w:tcW w:w="5120" w:type="dxa"/>
            <w:vAlign w:val="bottom"/>
          </w:tcPr>
          <w:p>
            <w:pPr>
              <w:ind w:left="20"/>
              <w:spacing w:after="0"/>
              <w:rPr>
                <w:sz w:val="20"/>
                <w:szCs w:val="20"/>
                <w:color w:val="auto"/>
              </w:rPr>
            </w:pPr>
            <w:r>
              <w:rPr>
                <w:rFonts w:ascii="Arial" w:cs="Arial" w:eastAsia="Arial" w:hAnsi="Arial"/>
                <w:sz w:val="14"/>
                <w:szCs w:val="14"/>
                <w:color w:val="auto"/>
              </w:rPr>
              <w:t>50 Hudson Yards, New York, NY 10001</w:t>
            </w:r>
          </w:p>
        </w:tc>
        <w:tc>
          <w:tcPr>
            <w:tcW w:w="4260" w:type="dxa"/>
            <w:vAlign w:val="bottom"/>
            <w:vMerge w:val="continue"/>
          </w:tcPr>
          <w:p>
            <w:pPr>
              <w:spacing w:after="0"/>
              <w:rPr>
                <w:sz w:val="16"/>
                <w:szCs w:val="16"/>
                <w:color w:val="auto"/>
              </w:rPr>
            </w:pPr>
          </w:p>
        </w:tc>
        <w:tc>
          <w:tcPr>
            <w:tcW w:w="1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5120" w:type="dxa"/>
            <w:vAlign w:val="bottom"/>
            <w:tcBorders>
              <w:bottom w:val="single" w:sz="8" w:color="D7282F"/>
            </w:tcBorders>
          </w:tcPr>
          <w:p>
            <w:pPr>
              <w:spacing w:after="0"/>
              <w:rPr>
                <w:sz w:val="8"/>
                <w:szCs w:val="8"/>
                <w:color w:val="auto"/>
              </w:rPr>
            </w:pPr>
          </w:p>
        </w:tc>
        <w:tc>
          <w:tcPr>
            <w:tcW w:w="4260" w:type="dxa"/>
            <w:vAlign w:val="bottom"/>
            <w:tcBorders>
              <w:bottom w:val="single" w:sz="8" w:color="D7282F"/>
            </w:tcBorders>
          </w:tcPr>
          <w:p>
            <w:pPr>
              <w:spacing w:after="0"/>
              <w:rPr>
                <w:sz w:val="8"/>
                <w:szCs w:val="8"/>
                <w:color w:val="auto"/>
              </w:rPr>
            </w:pPr>
          </w:p>
        </w:tc>
        <w:tc>
          <w:tcPr>
            <w:tcW w:w="1840" w:type="dxa"/>
            <w:vAlign w:val="bottom"/>
            <w:tcBorders>
              <w:bottom w:val="single" w:sz="8" w:color="D7282F"/>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200" w:right="120" w:hanging="192"/>
        <w:spacing w:after="0" w:line="224" w:lineRule="auto"/>
        <w:tabs>
          <w:tab w:leader="none" w:pos="200" w:val="left"/>
        </w:tabs>
        <w:numPr>
          <w:ilvl w:val="0"/>
          <w:numId w:val="218"/>
        </w:numPr>
        <w:rPr>
          <w:rFonts w:ascii="Arial" w:cs="Arial" w:eastAsia="Arial" w:hAnsi="Arial"/>
          <w:sz w:val="16"/>
          <w:szCs w:val="16"/>
          <w:color w:val="auto"/>
          <w:vertAlign w:val="superscript"/>
        </w:rPr>
      </w:pPr>
      <w:r>
        <w:rPr>
          <w:rFonts w:ascii="Arial" w:cs="Arial" w:eastAsia="Arial" w:hAnsi="Arial"/>
          <w:sz w:val="13"/>
          <w:szCs w:val="13"/>
          <w:color w:val="auto"/>
        </w:rPr>
        <w:t>The information is based on a Schedule 13G/A filed by The Vanguard Group (“Vanguard”) with the SEC on February 13, 2024. Vanguard and certain related entities reported shared voting power in respect of 761,343 shares, sole dispositive power in respect of 58,475,718 shares, and shared dispositive power in respect of 2,645,301 shares. On a Schedule 13G/A filed on March 27, 2026, Vanguard subsequently reported that, due to an internal realignment on January 12, 2026, it no longer has, or is deemed to have, beneficial ownership over Honeywell securities beneficially owned by various subsidiaries and/or business divisions. Vanguard also reported that certain subsidiaries or business divisions that formerly had, or were deemed to have, beneficial ownership with Vanguard, will report beneficial ownership separately (on a disaggregated basis).</w:t>
      </w:r>
    </w:p>
    <w:p>
      <w:pPr>
        <w:spacing w:after="0" w:line="53" w:lineRule="exact"/>
        <w:rPr>
          <w:rFonts w:ascii="Arial" w:cs="Arial" w:eastAsia="Arial" w:hAnsi="Arial"/>
          <w:sz w:val="16"/>
          <w:szCs w:val="16"/>
          <w:color w:val="auto"/>
          <w:vertAlign w:val="superscript"/>
        </w:rPr>
      </w:pPr>
    </w:p>
    <w:p>
      <w:pPr>
        <w:ind w:left="200" w:right="460" w:hanging="192"/>
        <w:spacing w:after="0" w:line="226" w:lineRule="auto"/>
        <w:tabs>
          <w:tab w:leader="none" w:pos="200" w:val="left"/>
        </w:tabs>
        <w:numPr>
          <w:ilvl w:val="0"/>
          <w:numId w:val="218"/>
        </w:numPr>
        <w:rPr>
          <w:rFonts w:ascii="Arial" w:cs="Arial" w:eastAsia="Arial" w:hAnsi="Arial"/>
          <w:sz w:val="16"/>
          <w:szCs w:val="16"/>
          <w:color w:val="auto"/>
          <w:vertAlign w:val="superscript"/>
        </w:rPr>
      </w:pPr>
      <w:r>
        <w:rPr>
          <w:rFonts w:ascii="Arial" w:cs="Arial" w:eastAsia="Arial" w:hAnsi="Arial"/>
          <w:sz w:val="13"/>
          <w:szCs w:val="13"/>
          <w:color w:val="auto"/>
        </w:rPr>
        <w:t>The information is based on a Schedule 13G/A filed by BlackRock, Inc. with the SEC on January 29, 2024. BlackRock, Inc. and certain related entities reported sole voting power in respect of 38,935,560 shares and sole dispositive power in respect of 42,313,312 shares.</w:t>
      </w:r>
    </w:p>
    <w:p>
      <w:pPr>
        <w:ind w:left="200" w:hanging="192"/>
        <w:spacing w:after="0" w:line="217" w:lineRule="auto"/>
        <w:tabs>
          <w:tab w:leader="none" w:pos="200" w:val="left"/>
        </w:tabs>
        <w:numPr>
          <w:ilvl w:val="0"/>
          <w:numId w:val="218"/>
        </w:numPr>
        <w:rPr>
          <w:rFonts w:ascii="Arial" w:cs="Arial" w:eastAsia="Arial" w:hAnsi="Arial"/>
          <w:sz w:val="22"/>
          <w:szCs w:val="22"/>
          <w:color w:val="auto"/>
          <w:vertAlign w:val="superscript"/>
        </w:rPr>
      </w:pPr>
      <w:r>
        <w:rPr>
          <w:rFonts w:ascii="Arial" w:cs="Arial" w:eastAsia="Arial" w:hAnsi="Arial"/>
          <w:sz w:val="11"/>
          <w:szCs w:val="11"/>
          <w:color w:val="auto"/>
        </w:rPr>
        <w:t>Based on 633,653,119 shares of common stock outstanding on March 28, 2026.</w:t>
      </w:r>
    </w:p>
    <w:p>
      <w:pPr>
        <w:spacing w:after="0" w:line="22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STOCK OWNERSHIP OF DIRECTORS AND EXECUTIVE OFFICERS</w:t>
      </w:r>
    </w:p>
    <w:p>
      <w:pPr>
        <w:spacing w:after="0" w:line="128"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The following table lists information as of March 27, 2026, about the beneficial ownership of common stock by each director or director nominee, by each executive officer named in the Summary Compensation Table, and by all directors and executive officers of Honeywell as a group. Beneficial ownership is determined according to the rules of the SEC, and generally means that a person has beneficial ownership of a security if he or she possesses sole or shared voting or investment power of that security, including options that are currently exercisable or exercisable within 60 days of March 27, 2026, and RSUs that will vest within 60 days of March 27, 2026. Except as indicated by the footnotes below, we believe, based on the information furnished to us, that the persons named in the table below have sole voting and investment power with respect to all shares of common stock shown that they beneficially own, subject to community property laws where applicable. The information does not necessarily indicate beneficial ownership for any other purpose.</w:t>
      </w:r>
    </w:p>
    <w:p>
      <w:pPr>
        <w:spacing w:after="0" w:line="66"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Shares of our common stock that are subject to options currently exercisable or exercisable within 60 days of March 27, 2026, and RSUs that will vest within 60 days of March 27, 2026, are deemed to be outstanding for computing the percentage ownership of the person holding these options or RSUs and the percentage ownership of any group in which the holder is a member, but are not deemed outstanding for computing the percentage of any other person.</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260" w:type="dxa"/>
            <w:vAlign w:val="bottom"/>
          </w:tcPr>
          <w:p>
            <w:pPr>
              <w:ind w:left="6840"/>
              <w:spacing w:after="0"/>
              <w:rPr>
                <w:sz w:val="20"/>
                <w:szCs w:val="20"/>
                <w:color w:val="auto"/>
              </w:rPr>
            </w:pPr>
            <w:r>
              <w:rPr>
                <w:rFonts w:ascii="Arial" w:cs="Arial" w:eastAsia="Arial" w:hAnsi="Arial"/>
                <w:sz w:val="13"/>
                <w:szCs w:val="13"/>
                <w:b w:val="1"/>
                <w:bCs w:val="1"/>
                <w:color w:val="6D6E71"/>
              </w:rPr>
              <w:t>2026 NOTICE AND PROXY STATEMENT   |</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121</w:t>
            </w:r>
          </w:p>
        </w:tc>
      </w:tr>
      <w:tr>
        <w:trPr>
          <w:trHeight w:val="360"/>
        </w:trPr>
        <w:tc>
          <w:tcPr>
            <w:tcW w:w="10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-368300</wp:posOffset>
            </wp:positionV>
            <wp:extent cx="548640" cy="10287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spacing w:after="0"/>
        <w:rPr>
          <w:sz w:val="20"/>
          <w:szCs w:val="20"/>
          <w:color w:val="auto"/>
        </w:rPr>
      </w:pPr>
      <w:r>
        <w:rPr>
          <w:rFonts w:ascii="Arial" w:cs="Arial" w:eastAsia="Arial" w:hAnsi="Arial"/>
          <w:sz w:val="13"/>
          <w:szCs w:val="13"/>
          <w:b w:val="1"/>
          <w:bCs w:val="1"/>
          <w:color w:val="6D6E71"/>
        </w:rPr>
        <w:t>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60" w:type="dxa"/>
            <w:vAlign w:val="bottom"/>
          </w:tcPr>
          <w:p>
            <w:pPr>
              <w:spacing w:after="0"/>
              <w:rPr>
                <w:sz w:val="15"/>
                <w:szCs w:val="15"/>
                <w:color w:val="auto"/>
              </w:rPr>
            </w:pPr>
          </w:p>
        </w:tc>
        <w:tc>
          <w:tcPr>
            <w:tcW w:w="4060" w:type="dxa"/>
            <w:vAlign w:val="bottom"/>
            <w:gridSpan w:val="3"/>
          </w:tcPr>
          <w:p>
            <w:pPr>
              <w:jc w:val="right"/>
              <w:ind w:right="688"/>
              <w:spacing w:after="0"/>
              <w:rPr>
                <w:sz w:val="20"/>
                <w:szCs w:val="20"/>
                <w:color w:val="auto"/>
              </w:rPr>
            </w:pPr>
            <w:r>
              <w:rPr>
                <w:rFonts w:ascii="Arial" w:cs="Arial" w:eastAsia="Arial" w:hAnsi="Arial"/>
                <w:sz w:val="14"/>
                <w:szCs w:val="14"/>
                <w:b w:val="1"/>
                <w:bCs w:val="1"/>
                <w:color w:val="auto"/>
              </w:rPr>
              <w:t>Components of Beneficial Ownership</w:t>
            </w: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660" w:type="dxa"/>
            <w:vAlign w:val="bottom"/>
          </w:tcPr>
          <w:p>
            <w:pPr>
              <w:spacing w:after="0"/>
              <w:rPr>
                <w:sz w:val="17"/>
                <w:szCs w:val="17"/>
                <w:color w:val="auto"/>
              </w:rPr>
            </w:pPr>
          </w:p>
        </w:tc>
        <w:tc>
          <w:tcPr>
            <w:tcW w:w="2940" w:type="dxa"/>
            <w:vAlign w:val="bottom"/>
            <w:tcBorders>
              <w:bottom w:val="single" w:sz="8" w:color="D7282F"/>
            </w:tcBorders>
            <w:gridSpan w:val="2"/>
          </w:tcPr>
          <w:p>
            <w:pPr>
              <w:jc w:val="right"/>
              <w:ind w:right="168"/>
              <w:spacing w:after="0"/>
              <w:rPr>
                <w:sz w:val="20"/>
                <w:szCs w:val="20"/>
                <w:color w:val="auto"/>
              </w:rPr>
            </w:pPr>
            <w:r>
              <w:rPr>
                <w:rFonts w:ascii="Arial" w:cs="Arial" w:eastAsia="Arial" w:hAnsi="Arial"/>
                <w:sz w:val="14"/>
                <w:szCs w:val="14"/>
                <w:b w:val="1"/>
                <w:bCs w:val="1"/>
                <w:color w:val="auto"/>
              </w:rPr>
              <w:t>(Number of Shares)</w:t>
            </w:r>
          </w:p>
        </w:tc>
        <w:tc>
          <w:tcPr>
            <w:tcW w:w="1120" w:type="dxa"/>
            <w:vAlign w:val="bottom"/>
            <w:tcBorders>
              <w:bottom w:val="single" w:sz="8" w:color="D7282F"/>
            </w:tcBorders>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660" w:type="dxa"/>
            <w:vAlign w:val="bottom"/>
          </w:tcPr>
          <w:p>
            <w:pPr>
              <w:spacing w:after="0"/>
              <w:rPr>
                <w:sz w:val="16"/>
                <w:szCs w:val="16"/>
                <w:color w:val="auto"/>
              </w:rPr>
            </w:pPr>
          </w:p>
        </w:tc>
        <w:tc>
          <w:tcPr>
            <w:tcW w:w="1700" w:type="dxa"/>
            <w:vAlign w:val="bottom"/>
          </w:tcPr>
          <w:p>
            <w:pPr>
              <w:jc w:val="right"/>
              <w:ind w:right="188"/>
              <w:spacing w:after="0"/>
              <w:rPr>
                <w:sz w:val="20"/>
                <w:szCs w:val="20"/>
                <w:color w:val="auto"/>
              </w:rPr>
            </w:pPr>
            <w:r>
              <w:rPr>
                <w:rFonts w:ascii="Arial" w:cs="Arial" w:eastAsia="Arial" w:hAnsi="Arial"/>
                <w:sz w:val="14"/>
                <w:szCs w:val="14"/>
                <w:b w:val="1"/>
                <w:bCs w:val="1"/>
                <w:color w:val="auto"/>
              </w:rPr>
              <w:t>Common Stock</w:t>
            </w:r>
          </w:p>
        </w:tc>
        <w:tc>
          <w:tcPr>
            <w:tcW w:w="12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Right to</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Other</w:t>
            </w:r>
          </w:p>
        </w:tc>
        <w:tc>
          <w:tcPr>
            <w:tcW w:w="15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 Number</w:t>
            </w:r>
          </w:p>
        </w:tc>
        <w:tc>
          <w:tcPr>
            <w:tcW w:w="0" w:type="dxa"/>
            <w:vAlign w:val="bottom"/>
          </w:tcPr>
          <w:p>
            <w:pPr>
              <w:spacing w:after="0"/>
              <w:rPr>
                <w:sz w:val="1"/>
                <w:szCs w:val="1"/>
                <w:color w:val="auto"/>
              </w:rPr>
            </w:pPr>
          </w:p>
        </w:tc>
      </w:tr>
      <w:tr>
        <w:trPr>
          <w:trHeight w:val="160"/>
        </w:trPr>
        <w:tc>
          <w:tcPr>
            <w:tcW w:w="5660" w:type="dxa"/>
            <w:vAlign w:val="bottom"/>
          </w:tcPr>
          <w:p>
            <w:pPr>
              <w:spacing w:after="0"/>
              <w:rPr>
                <w:sz w:val="13"/>
                <w:szCs w:val="13"/>
                <w:color w:val="auto"/>
              </w:rPr>
            </w:pPr>
          </w:p>
        </w:tc>
        <w:tc>
          <w:tcPr>
            <w:tcW w:w="1700" w:type="dxa"/>
            <w:vAlign w:val="bottom"/>
          </w:tcPr>
          <w:p>
            <w:pPr>
              <w:jc w:val="right"/>
              <w:ind w:right="188"/>
              <w:spacing w:after="0" w:line="159" w:lineRule="exact"/>
              <w:rPr>
                <w:sz w:val="20"/>
                <w:szCs w:val="20"/>
                <w:color w:val="auto"/>
              </w:rPr>
            </w:pPr>
            <w:r>
              <w:rPr>
                <w:rFonts w:ascii="Arial" w:cs="Arial" w:eastAsia="Arial" w:hAnsi="Arial"/>
                <w:sz w:val="14"/>
                <w:szCs w:val="14"/>
                <w:b w:val="1"/>
                <w:bCs w:val="1"/>
                <w:color w:val="auto"/>
              </w:rPr>
              <w:t>Beneficially</w:t>
            </w:r>
          </w:p>
        </w:tc>
        <w:tc>
          <w:tcPr>
            <w:tcW w:w="1240" w:type="dxa"/>
            <w:vAlign w:val="bottom"/>
            <w:vMerge w:val="continue"/>
          </w:tcPr>
          <w:p>
            <w:pPr>
              <w:spacing w:after="0"/>
              <w:rPr>
                <w:sz w:val="13"/>
                <w:szCs w:val="13"/>
                <w:color w:val="auto"/>
              </w:rPr>
            </w:pPr>
          </w:p>
        </w:tc>
        <w:tc>
          <w:tcPr>
            <w:tcW w:w="112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Stock-Based</w:t>
            </w: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56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Name</w:t>
            </w:r>
            <w:r>
              <w:rPr>
                <w:rFonts w:ascii="Arial" w:cs="Arial" w:eastAsia="Arial" w:hAnsi="Arial"/>
                <w:sz w:val="9"/>
                <w:szCs w:val="9"/>
                <w:b w:val="1"/>
                <w:bCs w:val="1"/>
                <w:color w:val="auto"/>
              </w:rPr>
              <w:t>(1)</w:t>
            </w:r>
          </w:p>
        </w:tc>
        <w:tc>
          <w:tcPr>
            <w:tcW w:w="170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Owned</w:t>
            </w:r>
          </w:p>
        </w:tc>
        <w:tc>
          <w:tcPr>
            <w:tcW w:w="124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Acquire</w:t>
            </w:r>
            <w:r>
              <w:rPr>
                <w:rFonts w:ascii="Arial" w:cs="Arial" w:eastAsia="Arial" w:hAnsi="Arial"/>
                <w:sz w:val="18"/>
                <w:szCs w:val="18"/>
                <w:b w:val="1"/>
                <w:bCs w:val="1"/>
                <w:color w:val="auto"/>
                <w:vertAlign w:val="superscript"/>
              </w:rPr>
              <w:t>(2)</w:t>
            </w:r>
          </w:p>
        </w:tc>
        <w:tc>
          <w:tcPr>
            <w:tcW w:w="1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Holdings</w:t>
            </w:r>
            <w:r>
              <w:rPr>
                <w:rFonts w:ascii="Arial" w:cs="Arial" w:eastAsia="Arial" w:hAnsi="Arial"/>
                <w:sz w:val="18"/>
                <w:szCs w:val="18"/>
                <w:b w:val="1"/>
                <w:bCs w:val="1"/>
                <w:color w:val="auto"/>
                <w:vertAlign w:val="superscript"/>
              </w:rPr>
              <w:t>(3)</w:t>
            </w:r>
          </w:p>
        </w:tc>
        <w:tc>
          <w:tcPr>
            <w:tcW w:w="15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of Shares</w:t>
            </w:r>
            <w:r>
              <w:rPr>
                <w:rFonts w:ascii="Arial" w:cs="Arial" w:eastAsia="Arial" w:hAnsi="Arial"/>
                <w:sz w:val="18"/>
                <w:szCs w:val="18"/>
                <w:b w:val="1"/>
                <w:bCs w:val="1"/>
                <w:color w:val="auto"/>
                <w:vertAlign w:val="superscript"/>
              </w:rPr>
              <w:t>(4)</w:t>
            </w:r>
          </w:p>
        </w:tc>
        <w:tc>
          <w:tcPr>
            <w:tcW w:w="0" w:type="dxa"/>
            <w:vAlign w:val="bottom"/>
          </w:tcPr>
          <w:p>
            <w:pPr>
              <w:spacing w:after="0"/>
              <w:rPr>
                <w:sz w:val="1"/>
                <w:szCs w:val="1"/>
                <w:color w:val="auto"/>
              </w:rPr>
            </w:pPr>
          </w:p>
        </w:tc>
      </w:tr>
      <w:tr>
        <w:trPr>
          <w:trHeight w:val="315"/>
        </w:trPr>
        <w:tc>
          <w:tcPr>
            <w:tcW w:w="5660" w:type="dxa"/>
            <w:vAlign w:val="bottom"/>
          </w:tcPr>
          <w:p>
            <w:pPr>
              <w:ind w:left="20"/>
              <w:spacing w:after="0"/>
              <w:rPr>
                <w:sz w:val="20"/>
                <w:szCs w:val="20"/>
                <w:color w:val="auto"/>
              </w:rPr>
            </w:pPr>
            <w:r>
              <w:rPr>
                <w:rFonts w:ascii="Arial" w:cs="Arial" w:eastAsia="Arial" w:hAnsi="Arial"/>
                <w:sz w:val="14"/>
                <w:szCs w:val="14"/>
                <w:b w:val="1"/>
                <w:bCs w:val="1"/>
                <w:color w:val="auto"/>
              </w:rPr>
              <w:t>Duncan B. Angove</w:t>
            </w:r>
          </w:p>
        </w:tc>
        <w:tc>
          <w:tcPr>
            <w:tcW w:w="1700" w:type="dxa"/>
            <w:vAlign w:val="bottom"/>
          </w:tcPr>
          <w:p>
            <w:pPr>
              <w:jc w:val="right"/>
              <w:ind w:right="228"/>
              <w:spacing w:after="0"/>
              <w:rPr>
                <w:sz w:val="20"/>
                <w:szCs w:val="20"/>
                <w:color w:val="auto"/>
              </w:rPr>
            </w:pPr>
            <w:r>
              <w:rPr>
                <w:rFonts w:ascii="Arial" w:cs="Arial" w:eastAsia="Arial" w:hAnsi="Arial"/>
                <w:sz w:val="14"/>
                <w:szCs w:val="14"/>
                <w:color w:val="auto"/>
              </w:rPr>
              <w:t>2,983</w:t>
            </w:r>
          </w:p>
        </w:tc>
        <w:tc>
          <w:tcPr>
            <w:tcW w:w="1240" w:type="dxa"/>
            <w:vAlign w:val="bottom"/>
          </w:tcPr>
          <w:p>
            <w:pPr>
              <w:jc w:val="right"/>
              <w:ind w:right="288"/>
              <w:spacing w:after="0"/>
              <w:rPr>
                <w:sz w:val="20"/>
                <w:szCs w:val="20"/>
                <w:color w:val="auto"/>
              </w:rPr>
            </w:pPr>
            <w:r>
              <w:rPr>
                <w:rFonts w:ascii="Arial" w:cs="Arial" w:eastAsia="Arial" w:hAnsi="Arial"/>
                <w:sz w:val="14"/>
                <w:szCs w:val="14"/>
                <w:color w:val="auto"/>
              </w:rPr>
              <w:t>11,774</w:t>
            </w:r>
          </w:p>
        </w:tc>
        <w:tc>
          <w:tcPr>
            <w:tcW w:w="1120" w:type="dxa"/>
            <w:vAlign w:val="bottom"/>
          </w:tcPr>
          <w:p>
            <w:pPr>
              <w:jc w:val="right"/>
              <w:spacing w:after="0"/>
              <w:rPr>
                <w:sz w:val="20"/>
                <w:szCs w:val="20"/>
                <w:color w:val="auto"/>
              </w:rPr>
            </w:pPr>
            <w:r>
              <w:rPr>
                <w:rFonts w:ascii="Arial" w:cs="Arial" w:eastAsia="Arial" w:hAnsi="Arial"/>
                <w:sz w:val="14"/>
                <w:szCs w:val="14"/>
                <w:color w:val="auto"/>
              </w:rPr>
              <w:t>13,217</w:t>
            </w:r>
          </w:p>
        </w:tc>
        <w:tc>
          <w:tcPr>
            <w:tcW w:w="1500" w:type="dxa"/>
            <w:vAlign w:val="bottom"/>
          </w:tcPr>
          <w:p>
            <w:pPr>
              <w:jc w:val="right"/>
              <w:spacing w:after="0"/>
              <w:rPr>
                <w:sz w:val="20"/>
                <w:szCs w:val="20"/>
                <w:color w:val="auto"/>
              </w:rPr>
            </w:pPr>
            <w:r>
              <w:rPr>
                <w:rFonts w:ascii="Arial" w:cs="Arial" w:eastAsia="Arial" w:hAnsi="Arial"/>
                <w:sz w:val="14"/>
                <w:szCs w:val="14"/>
                <w:color w:val="auto"/>
              </w:rPr>
              <w:t>27,974</w:t>
            </w:r>
          </w:p>
        </w:tc>
        <w:tc>
          <w:tcPr>
            <w:tcW w:w="0" w:type="dxa"/>
            <w:vAlign w:val="bottom"/>
          </w:tcPr>
          <w:p>
            <w:pPr>
              <w:spacing w:after="0"/>
              <w:rPr>
                <w:sz w:val="1"/>
                <w:szCs w:val="1"/>
                <w:color w:val="auto"/>
              </w:rPr>
            </w:pPr>
          </w:p>
        </w:tc>
      </w:tr>
      <w:tr>
        <w:trPr>
          <w:trHeight w:val="124"/>
        </w:trPr>
        <w:tc>
          <w:tcPr>
            <w:tcW w:w="5660" w:type="dxa"/>
            <w:vAlign w:val="bottom"/>
            <w:tcBorders>
              <w:bottom w:val="single" w:sz="8" w:color="939598"/>
            </w:tcBorders>
          </w:tcPr>
          <w:p>
            <w:pPr>
              <w:spacing w:after="0"/>
              <w:rPr>
                <w:sz w:val="10"/>
                <w:szCs w:val="10"/>
                <w:color w:val="auto"/>
              </w:rPr>
            </w:pPr>
          </w:p>
        </w:tc>
        <w:tc>
          <w:tcPr>
            <w:tcW w:w="1700" w:type="dxa"/>
            <w:vAlign w:val="bottom"/>
            <w:tcBorders>
              <w:bottom w:val="single" w:sz="8" w:color="939598"/>
            </w:tcBorders>
          </w:tcPr>
          <w:p>
            <w:pPr>
              <w:spacing w:after="0"/>
              <w:rPr>
                <w:sz w:val="10"/>
                <w:szCs w:val="10"/>
                <w:color w:val="auto"/>
              </w:rPr>
            </w:pPr>
          </w:p>
        </w:tc>
        <w:tc>
          <w:tcPr>
            <w:tcW w:w="1240" w:type="dxa"/>
            <w:vAlign w:val="bottom"/>
            <w:tcBorders>
              <w:bottom w:val="single" w:sz="8" w:color="939598"/>
            </w:tcBorders>
          </w:tcPr>
          <w:p>
            <w:pPr>
              <w:spacing w:after="0"/>
              <w:rPr>
                <w:sz w:val="10"/>
                <w:szCs w:val="10"/>
                <w:color w:val="auto"/>
              </w:rPr>
            </w:pPr>
          </w:p>
        </w:tc>
        <w:tc>
          <w:tcPr>
            <w:tcW w:w="1120" w:type="dxa"/>
            <w:vAlign w:val="bottom"/>
            <w:tcBorders>
              <w:bottom w:val="single" w:sz="8" w:color="939598"/>
            </w:tcBorders>
          </w:tcPr>
          <w:p>
            <w:pPr>
              <w:spacing w:after="0"/>
              <w:rPr>
                <w:sz w:val="10"/>
                <w:szCs w:val="10"/>
                <w:color w:val="auto"/>
              </w:rPr>
            </w:pPr>
          </w:p>
        </w:tc>
        <w:tc>
          <w:tcPr>
            <w:tcW w:w="150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315"/>
        </w:trPr>
        <w:tc>
          <w:tcPr>
            <w:tcW w:w="5660" w:type="dxa"/>
            <w:vAlign w:val="bottom"/>
          </w:tcPr>
          <w:p>
            <w:pPr>
              <w:ind w:left="20"/>
              <w:spacing w:after="0"/>
              <w:rPr>
                <w:sz w:val="20"/>
                <w:szCs w:val="20"/>
                <w:color w:val="auto"/>
              </w:rPr>
            </w:pPr>
            <w:r>
              <w:rPr>
                <w:rFonts w:ascii="Arial" w:cs="Arial" w:eastAsia="Arial" w:hAnsi="Arial"/>
                <w:sz w:val="14"/>
                <w:szCs w:val="14"/>
                <w:b w:val="1"/>
                <w:bCs w:val="1"/>
                <w:color w:val="auto"/>
              </w:rPr>
              <w:t>Craig Arnold</w:t>
            </w:r>
          </w:p>
        </w:tc>
        <w:tc>
          <w:tcPr>
            <w:tcW w:w="17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8"/>
              <w:spacing w:after="0"/>
              <w:rPr>
                <w:sz w:val="20"/>
                <w:szCs w:val="20"/>
                <w:color w:val="auto"/>
              </w:rPr>
            </w:pPr>
            <w:r>
              <w:rPr>
                <w:rFonts w:ascii="Arial" w:cs="Arial" w:eastAsia="Arial" w:hAnsi="Arial"/>
                <w:sz w:val="14"/>
                <w:szCs w:val="14"/>
                <w:color w:val="auto"/>
              </w:rPr>
              <w:t>359</w:t>
            </w:r>
          </w:p>
        </w:tc>
        <w:tc>
          <w:tcPr>
            <w:tcW w:w="1120" w:type="dxa"/>
            <w:vAlign w:val="bottom"/>
          </w:tcPr>
          <w:p>
            <w:pPr>
              <w:jc w:val="right"/>
              <w:spacing w:after="0"/>
              <w:rPr>
                <w:sz w:val="20"/>
                <w:szCs w:val="20"/>
                <w:color w:val="auto"/>
              </w:rPr>
            </w:pPr>
            <w:r>
              <w:rPr>
                <w:rFonts w:ascii="Arial" w:cs="Arial" w:eastAsia="Arial" w:hAnsi="Arial"/>
                <w:sz w:val="14"/>
                <w:szCs w:val="14"/>
                <w:color w:val="auto"/>
              </w:rPr>
              <w:t>357</w:t>
            </w:r>
          </w:p>
        </w:tc>
        <w:tc>
          <w:tcPr>
            <w:tcW w:w="1500" w:type="dxa"/>
            <w:vAlign w:val="bottom"/>
          </w:tcPr>
          <w:p>
            <w:pPr>
              <w:jc w:val="right"/>
              <w:spacing w:after="0"/>
              <w:rPr>
                <w:sz w:val="20"/>
                <w:szCs w:val="20"/>
                <w:color w:val="auto"/>
              </w:rPr>
            </w:pPr>
            <w:r>
              <w:rPr>
                <w:rFonts w:ascii="Arial" w:cs="Arial" w:eastAsia="Arial" w:hAnsi="Arial"/>
                <w:sz w:val="14"/>
                <w:szCs w:val="14"/>
                <w:color w:val="auto"/>
              </w:rPr>
              <w:t>716</w:t>
            </w:r>
          </w:p>
        </w:tc>
        <w:tc>
          <w:tcPr>
            <w:tcW w:w="0" w:type="dxa"/>
            <w:vAlign w:val="bottom"/>
          </w:tcPr>
          <w:p>
            <w:pPr>
              <w:spacing w:after="0"/>
              <w:rPr>
                <w:sz w:val="1"/>
                <w:szCs w:val="1"/>
                <w:color w:val="auto"/>
              </w:rPr>
            </w:pPr>
          </w:p>
        </w:tc>
      </w:tr>
      <w:tr>
        <w:trPr>
          <w:trHeight w:val="124"/>
        </w:trPr>
        <w:tc>
          <w:tcPr>
            <w:tcW w:w="5660" w:type="dxa"/>
            <w:vAlign w:val="bottom"/>
            <w:tcBorders>
              <w:bottom w:val="single" w:sz="8" w:color="939598"/>
            </w:tcBorders>
          </w:tcPr>
          <w:p>
            <w:pPr>
              <w:spacing w:after="0"/>
              <w:rPr>
                <w:sz w:val="10"/>
                <w:szCs w:val="10"/>
                <w:color w:val="auto"/>
              </w:rPr>
            </w:pPr>
          </w:p>
        </w:tc>
        <w:tc>
          <w:tcPr>
            <w:tcW w:w="1700" w:type="dxa"/>
            <w:vAlign w:val="bottom"/>
            <w:tcBorders>
              <w:bottom w:val="single" w:sz="8" w:color="939598"/>
            </w:tcBorders>
          </w:tcPr>
          <w:p>
            <w:pPr>
              <w:spacing w:after="0"/>
              <w:rPr>
                <w:sz w:val="10"/>
                <w:szCs w:val="10"/>
                <w:color w:val="auto"/>
              </w:rPr>
            </w:pPr>
          </w:p>
        </w:tc>
        <w:tc>
          <w:tcPr>
            <w:tcW w:w="1240" w:type="dxa"/>
            <w:vAlign w:val="bottom"/>
            <w:tcBorders>
              <w:bottom w:val="single" w:sz="8" w:color="939598"/>
            </w:tcBorders>
          </w:tcPr>
          <w:p>
            <w:pPr>
              <w:spacing w:after="0"/>
              <w:rPr>
                <w:sz w:val="10"/>
                <w:szCs w:val="10"/>
                <w:color w:val="auto"/>
              </w:rPr>
            </w:pPr>
          </w:p>
        </w:tc>
        <w:tc>
          <w:tcPr>
            <w:tcW w:w="1120" w:type="dxa"/>
            <w:vAlign w:val="bottom"/>
            <w:tcBorders>
              <w:bottom w:val="single" w:sz="8" w:color="939598"/>
            </w:tcBorders>
          </w:tcPr>
          <w:p>
            <w:pPr>
              <w:spacing w:after="0"/>
              <w:rPr>
                <w:sz w:val="10"/>
                <w:szCs w:val="10"/>
                <w:color w:val="auto"/>
              </w:rPr>
            </w:pPr>
          </w:p>
        </w:tc>
        <w:tc>
          <w:tcPr>
            <w:tcW w:w="150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315"/>
        </w:trPr>
        <w:tc>
          <w:tcPr>
            <w:tcW w:w="5660" w:type="dxa"/>
            <w:vAlign w:val="bottom"/>
          </w:tcPr>
          <w:p>
            <w:pPr>
              <w:ind w:left="20"/>
              <w:spacing w:after="0"/>
              <w:rPr>
                <w:sz w:val="20"/>
                <w:szCs w:val="20"/>
                <w:color w:val="auto"/>
              </w:rPr>
            </w:pPr>
            <w:r>
              <w:rPr>
                <w:rFonts w:ascii="Arial" w:cs="Arial" w:eastAsia="Arial" w:hAnsi="Arial"/>
                <w:sz w:val="14"/>
                <w:szCs w:val="14"/>
                <w:b w:val="1"/>
                <w:bCs w:val="1"/>
                <w:color w:val="auto"/>
              </w:rPr>
              <w:t>William S. Ayer</w:t>
            </w:r>
          </w:p>
        </w:tc>
        <w:tc>
          <w:tcPr>
            <w:tcW w:w="1700" w:type="dxa"/>
            <w:vAlign w:val="bottom"/>
          </w:tcPr>
          <w:p>
            <w:pPr>
              <w:jc w:val="right"/>
              <w:ind w:right="228"/>
              <w:spacing w:after="0"/>
              <w:rPr>
                <w:sz w:val="20"/>
                <w:szCs w:val="20"/>
                <w:color w:val="auto"/>
              </w:rPr>
            </w:pPr>
            <w:r>
              <w:rPr>
                <w:rFonts w:ascii="Arial" w:cs="Arial" w:eastAsia="Arial" w:hAnsi="Arial"/>
                <w:sz w:val="14"/>
                <w:szCs w:val="14"/>
                <w:color w:val="auto"/>
              </w:rPr>
              <w:t>11,343</w:t>
            </w:r>
          </w:p>
        </w:tc>
        <w:tc>
          <w:tcPr>
            <w:tcW w:w="1240" w:type="dxa"/>
            <w:vAlign w:val="bottom"/>
          </w:tcPr>
          <w:p>
            <w:pPr>
              <w:jc w:val="right"/>
              <w:ind w:right="288"/>
              <w:spacing w:after="0"/>
              <w:rPr>
                <w:sz w:val="20"/>
                <w:szCs w:val="20"/>
                <w:color w:val="auto"/>
              </w:rPr>
            </w:pPr>
            <w:r>
              <w:rPr>
                <w:rFonts w:ascii="Arial" w:cs="Arial" w:eastAsia="Arial" w:hAnsi="Arial"/>
                <w:sz w:val="14"/>
                <w:szCs w:val="14"/>
                <w:color w:val="auto"/>
              </w:rPr>
              <w:t>11,774</w:t>
            </w:r>
          </w:p>
        </w:tc>
        <w:tc>
          <w:tcPr>
            <w:tcW w:w="1120" w:type="dxa"/>
            <w:vAlign w:val="bottom"/>
          </w:tcPr>
          <w:p>
            <w:pPr>
              <w:jc w:val="right"/>
              <w:spacing w:after="0"/>
              <w:rPr>
                <w:sz w:val="20"/>
                <w:szCs w:val="20"/>
                <w:color w:val="auto"/>
              </w:rPr>
            </w:pPr>
            <w:r>
              <w:rPr>
                <w:rFonts w:ascii="Arial" w:cs="Arial" w:eastAsia="Arial" w:hAnsi="Arial"/>
                <w:sz w:val="14"/>
                <w:szCs w:val="14"/>
                <w:color w:val="auto"/>
              </w:rPr>
              <w:t>5,752</w:t>
            </w:r>
          </w:p>
        </w:tc>
        <w:tc>
          <w:tcPr>
            <w:tcW w:w="1500" w:type="dxa"/>
            <w:vAlign w:val="bottom"/>
          </w:tcPr>
          <w:p>
            <w:pPr>
              <w:jc w:val="right"/>
              <w:spacing w:after="0"/>
              <w:rPr>
                <w:sz w:val="20"/>
                <w:szCs w:val="20"/>
                <w:color w:val="auto"/>
              </w:rPr>
            </w:pPr>
            <w:r>
              <w:rPr>
                <w:rFonts w:ascii="Arial" w:cs="Arial" w:eastAsia="Arial" w:hAnsi="Arial"/>
                <w:sz w:val="14"/>
                <w:szCs w:val="14"/>
                <w:color w:val="auto"/>
              </w:rPr>
              <w:t>28,869</w:t>
            </w:r>
          </w:p>
        </w:tc>
        <w:tc>
          <w:tcPr>
            <w:tcW w:w="0" w:type="dxa"/>
            <w:vAlign w:val="bottom"/>
          </w:tcPr>
          <w:p>
            <w:pPr>
              <w:spacing w:after="0"/>
              <w:rPr>
                <w:sz w:val="1"/>
                <w:szCs w:val="1"/>
                <w:color w:val="auto"/>
              </w:rPr>
            </w:pPr>
          </w:p>
        </w:tc>
      </w:tr>
      <w:tr>
        <w:trPr>
          <w:trHeight w:val="124"/>
        </w:trPr>
        <w:tc>
          <w:tcPr>
            <w:tcW w:w="5660" w:type="dxa"/>
            <w:vAlign w:val="bottom"/>
            <w:tcBorders>
              <w:bottom w:val="single" w:sz="8" w:color="939598"/>
            </w:tcBorders>
          </w:tcPr>
          <w:p>
            <w:pPr>
              <w:spacing w:after="0"/>
              <w:rPr>
                <w:sz w:val="10"/>
                <w:szCs w:val="10"/>
                <w:color w:val="auto"/>
              </w:rPr>
            </w:pPr>
          </w:p>
        </w:tc>
        <w:tc>
          <w:tcPr>
            <w:tcW w:w="1700" w:type="dxa"/>
            <w:vAlign w:val="bottom"/>
            <w:tcBorders>
              <w:bottom w:val="single" w:sz="8" w:color="939598"/>
            </w:tcBorders>
          </w:tcPr>
          <w:p>
            <w:pPr>
              <w:spacing w:after="0"/>
              <w:rPr>
                <w:sz w:val="10"/>
                <w:szCs w:val="10"/>
                <w:color w:val="auto"/>
              </w:rPr>
            </w:pPr>
          </w:p>
        </w:tc>
        <w:tc>
          <w:tcPr>
            <w:tcW w:w="1240" w:type="dxa"/>
            <w:vAlign w:val="bottom"/>
            <w:tcBorders>
              <w:bottom w:val="single" w:sz="8" w:color="939598"/>
            </w:tcBorders>
          </w:tcPr>
          <w:p>
            <w:pPr>
              <w:spacing w:after="0"/>
              <w:rPr>
                <w:sz w:val="10"/>
                <w:szCs w:val="10"/>
                <w:color w:val="auto"/>
              </w:rPr>
            </w:pPr>
          </w:p>
        </w:tc>
        <w:tc>
          <w:tcPr>
            <w:tcW w:w="1120" w:type="dxa"/>
            <w:vAlign w:val="bottom"/>
            <w:tcBorders>
              <w:bottom w:val="single" w:sz="8" w:color="939598"/>
            </w:tcBorders>
          </w:tcPr>
          <w:p>
            <w:pPr>
              <w:spacing w:after="0"/>
              <w:rPr>
                <w:sz w:val="10"/>
                <w:szCs w:val="10"/>
                <w:color w:val="auto"/>
              </w:rPr>
            </w:pPr>
          </w:p>
        </w:tc>
        <w:tc>
          <w:tcPr>
            <w:tcW w:w="150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315"/>
        </w:trPr>
        <w:tc>
          <w:tcPr>
            <w:tcW w:w="5660" w:type="dxa"/>
            <w:vAlign w:val="bottom"/>
          </w:tcPr>
          <w:p>
            <w:pPr>
              <w:ind w:left="20"/>
              <w:spacing w:after="0"/>
              <w:rPr>
                <w:sz w:val="20"/>
                <w:szCs w:val="20"/>
                <w:color w:val="auto"/>
              </w:rPr>
            </w:pPr>
            <w:r>
              <w:rPr>
                <w:rFonts w:ascii="Arial" w:cs="Arial" w:eastAsia="Arial" w:hAnsi="Arial"/>
                <w:sz w:val="14"/>
                <w:szCs w:val="14"/>
                <w:b w:val="1"/>
                <w:bCs w:val="1"/>
                <w:color w:val="auto"/>
              </w:rPr>
              <w:t>Kevin Burke</w:t>
            </w:r>
          </w:p>
        </w:tc>
        <w:tc>
          <w:tcPr>
            <w:tcW w:w="1700" w:type="dxa"/>
            <w:vAlign w:val="bottom"/>
          </w:tcPr>
          <w:p>
            <w:pPr>
              <w:jc w:val="right"/>
              <w:ind w:right="228"/>
              <w:spacing w:after="0"/>
              <w:rPr>
                <w:sz w:val="20"/>
                <w:szCs w:val="20"/>
                <w:color w:val="auto"/>
              </w:rPr>
            </w:pPr>
            <w:r>
              <w:rPr>
                <w:rFonts w:ascii="Arial" w:cs="Arial" w:eastAsia="Arial" w:hAnsi="Arial"/>
                <w:sz w:val="14"/>
                <w:szCs w:val="14"/>
                <w:color w:val="auto"/>
              </w:rPr>
              <w:t>28,907</w:t>
            </w:r>
          </w:p>
        </w:tc>
        <w:tc>
          <w:tcPr>
            <w:tcW w:w="1240" w:type="dxa"/>
            <w:vAlign w:val="bottom"/>
          </w:tcPr>
          <w:p>
            <w:pPr>
              <w:jc w:val="right"/>
              <w:ind w:right="288"/>
              <w:spacing w:after="0"/>
              <w:rPr>
                <w:sz w:val="20"/>
                <w:szCs w:val="20"/>
                <w:color w:val="auto"/>
              </w:rPr>
            </w:pPr>
            <w:r>
              <w:rPr>
                <w:rFonts w:ascii="Arial" w:cs="Arial" w:eastAsia="Arial" w:hAnsi="Arial"/>
                <w:sz w:val="14"/>
                <w:szCs w:val="14"/>
                <w:color w:val="auto"/>
              </w:rPr>
              <w:t>14,945</w:t>
            </w:r>
          </w:p>
        </w:tc>
        <w:tc>
          <w:tcPr>
            <w:tcW w:w="1120" w:type="dxa"/>
            <w:vAlign w:val="bottom"/>
          </w:tcPr>
          <w:p>
            <w:pPr>
              <w:jc w:val="right"/>
              <w:spacing w:after="0"/>
              <w:rPr>
                <w:sz w:val="20"/>
                <w:szCs w:val="20"/>
                <w:color w:val="auto"/>
              </w:rPr>
            </w:pPr>
            <w:r>
              <w:rPr>
                <w:rFonts w:ascii="Arial" w:cs="Arial" w:eastAsia="Arial" w:hAnsi="Arial"/>
                <w:sz w:val="14"/>
                <w:szCs w:val="14"/>
                <w:color w:val="auto"/>
              </w:rPr>
              <w:t>13,778</w:t>
            </w:r>
          </w:p>
        </w:tc>
        <w:tc>
          <w:tcPr>
            <w:tcW w:w="1500" w:type="dxa"/>
            <w:vAlign w:val="bottom"/>
          </w:tcPr>
          <w:p>
            <w:pPr>
              <w:jc w:val="right"/>
              <w:spacing w:after="0"/>
              <w:rPr>
                <w:sz w:val="20"/>
                <w:szCs w:val="20"/>
                <w:color w:val="auto"/>
              </w:rPr>
            </w:pPr>
            <w:r>
              <w:rPr>
                <w:rFonts w:ascii="Arial" w:cs="Arial" w:eastAsia="Arial" w:hAnsi="Arial"/>
                <w:sz w:val="14"/>
                <w:szCs w:val="14"/>
                <w:color w:val="auto"/>
              </w:rPr>
              <w:t>57,630</w:t>
            </w:r>
          </w:p>
        </w:tc>
        <w:tc>
          <w:tcPr>
            <w:tcW w:w="0" w:type="dxa"/>
            <w:vAlign w:val="bottom"/>
          </w:tcPr>
          <w:p>
            <w:pPr>
              <w:spacing w:after="0"/>
              <w:rPr>
                <w:sz w:val="1"/>
                <w:szCs w:val="1"/>
                <w:color w:val="auto"/>
              </w:rPr>
            </w:pPr>
          </w:p>
        </w:tc>
      </w:tr>
      <w:tr>
        <w:trPr>
          <w:trHeight w:val="123"/>
        </w:trPr>
        <w:tc>
          <w:tcPr>
            <w:tcW w:w="5660" w:type="dxa"/>
            <w:vAlign w:val="bottom"/>
            <w:tcBorders>
              <w:bottom w:val="single" w:sz="8" w:color="939598"/>
            </w:tcBorders>
          </w:tcPr>
          <w:p>
            <w:pPr>
              <w:spacing w:after="0"/>
              <w:rPr>
                <w:sz w:val="10"/>
                <w:szCs w:val="10"/>
                <w:color w:val="auto"/>
              </w:rPr>
            </w:pPr>
          </w:p>
        </w:tc>
        <w:tc>
          <w:tcPr>
            <w:tcW w:w="1700" w:type="dxa"/>
            <w:vAlign w:val="bottom"/>
            <w:tcBorders>
              <w:bottom w:val="single" w:sz="8" w:color="939598"/>
            </w:tcBorders>
          </w:tcPr>
          <w:p>
            <w:pPr>
              <w:spacing w:after="0"/>
              <w:rPr>
                <w:sz w:val="10"/>
                <w:szCs w:val="10"/>
                <w:color w:val="auto"/>
              </w:rPr>
            </w:pPr>
          </w:p>
        </w:tc>
        <w:tc>
          <w:tcPr>
            <w:tcW w:w="1240" w:type="dxa"/>
            <w:vAlign w:val="bottom"/>
            <w:tcBorders>
              <w:bottom w:val="single" w:sz="8" w:color="939598"/>
            </w:tcBorders>
          </w:tcPr>
          <w:p>
            <w:pPr>
              <w:spacing w:after="0"/>
              <w:rPr>
                <w:sz w:val="10"/>
                <w:szCs w:val="10"/>
                <w:color w:val="auto"/>
              </w:rPr>
            </w:pPr>
          </w:p>
        </w:tc>
        <w:tc>
          <w:tcPr>
            <w:tcW w:w="1120" w:type="dxa"/>
            <w:vAlign w:val="bottom"/>
            <w:tcBorders>
              <w:bottom w:val="single" w:sz="8" w:color="939598"/>
            </w:tcBorders>
          </w:tcPr>
          <w:p>
            <w:pPr>
              <w:spacing w:after="0"/>
              <w:rPr>
                <w:sz w:val="10"/>
                <w:szCs w:val="10"/>
                <w:color w:val="auto"/>
              </w:rPr>
            </w:pPr>
          </w:p>
        </w:tc>
        <w:tc>
          <w:tcPr>
            <w:tcW w:w="150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315"/>
        </w:trPr>
        <w:tc>
          <w:tcPr>
            <w:tcW w:w="5660" w:type="dxa"/>
            <w:vAlign w:val="bottom"/>
          </w:tcPr>
          <w:p>
            <w:pPr>
              <w:ind w:left="20"/>
              <w:spacing w:after="0"/>
              <w:rPr>
                <w:sz w:val="20"/>
                <w:szCs w:val="20"/>
                <w:color w:val="auto"/>
              </w:rPr>
            </w:pPr>
            <w:r>
              <w:rPr>
                <w:rFonts w:ascii="Arial" w:cs="Arial" w:eastAsia="Arial" w:hAnsi="Arial"/>
                <w:sz w:val="14"/>
                <w:szCs w:val="14"/>
                <w:b w:val="1"/>
                <w:bCs w:val="1"/>
                <w:color w:val="auto"/>
              </w:rPr>
              <w:t>D. Scott Davis</w:t>
            </w:r>
          </w:p>
        </w:tc>
        <w:tc>
          <w:tcPr>
            <w:tcW w:w="1700" w:type="dxa"/>
            <w:vAlign w:val="bottom"/>
          </w:tcPr>
          <w:p>
            <w:pPr>
              <w:jc w:val="right"/>
              <w:ind w:right="228"/>
              <w:spacing w:after="0"/>
              <w:rPr>
                <w:sz w:val="20"/>
                <w:szCs w:val="20"/>
                <w:color w:val="auto"/>
              </w:rPr>
            </w:pPr>
            <w:r>
              <w:rPr>
                <w:rFonts w:ascii="Arial" w:cs="Arial" w:eastAsia="Arial" w:hAnsi="Arial"/>
                <w:sz w:val="14"/>
                <w:szCs w:val="14"/>
                <w:color w:val="auto"/>
              </w:rPr>
              <w:t>31,096</w:t>
            </w:r>
          </w:p>
        </w:tc>
        <w:tc>
          <w:tcPr>
            <w:tcW w:w="1240" w:type="dxa"/>
            <w:vAlign w:val="bottom"/>
          </w:tcPr>
          <w:p>
            <w:pPr>
              <w:jc w:val="right"/>
              <w:ind w:right="288"/>
              <w:spacing w:after="0"/>
              <w:rPr>
                <w:sz w:val="20"/>
                <w:szCs w:val="20"/>
                <w:color w:val="auto"/>
              </w:rPr>
            </w:pPr>
            <w:r>
              <w:rPr>
                <w:rFonts w:ascii="Arial" w:cs="Arial" w:eastAsia="Arial" w:hAnsi="Arial"/>
                <w:sz w:val="14"/>
                <w:szCs w:val="14"/>
                <w:color w:val="auto"/>
              </w:rPr>
              <w:t>11,774</w:t>
            </w:r>
          </w:p>
        </w:tc>
        <w:tc>
          <w:tcPr>
            <w:tcW w:w="1120" w:type="dxa"/>
            <w:vAlign w:val="bottom"/>
          </w:tcPr>
          <w:p>
            <w:pPr>
              <w:jc w:val="right"/>
              <w:spacing w:after="0"/>
              <w:rPr>
                <w:sz w:val="20"/>
                <w:szCs w:val="20"/>
                <w:color w:val="auto"/>
              </w:rPr>
            </w:pPr>
            <w:r>
              <w:rPr>
                <w:rFonts w:ascii="Arial" w:cs="Arial" w:eastAsia="Arial" w:hAnsi="Arial"/>
                <w:sz w:val="14"/>
                <w:szCs w:val="14"/>
                <w:color w:val="auto"/>
              </w:rPr>
              <w:t>24,702</w:t>
            </w:r>
          </w:p>
        </w:tc>
        <w:tc>
          <w:tcPr>
            <w:tcW w:w="1500" w:type="dxa"/>
            <w:vAlign w:val="bottom"/>
          </w:tcPr>
          <w:p>
            <w:pPr>
              <w:jc w:val="right"/>
              <w:spacing w:after="0"/>
              <w:rPr>
                <w:sz w:val="20"/>
                <w:szCs w:val="20"/>
                <w:color w:val="auto"/>
              </w:rPr>
            </w:pPr>
            <w:r>
              <w:rPr>
                <w:rFonts w:ascii="Arial" w:cs="Arial" w:eastAsia="Arial" w:hAnsi="Arial"/>
                <w:sz w:val="14"/>
                <w:szCs w:val="14"/>
                <w:color w:val="auto"/>
              </w:rPr>
              <w:t>67,572</w:t>
            </w:r>
          </w:p>
        </w:tc>
        <w:tc>
          <w:tcPr>
            <w:tcW w:w="0" w:type="dxa"/>
            <w:vAlign w:val="bottom"/>
          </w:tcPr>
          <w:p>
            <w:pPr>
              <w:spacing w:after="0"/>
              <w:rPr>
                <w:sz w:val="1"/>
                <w:szCs w:val="1"/>
                <w:color w:val="auto"/>
              </w:rPr>
            </w:pPr>
          </w:p>
        </w:tc>
      </w:tr>
      <w:tr>
        <w:trPr>
          <w:trHeight w:val="124"/>
        </w:trPr>
        <w:tc>
          <w:tcPr>
            <w:tcW w:w="5660" w:type="dxa"/>
            <w:vAlign w:val="bottom"/>
            <w:tcBorders>
              <w:bottom w:val="single" w:sz="8" w:color="939598"/>
            </w:tcBorders>
          </w:tcPr>
          <w:p>
            <w:pPr>
              <w:spacing w:after="0"/>
              <w:rPr>
                <w:sz w:val="10"/>
                <w:szCs w:val="10"/>
                <w:color w:val="auto"/>
              </w:rPr>
            </w:pPr>
          </w:p>
        </w:tc>
        <w:tc>
          <w:tcPr>
            <w:tcW w:w="1700" w:type="dxa"/>
            <w:vAlign w:val="bottom"/>
            <w:tcBorders>
              <w:bottom w:val="single" w:sz="8" w:color="939598"/>
            </w:tcBorders>
          </w:tcPr>
          <w:p>
            <w:pPr>
              <w:spacing w:after="0"/>
              <w:rPr>
                <w:sz w:val="10"/>
                <w:szCs w:val="10"/>
                <w:color w:val="auto"/>
              </w:rPr>
            </w:pPr>
          </w:p>
        </w:tc>
        <w:tc>
          <w:tcPr>
            <w:tcW w:w="1240" w:type="dxa"/>
            <w:vAlign w:val="bottom"/>
            <w:tcBorders>
              <w:bottom w:val="single" w:sz="8" w:color="939598"/>
            </w:tcBorders>
          </w:tcPr>
          <w:p>
            <w:pPr>
              <w:spacing w:after="0"/>
              <w:rPr>
                <w:sz w:val="10"/>
                <w:szCs w:val="10"/>
                <w:color w:val="auto"/>
              </w:rPr>
            </w:pPr>
          </w:p>
        </w:tc>
        <w:tc>
          <w:tcPr>
            <w:tcW w:w="1120" w:type="dxa"/>
            <w:vAlign w:val="bottom"/>
            <w:tcBorders>
              <w:bottom w:val="single" w:sz="8" w:color="939598"/>
            </w:tcBorders>
          </w:tcPr>
          <w:p>
            <w:pPr>
              <w:spacing w:after="0"/>
              <w:rPr>
                <w:sz w:val="10"/>
                <w:szCs w:val="10"/>
                <w:color w:val="auto"/>
              </w:rPr>
            </w:pPr>
          </w:p>
        </w:tc>
        <w:tc>
          <w:tcPr>
            <w:tcW w:w="150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315"/>
        </w:trPr>
        <w:tc>
          <w:tcPr>
            <w:tcW w:w="5660" w:type="dxa"/>
            <w:vAlign w:val="bottom"/>
          </w:tcPr>
          <w:p>
            <w:pPr>
              <w:ind w:left="20"/>
              <w:spacing w:after="0"/>
              <w:rPr>
                <w:sz w:val="20"/>
                <w:szCs w:val="20"/>
                <w:color w:val="auto"/>
              </w:rPr>
            </w:pPr>
            <w:r>
              <w:rPr>
                <w:rFonts w:ascii="Arial" w:cs="Arial" w:eastAsia="Arial" w:hAnsi="Arial"/>
                <w:sz w:val="14"/>
                <w:szCs w:val="14"/>
                <w:b w:val="1"/>
                <w:bCs w:val="1"/>
                <w:color w:val="auto"/>
              </w:rPr>
              <w:t>Deborah Flint</w:t>
            </w:r>
          </w:p>
        </w:tc>
        <w:tc>
          <w:tcPr>
            <w:tcW w:w="1700" w:type="dxa"/>
            <w:vAlign w:val="bottom"/>
          </w:tcPr>
          <w:p>
            <w:pPr>
              <w:jc w:val="right"/>
              <w:ind w:right="228"/>
              <w:spacing w:after="0"/>
              <w:rPr>
                <w:sz w:val="20"/>
                <w:szCs w:val="20"/>
                <w:color w:val="auto"/>
              </w:rPr>
            </w:pPr>
            <w:r>
              <w:rPr>
                <w:rFonts w:ascii="Arial" w:cs="Arial" w:eastAsia="Arial" w:hAnsi="Arial"/>
                <w:sz w:val="14"/>
                <w:szCs w:val="14"/>
                <w:color w:val="auto"/>
              </w:rPr>
              <w:t>2,432</w:t>
            </w:r>
          </w:p>
        </w:tc>
        <w:tc>
          <w:tcPr>
            <w:tcW w:w="1240" w:type="dxa"/>
            <w:vAlign w:val="bottom"/>
          </w:tcPr>
          <w:p>
            <w:pPr>
              <w:jc w:val="right"/>
              <w:ind w:right="288"/>
              <w:spacing w:after="0"/>
              <w:rPr>
                <w:sz w:val="20"/>
                <w:szCs w:val="20"/>
                <w:color w:val="auto"/>
              </w:rPr>
            </w:pPr>
            <w:r>
              <w:rPr>
                <w:rFonts w:ascii="Arial" w:cs="Arial" w:eastAsia="Arial" w:hAnsi="Arial"/>
                <w:sz w:val="14"/>
                <w:szCs w:val="14"/>
                <w:color w:val="auto"/>
              </w:rPr>
              <w:t>8,650</w:t>
            </w:r>
          </w:p>
        </w:tc>
        <w:tc>
          <w:tcPr>
            <w:tcW w:w="1120" w:type="dxa"/>
            <w:vAlign w:val="bottom"/>
          </w:tcPr>
          <w:p>
            <w:pPr>
              <w:jc w:val="right"/>
              <w:spacing w:after="0"/>
              <w:rPr>
                <w:sz w:val="20"/>
                <w:szCs w:val="20"/>
                <w:color w:val="auto"/>
              </w:rPr>
            </w:pPr>
            <w:r>
              <w:rPr>
                <w:rFonts w:ascii="Arial" w:cs="Arial" w:eastAsia="Arial" w:hAnsi="Arial"/>
                <w:sz w:val="14"/>
                <w:szCs w:val="14"/>
                <w:color w:val="auto"/>
              </w:rPr>
              <w:t>5,514</w:t>
            </w:r>
          </w:p>
        </w:tc>
        <w:tc>
          <w:tcPr>
            <w:tcW w:w="1500" w:type="dxa"/>
            <w:vAlign w:val="bottom"/>
          </w:tcPr>
          <w:p>
            <w:pPr>
              <w:jc w:val="right"/>
              <w:spacing w:after="0"/>
              <w:rPr>
                <w:sz w:val="20"/>
                <w:szCs w:val="20"/>
                <w:color w:val="auto"/>
              </w:rPr>
            </w:pPr>
            <w:r>
              <w:rPr>
                <w:rFonts w:ascii="Arial" w:cs="Arial" w:eastAsia="Arial" w:hAnsi="Arial"/>
                <w:sz w:val="14"/>
                <w:szCs w:val="14"/>
                <w:color w:val="auto"/>
              </w:rPr>
              <w:t>16,596</w:t>
            </w:r>
          </w:p>
        </w:tc>
        <w:tc>
          <w:tcPr>
            <w:tcW w:w="0" w:type="dxa"/>
            <w:vAlign w:val="bottom"/>
          </w:tcPr>
          <w:p>
            <w:pPr>
              <w:spacing w:after="0"/>
              <w:rPr>
                <w:sz w:val="1"/>
                <w:szCs w:val="1"/>
                <w:color w:val="auto"/>
              </w:rPr>
            </w:pPr>
          </w:p>
        </w:tc>
      </w:tr>
      <w:tr>
        <w:trPr>
          <w:trHeight w:val="124"/>
        </w:trPr>
        <w:tc>
          <w:tcPr>
            <w:tcW w:w="5660" w:type="dxa"/>
            <w:vAlign w:val="bottom"/>
            <w:tcBorders>
              <w:bottom w:val="single" w:sz="8" w:color="939598"/>
            </w:tcBorders>
          </w:tcPr>
          <w:p>
            <w:pPr>
              <w:spacing w:after="0"/>
              <w:rPr>
                <w:sz w:val="10"/>
                <w:szCs w:val="10"/>
                <w:color w:val="auto"/>
              </w:rPr>
            </w:pPr>
          </w:p>
        </w:tc>
        <w:tc>
          <w:tcPr>
            <w:tcW w:w="1700" w:type="dxa"/>
            <w:vAlign w:val="bottom"/>
            <w:tcBorders>
              <w:bottom w:val="single" w:sz="8" w:color="939598"/>
            </w:tcBorders>
          </w:tcPr>
          <w:p>
            <w:pPr>
              <w:spacing w:after="0"/>
              <w:rPr>
                <w:sz w:val="10"/>
                <w:szCs w:val="10"/>
                <w:color w:val="auto"/>
              </w:rPr>
            </w:pPr>
          </w:p>
        </w:tc>
        <w:tc>
          <w:tcPr>
            <w:tcW w:w="1240" w:type="dxa"/>
            <w:vAlign w:val="bottom"/>
            <w:tcBorders>
              <w:bottom w:val="single" w:sz="8" w:color="939598"/>
            </w:tcBorders>
          </w:tcPr>
          <w:p>
            <w:pPr>
              <w:spacing w:after="0"/>
              <w:rPr>
                <w:sz w:val="10"/>
                <w:szCs w:val="10"/>
                <w:color w:val="auto"/>
              </w:rPr>
            </w:pPr>
          </w:p>
        </w:tc>
        <w:tc>
          <w:tcPr>
            <w:tcW w:w="1120" w:type="dxa"/>
            <w:vAlign w:val="bottom"/>
            <w:tcBorders>
              <w:bottom w:val="single" w:sz="8" w:color="939598"/>
            </w:tcBorders>
          </w:tcPr>
          <w:p>
            <w:pPr>
              <w:spacing w:after="0"/>
              <w:rPr>
                <w:sz w:val="10"/>
                <w:szCs w:val="10"/>
                <w:color w:val="auto"/>
              </w:rPr>
            </w:pPr>
          </w:p>
        </w:tc>
        <w:tc>
          <w:tcPr>
            <w:tcW w:w="150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315"/>
        </w:trPr>
        <w:tc>
          <w:tcPr>
            <w:tcW w:w="5660" w:type="dxa"/>
            <w:vAlign w:val="bottom"/>
          </w:tcPr>
          <w:p>
            <w:pPr>
              <w:ind w:left="20"/>
              <w:spacing w:after="0"/>
              <w:rPr>
                <w:sz w:val="20"/>
                <w:szCs w:val="20"/>
                <w:color w:val="auto"/>
              </w:rPr>
            </w:pPr>
            <w:r>
              <w:rPr>
                <w:rFonts w:ascii="Arial" w:cs="Arial" w:eastAsia="Arial" w:hAnsi="Arial"/>
                <w:sz w:val="14"/>
                <w:szCs w:val="14"/>
                <w:b w:val="1"/>
                <w:bCs w:val="1"/>
                <w:color w:val="auto"/>
              </w:rPr>
              <w:t>Vimal Kapur</w:t>
            </w:r>
          </w:p>
        </w:tc>
        <w:tc>
          <w:tcPr>
            <w:tcW w:w="1700" w:type="dxa"/>
            <w:vAlign w:val="bottom"/>
          </w:tcPr>
          <w:p>
            <w:pPr>
              <w:jc w:val="right"/>
              <w:ind w:right="228"/>
              <w:spacing w:after="0"/>
              <w:rPr>
                <w:sz w:val="20"/>
                <w:szCs w:val="20"/>
                <w:color w:val="auto"/>
              </w:rPr>
            </w:pPr>
            <w:r>
              <w:rPr>
                <w:rFonts w:ascii="Arial" w:cs="Arial" w:eastAsia="Arial" w:hAnsi="Arial"/>
                <w:sz w:val="14"/>
                <w:szCs w:val="14"/>
                <w:color w:val="auto"/>
              </w:rPr>
              <w:t>46,954</w:t>
            </w:r>
          </w:p>
        </w:tc>
        <w:tc>
          <w:tcPr>
            <w:tcW w:w="1240" w:type="dxa"/>
            <w:vAlign w:val="bottom"/>
          </w:tcPr>
          <w:p>
            <w:pPr>
              <w:jc w:val="right"/>
              <w:ind w:right="288"/>
              <w:spacing w:after="0"/>
              <w:rPr>
                <w:sz w:val="20"/>
                <w:szCs w:val="20"/>
                <w:color w:val="auto"/>
              </w:rPr>
            </w:pPr>
            <w:r>
              <w:rPr>
                <w:rFonts w:ascii="Arial" w:cs="Arial" w:eastAsia="Arial" w:hAnsi="Arial"/>
                <w:sz w:val="14"/>
                <w:szCs w:val="14"/>
                <w:color w:val="auto"/>
              </w:rPr>
              <w:t>305,611</w:t>
            </w:r>
          </w:p>
        </w:tc>
        <w:tc>
          <w:tcPr>
            <w:tcW w:w="1120" w:type="dxa"/>
            <w:vAlign w:val="bottom"/>
          </w:tcPr>
          <w:p>
            <w:pPr>
              <w:jc w:val="right"/>
              <w:spacing w:after="0"/>
              <w:rPr>
                <w:sz w:val="20"/>
                <w:szCs w:val="20"/>
                <w:color w:val="auto"/>
              </w:rPr>
            </w:pPr>
            <w:r>
              <w:rPr>
                <w:rFonts w:ascii="Arial" w:cs="Arial" w:eastAsia="Arial" w:hAnsi="Arial"/>
                <w:sz w:val="14"/>
                <w:szCs w:val="14"/>
                <w:color w:val="auto"/>
              </w:rPr>
              <w:t>1,967</w:t>
            </w:r>
          </w:p>
        </w:tc>
        <w:tc>
          <w:tcPr>
            <w:tcW w:w="1500" w:type="dxa"/>
            <w:vAlign w:val="bottom"/>
          </w:tcPr>
          <w:p>
            <w:pPr>
              <w:jc w:val="right"/>
              <w:spacing w:after="0"/>
              <w:rPr>
                <w:sz w:val="20"/>
                <w:szCs w:val="20"/>
                <w:color w:val="auto"/>
              </w:rPr>
            </w:pPr>
            <w:r>
              <w:rPr>
                <w:rFonts w:ascii="Arial" w:cs="Arial" w:eastAsia="Arial" w:hAnsi="Arial"/>
                <w:sz w:val="14"/>
                <w:szCs w:val="14"/>
                <w:color w:val="auto"/>
              </w:rPr>
              <w:t>354,532</w:t>
            </w:r>
          </w:p>
        </w:tc>
        <w:tc>
          <w:tcPr>
            <w:tcW w:w="0" w:type="dxa"/>
            <w:vAlign w:val="bottom"/>
          </w:tcPr>
          <w:p>
            <w:pPr>
              <w:spacing w:after="0"/>
              <w:rPr>
                <w:sz w:val="1"/>
                <w:szCs w:val="1"/>
                <w:color w:val="auto"/>
              </w:rPr>
            </w:pPr>
          </w:p>
        </w:tc>
      </w:tr>
      <w:tr>
        <w:trPr>
          <w:trHeight w:val="124"/>
        </w:trPr>
        <w:tc>
          <w:tcPr>
            <w:tcW w:w="5660" w:type="dxa"/>
            <w:vAlign w:val="bottom"/>
            <w:tcBorders>
              <w:bottom w:val="single" w:sz="8" w:color="939598"/>
            </w:tcBorders>
          </w:tcPr>
          <w:p>
            <w:pPr>
              <w:spacing w:after="0"/>
              <w:rPr>
                <w:sz w:val="10"/>
                <w:szCs w:val="10"/>
                <w:color w:val="auto"/>
              </w:rPr>
            </w:pPr>
          </w:p>
        </w:tc>
        <w:tc>
          <w:tcPr>
            <w:tcW w:w="1700" w:type="dxa"/>
            <w:vAlign w:val="bottom"/>
            <w:tcBorders>
              <w:bottom w:val="single" w:sz="8" w:color="939598"/>
            </w:tcBorders>
          </w:tcPr>
          <w:p>
            <w:pPr>
              <w:spacing w:after="0"/>
              <w:rPr>
                <w:sz w:val="10"/>
                <w:szCs w:val="10"/>
                <w:color w:val="auto"/>
              </w:rPr>
            </w:pPr>
          </w:p>
        </w:tc>
        <w:tc>
          <w:tcPr>
            <w:tcW w:w="1240" w:type="dxa"/>
            <w:vAlign w:val="bottom"/>
            <w:tcBorders>
              <w:bottom w:val="single" w:sz="8" w:color="939598"/>
            </w:tcBorders>
          </w:tcPr>
          <w:p>
            <w:pPr>
              <w:spacing w:after="0"/>
              <w:rPr>
                <w:sz w:val="10"/>
                <w:szCs w:val="10"/>
                <w:color w:val="auto"/>
              </w:rPr>
            </w:pPr>
          </w:p>
        </w:tc>
        <w:tc>
          <w:tcPr>
            <w:tcW w:w="1120" w:type="dxa"/>
            <w:vAlign w:val="bottom"/>
            <w:tcBorders>
              <w:bottom w:val="single" w:sz="8" w:color="939598"/>
            </w:tcBorders>
          </w:tcPr>
          <w:p>
            <w:pPr>
              <w:spacing w:after="0"/>
              <w:rPr>
                <w:sz w:val="10"/>
                <w:szCs w:val="10"/>
                <w:color w:val="auto"/>
              </w:rPr>
            </w:pPr>
          </w:p>
        </w:tc>
        <w:tc>
          <w:tcPr>
            <w:tcW w:w="150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315"/>
        </w:trPr>
        <w:tc>
          <w:tcPr>
            <w:tcW w:w="5660" w:type="dxa"/>
            <w:vAlign w:val="bottom"/>
          </w:tcPr>
          <w:p>
            <w:pPr>
              <w:ind w:left="20"/>
              <w:spacing w:after="0"/>
              <w:rPr>
                <w:sz w:val="20"/>
                <w:szCs w:val="20"/>
                <w:color w:val="auto"/>
              </w:rPr>
            </w:pPr>
            <w:r>
              <w:rPr>
                <w:rFonts w:ascii="Arial" w:cs="Arial" w:eastAsia="Arial" w:hAnsi="Arial"/>
                <w:sz w:val="14"/>
                <w:szCs w:val="14"/>
                <w:b w:val="1"/>
                <w:bCs w:val="1"/>
                <w:color w:val="auto"/>
              </w:rPr>
              <w:t>Michael W. Lamach</w:t>
            </w:r>
          </w:p>
        </w:tc>
        <w:tc>
          <w:tcPr>
            <w:tcW w:w="1700" w:type="dxa"/>
            <w:vAlign w:val="bottom"/>
          </w:tcPr>
          <w:p>
            <w:pPr>
              <w:jc w:val="right"/>
              <w:ind w:right="228"/>
              <w:spacing w:after="0"/>
              <w:rPr>
                <w:sz w:val="20"/>
                <w:szCs w:val="20"/>
                <w:color w:val="auto"/>
              </w:rPr>
            </w:pPr>
            <w:r>
              <w:rPr>
                <w:rFonts w:ascii="Arial" w:cs="Arial" w:eastAsia="Arial" w:hAnsi="Arial"/>
                <w:sz w:val="14"/>
                <w:szCs w:val="14"/>
                <w:color w:val="auto"/>
              </w:rPr>
              <w:t>1,653</w:t>
            </w:r>
          </w:p>
        </w:tc>
        <w:tc>
          <w:tcPr>
            <w:tcW w:w="1240" w:type="dxa"/>
            <w:vAlign w:val="bottom"/>
          </w:tcPr>
          <w:p>
            <w:pPr>
              <w:jc w:val="right"/>
              <w:ind w:right="288"/>
              <w:spacing w:after="0"/>
              <w:rPr>
                <w:sz w:val="20"/>
                <w:szCs w:val="20"/>
                <w:color w:val="auto"/>
              </w:rPr>
            </w:pPr>
            <w:r>
              <w:rPr>
                <w:rFonts w:ascii="Arial" w:cs="Arial" w:eastAsia="Arial" w:hAnsi="Arial"/>
                <w:sz w:val="14"/>
                <w:szCs w:val="14"/>
                <w:color w:val="auto"/>
              </w:rPr>
              <w:t>1,098</w:t>
            </w:r>
          </w:p>
        </w:tc>
        <w:tc>
          <w:tcPr>
            <w:tcW w:w="1120" w:type="dxa"/>
            <w:vAlign w:val="bottom"/>
          </w:tcPr>
          <w:p>
            <w:pPr>
              <w:jc w:val="right"/>
              <w:spacing w:after="0"/>
              <w:rPr>
                <w:sz w:val="20"/>
                <w:szCs w:val="20"/>
                <w:color w:val="auto"/>
              </w:rPr>
            </w:pPr>
            <w:r>
              <w:rPr>
                <w:rFonts w:ascii="Arial" w:cs="Arial" w:eastAsia="Arial" w:hAnsi="Arial"/>
                <w:sz w:val="14"/>
                <w:szCs w:val="14"/>
                <w:color w:val="auto"/>
              </w:rPr>
              <w:t>945</w:t>
            </w:r>
          </w:p>
        </w:tc>
        <w:tc>
          <w:tcPr>
            <w:tcW w:w="1500" w:type="dxa"/>
            <w:vAlign w:val="bottom"/>
          </w:tcPr>
          <w:p>
            <w:pPr>
              <w:jc w:val="right"/>
              <w:spacing w:after="0"/>
              <w:rPr>
                <w:sz w:val="20"/>
                <w:szCs w:val="20"/>
                <w:color w:val="auto"/>
              </w:rPr>
            </w:pPr>
            <w:r>
              <w:rPr>
                <w:rFonts w:ascii="Arial" w:cs="Arial" w:eastAsia="Arial" w:hAnsi="Arial"/>
                <w:sz w:val="14"/>
                <w:szCs w:val="14"/>
                <w:color w:val="auto"/>
              </w:rPr>
              <w:t>3,696</w:t>
            </w:r>
          </w:p>
        </w:tc>
        <w:tc>
          <w:tcPr>
            <w:tcW w:w="0" w:type="dxa"/>
            <w:vAlign w:val="bottom"/>
          </w:tcPr>
          <w:p>
            <w:pPr>
              <w:spacing w:after="0"/>
              <w:rPr>
                <w:sz w:val="1"/>
                <w:szCs w:val="1"/>
                <w:color w:val="auto"/>
              </w:rPr>
            </w:pPr>
          </w:p>
        </w:tc>
      </w:tr>
      <w:tr>
        <w:trPr>
          <w:trHeight w:val="123"/>
        </w:trPr>
        <w:tc>
          <w:tcPr>
            <w:tcW w:w="5660" w:type="dxa"/>
            <w:vAlign w:val="bottom"/>
            <w:tcBorders>
              <w:bottom w:val="single" w:sz="8" w:color="939598"/>
            </w:tcBorders>
          </w:tcPr>
          <w:p>
            <w:pPr>
              <w:spacing w:after="0"/>
              <w:rPr>
                <w:sz w:val="10"/>
                <w:szCs w:val="10"/>
                <w:color w:val="auto"/>
              </w:rPr>
            </w:pPr>
          </w:p>
        </w:tc>
        <w:tc>
          <w:tcPr>
            <w:tcW w:w="1700" w:type="dxa"/>
            <w:vAlign w:val="bottom"/>
            <w:tcBorders>
              <w:bottom w:val="single" w:sz="8" w:color="939598"/>
            </w:tcBorders>
          </w:tcPr>
          <w:p>
            <w:pPr>
              <w:spacing w:after="0"/>
              <w:rPr>
                <w:sz w:val="10"/>
                <w:szCs w:val="10"/>
                <w:color w:val="auto"/>
              </w:rPr>
            </w:pPr>
          </w:p>
        </w:tc>
        <w:tc>
          <w:tcPr>
            <w:tcW w:w="1240" w:type="dxa"/>
            <w:vAlign w:val="bottom"/>
            <w:tcBorders>
              <w:bottom w:val="single" w:sz="8" w:color="939598"/>
            </w:tcBorders>
          </w:tcPr>
          <w:p>
            <w:pPr>
              <w:spacing w:after="0"/>
              <w:rPr>
                <w:sz w:val="10"/>
                <w:szCs w:val="10"/>
                <w:color w:val="auto"/>
              </w:rPr>
            </w:pPr>
          </w:p>
        </w:tc>
        <w:tc>
          <w:tcPr>
            <w:tcW w:w="1120" w:type="dxa"/>
            <w:vAlign w:val="bottom"/>
            <w:tcBorders>
              <w:bottom w:val="single" w:sz="8" w:color="939598"/>
            </w:tcBorders>
          </w:tcPr>
          <w:p>
            <w:pPr>
              <w:spacing w:after="0"/>
              <w:rPr>
                <w:sz w:val="10"/>
                <w:szCs w:val="10"/>
                <w:color w:val="auto"/>
              </w:rPr>
            </w:pPr>
          </w:p>
        </w:tc>
        <w:tc>
          <w:tcPr>
            <w:tcW w:w="150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315"/>
        </w:trPr>
        <w:tc>
          <w:tcPr>
            <w:tcW w:w="5660" w:type="dxa"/>
            <w:vAlign w:val="bottom"/>
          </w:tcPr>
          <w:p>
            <w:pPr>
              <w:ind w:left="20"/>
              <w:spacing w:after="0"/>
              <w:rPr>
                <w:sz w:val="20"/>
                <w:szCs w:val="20"/>
                <w:color w:val="auto"/>
              </w:rPr>
            </w:pPr>
            <w:r>
              <w:rPr>
                <w:rFonts w:ascii="Arial" w:cs="Arial" w:eastAsia="Arial" w:hAnsi="Arial"/>
                <w:sz w:val="14"/>
                <w:szCs w:val="14"/>
                <w:b w:val="1"/>
                <w:bCs w:val="1"/>
                <w:color w:val="auto"/>
              </w:rPr>
              <w:t>Grace Lieblein</w:t>
            </w:r>
          </w:p>
        </w:tc>
        <w:tc>
          <w:tcPr>
            <w:tcW w:w="1700" w:type="dxa"/>
            <w:vAlign w:val="bottom"/>
          </w:tcPr>
          <w:p>
            <w:pPr>
              <w:jc w:val="right"/>
              <w:ind w:right="228"/>
              <w:spacing w:after="0"/>
              <w:rPr>
                <w:sz w:val="20"/>
                <w:szCs w:val="20"/>
                <w:color w:val="auto"/>
              </w:rPr>
            </w:pPr>
            <w:r>
              <w:rPr>
                <w:rFonts w:ascii="Arial" w:cs="Arial" w:eastAsia="Arial" w:hAnsi="Arial"/>
                <w:sz w:val="14"/>
                <w:szCs w:val="14"/>
                <w:color w:val="auto"/>
              </w:rPr>
              <w:t>15,939</w:t>
            </w:r>
          </w:p>
        </w:tc>
        <w:tc>
          <w:tcPr>
            <w:tcW w:w="1240" w:type="dxa"/>
            <w:vAlign w:val="bottom"/>
          </w:tcPr>
          <w:p>
            <w:pPr>
              <w:jc w:val="right"/>
              <w:ind w:right="288"/>
              <w:spacing w:after="0"/>
              <w:rPr>
                <w:sz w:val="20"/>
                <w:szCs w:val="20"/>
                <w:color w:val="auto"/>
              </w:rPr>
            </w:pPr>
            <w:r>
              <w:rPr>
                <w:rFonts w:ascii="Arial" w:cs="Arial" w:eastAsia="Arial" w:hAnsi="Arial"/>
                <w:sz w:val="14"/>
                <w:szCs w:val="14"/>
                <w:color w:val="auto"/>
              </w:rPr>
              <w:t>7,168</w:t>
            </w:r>
          </w:p>
        </w:tc>
        <w:tc>
          <w:tcPr>
            <w:tcW w:w="1120" w:type="dxa"/>
            <w:vAlign w:val="bottom"/>
          </w:tcPr>
          <w:p>
            <w:pPr>
              <w:jc w:val="right"/>
              <w:spacing w:after="0"/>
              <w:rPr>
                <w:sz w:val="20"/>
                <w:szCs w:val="20"/>
                <w:color w:val="auto"/>
              </w:rPr>
            </w:pPr>
            <w:r>
              <w:rPr>
                <w:rFonts w:ascii="Arial" w:cs="Arial" w:eastAsia="Arial" w:hAnsi="Arial"/>
                <w:sz w:val="14"/>
                <w:szCs w:val="14"/>
                <w:color w:val="auto"/>
              </w:rPr>
              <w:t>8,355</w:t>
            </w:r>
          </w:p>
        </w:tc>
        <w:tc>
          <w:tcPr>
            <w:tcW w:w="1500" w:type="dxa"/>
            <w:vAlign w:val="bottom"/>
          </w:tcPr>
          <w:p>
            <w:pPr>
              <w:jc w:val="right"/>
              <w:spacing w:after="0"/>
              <w:rPr>
                <w:sz w:val="20"/>
                <w:szCs w:val="20"/>
                <w:color w:val="auto"/>
              </w:rPr>
            </w:pPr>
            <w:r>
              <w:rPr>
                <w:rFonts w:ascii="Arial" w:cs="Arial" w:eastAsia="Arial" w:hAnsi="Arial"/>
                <w:sz w:val="14"/>
                <w:szCs w:val="14"/>
                <w:color w:val="auto"/>
              </w:rPr>
              <w:t>31,462</w:t>
            </w:r>
          </w:p>
        </w:tc>
        <w:tc>
          <w:tcPr>
            <w:tcW w:w="0" w:type="dxa"/>
            <w:vAlign w:val="bottom"/>
          </w:tcPr>
          <w:p>
            <w:pPr>
              <w:spacing w:after="0"/>
              <w:rPr>
                <w:sz w:val="1"/>
                <w:szCs w:val="1"/>
                <w:color w:val="auto"/>
              </w:rPr>
            </w:pPr>
          </w:p>
        </w:tc>
      </w:tr>
      <w:tr>
        <w:trPr>
          <w:trHeight w:val="124"/>
        </w:trPr>
        <w:tc>
          <w:tcPr>
            <w:tcW w:w="5660" w:type="dxa"/>
            <w:vAlign w:val="bottom"/>
            <w:tcBorders>
              <w:bottom w:val="single" w:sz="8" w:color="939598"/>
            </w:tcBorders>
          </w:tcPr>
          <w:p>
            <w:pPr>
              <w:spacing w:after="0"/>
              <w:rPr>
                <w:sz w:val="10"/>
                <w:szCs w:val="10"/>
                <w:color w:val="auto"/>
              </w:rPr>
            </w:pPr>
          </w:p>
        </w:tc>
        <w:tc>
          <w:tcPr>
            <w:tcW w:w="1700" w:type="dxa"/>
            <w:vAlign w:val="bottom"/>
            <w:tcBorders>
              <w:bottom w:val="single" w:sz="8" w:color="939598"/>
            </w:tcBorders>
          </w:tcPr>
          <w:p>
            <w:pPr>
              <w:spacing w:after="0"/>
              <w:rPr>
                <w:sz w:val="10"/>
                <w:szCs w:val="10"/>
                <w:color w:val="auto"/>
              </w:rPr>
            </w:pPr>
          </w:p>
        </w:tc>
        <w:tc>
          <w:tcPr>
            <w:tcW w:w="1240" w:type="dxa"/>
            <w:vAlign w:val="bottom"/>
            <w:tcBorders>
              <w:bottom w:val="single" w:sz="8" w:color="939598"/>
            </w:tcBorders>
          </w:tcPr>
          <w:p>
            <w:pPr>
              <w:spacing w:after="0"/>
              <w:rPr>
                <w:sz w:val="10"/>
                <w:szCs w:val="10"/>
                <w:color w:val="auto"/>
              </w:rPr>
            </w:pPr>
          </w:p>
        </w:tc>
        <w:tc>
          <w:tcPr>
            <w:tcW w:w="1120" w:type="dxa"/>
            <w:vAlign w:val="bottom"/>
            <w:tcBorders>
              <w:bottom w:val="single" w:sz="8" w:color="939598"/>
            </w:tcBorders>
          </w:tcPr>
          <w:p>
            <w:pPr>
              <w:spacing w:after="0"/>
              <w:rPr>
                <w:sz w:val="10"/>
                <w:szCs w:val="10"/>
                <w:color w:val="auto"/>
              </w:rPr>
            </w:pPr>
          </w:p>
        </w:tc>
        <w:tc>
          <w:tcPr>
            <w:tcW w:w="150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316"/>
        </w:trPr>
        <w:tc>
          <w:tcPr>
            <w:tcW w:w="5660" w:type="dxa"/>
            <w:vAlign w:val="bottom"/>
          </w:tcPr>
          <w:p>
            <w:pPr>
              <w:ind w:left="20"/>
              <w:spacing w:after="0"/>
              <w:rPr>
                <w:sz w:val="20"/>
                <w:szCs w:val="20"/>
                <w:color w:val="auto"/>
              </w:rPr>
            </w:pPr>
            <w:r>
              <w:rPr>
                <w:rFonts w:ascii="Arial" w:cs="Arial" w:eastAsia="Arial" w:hAnsi="Arial"/>
                <w:sz w:val="14"/>
                <w:szCs w:val="14"/>
                <w:b w:val="1"/>
                <w:bCs w:val="1"/>
                <w:color w:val="auto"/>
              </w:rPr>
              <w:t>Indra K. Nooyi</w:t>
            </w:r>
          </w:p>
        </w:tc>
        <w:tc>
          <w:tcPr>
            <w:tcW w:w="17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8"/>
              <w:spacing w:after="0"/>
              <w:rPr>
                <w:sz w:val="20"/>
                <w:szCs w:val="20"/>
                <w:color w:val="auto"/>
              </w:rPr>
            </w:pPr>
            <w:r>
              <w:rPr>
                <w:rFonts w:ascii="Arial" w:cs="Arial" w:eastAsia="Arial" w:hAnsi="Arial"/>
                <w:sz w:val="14"/>
                <w:szCs w:val="14"/>
                <w:color w:val="auto"/>
              </w:rPr>
              <w:t>256</w:t>
            </w:r>
          </w:p>
        </w:tc>
        <w:tc>
          <w:tcPr>
            <w:tcW w:w="1120" w:type="dxa"/>
            <w:vAlign w:val="bottom"/>
          </w:tcPr>
          <w:p>
            <w:pPr>
              <w:jc w:val="right"/>
              <w:spacing w:after="0"/>
              <w:rPr>
                <w:sz w:val="20"/>
                <w:szCs w:val="20"/>
                <w:color w:val="auto"/>
              </w:rPr>
            </w:pPr>
            <w:r>
              <w:rPr>
                <w:rFonts w:ascii="Arial" w:cs="Arial" w:eastAsia="Arial" w:hAnsi="Arial"/>
                <w:sz w:val="14"/>
                <w:szCs w:val="14"/>
                <w:color w:val="auto"/>
              </w:rPr>
              <w:t>307</w:t>
            </w:r>
          </w:p>
        </w:tc>
        <w:tc>
          <w:tcPr>
            <w:tcW w:w="1500" w:type="dxa"/>
            <w:vAlign w:val="bottom"/>
          </w:tcPr>
          <w:p>
            <w:pPr>
              <w:jc w:val="right"/>
              <w:spacing w:after="0"/>
              <w:rPr>
                <w:sz w:val="20"/>
                <w:szCs w:val="20"/>
                <w:color w:val="auto"/>
              </w:rPr>
            </w:pPr>
            <w:r>
              <w:rPr>
                <w:rFonts w:ascii="Arial" w:cs="Arial" w:eastAsia="Arial" w:hAnsi="Arial"/>
                <w:sz w:val="14"/>
                <w:szCs w:val="14"/>
                <w:color w:val="auto"/>
              </w:rPr>
              <w:t>563</w:t>
            </w:r>
          </w:p>
        </w:tc>
        <w:tc>
          <w:tcPr>
            <w:tcW w:w="0" w:type="dxa"/>
            <w:vAlign w:val="bottom"/>
          </w:tcPr>
          <w:p>
            <w:pPr>
              <w:spacing w:after="0"/>
              <w:rPr>
                <w:sz w:val="1"/>
                <w:szCs w:val="1"/>
                <w:color w:val="auto"/>
              </w:rPr>
            </w:pPr>
          </w:p>
        </w:tc>
      </w:tr>
      <w:tr>
        <w:trPr>
          <w:trHeight w:val="123"/>
        </w:trPr>
        <w:tc>
          <w:tcPr>
            <w:tcW w:w="5660" w:type="dxa"/>
            <w:vAlign w:val="bottom"/>
            <w:tcBorders>
              <w:bottom w:val="single" w:sz="8" w:color="939598"/>
            </w:tcBorders>
          </w:tcPr>
          <w:p>
            <w:pPr>
              <w:spacing w:after="0"/>
              <w:rPr>
                <w:sz w:val="10"/>
                <w:szCs w:val="10"/>
                <w:color w:val="auto"/>
              </w:rPr>
            </w:pPr>
          </w:p>
        </w:tc>
        <w:tc>
          <w:tcPr>
            <w:tcW w:w="1700" w:type="dxa"/>
            <w:vAlign w:val="bottom"/>
            <w:tcBorders>
              <w:bottom w:val="single" w:sz="8" w:color="939598"/>
            </w:tcBorders>
          </w:tcPr>
          <w:p>
            <w:pPr>
              <w:spacing w:after="0"/>
              <w:rPr>
                <w:sz w:val="10"/>
                <w:szCs w:val="10"/>
                <w:color w:val="auto"/>
              </w:rPr>
            </w:pPr>
          </w:p>
        </w:tc>
        <w:tc>
          <w:tcPr>
            <w:tcW w:w="1240" w:type="dxa"/>
            <w:vAlign w:val="bottom"/>
            <w:tcBorders>
              <w:bottom w:val="single" w:sz="8" w:color="939598"/>
            </w:tcBorders>
          </w:tcPr>
          <w:p>
            <w:pPr>
              <w:spacing w:after="0"/>
              <w:rPr>
                <w:sz w:val="10"/>
                <w:szCs w:val="10"/>
                <w:color w:val="auto"/>
              </w:rPr>
            </w:pPr>
          </w:p>
        </w:tc>
        <w:tc>
          <w:tcPr>
            <w:tcW w:w="1120" w:type="dxa"/>
            <w:vAlign w:val="bottom"/>
            <w:tcBorders>
              <w:bottom w:val="single" w:sz="8" w:color="939598"/>
            </w:tcBorders>
          </w:tcPr>
          <w:p>
            <w:pPr>
              <w:spacing w:after="0"/>
              <w:rPr>
                <w:sz w:val="10"/>
                <w:szCs w:val="10"/>
                <w:color w:val="auto"/>
              </w:rPr>
            </w:pPr>
          </w:p>
        </w:tc>
        <w:tc>
          <w:tcPr>
            <w:tcW w:w="150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5660" w:type="dxa"/>
            <w:vAlign w:val="bottom"/>
          </w:tcPr>
          <w:p>
            <w:pPr>
              <w:ind w:left="20"/>
              <w:spacing w:after="0"/>
              <w:rPr>
                <w:sz w:val="20"/>
                <w:szCs w:val="20"/>
                <w:color w:val="auto"/>
              </w:rPr>
            </w:pPr>
            <w:r>
              <w:rPr>
                <w:rFonts w:ascii="Arial" w:cs="Arial" w:eastAsia="Arial" w:hAnsi="Arial"/>
                <w:sz w:val="14"/>
                <w:szCs w:val="14"/>
                <w:b w:val="1"/>
                <w:bCs w:val="1"/>
                <w:color w:val="auto"/>
              </w:rPr>
              <w:t>Marc Steinberg</w:t>
            </w:r>
          </w:p>
        </w:tc>
        <w:tc>
          <w:tcPr>
            <w:tcW w:w="17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ind w:right="288"/>
              <w:spacing w:after="0"/>
              <w:rPr>
                <w:sz w:val="20"/>
                <w:szCs w:val="20"/>
                <w:color w:val="auto"/>
              </w:rPr>
            </w:pPr>
            <w:r>
              <w:rPr>
                <w:rFonts w:ascii="Arial" w:cs="Arial" w:eastAsia="Arial" w:hAnsi="Arial"/>
                <w:sz w:val="14"/>
                <w:szCs w:val="14"/>
                <w:color w:val="auto"/>
              </w:rPr>
              <w:t>605</w:t>
            </w: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475</w:t>
            </w:r>
          </w:p>
        </w:tc>
        <w:tc>
          <w:tcPr>
            <w:tcW w:w="1500" w:type="dxa"/>
            <w:vAlign w:val="bottom"/>
            <w:vMerge w:val="restart"/>
          </w:tcPr>
          <w:p>
            <w:pPr>
              <w:jc w:val="right"/>
              <w:spacing w:after="0"/>
              <w:rPr>
                <w:sz w:val="20"/>
                <w:szCs w:val="20"/>
                <w:color w:val="auto"/>
              </w:rPr>
            </w:pPr>
            <w:r>
              <w:rPr>
                <w:rFonts w:ascii="Arial" w:cs="Arial" w:eastAsia="Arial" w:hAnsi="Arial"/>
                <w:sz w:val="14"/>
                <w:szCs w:val="14"/>
                <w:color w:val="auto"/>
              </w:rPr>
              <w:t>1,080</w:t>
            </w:r>
          </w:p>
        </w:tc>
        <w:tc>
          <w:tcPr>
            <w:tcW w:w="0" w:type="dxa"/>
            <w:vAlign w:val="bottom"/>
          </w:tcPr>
          <w:p>
            <w:pPr>
              <w:spacing w:after="0"/>
              <w:rPr>
                <w:sz w:val="1"/>
                <w:szCs w:val="1"/>
                <w:color w:val="auto"/>
              </w:rPr>
            </w:pPr>
          </w:p>
        </w:tc>
      </w:tr>
      <w:tr>
        <w:trPr>
          <w:trHeight w:val="102"/>
        </w:trPr>
        <w:tc>
          <w:tcPr>
            <w:tcW w:w="566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5660" w:type="dxa"/>
            <w:vAlign w:val="bottom"/>
            <w:tcBorders>
              <w:bottom w:val="single" w:sz="8" w:color="939598"/>
            </w:tcBorders>
          </w:tcPr>
          <w:p>
            <w:pPr>
              <w:spacing w:after="0"/>
              <w:rPr>
                <w:sz w:val="11"/>
                <w:szCs w:val="11"/>
                <w:color w:val="auto"/>
              </w:rPr>
            </w:pPr>
          </w:p>
        </w:tc>
        <w:tc>
          <w:tcPr>
            <w:tcW w:w="1700" w:type="dxa"/>
            <w:vAlign w:val="bottom"/>
            <w:tcBorders>
              <w:bottom w:val="single" w:sz="8" w:color="939598"/>
            </w:tcBorders>
          </w:tcPr>
          <w:p>
            <w:pPr>
              <w:spacing w:after="0"/>
              <w:rPr>
                <w:sz w:val="11"/>
                <w:szCs w:val="11"/>
                <w:color w:val="auto"/>
              </w:rPr>
            </w:pPr>
          </w:p>
        </w:tc>
        <w:tc>
          <w:tcPr>
            <w:tcW w:w="1240" w:type="dxa"/>
            <w:vAlign w:val="bottom"/>
            <w:tcBorders>
              <w:bottom w:val="single" w:sz="8" w:color="939598"/>
            </w:tcBorders>
          </w:tcPr>
          <w:p>
            <w:pPr>
              <w:spacing w:after="0"/>
              <w:rPr>
                <w:sz w:val="11"/>
                <w:szCs w:val="11"/>
                <w:color w:val="auto"/>
              </w:rPr>
            </w:pPr>
          </w:p>
        </w:tc>
        <w:tc>
          <w:tcPr>
            <w:tcW w:w="1120" w:type="dxa"/>
            <w:vAlign w:val="bottom"/>
            <w:tcBorders>
              <w:bottom w:val="single" w:sz="8" w:color="939598"/>
            </w:tcBorders>
          </w:tcPr>
          <w:p>
            <w:pPr>
              <w:spacing w:after="0"/>
              <w:rPr>
                <w:sz w:val="11"/>
                <w:szCs w:val="11"/>
                <w:color w:val="auto"/>
              </w:rPr>
            </w:pPr>
          </w:p>
        </w:tc>
        <w:tc>
          <w:tcPr>
            <w:tcW w:w="150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316"/>
        </w:trPr>
        <w:tc>
          <w:tcPr>
            <w:tcW w:w="5660" w:type="dxa"/>
            <w:vAlign w:val="bottom"/>
          </w:tcPr>
          <w:p>
            <w:pPr>
              <w:ind w:left="20"/>
              <w:spacing w:after="0"/>
              <w:rPr>
                <w:sz w:val="20"/>
                <w:szCs w:val="20"/>
                <w:color w:val="auto"/>
              </w:rPr>
            </w:pPr>
            <w:r>
              <w:rPr>
                <w:rFonts w:ascii="Arial" w:cs="Arial" w:eastAsia="Arial" w:hAnsi="Arial"/>
                <w:sz w:val="14"/>
                <w:szCs w:val="14"/>
                <w:b w:val="1"/>
                <w:bCs w:val="1"/>
                <w:color w:val="auto"/>
              </w:rPr>
              <w:t>Robin Watson</w:t>
            </w:r>
          </w:p>
        </w:tc>
        <w:tc>
          <w:tcPr>
            <w:tcW w:w="1700" w:type="dxa"/>
            <w:vAlign w:val="bottom"/>
          </w:tcPr>
          <w:p>
            <w:pPr>
              <w:jc w:val="right"/>
              <w:ind w:right="228"/>
              <w:spacing w:after="0"/>
              <w:rPr>
                <w:sz w:val="20"/>
                <w:szCs w:val="20"/>
                <w:color w:val="auto"/>
              </w:rPr>
            </w:pPr>
            <w:r>
              <w:rPr>
                <w:rFonts w:ascii="Arial" w:cs="Arial" w:eastAsia="Arial" w:hAnsi="Arial"/>
                <w:sz w:val="14"/>
                <w:szCs w:val="14"/>
                <w:color w:val="auto"/>
              </w:rPr>
              <w:t>1,056</w:t>
            </w:r>
          </w:p>
        </w:tc>
        <w:tc>
          <w:tcPr>
            <w:tcW w:w="1240" w:type="dxa"/>
            <w:vAlign w:val="bottom"/>
          </w:tcPr>
          <w:p>
            <w:pPr>
              <w:jc w:val="right"/>
              <w:ind w:right="288"/>
              <w:spacing w:after="0"/>
              <w:rPr>
                <w:sz w:val="20"/>
                <w:szCs w:val="20"/>
                <w:color w:val="auto"/>
              </w:rPr>
            </w:pPr>
            <w:r>
              <w:rPr>
                <w:rFonts w:ascii="Arial" w:cs="Arial" w:eastAsia="Arial" w:hAnsi="Arial"/>
                <w:sz w:val="14"/>
                <w:szCs w:val="14"/>
                <w:color w:val="auto"/>
              </w:rPr>
              <w:t>2,683</w:t>
            </w:r>
          </w:p>
        </w:tc>
        <w:tc>
          <w:tcPr>
            <w:tcW w:w="1120" w:type="dxa"/>
            <w:vAlign w:val="bottom"/>
          </w:tcPr>
          <w:p>
            <w:pPr>
              <w:jc w:val="right"/>
              <w:spacing w:after="0"/>
              <w:rPr>
                <w:sz w:val="20"/>
                <w:szCs w:val="20"/>
                <w:color w:val="auto"/>
              </w:rPr>
            </w:pPr>
            <w:r>
              <w:rPr>
                <w:rFonts w:ascii="Arial" w:cs="Arial" w:eastAsia="Arial" w:hAnsi="Arial"/>
                <w:sz w:val="14"/>
                <w:szCs w:val="14"/>
                <w:color w:val="auto"/>
              </w:rPr>
              <w:t>1,355</w:t>
            </w:r>
          </w:p>
        </w:tc>
        <w:tc>
          <w:tcPr>
            <w:tcW w:w="1500" w:type="dxa"/>
            <w:vAlign w:val="bottom"/>
          </w:tcPr>
          <w:p>
            <w:pPr>
              <w:jc w:val="right"/>
              <w:spacing w:after="0"/>
              <w:rPr>
                <w:sz w:val="20"/>
                <w:szCs w:val="20"/>
                <w:color w:val="auto"/>
              </w:rPr>
            </w:pPr>
            <w:r>
              <w:rPr>
                <w:rFonts w:ascii="Arial" w:cs="Arial" w:eastAsia="Arial" w:hAnsi="Arial"/>
                <w:sz w:val="14"/>
                <w:szCs w:val="14"/>
                <w:color w:val="auto"/>
              </w:rPr>
              <w:t>5,094</w:t>
            </w:r>
          </w:p>
        </w:tc>
        <w:tc>
          <w:tcPr>
            <w:tcW w:w="0" w:type="dxa"/>
            <w:vAlign w:val="bottom"/>
          </w:tcPr>
          <w:p>
            <w:pPr>
              <w:spacing w:after="0"/>
              <w:rPr>
                <w:sz w:val="1"/>
                <w:szCs w:val="1"/>
                <w:color w:val="auto"/>
              </w:rPr>
            </w:pPr>
          </w:p>
        </w:tc>
      </w:tr>
      <w:tr>
        <w:trPr>
          <w:trHeight w:val="123"/>
        </w:trPr>
        <w:tc>
          <w:tcPr>
            <w:tcW w:w="5660" w:type="dxa"/>
            <w:vAlign w:val="bottom"/>
            <w:tcBorders>
              <w:bottom w:val="single" w:sz="8" w:color="939598"/>
            </w:tcBorders>
          </w:tcPr>
          <w:p>
            <w:pPr>
              <w:spacing w:after="0"/>
              <w:rPr>
                <w:sz w:val="10"/>
                <w:szCs w:val="10"/>
                <w:color w:val="auto"/>
              </w:rPr>
            </w:pPr>
          </w:p>
        </w:tc>
        <w:tc>
          <w:tcPr>
            <w:tcW w:w="1700" w:type="dxa"/>
            <w:vAlign w:val="bottom"/>
            <w:tcBorders>
              <w:bottom w:val="single" w:sz="8" w:color="939598"/>
            </w:tcBorders>
          </w:tcPr>
          <w:p>
            <w:pPr>
              <w:spacing w:after="0"/>
              <w:rPr>
                <w:sz w:val="10"/>
                <w:szCs w:val="10"/>
                <w:color w:val="auto"/>
              </w:rPr>
            </w:pPr>
          </w:p>
        </w:tc>
        <w:tc>
          <w:tcPr>
            <w:tcW w:w="1240" w:type="dxa"/>
            <w:vAlign w:val="bottom"/>
            <w:tcBorders>
              <w:bottom w:val="single" w:sz="8" w:color="939598"/>
            </w:tcBorders>
          </w:tcPr>
          <w:p>
            <w:pPr>
              <w:spacing w:after="0"/>
              <w:rPr>
                <w:sz w:val="10"/>
                <w:szCs w:val="10"/>
                <w:color w:val="auto"/>
              </w:rPr>
            </w:pPr>
          </w:p>
        </w:tc>
        <w:tc>
          <w:tcPr>
            <w:tcW w:w="1120" w:type="dxa"/>
            <w:vAlign w:val="bottom"/>
            <w:tcBorders>
              <w:bottom w:val="single" w:sz="8" w:color="939598"/>
            </w:tcBorders>
          </w:tcPr>
          <w:p>
            <w:pPr>
              <w:spacing w:after="0"/>
              <w:rPr>
                <w:sz w:val="10"/>
                <w:szCs w:val="10"/>
                <w:color w:val="auto"/>
              </w:rPr>
            </w:pPr>
          </w:p>
        </w:tc>
        <w:tc>
          <w:tcPr>
            <w:tcW w:w="150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5660" w:type="dxa"/>
            <w:vAlign w:val="bottom"/>
          </w:tcPr>
          <w:p>
            <w:pPr>
              <w:ind w:left="20"/>
              <w:spacing w:after="0"/>
              <w:rPr>
                <w:sz w:val="20"/>
                <w:szCs w:val="20"/>
                <w:color w:val="auto"/>
              </w:rPr>
            </w:pPr>
            <w:r>
              <w:rPr>
                <w:rFonts w:ascii="Arial" w:cs="Arial" w:eastAsia="Arial" w:hAnsi="Arial"/>
                <w:sz w:val="14"/>
                <w:szCs w:val="14"/>
                <w:b w:val="1"/>
                <w:bCs w:val="1"/>
                <w:color w:val="auto"/>
              </w:rPr>
              <w:t>Stephen Williamson</w:t>
            </w:r>
          </w:p>
        </w:tc>
        <w:tc>
          <w:tcPr>
            <w:tcW w:w="1700" w:type="dxa"/>
            <w:vAlign w:val="bottom"/>
            <w:vMerge w:val="restart"/>
          </w:tcPr>
          <w:p>
            <w:pPr>
              <w:jc w:val="right"/>
              <w:ind w:right="228"/>
              <w:spacing w:after="0"/>
              <w:rPr>
                <w:sz w:val="20"/>
                <w:szCs w:val="20"/>
                <w:color w:val="auto"/>
              </w:rPr>
            </w:pPr>
            <w:r>
              <w:rPr>
                <w:rFonts w:ascii="Arial" w:cs="Arial" w:eastAsia="Arial" w:hAnsi="Arial"/>
                <w:sz w:val="14"/>
                <w:szCs w:val="14"/>
                <w:color w:val="auto"/>
              </w:rPr>
              <w:t>164</w:t>
            </w:r>
          </w:p>
        </w:tc>
        <w:tc>
          <w:tcPr>
            <w:tcW w:w="1240" w:type="dxa"/>
            <w:vAlign w:val="bottom"/>
            <w:vMerge w:val="restart"/>
          </w:tcPr>
          <w:p>
            <w:pPr>
              <w:jc w:val="right"/>
              <w:ind w:right="288"/>
              <w:spacing w:after="0"/>
              <w:rPr>
                <w:sz w:val="20"/>
                <w:szCs w:val="20"/>
                <w:color w:val="auto"/>
              </w:rPr>
            </w:pPr>
            <w:r>
              <w:rPr>
                <w:rFonts w:ascii="Arial" w:cs="Arial" w:eastAsia="Arial" w:hAnsi="Arial"/>
                <w:sz w:val="14"/>
                <w:szCs w:val="14"/>
                <w:color w:val="auto"/>
              </w:rPr>
              <w:t>625</w:t>
            </w: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1,033</w:t>
            </w:r>
          </w:p>
        </w:tc>
        <w:tc>
          <w:tcPr>
            <w:tcW w:w="1500" w:type="dxa"/>
            <w:vAlign w:val="bottom"/>
            <w:vMerge w:val="restart"/>
          </w:tcPr>
          <w:p>
            <w:pPr>
              <w:jc w:val="right"/>
              <w:spacing w:after="0"/>
              <w:rPr>
                <w:sz w:val="20"/>
                <w:szCs w:val="20"/>
                <w:color w:val="auto"/>
              </w:rPr>
            </w:pPr>
            <w:r>
              <w:rPr>
                <w:rFonts w:ascii="Arial" w:cs="Arial" w:eastAsia="Arial" w:hAnsi="Arial"/>
                <w:sz w:val="14"/>
                <w:szCs w:val="14"/>
                <w:color w:val="auto"/>
              </w:rPr>
              <w:t>1,822</w:t>
            </w:r>
          </w:p>
        </w:tc>
        <w:tc>
          <w:tcPr>
            <w:tcW w:w="0" w:type="dxa"/>
            <w:vAlign w:val="bottom"/>
          </w:tcPr>
          <w:p>
            <w:pPr>
              <w:spacing w:after="0"/>
              <w:rPr>
                <w:sz w:val="1"/>
                <w:szCs w:val="1"/>
                <w:color w:val="auto"/>
              </w:rPr>
            </w:pPr>
          </w:p>
        </w:tc>
      </w:tr>
      <w:tr>
        <w:trPr>
          <w:trHeight w:val="102"/>
        </w:trPr>
        <w:tc>
          <w:tcPr>
            <w:tcW w:w="566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5660" w:type="dxa"/>
            <w:vAlign w:val="bottom"/>
            <w:tcBorders>
              <w:bottom w:val="single" w:sz="8" w:color="939598"/>
            </w:tcBorders>
          </w:tcPr>
          <w:p>
            <w:pPr>
              <w:spacing w:after="0"/>
              <w:rPr>
                <w:sz w:val="11"/>
                <w:szCs w:val="11"/>
                <w:color w:val="auto"/>
              </w:rPr>
            </w:pPr>
          </w:p>
        </w:tc>
        <w:tc>
          <w:tcPr>
            <w:tcW w:w="1700" w:type="dxa"/>
            <w:vAlign w:val="bottom"/>
            <w:tcBorders>
              <w:bottom w:val="single" w:sz="8" w:color="939598"/>
            </w:tcBorders>
          </w:tcPr>
          <w:p>
            <w:pPr>
              <w:spacing w:after="0"/>
              <w:rPr>
                <w:sz w:val="11"/>
                <w:szCs w:val="11"/>
                <w:color w:val="auto"/>
              </w:rPr>
            </w:pPr>
          </w:p>
        </w:tc>
        <w:tc>
          <w:tcPr>
            <w:tcW w:w="1240" w:type="dxa"/>
            <w:vAlign w:val="bottom"/>
            <w:tcBorders>
              <w:bottom w:val="single" w:sz="8" w:color="939598"/>
            </w:tcBorders>
          </w:tcPr>
          <w:p>
            <w:pPr>
              <w:spacing w:after="0"/>
              <w:rPr>
                <w:sz w:val="11"/>
                <w:szCs w:val="11"/>
                <w:color w:val="auto"/>
              </w:rPr>
            </w:pPr>
          </w:p>
        </w:tc>
        <w:tc>
          <w:tcPr>
            <w:tcW w:w="1120" w:type="dxa"/>
            <w:vAlign w:val="bottom"/>
            <w:tcBorders>
              <w:bottom w:val="single" w:sz="8" w:color="939598"/>
            </w:tcBorders>
          </w:tcPr>
          <w:p>
            <w:pPr>
              <w:spacing w:after="0"/>
              <w:rPr>
                <w:sz w:val="11"/>
                <w:szCs w:val="11"/>
                <w:color w:val="auto"/>
              </w:rPr>
            </w:pPr>
          </w:p>
        </w:tc>
        <w:tc>
          <w:tcPr>
            <w:tcW w:w="150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316"/>
        </w:trPr>
        <w:tc>
          <w:tcPr>
            <w:tcW w:w="5660" w:type="dxa"/>
            <w:vAlign w:val="bottom"/>
          </w:tcPr>
          <w:p>
            <w:pPr>
              <w:ind w:left="20"/>
              <w:spacing w:after="0"/>
              <w:rPr>
                <w:sz w:val="20"/>
                <w:szCs w:val="20"/>
                <w:color w:val="auto"/>
              </w:rPr>
            </w:pPr>
            <w:r>
              <w:rPr>
                <w:rFonts w:ascii="Arial" w:cs="Arial" w:eastAsia="Arial" w:hAnsi="Arial"/>
                <w:sz w:val="14"/>
                <w:szCs w:val="14"/>
                <w:b w:val="1"/>
                <w:bCs w:val="1"/>
                <w:color w:val="auto"/>
              </w:rPr>
              <w:t>Billal Hammoud</w:t>
            </w:r>
          </w:p>
        </w:tc>
        <w:tc>
          <w:tcPr>
            <w:tcW w:w="1700" w:type="dxa"/>
            <w:vAlign w:val="bottom"/>
          </w:tcPr>
          <w:p>
            <w:pPr>
              <w:jc w:val="right"/>
              <w:ind w:right="228"/>
              <w:spacing w:after="0"/>
              <w:rPr>
                <w:sz w:val="20"/>
                <w:szCs w:val="20"/>
                <w:color w:val="auto"/>
              </w:rPr>
            </w:pPr>
            <w:r>
              <w:rPr>
                <w:rFonts w:ascii="Arial" w:cs="Arial" w:eastAsia="Arial" w:hAnsi="Arial"/>
                <w:sz w:val="14"/>
                <w:szCs w:val="14"/>
                <w:color w:val="auto"/>
              </w:rPr>
              <w:t>5,767</w:t>
            </w:r>
          </w:p>
        </w:tc>
        <w:tc>
          <w:tcPr>
            <w:tcW w:w="1240" w:type="dxa"/>
            <w:vAlign w:val="bottom"/>
          </w:tcPr>
          <w:p>
            <w:pPr>
              <w:jc w:val="right"/>
              <w:ind w:right="288"/>
              <w:spacing w:after="0"/>
              <w:rPr>
                <w:sz w:val="20"/>
                <w:szCs w:val="20"/>
                <w:color w:val="auto"/>
              </w:rPr>
            </w:pPr>
            <w:r>
              <w:rPr>
                <w:rFonts w:ascii="Arial" w:cs="Arial" w:eastAsia="Arial" w:hAnsi="Arial"/>
                <w:sz w:val="14"/>
                <w:szCs w:val="14"/>
                <w:color w:val="auto"/>
              </w:rPr>
              <w:t>28,166</w:t>
            </w:r>
          </w:p>
        </w:tc>
        <w:tc>
          <w:tcPr>
            <w:tcW w:w="1120" w:type="dxa"/>
            <w:vAlign w:val="bottom"/>
          </w:tcPr>
          <w:p>
            <w:pPr>
              <w:jc w:val="right"/>
              <w:spacing w:after="0"/>
              <w:rPr>
                <w:sz w:val="20"/>
                <w:szCs w:val="20"/>
                <w:color w:val="auto"/>
              </w:rPr>
            </w:pPr>
            <w:r>
              <w:rPr>
                <w:rFonts w:ascii="Arial" w:cs="Arial" w:eastAsia="Arial" w:hAnsi="Arial"/>
                <w:sz w:val="14"/>
                <w:szCs w:val="14"/>
                <w:color w:val="auto"/>
              </w:rPr>
              <w:t>366</w:t>
            </w:r>
          </w:p>
        </w:tc>
        <w:tc>
          <w:tcPr>
            <w:tcW w:w="1500" w:type="dxa"/>
            <w:vAlign w:val="bottom"/>
          </w:tcPr>
          <w:p>
            <w:pPr>
              <w:jc w:val="right"/>
              <w:spacing w:after="0"/>
              <w:rPr>
                <w:sz w:val="20"/>
                <w:szCs w:val="20"/>
                <w:color w:val="auto"/>
              </w:rPr>
            </w:pPr>
            <w:r>
              <w:rPr>
                <w:rFonts w:ascii="Arial" w:cs="Arial" w:eastAsia="Arial" w:hAnsi="Arial"/>
                <w:sz w:val="14"/>
                <w:szCs w:val="14"/>
                <w:color w:val="auto"/>
              </w:rPr>
              <w:t>34,299</w:t>
            </w:r>
          </w:p>
        </w:tc>
        <w:tc>
          <w:tcPr>
            <w:tcW w:w="0" w:type="dxa"/>
            <w:vAlign w:val="bottom"/>
          </w:tcPr>
          <w:p>
            <w:pPr>
              <w:spacing w:after="0"/>
              <w:rPr>
                <w:sz w:val="1"/>
                <w:szCs w:val="1"/>
                <w:color w:val="auto"/>
              </w:rPr>
            </w:pPr>
          </w:p>
        </w:tc>
      </w:tr>
      <w:tr>
        <w:trPr>
          <w:trHeight w:val="123"/>
        </w:trPr>
        <w:tc>
          <w:tcPr>
            <w:tcW w:w="5660" w:type="dxa"/>
            <w:vAlign w:val="bottom"/>
            <w:tcBorders>
              <w:bottom w:val="single" w:sz="8" w:color="939598"/>
            </w:tcBorders>
          </w:tcPr>
          <w:p>
            <w:pPr>
              <w:spacing w:after="0"/>
              <w:rPr>
                <w:sz w:val="10"/>
                <w:szCs w:val="10"/>
                <w:color w:val="auto"/>
              </w:rPr>
            </w:pPr>
          </w:p>
        </w:tc>
        <w:tc>
          <w:tcPr>
            <w:tcW w:w="1700" w:type="dxa"/>
            <w:vAlign w:val="bottom"/>
            <w:tcBorders>
              <w:bottom w:val="single" w:sz="8" w:color="939598"/>
            </w:tcBorders>
          </w:tcPr>
          <w:p>
            <w:pPr>
              <w:spacing w:after="0"/>
              <w:rPr>
                <w:sz w:val="10"/>
                <w:szCs w:val="10"/>
                <w:color w:val="auto"/>
              </w:rPr>
            </w:pPr>
          </w:p>
        </w:tc>
        <w:tc>
          <w:tcPr>
            <w:tcW w:w="1240" w:type="dxa"/>
            <w:vAlign w:val="bottom"/>
            <w:tcBorders>
              <w:bottom w:val="single" w:sz="8" w:color="939598"/>
            </w:tcBorders>
          </w:tcPr>
          <w:p>
            <w:pPr>
              <w:spacing w:after="0"/>
              <w:rPr>
                <w:sz w:val="10"/>
                <w:szCs w:val="10"/>
                <w:color w:val="auto"/>
              </w:rPr>
            </w:pPr>
          </w:p>
        </w:tc>
        <w:tc>
          <w:tcPr>
            <w:tcW w:w="1120" w:type="dxa"/>
            <w:vAlign w:val="bottom"/>
            <w:tcBorders>
              <w:bottom w:val="single" w:sz="8" w:color="939598"/>
            </w:tcBorders>
          </w:tcPr>
          <w:p>
            <w:pPr>
              <w:spacing w:after="0"/>
              <w:rPr>
                <w:sz w:val="10"/>
                <w:szCs w:val="10"/>
                <w:color w:val="auto"/>
              </w:rPr>
            </w:pPr>
          </w:p>
        </w:tc>
        <w:tc>
          <w:tcPr>
            <w:tcW w:w="150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315"/>
        </w:trPr>
        <w:tc>
          <w:tcPr>
            <w:tcW w:w="5660" w:type="dxa"/>
            <w:vAlign w:val="bottom"/>
          </w:tcPr>
          <w:p>
            <w:pPr>
              <w:ind w:left="20"/>
              <w:spacing w:after="0"/>
              <w:rPr>
                <w:sz w:val="20"/>
                <w:szCs w:val="20"/>
                <w:color w:val="auto"/>
              </w:rPr>
            </w:pPr>
            <w:r>
              <w:rPr>
                <w:rFonts w:ascii="Arial" w:cs="Arial" w:eastAsia="Arial" w:hAnsi="Arial"/>
                <w:sz w:val="14"/>
                <w:szCs w:val="14"/>
                <w:b w:val="1"/>
                <w:bCs w:val="1"/>
                <w:color w:val="auto"/>
              </w:rPr>
              <w:t>Michal Stepniak</w:t>
            </w:r>
          </w:p>
        </w:tc>
        <w:tc>
          <w:tcPr>
            <w:tcW w:w="1700" w:type="dxa"/>
            <w:vAlign w:val="bottom"/>
          </w:tcPr>
          <w:p>
            <w:pPr>
              <w:jc w:val="right"/>
              <w:ind w:right="228"/>
              <w:spacing w:after="0"/>
              <w:rPr>
                <w:sz w:val="20"/>
                <w:szCs w:val="20"/>
                <w:color w:val="auto"/>
              </w:rPr>
            </w:pPr>
            <w:r>
              <w:rPr>
                <w:rFonts w:ascii="Arial" w:cs="Arial" w:eastAsia="Arial" w:hAnsi="Arial"/>
                <w:sz w:val="14"/>
                <w:szCs w:val="14"/>
                <w:color w:val="auto"/>
              </w:rPr>
              <w:t>2,505</w:t>
            </w:r>
          </w:p>
        </w:tc>
        <w:tc>
          <w:tcPr>
            <w:tcW w:w="1240" w:type="dxa"/>
            <w:vAlign w:val="bottom"/>
          </w:tcPr>
          <w:p>
            <w:pPr>
              <w:jc w:val="right"/>
              <w:ind w:right="288"/>
              <w:spacing w:after="0"/>
              <w:rPr>
                <w:sz w:val="20"/>
                <w:szCs w:val="20"/>
                <w:color w:val="auto"/>
              </w:rPr>
            </w:pPr>
            <w:r>
              <w:rPr>
                <w:rFonts w:ascii="Arial" w:cs="Arial" w:eastAsia="Arial" w:hAnsi="Arial"/>
                <w:sz w:val="14"/>
                <w:szCs w:val="14"/>
                <w:color w:val="auto"/>
              </w:rPr>
              <w:t>27,618</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30,123</w:t>
            </w:r>
          </w:p>
        </w:tc>
        <w:tc>
          <w:tcPr>
            <w:tcW w:w="0" w:type="dxa"/>
            <w:vAlign w:val="bottom"/>
          </w:tcPr>
          <w:p>
            <w:pPr>
              <w:spacing w:after="0"/>
              <w:rPr>
                <w:sz w:val="1"/>
                <w:szCs w:val="1"/>
                <w:color w:val="auto"/>
              </w:rPr>
            </w:pPr>
          </w:p>
        </w:tc>
      </w:tr>
      <w:tr>
        <w:trPr>
          <w:trHeight w:val="123"/>
        </w:trPr>
        <w:tc>
          <w:tcPr>
            <w:tcW w:w="5660" w:type="dxa"/>
            <w:vAlign w:val="bottom"/>
            <w:tcBorders>
              <w:bottom w:val="single" w:sz="8" w:color="939598"/>
            </w:tcBorders>
          </w:tcPr>
          <w:p>
            <w:pPr>
              <w:spacing w:after="0"/>
              <w:rPr>
                <w:sz w:val="10"/>
                <w:szCs w:val="10"/>
                <w:color w:val="auto"/>
              </w:rPr>
            </w:pPr>
          </w:p>
        </w:tc>
        <w:tc>
          <w:tcPr>
            <w:tcW w:w="1700" w:type="dxa"/>
            <w:vAlign w:val="bottom"/>
            <w:tcBorders>
              <w:bottom w:val="single" w:sz="8" w:color="939598"/>
            </w:tcBorders>
          </w:tcPr>
          <w:p>
            <w:pPr>
              <w:spacing w:after="0"/>
              <w:rPr>
                <w:sz w:val="10"/>
                <w:szCs w:val="10"/>
                <w:color w:val="auto"/>
              </w:rPr>
            </w:pPr>
          </w:p>
        </w:tc>
        <w:tc>
          <w:tcPr>
            <w:tcW w:w="1240" w:type="dxa"/>
            <w:vAlign w:val="bottom"/>
            <w:tcBorders>
              <w:bottom w:val="single" w:sz="8" w:color="939598"/>
            </w:tcBorders>
          </w:tcPr>
          <w:p>
            <w:pPr>
              <w:spacing w:after="0"/>
              <w:rPr>
                <w:sz w:val="10"/>
                <w:szCs w:val="10"/>
                <w:color w:val="auto"/>
              </w:rPr>
            </w:pPr>
          </w:p>
        </w:tc>
        <w:tc>
          <w:tcPr>
            <w:tcW w:w="1120" w:type="dxa"/>
            <w:vAlign w:val="bottom"/>
            <w:tcBorders>
              <w:bottom w:val="single" w:sz="8" w:color="939598"/>
            </w:tcBorders>
          </w:tcPr>
          <w:p>
            <w:pPr>
              <w:spacing w:after="0"/>
              <w:rPr>
                <w:sz w:val="10"/>
                <w:szCs w:val="10"/>
                <w:color w:val="auto"/>
              </w:rPr>
            </w:pPr>
          </w:p>
        </w:tc>
        <w:tc>
          <w:tcPr>
            <w:tcW w:w="150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316"/>
        </w:trPr>
        <w:tc>
          <w:tcPr>
            <w:tcW w:w="5660" w:type="dxa"/>
            <w:vAlign w:val="bottom"/>
          </w:tcPr>
          <w:p>
            <w:pPr>
              <w:ind w:left="20"/>
              <w:spacing w:after="0"/>
              <w:rPr>
                <w:sz w:val="20"/>
                <w:szCs w:val="20"/>
                <w:color w:val="auto"/>
              </w:rPr>
            </w:pPr>
            <w:r>
              <w:rPr>
                <w:rFonts w:ascii="Arial" w:cs="Arial" w:eastAsia="Arial" w:hAnsi="Arial"/>
                <w:sz w:val="14"/>
                <w:szCs w:val="14"/>
                <w:b w:val="1"/>
                <w:bCs w:val="1"/>
                <w:color w:val="auto"/>
              </w:rPr>
              <w:t>James Masso</w:t>
            </w:r>
          </w:p>
        </w:tc>
        <w:tc>
          <w:tcPr>
            <w:tcW w:w="17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3"/>
        </w:trPr>
        <w:tc>
          <w:tcPr>
            <w:tcW w:w="5660" w:type="dxa"/>
            <w:vAlign w:val="bottom"/>
            <w:tcBorders>
              <w:bottom w:val="single" w:sz="8" w:color="939598"/>
            </w:tcBorders>
          </w:tcPr>
          <w:p>
            <w:pPr>
              <w:spacing w:after="0"/>
              <w:rPr>
                <w:sz w:val="10"/>
                <w:szCs w:val="10"/>
                <w:color w:val="auto"/>
              </w:rPr>
            </w:pPr>
          </w:p>
        </w:tc>
        <w:tc>
          <w:tcPr>
            <w:tcW w:w="1700" w:type="dxa"/>
            <w:vAlign w:val="bottom"/>
            <w:tcBorders>
              <w:bottom w:val="single" w:sz="8" w:color="939598"/>
            </w:tcBorders>
          </w:tcPr>
          <w:p>
            <w:pPr>
              <w:spacing w:after="0"/>
              <w:rPr>
                <w:sz w:val="10"/>
                <w:szCs w:val="10"/>
                <w:color w:val="auto"/>
              </w:rPr>
            </w:pPr>
          </w:p>
        </w:tc>
        <w:tc>
          <w:tcPr>
            <w:tcW w:w="1240" w:type="dxa"/>
            <w:vAlign w:val="bottom"/>
            <w:tcBorders>
              <w:bottom w:val="single" w:sz="8" w:color="939598"/>
            </w:tcBorders>
          </w:tcPr>
          <w:p>
            <w:pPr>
              <w:spacing w:after="0"/>
              <w:rPr>
                <w:sz w:val="10"/>
                <w:szCs w:val="10"/>
                <w:color w:val="auto"/>
              </w:rPr>
            </w:pPr>
          </w:p>
        </w:tc>
        <w:tc>
          <w:tcPr>
            <w:tcW w:w="1120" w:type="dxa"/>
            <w:vAlign w:val="bottom"/>
            <w:tcBorders>
              <w:bottom w:val="single" w:sz="8" w:color="939598"/>
            </w:tcBorders>
          </w:tcPr>
          <w:p>
            <w:pPr>
              <w:spacing w:after="0"/>
              <w:rPr>
                <w:sz w:val="10"/>
                <w:szCs w:val="10"/>
                <w:color w:val="auto"/>
              </w:rPr>
            </w:pPr>
          </w:p>
        </w:tc>
        <w:tc>
          <w:tcPr>
            <w:tcW w:w="150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315"/>
        </w:trPr>
        <w:tc>
          <w:tcPr>
            <w:tcW w:w="5660" w:type="dxa"/>
            <w:vAlign w:val="bottom"/>
          </w:tcPr>
          <w:p>
            <w:pPr>
              <w:ind w:left="20"/>
              <w:spacing w:after="0"/>
              <w:rPr>
                <w:sz w:val="20"/>
                <w:szCs w:val="20"/>
                <w:color w:val="auto"/>
              </w:rPr>
            </w:pPr>
            <w:r>
              <w:rPr>
                <w:rFonts w:ascii="Arial" w:cs="Arial" w:eastAsia="Arial" w:hAnsi="Arial"/>
                <w:sz w:val="14"/>
                <w:szCs w:val="14"/>
                <w:b w:val="1"/>
                <w:bCs w:val="1"/>
                <w:color w:val="auto"/>
              </w:rPr>
              <w:t>James Currier</w:t>
            </w:r>
          </w:p>
        </w:tc>
        <w:tc>
          <w:tcPr>
            <w:tcW w:w="1700" w:type="dxa"/>
            <w:vAlign w:val="bottom"/>
          </w:tcPr>
          <w:p>
            <w:pPr>
              <w:jc w:val="right"/>
              <w:ind w:right="228"/>
              <w:spacing w:after="0"/>
              <w:rPr>
                <w:sz w:val="20"/>
                <w:szCs w:val="20"/>
                <w:color w:val="auto"/>
              </w:rPr>
            </w:pPr>
            <w:r>
              <w:rPr>
                <w:rFonts w:ascii="Arial" w:cs="Arial" w:eastAsia="Arial" w:hAnsi="Arial"/>
                <w:sz w:val="14"/>
                <w:szCs w:val="14"/>
                <w:color w:val="auto"/>
              </w:rPr>
              <w:t>5,378</w:t>
            </w:r>
          </w:p>
        </w:tc>
        <w:tc>
          <w:tcPr>
            <w:tcW w:w="1240" w:type="dxa"/>
            <w:vAlign w:val="bottom"/>
          </w:tcPr>
          <w:p>
            <w:pPr>
              <w:jc w:val="right"/>
              <w:ind w:right="288"/>
              <w:spacing w:after="0"/>
              <w:rPr>
                <w:sz w:val="20"/>
                <w:szCs w:val="20"/>
                <w:color w:val="auto"/>
              </w:rPr>
            </w:pPr>
            <w:r>
              <w:rPr>
                <w:rFonts w:ascii="Arial" w:cs="Arial" w:eastAsia="Arial" w:hAnsi="Arial"/>
                <w:sz w:val="14"/>
                <w:szCs w:val="14"/>
                <w:color w:val="auto"/>
              </w:rPr>
              <w:t>47,720</w:t>
            </w:r>
          </w:p>
        </w:tc>
        <w:tc>
          <w:tcPr>
            <w:tcW w:w="1120" w:type="dxa"/>
            <w:vAlign w:val="bottom"/>
          </w:tcPr>
          <w:p>
            <w:pPr>
              <w:jc w:val="right"/>
              <w:spacing w:after="0"/>
              <w:rPr>
                <w:sz w:val="20"/>
                <w:szCs w:val="20"/>
                <w:color w:val="auto"/>
              </w:rPr>
            </w:pPr>
            <w:r>
              <w:rPr>
                <w:rFonts w:ascii="Arial" w:cs="Arial" w:eastAsia="Arial" w:hAnsi="Arial"/>
                <w:sz w:val="14"/>
                <w:szCs w:val="14"/>
                <w:color w:val="auto"/>
              </w:rPr>
              <w:t>569</w:t>
            </w:r>
          </w:p>
        </w:tc>
        <w:tc>
          <w:tcPr>
            <w:tcW w:w="1500" w:type="dxa"/>
            <w:vAlign w:val="bottom"/>
          </w:tcPr>
          <w:p>
            <w:pPr>
              <w:jc w:val="right"/>
              <w:spacing w:after="0"/>
              <w:rPr>
                <w:sz w:val="20"/>
                <w:szCs w:val="20"/>
                <w:color w:val="auto"/>
              </w:rPr>
            </w:pPr>
            <w:r>
              <w:rPr>
                <w:rFonts w:ascii="Arial" w:cs="Arial" w:eastAsia="Arial" w:hAnsi="Arial"/>
                <w:sz w:val="14"/>
                <w:szCs w:val="14"/>
                <w:color w:val="auto"/>
              </w:rPr>
              <w:t>53,667</w:t>
            </w:r>
          </w:p>
        </w:tc>
        <w:tc>
          <w:tcPr>
            <w:tcW w:w="0" w:type="dxa"/>
            <w:vAlign w:val="bottom"/>
          </w:tcPr>
          <w:p>
            <w:pPr>
              <w:spacing w:after="0"/>
              <w:rPr>
                <w:sz w:val="1"/>
                <w:szCs w:val="1"/>
                <w:color w:val="auto"/>
              </w:rPr>
            </w:pPr>
          </w:p>
        </w:tc>
      </w:tr>
      <w:tr>
        <w:trPr>
          <w:trHeight w:val="123"/>
        </w:trPr>
        <w:tc>
          <w:tcPr>
            <w:tcW w:w="5660" w:type="dxa"/>
            <w:vAlign w:val="bottom"/>
            <w:tcBorders>
              <w:bottom w:val="single" w:sz="8" w:color="939598"/>
            </w:tcBorders>
          </w:tcPr>
          <w:p>
            <w:pPr>
              <w:spacing w:after="0"/>
              <w:rPr>
                <w:sz w:val="10"/>
                <w:szCs w:val="10"/>
                <w:color w:val="auto"/>
              </w:rPr>
            </w:pPr>
          </w:p>
        </w:tc>
        <w:tc>
          <w:tcPr>
            <w:tcW w:w="1700" w:type="dxa"/>
            <w:vAlign w:val="bottom"/>
            <w:tcBorders>
              <w:bottom w:val="single" w:sz="8" w:color="939598"/>
            </w:tcBorders>
          </w:tcPr>
          <w:p>
            <w:pPr>
              <w:spacing w:after="0"/>
              <w:rPr>
                <w:sz w:val="10"/>
                <w:szCs w:val="10"/>
                <w:color w:val="auto"/>
              </w:rPr>
            </w:pPr>
          </w:p>
        </w:tc>
        <w:tc>
          <w:tcPr>
            <w:tcW w:w="1240" w:type="dxa"/>
            <w:vAlign w:val="bottom"/>
            <w:tcBorders>
              <w:bottom w:val="single" w:sz="8" w:color="939598"/>
            </w:tcBorders>
          </w:tcPr>
          <w:p>
            <w:pPr>
              <w:spacing w:after="0"/>
              <w:rPr>
                <w:sz w:val="10"/>
                <w:szCs w:val="10"/>
                <w:color w:val="auto"/>
              </w:rPr>
            </w:pPr>
          </w:p>
        </w:tc>
        <w:tc>
          <w:tcPr>
            <w:tcW w:w="1120" w:type="dxa"/>
            <w:vAlign w:val="bottom"/>
            <w:tcBorders>
              <w:bottom w:val="single" w:sz="8" w:color="939598"/>
            </w:tcBorders>
          </w:tcPr>
          <w:p>
            <w:pPr>
              <w:spacing w:after="0"/>
              <w:rPr>
                <w:sz w:val="10"/>
                <w:szCs w:val="10"/>
                <w:color w:val="auto"/>
              </w:rPr>
            </w:pPr>
          </w:p>
        </w:tc>
        <w:tc>
          <w:tcPr>
            <w:tcW w:w="150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5660" w:type="dxa"/>
            <w:vAlign w:val="bottom"/>
          </w:tcPr>
          <w:p>
            <w:pPr>
              <w:ind w:left="20"/>
              <w:spacing w:after="0"/>
              <w:rPr>
                <w:sz w:val="20"/>
                <w:szCs w:val="20"/>
                <w:color w:val="auto"/>
              </w:rPr>
            </w:pPr>
            <w:r>
              <w:rPr>
                <w:rFonts w:ascii="Arial" w:cs="Arial" w:eastAsia="Arial" w:hAnsi="Arial"/>
                <w:sz w:val="14"/>
                <w:szCs w:val="14"/>
                <w:b w:val="1"/>
                <w:bCs w:val="1"/>
                <w:color w:val="auto"/>
              </w:rPr>
              <w:t>All directors, nominees, and executive officers as a group, including the above-</w:t>
            </w:r>
          </w:p>
        </w:tc>
        <w:tc>
          <w:tcPr>
            <w:tcW w:w="1700" w:type="dxa"/>
            <w:vAlign w:val="bottom"/>
            <w:vMerge w:val="restart"/>
          </w:tcPr>
          <w:p>
            <w:pPr>
              <w:jc w:val="right"/>
              <w:ind w:right="228"/>
              <w:spacing w:after="0"/>
              <w:rPr>
                <w:sz w:val="20"/>
                <w:szCs w:val="20"/>
                <w:color w:val="auto"/>
              </w:rPr>
            </w:pPr>
            <w:r>
              <w:rPr>
                <w:rFonts w:ascii="Arial" w:cs="Arial" w:eastAsia="Arial" w:hAnsi="Arial"/>
                <w:sz w:val="14"/>
                <w:szCs w:val="14"/>
                <w:color w:val="auto"/>
              </w:rPr>
              <w:t>198,524</w:t>
            </w:r>
          </w:p>
        </w:tc>
        <w:tc>
          <w:tcPr>
            <w:tcW w:w="1240" w:type="dxa"/>
            <w:vAlign w:val="bottom"/>
            <w:vMerge w:val="restart"/>
          </w:tcPr>
          <w:p>
            <w:pPr>
              <w:jc w:val="right"/>
              <w:ind w:right="288"/>
              <w:spacing w:after="0"/>
              <w:rPr>
                <w:sz w:val="20"/>
                <w:szCs w:val="20"/>
                <w:color w:val="auto"/>
              </w:rPr>
            </w:pPr>
            <w:r>
              <w:rPr>
                <w:rFonts w:ascii="Arial" w:cs="Arial" w:eastAsia="Arial" w:hAnsi="Arial"/>
                <w:sz w:val="14"/>
                <w:szCs w:val="14"/>
                <w:color w:val="auto"/>
              </w:rPr>
              <w:t>692,593</w:t>
            </w: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81,071</w:t>
            </w:r>
          </w:p>
        </w:tc>
        <w:tc>
          <w:tcPr>
            <w:tcW w:w="1500" w:type="dxa"/>
            <w:vAlign w:val="bottom"/>
            <w:vMerge w:val="restart"/>
          </w:tcPr>
          <w:p>
            <w:pPr>
              <w:jc w:val="right"/>
              <w:spacing w:after="0"/>
              <w:rPr>
                <w:sz w:val="20"/>
                <w:szCs w:val="20"/>
                <w:color w:val="auto"/>
              </w:rPr>
            </w:pPr>
            <w:r>
              <w:rPr>
                <w:rFonts w:ascii="Arial" w:cs="Arial" w:eastAsia="Arial" w:hAnsi="Arial"/>
                <w:sz w:val="14"/>
                <w:szCs w:val="14"/>
                <w:color w:val="auto"/>
              </w:rPr>
              <w:t>972,188</w:t>
            </w:r>
          </w:p>
        </w:tc>
        <w:tc>
          <w:tcPr>
            <w:tcW w:w="0" w:type="dxa"/>
            <w:vAlign w:val="bottom"/>
          </w:tcPr>
          <w:p>
            <w:pPr>
              <w:spacing w:after="0"/>
              <w:rPr>
                <w:sz w:val="1"/>
                <w:szCs w:val="1"/>
                <w:color w:val="auto"/>
              </w:rPr>
            </w:pPr>
          </w:p>
        </w:tc>
      </w:tr>
      <w:tr>
        <w:trPr>
          <w:trHeight w:val="123"/>
        </w:trPr>
        <w:tc>
          <w:tcPr>
            <w:tcW w:w="5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named persons (22 people)</w:t>
            </w:r>
          </w:p>
        </w:tc>
        <w:tc>
          <w:tcPr>
            <w:tcW w:w="170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5660" w:type="dxa"/>
            <w:vAlign w:val="bottom"/>
            <w:vMerge w:val="continue"/>
          </w:tcPr>
          <w:p>
            <w:pPr>
              <w:spacing w:after="0"/>
              <w:rPr>
                <w:sz w:val="6"/>
                <w:szCs w:val="6"/>
                <w:color w:val="auto"/>
              </w:rPr>
            </w:pPr>
          </w:p>
        </w:tc>
        <w:tc>
          <w:tcPr>
            <w:tcW w:w="17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5660" w:type="dxa"/>
            <w:vAlign w:val="bottom"/>
            <w:tcBorders>
              <w:bottom w:val="single" w:sz="8" w:color="D7282F"/>
            </w:tcBorders>
          </w:tcPr>
          <w:p>
            <w:pPr>
              <w:spacing w:after="0"/>
              <w:rPr>
                <w:sz w:val="4"/>
                <w:szCs w:val="4"/>
                <w:color w:val="auto"/>
              </w:rPr>
            </w:pPr>
          </w:p>
        </w:tc>
        <w:tc>
          <w:tcPr>
            <w:tcW w:w="1700" w:type="dxa"/>
            <w:vAlign w:val="bottom"/>
            <w:tcBorders>
              <w:bottom w:val="single" w:sz="8" w:color="D7282F"/>
            </w:tcBorders>
          </w:tcPr>
          <w:p>
            <w:pPr>
              <w:spacing w:after="0"/>
              <w:rPr>
                <w:sz w:val="4"/>
                <w:szCs w:val="4"/>
                <w:color w:val="auto"/>
              </w:rPr>
            </w:pPr>
          </w:p>
        </w:tc>
        <w:tc>
          <w:tcPr>
            <w:tcW w:w="1240" w:type="dxa"/>
            <w:vAlign w:val="bottom"/>
            <w:tcBorders>
              <w:bottom w:val="single" w:sz="8" w:color="D7282F"/>
            </w:tcBorders>
          </w:tcPr>
          <w:p>
            <w:pPr>
              <w:spacing w:after="0"/>
              <w:rPr>
                <w:sz w:val="4"/>
                <w:szCs w:val="4"/>
                <w:color w:val="auto"/>
              </w:rPr>
            </w:pPr>
          </w:p>
        </w:tc>
        <w:tc>
          <w:tcPr>
            <w:tcW w:w="1120" w:type="dxa"/>
            <w:vAlign w:val="bottom"/>
            <w:tcBorders>
              <w:bottom w:val="single" w:sz="8" w:color="D7282F"/>
            </w:tcBorders>
          </w:tcPr>
          <w:p>
            <w:pPr>
              <w:spacing w:after="0"/>
              <w:rPr>
                <w:sz w:val="4"/>
                <w:szCs w:val="4"/>
                <w:color w:val="auto"/>
              </w:rPr>
            </w:pPr>
          </w:p>
        </w:tc>
        <w:tc>
          <w:tcPr>
            <w:tcW w:w="1500" w:type="dxa"/>
            <w:vAlign w:val="bottom"/>
            <w:tcBorders>
              <w:bottom w:val="single" w:sz="8" w:color="D7282F"/>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200" w:hanging="192"/>
        <w:spacing w:after="0"/>
        <w:tabs>
          <w:tab w:leader="none" w:pos="200" w:val="left"/>
        </w:tabs>
        <w:numPr>
          <w:ilvl w:val="0"/>
          <w:numId w:val="219"/>
        </w:numPr>
        <w:rPr>
          <w:rFonts w:ascii="Arial" w:cs="Arial" w:eastAsia="Arial" w:hAnsi="Arial"/>
          <w:sz w:val="16"/>
          <w:szCs w:val="16"/>
          <w:color w:val="auto"/>
          <w:vertAlign w:val="superscript"/>
        </w:rPr>
      </w:pPr>
      <w:r>
        <w:rPr>
          <w:rFonts w:ascii="Arial" w:cs="Arial" w:eastAsia="Arial" w:hAnsi="Arial"/>
          <w:sz w:val="13"/>
          <w:szCs w:val="13"/>
          <w:color w:val="auto"/>
        </w:rPr>
        <w:t>c/o Honeywell International Inc., 855 S. Mint Street, Charlotte, NC 28202.</w:t>
      </w:r>
    </w:p>
    <w:p>
      <w:pPr>
        <w:spacing w:after="0" w:line="63" w:lineRule="exact"/>
        <w:rPr>
          <w:rFonts w:ascii="Arial" w:cs="Arial" w:eastAsia="Arial" w:hAnsi="Arial"/>
          <w:sz w:val="16"/>
          <w:szCs w:val="16"/>
          <w:color w:val="auto"/>
          <w:vertAlign w:val="superscript"/>
        </w:rPr>
      </w:pPr>
    </w:p>
    <w:p>
      <w:pPr>
        <w:ind w:left="200" w:right="20" w:hanging="192"/>
        <w:spacing w:after="0" w:line="226" w:lineRule="auto"/>
        <w:tabs>
          <w:tab w:leader="none" w:pos="200" w:val="left"/>
        </w:tabs>
        <w:numPr>
          <w:ilvl w:val="0"/>
          <w:numId w:val="219"/>
        </w:numPr>
        <w:rPr>
          <w:rFonts w:ascii="Arial" w:cs="Arial" w:eastAsia="Arial" w:hAnsi="Arial"/>
          <w:sz w:val="16"/>
          <w:szCs w:val="16"/>
          <w:color w:val="auto"/>
          <w:vertAlign w:val="superscript"/>
        </w:rPr>
      </w:pPr>
      <w:r>
        <w:rPr>
          <w:rFonts w:ascii="Arial" w:cs="Arial" w:eastAsia="Arial" w:hAnsi="Arial"/>
          <w:sz w:val="13"/>
          <w:szCs w:val="13"/>
          <w:color w:val="auto"/>
        </w:rPr>
        <w:t>Includes shares that the named individual or group has the right to acquire through the exercise of vested stock options and shares that the named individual or group has the right to acquire through the vesting of restricted stock units and stock options within 60 days of March 27, 2026.</w:t>
      </w:r>
    </w:p>
    <w:p>
      <w:pPr>
        <w:spacing w:after="0" w:line="45" w:lineRule="exact"/>
        <w:rPr>
          <w:rFonts w:ascii="Arial" w:cs="Arial" w:eastAsia="Arial" w:hAnsi="Arial"/>
          <w:sz w:val="16"/>
          <w:szCs w:val="16"/>
          <w:color w:val="auto"/>
          <w:vertAlign w:val="superscript"/>
        </w:rPr>
      </w:pPr>
    </w:p>
    <w:p>
      <w:pPr>
        <w:ind w:left="200" w:hanging="192"/>
        <w:spacing w:after="0"/>
        <w:tabs>
          <w:tab w:leader="none" w:pos="200" w:val="left"/>
        </w:tabs>
        <w:numPr>
          <w:ilvl w:val="0"/>
          <w:numId w:val="219"/>
        </w:numPr>
        <w:rPr>
          <w:rFonts w:ascii="Arial" w:cs="Arial" w:eastAsia="Arial" w:hAnsi="Arial"/>
          <w:sz w:val="16"/>
          <w:szCs w:val="16"/>
          <w:color w:val="auto"/>
          <w:vertAlign w:val="superscript"/>
        </w:rPr>
      </w:pPr>
      <w:r>
        <w:rPr>
          <w:rFonts w:ascii="Arial" w:cs="Arial" w:eastAsia="Arial" w:hAnsi="Arial"/>
          <w:sz w:val="13"/>
          <w:szCs w:val="13"/>
          <w:color w:val="auto"/>
        </w:rPr>
        <w:t>Includes shares and/or share-equivalents in deferred accounts as to which no voting or investment power exists.</w:t>
      </w:r>
    </w:p>
    <w:p>
      <w:pPr>
        <w:spacing w:after="0" w:line="43" w:lineRule="exact"/>
        <w:rPr>
          <w:rFonts w:ascii="Arial" w:cs="Arial" w:eastAsia="Arial" w:hAnsi="Arial"/>
          <w:sz w:val="16"/>
          <w:szCs w:val="16"/>
          <w:color w:val="auto"/>
          <w:vertAlign w:val="superscript"/>
        </w:rPr>
      </w:pPr>
    </w:p>
    <w:p>
      <w:pPr>
        <w:ind w:left="200" w:hanging="192"/>
        <w:spacing w:after="0" w:line="225" w:lineRule="auto"/>
        <w:tabs>
          <w:tab w:leader="none" w:pos="200" w:val="left"/>
        </w:tabs>
        <w:numPr>
          <w:ilvl w:val="0"/>
          <w:numId w:val="219"/>
        </w:numPr>
        <w:rPr>
          <w:rFonts w:ascii="Arial" w:cs="Arial" w:eastAsia="Arial" w:hAnsi="Arial"/>
          <w:sz w:val="16"/>
          <w:szCs w:val="16"/>
          <w:color w:val="auto"/>
          <w:vertAlign w:val="superscript"/>
        </w:rPr>
      </w:pPr>
      <w:r>
        <w:rPr>
          <w:rFonts w:ascii="Arial" w:cs="Arial" w:eastAsia="Arial" w:hAnsi="Arial"/>
          <w:sz w:val="13"/>
          <w:szCs w:val="13"/>
          <w:color w:val="auto"/>
        </w:rPr>
        <w:t>The total beneficial ownership for any individual and the total beneficial ownership for the group are both less than 1% of the shares of common stock outstanding as of March 27, 2026.</w:t>
      </w:r>
    </w:p>
    <w:p>
      <w:pPr>
        <w:spacing w:after="0" w:line="23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DELINQUENT SECTION 16(a) REPORTS</w:t>
      </w:r>
    </w:p>
    <w:p>
      <w:pPr>
        <w:spacing w:after="0" w:line="128"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Section 16(a) of the Exchange Act requires our directors, executive officers, and persons who own more than 10% of our common stock to file reports of ownership and changes in ownership of our common stock with the SEC. Based solely on a review of the copies of such reports and representations that no other reports were required, we believe that in 2025, and to date in 2026, all applicable Section 16(a) reports were timely filed, except for a Form 4 that was filed for Mr. Kenneth J. West on October 6, 2025.</w:t>
      </w:r>
    </w:p>
    <w:p>
      <w:pPr>
        <w:spacing w:after="0" w:line="236" w:lineRule="exact"/>
        <w:rPr>
          <w:sz w:val="20"/>
          <w:szCs w:val="20"/>
          <w:color w:val="auto"/>
        </w:rPr>
      </w:pPr>
    </w:p>
    <w:p>
      <w:pPr>
        <w:ind w:left="20"/>
        <w:spacing w:after="0"/>
        <w:tabs>
          <w:tab w:leader="none" w:pos="1860" w:val="left"/>
        </w:tabs>
        <w:rPr>
          <w:sz w:val="20"/>
          <w:szCs w:val="20"/>
          <w:color w:val="auto"/>
        </w:rPr>
      </w:pPr>
      <w:r>
        <w:rPr>
          <w:rFonts w:ascii="Arial" w:cs="Arial" w:eastAsia="Arial" w:hAnsi="Arial"/>
          <w:sz w:val="18"/>
          <w:szCs w:val="18"/>
          <w:b w:val="1"/>
          <w:bCs w:val="1"/>
          <w:color w:val="auto"/>
        </w:rPr>
        <w:t xml:space="preserve">122  </w:t>
      </w:r>
      <w:r>
        <w:rPr>
          <w:sz w:val="1"/>
          <w:szCs w:val="1"/>
          <w:color w:val="auto"/>
        </w:rPr>
        <w:drawing>
          <wp:inline distT="0" distB="0" distL="0" distR="0">
            <wp:extent cx="548640" cy="102870"/>
            <wp:effectExtent l="0" t="0" r="0" b="0"/>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2026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157720" cy="4254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8" w:name="page139"/>
    <w:bookmarkEnd w:id="138"/>
    <w:p>
      <w:pPr>
        <w:jc w:val="right"/>
        <w:spacing w:after="0"/>
        <w:rPr>
          <w:sz w:val="20"/>
          <w:szCs w:val="20"/>
          <w:color w:val="auto"/>
        </w:rPr>
      </w:pPr>
      <w:r>
        <w:rPr>
          <w:rFonts w:ascii="Arial" w:cs="Arial" w:eastAsia="Arial" w:hAnsi="Arial"/>
          <w:sz w:val="13"/>
          <w:szCs w:val="13"/>
          <w:b w:val="1"/>
          <w:bCs w:val="1"/>
          <w:color w:val="6D6E71"/>
        </w:rPr>
        <w:t>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VOTING PROCEDURES</w:t>
      </w:r>
    </w:p>
    <w:p>
      <w:pPr>
        <w:spacing w:after="0" w:line="15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METHODS OF VOTING</w:t>
      </w:r>
    </w:p>
    <w:p>
      <w:pPr>
        <w:spacing w:after="0" w:line="141" w:lineRule="exact"/>
        <w:rPr>
          <w:sz w:val="20"/>
          <w:szCs w:val="20"/>
          <w:color w:val="auto"/>
        </w:rPr>
      </w:pPr>
    </w:p>
    <w:p>
      <w:pPr>
        <w:jc w:val="both"/>
        <w:ind w:right="60"/>
        <w:spacing w:after="0" w:line="265" w:lineRule="auto"/>
        <w:rPr>
          <w:sz w:val="20"/>
          <w:szCs w:val="20"/>
          <w:color w:val="auto"/>
        </w:rPr>
      </w:pPr>
      <w:r>
        <w:rPr>
          <w:rFonts w:ascii="Arial" w:cs="Arial" w:eastAsia="Arial" w:hAnsi="Arial"/>
          <w:sz w:val="16"/>
          <w:szCs w:val="16"/>
          <w:b w:val="1"/>
          <w:bCs w:val="1"/>
          <w:color w:val="auto"/>
        </w:rPr>
        <w:t xml:space="preserve">Shareowners of Record. </w:t>
      </w:r>
      <w:r>
        <w:rPr>
          <w:rFonts w:ascii="Arial" w:cs="Arial" w:eastAsia="Arial" w:hAnsi="Arial"/>
          <w:sz w:val="16"/>
          <w:szCs w:val="16"/>
          <w:color w:val="auto"/>
        </w:rPr>
        <w:t>If your shares are registered directly in your name with Honeywell’s transfer agent, EQ Shareowner Services, you are considered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shareowner of record of those shares. Shareowners of record can vote via the Internet at </w:t>
      </w:r>
      <w:r>
        <w:rPr>
          <w:rFonts w:ascii="Arial" w:cs="Arial" w:eastAsia="Arial" w:hAnsi="Arial"/>
          <w:sz w:val="16"/>
          <w:szCs w:val="16"/>
          <w:b w:val="1"/>
          <w:bCs w:val="1"/>
          <w:color w:val="D7282F"/>
        </w:rPr>
        <w:t>www.proxyvote.com</w:t>
      </w:r>
      <w:r>
        <w:rPr>
          <w:rFonts w:ascii="Arial" w:cs="Arial" w:eastAsia="Arial" w:hAnsi="Arial"/>
          <w:sz w:val="16"/>
          <w:szCs w:val="16"/>
          <w:color w:val="auto"/>
        </w:rPr>
        <w:t>, by scanning the QR code with a mobile device, by calling +1 (800) 690-6903, or by signing and returning a proxy card. Votes submitted by Internet, mobile device, or telephone must be received by 11:59 p.m. EDT on May 21, 2026.</w:t>
      </w:r>
    </w:p>
    <w:p>
      <w:pPr>
        <w:spacing w:after="0" w:line="65"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If you indicate when voting online or by phone that you wish to vote as recommended by the Board, or sign and return a proxy card without giving specific voting instructions, then the persons named as proxy holders will vote your shares in the manner recommended by the Board on all matters presented in this Proxy Statement and as they may determine in their best judgment with respect to any other matters properly presented for a vote at the Annual Meeting.</w:t>
      </w:r>
    </w:p>
    <w:p>
      <w:pPr>
        <w:spacing w:after="0" w:line="56"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b w:val="1"/>
          <w:bCs w:val="1"/>
          <w:color w:val="auto"/>
        </w:rPr>
        <w:t xml:space="preserve">Beneficial Owners. </w:t>
      </w:r>
      <w:r>
        <w:rPr>
          <w:rFonts w:ascii="Arial" w:cs="Arial" w:eastAsia="Arial" w:hAnsi="Arial"/>
          <w:sz w:val="16"/>
          <w:szCs w:val="16"/>
          <w:color w:val="auto"/>
        </w:rPr>
        <w:t>If your shares are held in a stock brokerage account by a bank, broker, trustee, or other nominee, you are considered the beneficial</w:t>
      </w:r>
      <w:r>
        <w:rPr>
          <w:rFonts w:ascii="Arial" w:cs="Arial" w:eastAsia="Arial" w:hAnsi="Arial"/>
          <w:sz w:val="16"/>
          <w:szCs w:val="16"/>
          <w:b w:val="1"/>
          <w:bCs w:val="1"/>
          <w:color w:val="auto"/>
        </w:rPr>
        <w:t xml:space="preserve"> </w:t>
      </w:r>
      <w:r>
        <w:rPr>
          <w:rFonts w:ascii="Arial" w:cs="Arial" w:eastAsia="Arial" w:hAnsi="Arial"/>
          <w:sz w:val="16"/>
          <w:szCs w:val="16"/>
          <w:color w:val="auto"/>
        </w:rPr>
        <w:t>owner of shares held in street name and these Proxy Materials are being forwarded to you by your bank, broker, trustee, or nominee who is considered the shareowner of record of those shares. As the beneficial owner, you have the right to direct your bank, broker, trustee, or nominee on how to vote via the Internet or by telephone or mobile device if the bank, broker, trustee, or nominee offers these options or by signing and returning a voting instruction card. Your bank, broker, trustee, or nominee will send you instructions for voting your shares. If you do not provide the bank, broker, trustee, or other nominee that holds your shares with specific voting instructions, then such bank, broker, trustee, or other nominee may generally vote your shares in their discretion on “routine” matters, but cannot vote on “non-routine” matters. Proposal No. 3, the approval of the appointment of Deloitte, and Proposal No. 4, the Reverse Stock Split Proposal, are each considered a routine matter; because a bank, broker, trustee, or other nominee may generally vote in their discretion on routine matters, no broker non-votes are expected in connection with Proposal No. 3 or Proposal No. 4. The following proposals are considered non-routine matters: Proposal No. 1, election of directors; Proposal No. 2, advisory vote to approve executive compensation; and Proposal No. 5, shareowner right to act by written consent, which is a shareowner proposal. If the bank, broker, trustee, or other nominee that holds your shares does not receive instructions from you on how to vote your shares on a non- routine matter, it will inform the inspector of election that it does not have the authority to vote on the matter with respect to your shares, which is generally referred to as a “broker non-vote.” Accordingly, broker non-votes may exist in connection with Proposal Nos. 1, 2, and 5. With respect to Proposal Nos. 1, 2, and 5, in the absence of instructions, shares subject to such broker non-votes will not be counted as voted or as present or represented on those proposals and so will have no effect on the vote outcome of Proposal Nos. 1, 2, and 5.</w:t>
      </w:r>
    </w:p>
    <w:p>
      <w:pPr>
        <w:spacing w:after="0" w:line="80" w:lineRule="exact"/>
        <w:rPr>
          <w:sz w:val="20"/>
          <w:szCs w:val="20"/>
          <w:color w:val="auto"/>
        </w:rPr>
      </w:pPr>
    </w:p>
    <w:p>
      <w:pPr>
        <w:ind w:right="360"/>
        <w:spacing w:after="0" w:line="265" w:lineRule="auto"/>
        <w:rPr>
          <w:sz w:val="20"/>
          <w:szCs w:val="20"/>
          <w:color w:val="auto"/>
        </w:rPr>
      </w:pPr>
      <w:r>
        <w:rPr>
          <w:rFonts w:ascii="Arial" w:cs="Arial" w:eastAsia="Arial" w:hAnsi="Arial"/>
          <w:sz w:val="16"/>
          <w:szCs w:val="16"/>
          <w:color w:val="auto"/>
        </w:rPr>
        <w:t>As described above, brokers may not vote your shares on the election of directors in the absence of your specific instructions as to how to vote, so we encourage you to provide instructions to your broker regarding the voting of your shares. Votes directed by Internet, mobile device, or telephone through such a bank, broker, trustee, or nominee must be received by 11:59 p.m. EDT on May 21, 2026, or such other date and time indicated in the materials provided by such bank, broker, trustee, or nominee.</w:t>
      </w:r>
    </w:p>
    <w:p>
      <w:pPr>
        <w:spacing w:after="0" w:line="78"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b w:val="1"/>
          <w:bCs w:val="1"/>
          <w:color w:val="auto"/>
        </w:rPr>
        <w:t xml:space="preserve">Participants in Honeywell Savings Plans. </w:t>
      </w:r>
      <w:r>
        <w:rPr>
          <w:rFonts w:ascii="Arial" w:cs="Arial" w:eastAsia="Arial" w:hAnsi="Arial"/>
          <w:sz w:val="16"/>
          <w:szCs w:val="16"/>
          <w:color w:val="auto"/>
        </w:rPr>
        <w:t>Participants in Honeywell stock funds within Honeywell savings plans are considered the beneficial owners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shares held by the savings plans. The trustee of each savings plan is the shareowner of record for shares held by Honeywell stock funds within that plan. Participants in Honeywell stock funds within Honeywell savings plans can direct the trustee of the relevant plan to vote their shares via the Internet at </w:t>
      </w:r>
      <w:r>
        <w:rPr>
          <w:rFonts w:ascii="Arial" w:cs="Arial" w:eastAsia="Arial" w:hAnsi="Arial"/>
          <w:sz w:val="16"/>
          <w:szCs w:val="16"/>
          <w:b w:val="1"/>
          <w:bCs w:val="1"/>
          <w:color w:val="D7282F"/>
        </w:rPr>
        <w:t>www.proxyvote.com</w:t>
      </w:r>
      <w:r>
        <w:rPr>
          <w:rFonts w:ascii="Arial" w:cs="Arial" w:eastAsia="Arial" w:hAnsi="Arial"/>
          <w:sz w:val="16"/>
          <w:szCs w:val="16"/>
          <w:color w:val="000000"/>
        </w:rPr>
        <w:t>, by scanning the QR code with a mobile device, by calling +1 (800) 690-6903, or by signing and returning a proxy card.</w:t>
      </w:r>
    </w:p>
    <w:p>
      <w:pPr>
        <w:spacing w:after="0" w:line="53"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Each trustee will vote shares as to which no directions are received in the same ratio as shares with respect to which directions have been received from other participants in the relevant plan, unless contrary to the Employee Retirement Income Security Act of 1974 (ERISA). We encourage you to provide instructions to the relevant trustee regarding the voting of your shares. Directions provided by Internet, mobile device, or telephone must be received by 5:00 p.m. EDT on May 19,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76200</wp:posOffset>
            </wp:positionV>
            <wp:extent cx="34290" cy="22288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34290" cy="222885"/>
                    </a:xfrm>
                    <a:prstGeom prst="rect">
                      <a:avLst/>
                    </a:prstGeom>
                    <a:noFill/>
                  </pic:spPr>
                </pic:pic>
              </a:graphicData>
            </a:graphic>
          </wp:anchor>
        </w:drawing>
      </w:r>
    </w:p>
    <w:p>
      <w:pPr>
        <w:spacing w:after="0" w:line="112"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Your Vote Is Very Important to Us. </w:t>
      </w:r>
      <w:r>
        <w:rPr>
          <w:rFonts w:ascii="Arial" w:cs="Arial" w:eastAsia="Arial" w:hAnsi="Arial"/>
          <w:sz w:val="16"/>
          <w:szCs w:val="16"/>
          <w:color w:val="auto"/>
        </w:rPr>
        <w:t>Whether or not you plan to attend the meeting, please take the time to vote your shares as soon as possible.</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260" w:type="dxa"/>
            <w:vAlign w:val="bottom"/>
          </w:tcPr>
          <w:p>
            <w:pPr>
              <w:ind w:left="6840"/>
              <w:spacing w:after="0"/>
              <w:rPr>
                <w:sz w:val="20"/>
                <w:szCs w:val="20"/>
                <w:color w:val="auto"/>
              </w:rPr>
            </w:pPr>
            <w:r>
              <w:rPr>
                <w:rFonts w:ascii="Arial" w:cs="Arial" w:eastAsia="Arial" w:hAnsi="Arial"/>
                <w:sz w:val="13"/>
                <w:szCs w:val="13"/>
                <w:b w:val="1"/>
                <w:bCs w:val="1"/>
                <w:color w:val="6D6E71"/>
              </w:rPr>
              <w:t>2026 NOTICE AND PROXY STATEMENT   |</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123</w:t>
            </w:r>
          </w:p>
        </w:tc>
      </w:tr>
      <w:tr>
        <w:trPr>
          <w:trHeight w:val="373"/>
        </w:trPr>
        <w:tc>
          <w:tcPr>
            <w:tcW w:w="10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p>
      <w:pPr>
        <w:spacing w:after="0"/>
        <w:rPr>
          <w:sz w:val="20"/>
          <w:szCs w:val="20"/>
          <w:color w:val="auto"/>
        </w:rPr>
      </w:pPr>
      <w:r>
        <w:rPr>
          <w:rFonts w:ascii="Arial" w:cs="Arial" w:eastAsia="Arial" w:hAnsi="Arial"/>
          <w:sz w:val="13"/>
          <w:szCs w:val="13"/>
          <w:b w:val="1"/>
          <w:bCs w:val="1"/>
          <w:color w:val="6D6E71"/>
        </w:rPr>
        <w:t>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CONFIDENTIAL VOTING POLICY</w:t>
      </w:r>
    </w:p>
    <w:p>
      <w:pPr>
        <w:spacing w:after="0" w:line="141"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It is our policy that any proxy, ballot, or other voting material that identifies the particular vote of a shareowner and contains the shareowner’s request for confidential treatment will be kept confidential, except in the event of a contested proxy solicitation or as may be required by law.</w:t>
      </w:r>
    </w:p>
    <w:p>
      <w:pPr>
        <w:spacing w:after="0" w:line="61" w:lineRule="exact"/>
        <w:rPr>
          <w:sz w:val="20"/>
          <w:szCs w:val="20"/>
          <w:color w:val="auto"/>
        </w:rPr>
      </w:pPr>
    </w:p>
    <w:p>
      <w:pPr>
        <w:jc w:val="both"/>
        <w:ind w:right="40"/>
        <w:spacing w:after="0" w:line="266" w:lineRule="auto"/>
        <w:rPr>
          <w:sz w:val="20"/>
          <w:szCs w:val="20"/>
          <w:color w:val="auto"/>
        </w:rPr>
      </w:pPr>
      <w:r>
        <w:rPr>
          <w:rFonts w:ascii="Arial" w:cs="Arial" w:eastAsia="Arial" w:hAnsi="Arial"/>
          <w:sz w:val="16"/>
          <w:szCs w:val="16"/>
          <w:color w:val="auto"/>
        </w:rPr>
        <w:t>We may be informed whether or not a particular shareowner has voted and will have access to any comment written on a proxy, ballot, or other material and to the identity of the commenting shareowner. Under the policy, the inspectors of election at any shareowner meeting will be independent parties unaffiliated with Honeywell.</w:t>
      </w:r>
    </w:p>
    <w:p>
      <w:pPr>
        <w:spacing w:after="0" w:line="20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REVOKING YOUR PROXY</w:t>
      </w:r>
    </w:p>
    <w:p>
      <w:pPr>
        <w:spacing w:after="0" w:line="141"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Whether you vote or direct your vote by mail, telephone, mobile device, or via the Internet, if you are a shareowner of record or a participant in Honeywell stock funds within Honeywell savings plans, unless otherwise noted, you may later revoke your proxy by:</w:t>
      </w:r>
    </w:p>
    <w:p>
      <w:pPr>
        <w:spacing w:after="0" w:line="61" w:lineRule="exact"/>
        <w:rPr>
          <w:sz w:val="20"/>
          <w:szCs w:val="20"/>
          <w:color w:val="auto"/>
        </w:rPr>
      </w:pPr>
    </w:p>
    <w:p>
      <w:pPr>
        <w:ind w:left="200" w:hanging="192"/>
        <w:spacing w:after="0"/>
        <w:tabs>
          <w:tab w:leader="none" w:pos="200" w:val="left"/>
        </w:tabs>
        <w:numPr>
          <w:ilvl w:val="0"/>
          <w:numId w:val="220"/>
        </w:numPr>
        <w:rPr>
          <w:rFonts w:ascii="Arial" w:cs="Arial" w:eastAsia="Arial" w:hAnsi="Arial"/>
          <w:sz w:val="16"/>
          <w:szCs w:val="16"/>
          <w:b w:val="1"/>
          <w:bCs w:val="1"/>
          <w:color w:val="D7282F"/>
        </w:rPr>
      </w:pPr>
      <w:r>
        <w:rPr>
          <w:rFonts w:ascii="Arial" w:cs="Arial" w:eastAsia="Arial" w:hAnsi="Arial"/>
          <w:sz w:val="16"/>
          <w:szCs w:val="16"/>
          <w:color w:val="auto"/>
        </w:rPr>
        <w:t>Sending a timely written statement to that effect to the Corporate Secretary of Honeywell;</w:t>
      </w:r>
    </w:p>
    <w:p>
      <w:pPr>
        <w:spacing w:after="0" w:line="72" w:lineRule="exact"/>
        <w:rPr>
          <w:rFonts w:ascii="Arial" w:cs="Arial" w:eastAsia="Arial" w:hAnsi="Arial"/>
          <w:sz w:val="16"/>
          <w:szCs w:val="16"/>
          <w:b w:val="1"/>
          <w:bCs w:val="1"/>
          <w:color w:val="D7282F"/>
        </w:rPr>
      </w:pPr>
    </w:p>
    <w:p>
      <w:pPr>
        <w:ind w:left="200" w:hanging="192"/>
        <w:spacing w:after="0"/>
        <w:tabs>
          <w:tab w:leader="none" w:pos="200" w:val="left"/>
        </w:tabs>
        <w:numPr>
          <w:ilvl w:val="0"/>
          <w:numId w:val="220"/>
        </w:numPr>
        <w:rPr>
          <w:rFonts w:ascii="Arial" w:cs="Arial" w:eastAsia="Arial" w:hAnsi="Arial"/>
          <w:sz w:val="16"/>
          <w:szCs w:val="16"/>
          <w:b w:val="1"/>
          <w:bCs w:val="1"/>
          <w:color w:val="D7282F"/>
        </w:rPr>
      </w:pPr>
      <w:r>
        <w:rPr>
          <w:rFonts w:ascii="Arial" w:cs="Arial" w:eastAsia="Arial" w:hAnsi="Arial"/>
          <w:sz w:val="16"/>
          <w:szCs w:val="16"/>
          <w:color w:val="auto"/>
        </w:rPr>
        <w:t>Submitting a properly signed proxy with a later date;</w:t>
      </w:r>
    </w:p>
    <w:p>
      <w:pPr>
        <w:spacing w:after="0" w:line="86" w:lineRule="exact"/>
        <w:rPr>
          <w:rFonts w:ascii="Arial" w:cs="Arial" w:eastAsia="Arial" w:hAnsi="Arial"/>
          <w:sz w:val="16"/>
          <w:szCs w:val="16"/>
          <w:b w:val="1"/>
          <w:bCs w:val="1"/>
          <w:color w:val="D7282F"/>
        </w:rPr>
      </w:pPr>
    </w:p>
    <w:p>
      <w:pPr>
        <w:jc w:val="both"/>
        <w:ind w:left="200" w:right="380" w:hanging="192"/>
        <w:spacing w:after="0" w:line="286" w:lineRule="auto"/>
        <w:tabs>
          <w:tab w:leader="none" w:pos="197" w:val="left"/>
        </w:tabs>
        <w:numPr>
          <w:ilvl w:val="0"/>
          <w:numId w:val="220"/>
        </w:numPr>
        <w:rPr>
          <w:rFonts w:ascii="Arial" w:cs="Arial" w:eastAsia="Arial" w:hAnsi="Arial"/>
          <w:sz w:val="16"/>
          <w:szCs w:val="16"/>
          <w:b w:val="1"/>
          <w:bCs w:val="1"/>
          <w:color w:val="D7282F"/>
        </w:rPr>
      </w:pPr>
      <w:r>
        <w:rPr>
          <w:rFonts w:ascii="Arial" w:cs="Arial" w:eastAsia="Arial" w:hAnsi="Arial"/>
          <w:sz w:val="16"/>
          <w:szCs w:val="16"/>
          <w:color w:val="auto"/>
        </w:rPr>
        <w:t>Submitting a proxy vote by telephone, mobile device, or via the Internet at a later time (if initially able to vote in that manner) so long as such vote or voting direction is received by the applicable date and time set forth above for shareowners of record and participants in Honeywell savings plans; or</w:t>
      </w:r>
    </w:p>
    <w:p>
      <w:pPr>
        <w:spacing w:after="0" w:line="20" w:lineRule="exact"/>
        <w:rPr>
          <w:rFonts w:ascii="Arial" w:cs="Arial" w:eastAsia="Arial" w:hAnsi="Arial"/>
          <w:sz w:val="16"/>
          <w:szCs w:val="16"/>
          <w:b w:val="1"/>
          <w:bCs w:val="1"/>
          <w:color w:val="D7282F"/>
        </w:rPr>
      </w:pPr>
    </w:p>
    <w:p>
      <w:pPr>
        <w:ind w:left="200" w:hanging="192"/>
        <w:spacing w:after="0"/>
        <w:tabs>
          <w:tab w:leader="none" w:pos="200" w:val="left"/>
        </w:tabs>
        <w:numPr>
          <w:ilvl w:val="0"/>
          <w:numId w:val="220"/>
        </w:numPr>
        <w:rPr>
          <w:rFonts w:ascii="Arial" w:cs="Arial" w:eastAsia="Arial" w:hAnsi="Arial"/>
          <w:sz w:val="16"/>
          <w:szCs w:val="16"/>
          <w:b w:val="1"/>
          <w:bCs w:val="1"/>
          <w:color w:val="D7282F"/>
        </w:rPr>
      </w:pPr>
      <w:r>
        <w:rPr>
          <w:rFonts w:ascii="Arial" w:cs="Arial" w:eastAsia="Arial" w:hAnsi="Arial"/>
          <w:sz w:val="16"/>
          <w:szCs w:val="16"/>
          <w:color w:val="auto"/>
        </w:rPr>
        <w:t>Voting at the Annual Meeting (except for shares held in the savings plans).</w:t>
      </w:r>
    </w:p>
    <w:p>
      <w:pPr>
        <w:spacing w:after="0" w:line="113"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If you hold your shares through a bank, broker, trustee, or nominee and you have instructed the bank, broker, trustee, or nominee to vote your shares, you must follow the directions received from your bank, broker, trustee, or nominee to change those instructions.</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QUORUM; VOTE REQUIRED; ABSTENTIONS AND BROKER NON-VOTES</w:t>
      </w:r>
    </w:p>
    <w:p>
      <w:pPr>
        <w:spacing w:after="0" w:line="128"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The required quorum for the transaction of business at the meeting is a majority of the total outstanding shares of common stock entitled to vote at the meeting, either present in person (virtually) or represented by proxy. Broker non-votes and abstentions are counted for purposes of determining whether a quorum is present.</w:t>
      </w:r>
    </w:p>
    <w:p>
      <w:pPr>
        <w:spacing w:after="0" w:line="56"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Regarding Proposal No. 1, Honeywell’s By-laws provide that in any uncontested election of directors (an election in which the number of nominees does not exceed the number of directors to be elected), any nominee who receives a greater number of votes cast “FOR” his or her election than votes cast “AGAINST” his or her election (excluding abstentions) will be elected to the Board of Directors. Shares not represented in person or by proxy at the Annual Meeting, abstentions, and broker non-votes will have no effect on the election of directors.</w:t>
      </w:r>
    </w:p>
    <w:p>
      <w:pPr>
        <w:spacing w:after="0" w:line="60"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affirmative vote of a majority of shares present or represented by proxy and entitled to vote on each of Proposal Nos. 2, 3, and 5 is required for approval of these proposals. Abstentions will be counted toward the tabulation of votes present or represented on these proposals and will have the same effect as votes against these proposals. The affirmative vote of a majority of the total votes cast by shareowners on Proposal No. 4 is required for the approval of Proposal No. 4. Abstentions will not be counted toward the tabulation of votes cast on Proposal No. 4 and will accordingly have no effect on the member of total votes that counted as "FOR and "AGAINST" Proposal No. 4. Shares not represented in person or by proxy at the Annual Meeting will have no effect on the vote outcome of Proposal Nos. 2, 3, 4, and 5, and broker non-votes will have no effect on the vote outcome of Proposal Nos. 2 and 5. While the votes on Proposal Nos. 2 and 3 are advisory and not binding on the Board or the Company, the Board or applicable committee will take into consideration the outcome of the votes when making future decisions regarding executive compensation and the auditor appointment,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RESULTS OF THE VOTE</w:t>
      </w:r>
    </w:p>
    <w:p>
      <w:pPr>
        <w:spacing w:after="0" w:line="128"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 xml:space="preserve">We will announce preliminary voting results at the Annual Meeting and publish them on our Investor Relations website at </w:t>
      </w:r>
      <w:r>
        <w:rPr>
          <w:rFonts w:ascii="Arial" w:cs="Arial" w:eastAsia="Arial" w:hAnsi="Arial"/>
          <w:sz w:val="16"/>
          <w:szCs w:val="16"/>
          <w:b w:val="1"/>
          <w:bCs w:val="1"/>
          <w:color w:val="D7282F"/>
        </w:rPr>
        <w:t>investor.honeywell.com</w:t>
      </w:r>
      <w:r>
        <w:rPr>
          <w:rFonts w:ascii="Arial" w:cs="Arial" w:eastAsia="Arial" w:hAnsi="Arial"/>
          <w:sz w:val="16"/>
          <w:szCs w:val="16"/>
          <w:color w:val="auto"/>
        </w:rPr>
        <w:t>. Voting results will also be disclosed on a Form 8-K filed with the SEC within four business days after the Annual Meeting, and they will be available on the same website.</w:t>
      </w:r>
    </w:p>
    <w:p>
      <w:pPr>
        <w:spacing w:after="0" w:line="227" w:lineRule="exact"/>
        <w:rPr>
          <w:sz w:val="20"/>
          <w:szCs w:val="20"/>
          <w:color w:val="auto"/>
        </w:rPr>
      </w:pPr>
    </w:p>
    <w:p>
      <w:pPr>
        <w:ind w:left="20"/>
        <w:spacing w:after="0"/>
        <w:tabs>
          <w:tab w:leader="none" w:pos="1860" w:val="left"/>
        </w:tabs>
        <w:rPr>
          <w:sz w:val="20"/>
          <w:szCs w:val="20"/>
          <w:color w:val="auto"/>
        </w:rPr>
      </w:pPr>
      <w:r>
        <w:rPr>
          <w:rFonts w:ascii="Arial" w:cs="Arial" w:eastAsia="Arial" w:hAnsi="Arial"/>
          <w:sz w:val="18"/>
          <w:szCs w:val="18"/>
          <w:b w:val="1"/>
          <w:bCs w:val="1"/>
          <w:color w:val="auto"/>
        </w:rPr>
        <w:t xml:space="preserve">124  </w:t>
      </w:r>
      <w:r>
        <w:rPr>
          <w:sz w:val="1"/>
          <w:szCs w:val="1"/>
          <w:color w:val="auto"/>
        </w:rPr>
        <w:drawing>
          <wp:inline distT="0" distB="0" distL="0" distR="0">
            <wp:extent cx="548640" cy="102870"/>
            <wp:effectExtent l="0" t="0" r="0" b="0"/>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2026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40" w:name="page141"/>
    <w:bookmarkEnd w:id="140"/>
    <w:p>
      <w:pPr>
        <w:jc w:val="right"/>
        <w:spacing w:after="0"/>
        <w:rPr>
          <w:sz w:val="20"/>
          <w:szCs w:val="20"/>
          <w:color w:val="auto"/>
        </w:rPr>
      </w:pPr>
      <w:r>
        <w:rPr>
          <w:rFonts w:ascii="Arial" w:cs="Arial" w:eastAsia="Arial" w:hAnsi="Arial"/>
          <w:sz w:val="13"/>
          <w:szCs w:val="13"/>
          <w:b w:val="1"/>
          <w:bCs w:val="1"/>
          <w:color w:val="6D6E71"/>
        </w:rPr>
        <w:t>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SHARES OUTSTANDING</w:t>
      </w:r>
    </w:p>
    <w:p>
      <w:pPr>
        <w:spacing w:after="0" w:line="14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At the close of business on March 28, 2026, there were 633,653,119 shares of common stock outstanding. Each share outstanding as of the March 27, 2026 record date is entitled to one vote at the Annual Meeting on each matter properly brought before the meeting.</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ELIMINATING DUPLICATE MAILINGS</w:t>
      </w:r>
    </w:p>
    <w:p>
      <w:pPr>
        <w:spacing w:after="0" w:line="141"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Beneficial owners of common stock who share a single address will receive only one copy of the Notice of Internet Availability or the Proxy Materials, as the case may be, unless their broker, bank, trustee, or nominee has received contrary instructions from any beneficial owner at that address. This practice, known as “householding,” is designed to reduce printing and mailing costs. If any beneficial shareowner(s) sharing a single address wish to discontinue householding and receive a separate copy of the Notice of Internet Availability or the Proxy Materials, as the case may be, we will have a separate copy promptly delivered to you upon your written or oral request. To make the request, they may contact Broadridge, either by calling +1 (866) 540-7095, or by writing to Broadridge, Householding Department, 51 Mercedes Way, Edgewood, NY 11717, and including their name, the name of their broker or other nominee, and their account number(s). Beneficial owners may also contact Broadridge if they received multiple copies of the Proxy Materials and prefer to receive a single copy in the future.</w:t>
      </w:r>
    </w:p>
    <w:p>
      <w:pPr>
        <w:spacing w:after="0" w:line="20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EXPENSES OF SOLICITATION</w:t>
      </w:r>
    </w:p>
    <w:p>
      <w:pPr>
        <w:spacing w:after="0" w:line="141"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Honeywell pays the cost of preparing, assembling, and mailing this proxy-soliciting material. In addition to the use of the mail, proxies may be solicited by Honeywell officers and employees by telephone or other means of communication. Honeywell pays all costs of solicitation, including certain expenses of brokers and nominees who mail Proxy Materials to their customers or principals. We may retain a proxy solicitor in conjunction with the Annual Meeting, and its employees may assist us in the solicitation. We will pay all costs of soliciting proxies, including a fee and reasonable out-of-pocket expenses for the proxy solicitor, if any.</w:t>
      </w:r>
    </w:p>
    <w:p>
      <w:pPr>
        <w:spacing w:after="0" w:line="20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ELECTRONIC ACCESS TO THE PROXY MATERIALS</w:t>
      </w:r>
    </w:p>
    <w:p>
      <w:pPr>
        <w:spacing w:after="0" w:line="141"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You can elect to receive future Proxy Materials by email, which will save us the cost of producing and mailing documents to you. Shareowners may enroll to receive Proxy Materials electronically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64770</wp:posOffset>
            </wp:positionV>
            <wp:extent cx="34290" cy="28257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34290" cy="282575"/>
                    </a:xfrm>
                    <a:prstGeom prst="rect">
                      <a:avLst/>
                    </a:prstGeom>
                    <a:noFill/>
                  </pic:spPr>
                </pic:pic>
              </a:graphicData>
            </a:graphic>
          </wp:anchor>
        </w:drawing>
      </w:r>
    </w:p>
    <w:p>
      <w:pPr>
        <w:spacing w:after="0" w:line="95" w:lineRule="exact"/>
        <w:rPr>
          <w:sz w:val="20"/>
          <w:szCs w:val="20"/>
          <w:color w:val="auto"/>
        </w:rPr>
      </w:pPr>
    </w:p>
    <w:p>
      <w:pPr>
        <w:ind w:left="160" w:right="500"/>
        <w:spacing w:after="0" w:line="296" w:lineRule="auto"/>
        <w:rPr>
          <w:sz w:val="20"/>
          <w:szCs w:val="20"/>
          <w:color w:val="auto"/>
        </w:rPr>
      </w:pPr>
      <w:r>
        <w:rPr>
          <w:rFonts w:ascii="Arial" w:cs="Arial" w:eastAsia="Arial" w:hAnsi="Arial"/>
          <w:sz w:val="16"/>
          <w:szCs w:val="16"/>
          <w:b w:val="1"/>
          <w:bCs w:val="1"/>
          <w:color w:val="auto"/>
        </w:rPr>
        <w:t xml:space="preserve">Shareowners of Record. </w:t>
      </w:r>
      <w:r>
        <w:rPr>
          <w:rFonts w:ascii="Arial" w:cs="Arial" w:eastAsia="Arial" w:hAnsi="Arial"/>
          <w:sz w:val="16"/>
          <w:szCs w:val="16"/>
          <w:color w:val="auto"/>
        </w:rPr>
        <w:t>If you are a registered shareowner, you may request electronic delivery when submitting your vote for this meeting on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Internet at </w:t>
      </w:r>
      <w:r>
        <w:rPr>
          <w:rFonts w:ascii="Arial" w:cs="Arial" w:eastAsia="Arial" w:hAnsi="Arial"/>
          <w:sz w:val="16"/>
          <w:szCs w:val="16"/>
          <w:b w:val="1"/>
          <w:bCs w:val="1"/>
          <w:color w:val="D7282F"/>
        </w:rPr>
        <w:t>www.proxyvote.com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123825</wp:posOffset>
            </wp:positionV>
            <wp:extent cx="34290" cy="28257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34290" cy="282575"/>
                    </a:xfrm>
                    <a:prstGeom prst="rect">
                      <a:avLst/>
                    </a:prstGeom>
                    <a:noFill/>
                  </pic:spPr>
                </pic:pic>
              </a:graphicData>
            </a:graphic>
          </wp:anchor>
        </w:drawing>
      </w:r>
    </w:p>
    <w:p>
      <w:pPr>
        <w:spacing w:after="0" w:line="188" w:lineRule="exact"/>
        <w:rPr>
          <w:sz w:val="20"/>
          <w:szCs w:val="20"/>
          <w:color w:val="auto"/>
        </w:rPr>
      </w:pPr>
    </w:p>
    <w:p>
      <w:pPr>
        <w:ind w:left="160" w:right="120"/>
        <w:spacing w:after="0" w:line="304" w:lineRule="auto"/>
        <w:rPr>
          <w:sz w:val="20"/>
          <w:szCs w:val="20"/>
          <w:color w:val="auto"/>
        </w:rPr>
      </w:pPr>
      <w:r>
        <w:rPr>
          <w:rFonts w:ascii="Arial" w:cs="Arial" w:eastAsia="Arial" w:hAnsi="Arial"/>
          <w:sz w:val="16"/>
          <w:szCs w:val="16"/>
          <w:b w:val="1"/>
          <w:bCs w:val="1"/>
          <w:color w:val="auto"/>
        </w:rPr>
        <w:t xml:space="preserve">Beneficial Holders. </w:t>
      </w:r>
      <w:r>
        <w:rPr>
          <w:rFonts w:ascii="Arial" w:cs="Arial" w:eastAsia="Arial" w:hAnsi="Arial"/>
          <w:sz w:val="16"/>
          <w:szCs w:val="16"/>
          <w:color w:val="auto"/>
        </w:rPr>
        <w:t>If your shares are not registered in your name, check the information provided to you by your bank or broker, or contact your bank or</w:t>
      </w:r>
      <w:r>
        <w:rPr>
          <w:rFonts w:ascii="Arial" w:cs="Arial" w:eastAsia="Arial" w:hAnsi="Arial"/>
          <w:sz w:val="16"/>
          <w:szCs w:val="16"/>
          <w:b w:val="1"/>
          <w:bCs w:val="1"/>
          <w:color w:val="auto"/>
        </w:rPr>
        <w:t xml:space="preserve"> </w:t>
      </w:r>
      <w:r>
        <w:rPr>
          <w:rFonts w:ascii="Arial" w:cs="Arial" w:eastAsia="Arial" w:hAnsi="Arial"/>
          <w:sz w:val="16"/>
          <w:szCs w:val="16"/>
          <w:color w:val="auto"/>
        </w:rPr>
        <w:t>broker for information on electronic delivery service.</w:t>
      </w:r>
    </w:p>
    <w:p>
      <w:pPr>
        <w:spacing w:after="0" w:line="333"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SHAREOWNER PROPOSALS AND BOARD NOMINEES</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SHAREOWNER PROPOSALS FOR 2027 ANNUAL MEETING</w:t>
      </w:r>
    </w:p>
    <w:p>
      <w:pPr>
        <w:spacing w:after="0" w:line="141"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In order for a shareowner proposal to be considered for inclusion in Honeywell’s Proxy Statement for the 2027 Annual Meeting of Shareowners pursuant to Rule 14a-8 of the SEC, the proposal must be received at the Company’s offices no later than the close of business on December 11, 2026. Proposals submitted thereafter will be opposed as not timely filed.</w:t>
      </w:r>
    </w:p>
    <w:p>
      <w:pPr>
        <w:spacing w:after="0" w:line="77" w:lineRule="exact"/>
        <w:rPr>
          <w:sz w:val="20"/>
          <w:szCs w:val="20"/>
          <w:color w:val="auto"/>
        </w:rPr>
      </w:pPr>
    </w:p>
    <w:p>
      <w:pPr>
        <w:ind w:right="160"/>
        <w:spacing w:after="0" w:line="258" w:lineRule="auto"/>
        <w:rPr>
          <w:sz w:val="20"/>
          <w:szCs w:val="20"/>
          <w:color w:val="auto"/>
        </w:rPr>
      </w:pPr>
      <w:r>
        <w:rPr>
          <w:rFonts w:ascii="Arial" w:cs="Arial" w:eastAsia="Arial" w:hAnsi="Arial"/>
          <w:sz w:val="16"/>
          <w:szCs w:val="16"/>
          <w:color w:val="auto"/>
        </w:rPr>
        <w:t>If a shareowner intends to present a proposal for consideration at the 2027 Annual Meeting of Shareowners pursuant to the procedures contemplated in Honeywell’s By-laws, outside the processes of SEC Rule 14a-8 or the proxy access provisions in Honeywell’s By-laws, Honeywell must receive notice of such proposal not earlier than January 22, 2027, and not later than February 21, 2027. Otherwise, the proposal will be considered untimely under Honeywell’s By-laws. The notice must contain the information required by Honeywell's By-laws, including, but not limited to, a brief description of the proposal, the reasons for conducting such business, the name and address of the shareowner, the number of shares of Honeywell’s common stock the shareowner beneficially owns, and any material interest of the shareowner in such business. If the required information is not supplied as provided in Honeywell’s By-laws, the proposal will not be considered at the 2027 Annual Meeting of Shareowners. In addition, Honeywell’s proxies will have discretionary voting authority on any vote with respect to such proposal, if presented at the meeting, without including information regarding the proposal in its Proxy Materials.</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Any shareowner wishing to submit a shareowner proposal should send notice to: Corporate Secretary, Honeywell, 855 S. Mint Street, Charlotte, NC 28202,</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and </w:t>
      </w:r>
      <w:r>
        <w:rPr>
          <w:rFonts w:ascii="Arial" w:cs="Arial" w:eastAsia="Arial" w:hAnsi="Arial"/>
          <w:sz w:val="16"/>
          <w:szCs w:val="16"/>
          <w:b w:val="1"/>
          <w:bCs w:val="1"/>
          <w:color w:val="D7282F"/>
        </w:rPr>
        <w:t>honcorpsec@honeywell.com</w:t>
      </w:r>
      <w:r>
        <w:rPr>
          <w:rFonts w:ascii="Arial" w:cs="Arial" w:eastAsia="Arial" w:hAnsi="Arial"/>
          <w:sz w:val="16"/>
          <w:szCs w:val="16"/>
          <w:color w:val="auto"/>
        </w:rPr>
        <w:t>.</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260" w:type="dxa"/>
            <w:vAlign w:val="bottom"/>
          </w:tcPr>
          <w:p>
            <w:pPr>
              <w:ind w:left="6840"/>
              <w:spacing w:after="0"/>
              <w:rPr>
                <w:sz w:val="20"/>
                <w:szCs w:val="20"/>
                <w:color w:val="auto"/>
              </w:rPr>
            </w:pPr>
            <w:r>
              <w:rPr>
                <w:rFonts w:ascii="Arial" w:cs="Arial" w:eastAsia="Arial" w:hAnsi="Arial"/>
                <w:sz w:val="13"/>
                <w:szCs w:val="13"/>
                <w:b w:val="1"/>
                <w:bCs w:val="1"/>
                <w:color w:val="6D6E71"/>
              </w:rPr>
              <w:t>2026 NOTICE AND PROXY STATEMENT   |</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125</w:t>
            </w:r>
          </w:p>
        </w:tc>
      </w:tr>
      <w:tr>
        <w:trPr>
          <w:trHeight w:val="360"/>
        </w:trPr>
        <w:tc>
          <w:tcPr>
            <w:tcW w:w="10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-367665</wp:posOffset>
            </wp:positionV>
            <wp:extent cx="548640" cy="10287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1" w:name="page142"/>
    <w:bookmarkEnd w:id="141"/>
    <w:p>
      <w:pPr>
        <w:spacing w:after="0"/>
        <w:rPr>
          <w:sz w:val="20"/>
          <w:szCs w:val="20"/>
          <w:color w:val="auto"/>
        </w:rPr>
      </w:pPr>
      <w:r>
        <w:rPr>
          <w:rFonts w:ascii="Arial" w:cs="Arial" w:eastAsia="Arial" w:hAnsi="Arial"/>
          <w:sz w:val="13"/>
          <w:szCs w:val="13"/>
          <w:b w:val="1"/>
          <w:bCs w:val="1"/>
          <w:color w:val="6D6E71"/>
        </w:rPr>
        <w:t>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DIRECTOR NOMINATIONS FOR 2027 ANNUAL MEETING</w:t>
      </w:r>
    </w:p>
    <w:p>
      <w:pPr>
        <w:spacing w:after="0" w:line="141" w:lineRule="exact"/>
        <w:rPr>
          <w:sz w:val="20"/>
          <w:szCs w:val="20"/>
          <w:color w:val="auto"/>
        </w:rPr>
      </w:pPr>
    </w:p>
    <w:p>
      <w:pPr>
        <w:spacing w:after="0" w:line="257" w:lineRule="auto"/>
        <w:rPr>
          <w:sz w:val="20"/>
          <w:szCs w:val="20"/>
          <w:color w:val="auto"/>
        </w:rPr>
      </w:pPr>
      <w:r>
        <w:rPr>
          <w:rFonts w:ascii="Arial" w:cs="Arial" w:eastAsia="Arial" w:hAnsi="Arial"/>
          <w:sz w:val="16"/>
          <w:szCs w:val="16"/>
          <w:b w:val="1"/>
          <w:bCs w:val="1"/>
          <w:color w:val="auto"/>
        </w:rPr>
        <w:t xml:space="preserve">Proxy Access Nominations. </w:t>
      </w:r>
      <w:r>
        <w:rPr>
          <w:rFonts w:ascii="Arial" w:cs="Arial" w:eastAsia="Arial" w:hAnsi="Arial"/>
          <w:sz w:val="16"/>
          <w:szCs w:val="16"/>
          <w:color w:val="auto"/>
        </w:rPr>
        <w:t>Honeywell’s By-laws allow a single shareowner or a group of up to 20 shareowners who have held at least 3% of Honeywell</w:t>
      </w:r>
      <w:r>
        <w:rPr>
          <w:rFonts w:ascii="Arial" w:cs="Arial" w:eastAsia="Arial" w:hAnsi="Arial"/>
          <w:sz w:val="16"/>
          <w:szCs w:val="16"/>
          <w:b w:val="1"/>
          <w:bCs w:val="1"/>
          <w:color w:val="auto"/>
        </w:rPr>
        <w:t xml:space="preserve"> </w:t>
      </w:r>
      <w:r>
        <w:rPr>
          <w:rFonts w:ascii="Arial" w:cs="Arial" w:eastAsia="Arial" w:hAnsi="Arial"/>
          <w:sz w:val="16"/>
          <w:szCs w:val="16"/>
          <w:color w:val="auto"/>
        </w:rPr>
        <w:t>stock for at least three years and who comply with the additional requirements in Honeywell’s By-laws to submit director nominees (the greater of 20% of the Board or two directors) for inclusion in Honeywell’s Proxy Statement if the shareowner(s) and the nominee(s) satisfy the requirements specified in Honeywell’s By-laws. Notice must be received by the Corporate Secretary of Honeywell at 855 S. Mint Street, Charlotte, NC 28202, not earlier than the close of business on the 150th day and not later than the close of business on the 120th day prior to the first anniversary of the date the definitive Proxy Statement was first released to shareowners in connection with the preceding year’s Annual Meeting, subject to certain exceptions specified in Honeywell’s By-laws. For the 2027 Annual Meeting, such notice must be received not earlier than November 11, 2026, and not later than December 11, 2026. Honeywell did not receive any such nominations for the 2026 Annual Meeting of Shareowners.</w:t>
      </w:r>
    </w:p>
    <w:p>
      <w:pPr>
        <w:spacing w:after="0" w:line="84" w:lineRule="exact"/>
        <w:rPr>
          <w:sz w:val="20"/>
          <w:szCs w:val="20"/>
          <w:color w:val="auto"/>
        </w:rPr>
      </w:pPr>
    </w:p>
    <w:p>
      <w:pPr>
        <w:spacing w:after="0" w:line="260" w:lineRule="auto"/>
        <w:rPr>
          <w:sz w:val="20"/>
          <w:szCs w:val="20"/>
          <w:color w:val="auto"/>
        </w:rPr>
      </w:pPr>
      <w:r>
        <w:rPr>
          <w:rFonts w:ascii="Arial" w:cs="Arial" w:eastAsia="Arial" w:hAnsi="Arial"/>
          <w:sz w:val="16"/>
          <w:szCs w:val="16"/>
          <w:b w:val="1"/>
          <w:bCs w:val="1"/>
          <w:color w:val="auto"/>
        </w:rPr>
        <w:t xml:space="preserve">Non-Proxy Access Nominations. </w:t>
      </w:r>
      <w:r>
        <w:rPr>
          <w:rFonts w:ascii="Arial" w:cs="Arial" w:eastAsia="Arial" w:hAnsi="Arial"/>
          <w:sz w:val="16"/>
          <w:szCs w:val="16"/>
          <w:color w:val="auto"/>
        </w:rPr>
        <w:t>Honeywell’s By-laws state that any shareowner of record entitled to vote at the Annual Meeting who intends to make a</w:t>
      </w:r>
      <w:r>
        <w:rPr>
          <w:rFonts w:ascii="Arial" w:cs="Arial" w:eastAsia="Arial" w:hAnsi="Arial"/>
          <w:sz w:val="16"/>
          <w:szCs w:val="16"/>
          <w:b w:val="1"/>
          <w:bCs w:val="1"/>
          <w:color w:val="auto"/>
        </w:rPr>
        <w:t xml:space="preserve"> </w:t>
      </w:r>
      <w:r>
        <w:rPr>
          <w:rFonts w:ascii="Arial" w:cs="Arial" w:eastAsia="Arial" w:hAnsi="Arial"/>
          <w:sz w:val="16"/>
          <w:szCs w:val="16"/>
          <w:color w:val="auto"/>
        </w:rPr>
        <w:t>nomination for director must notify the Corporate Secretary in writing not more than 120 days and not less than 90 days prior to the first anniversary of the preceding year’s Annual Meeting, subject to certain exceptions specified in Honeywell’s By-laws. The notice must meet the requirements contained in the By-laws, a copy of which can be obtained from the Corporate Secretary. For the 2027 Annual Meeting, such notice must be received not earlier than January 22, 2027 and not later than February 21, 2027. Honeywell did not receive any such nominations for the 2026 Annual Meeting of Shareowners.</w:t>
      </w:r>
    </w:p>
    <w:p>
      <w:pPr>
        <w:spacing w:after="0" w:line="83"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b w:val="1"/>
          <w:bCs w:val="1"/>
          <w:color w:val="auto"/>
        </w:rPr>
        <w:t xml:space="preserve">Universal Proxy Rules. </w:t>
      </w:r>
      <w:r>
        <w:rPr>
          <w:rFonts w:ascii="Arial" w:cs="Arial" w:eastAsia="Arial" w:hAnsi="Arial"/>
          <w:sz w:val="16"/>
          <w:szCs w:val="16"/>
          <w:color w:val="auto"/>
        </w:rPr>
        <w:t>In addition to satisfying the foregoing requirements under our By-laws, including advance notice of director nominations, to comply</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universal proxy rules, shareowners who intend to solicit proxies in support of director nominees other than Honeywell’s nominees must provide notice that sets forth any additional information required by Rule 14a-19 under the Exchange Act no later than March 23, 2027. Such notice may be mailed to the Corporate Secretary at the address above.</w:t>
      </w:r>
    </w:p>
    <w:p>
      <w:pPr>
        <w:spacing w:after="0" w:line="65" w:lineRule="exact"/>
        <w:rPr>
          <w:sz w:val="20"/>
          <w:szCs w:val="20"/>
          <w:color w:val="auto"/>
        </w:rPr>
      </w:pPr>
    </w:p>
    <w:p>
      <w:pPr>
        <w:spacing w:after="0" w:line="262" w:lineRule="auto"/>
        <w:rPr>
          <w:sz w:val="20"/>
          <w:szCs w:val="20"/>
          <w:color w:val="auto"/>
        </w:rPr>
      </w:pPr>
      <w:r>
        <w:rPr>
          <w:rFonts w:ascii="Arial" w:cs="Arial" w:eastAsia="Arial" w:hAnsi="Arial"/>
          <w:sz w:val="16"/>
          <w:szCs w:val="16"/>
          <w:b w:val="1"/>
          <w:bCs w:val="1"/>
          <w:color w:val="auto"/>
        </w:rPr>
        <w:t xml:space="preserve">Shareowner Recommendations. </w:t>
      </w:r>
      <w:r>
        <w:rPr>
          <w:rFonts w:ascii="Arial" w:cs="Arial" w:eastAsia="Arial" w:hAnsi="Arial"/>
          <w:sz w:val="16"/>
          <w:szCs w:val="16"/>
          <w:color w:val="auto"/>
        </w:rPr>
        <w:t>Shareowners wishing to recommend a director candidate to the CGRC for its consideration should write to the CGRC,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care of Corporate Secretary, Honeywell, 855 S. Mint Street, Charlotte, NC 28202, and must comply with the requirements specified in the Shareowners Nomination Policy adopted by the CGRC as described below. To receive consideration, a recommendation should include the candidate’s name, biographical data, a description of his or her qualifications in light of the criteria described in this Proxy Statement and our By-laws, and any other information required by the Shareowners Nomination Policy, which can be requested from our Corporate Secretary via email ( </w:t>
      </w:r>
      <w:r>
        <w:rPr>
          <w:rFonts w:ascii="Arial" w:cs="Arial" w:eastAsia="Arial" w:hAnsi="Arial"/>
          <w:sz w:val="16"/>
          <w:szCs w:val="16"/>
          <w:b w:val="1"/>
          <w:bCs w:val="1"/>
          <w:color w:val="D7282F"/>
        </w:rPr>
        <w:t>honcorpsec@honeywell.com</w:t>
      </w:r>
      <w:r>
        <w:rPr>
          <w:rFonts w:ascii="Arial" w:cs="Arial" w:eastAsia="Arial" w:hAnsi="Arial"/>
          <w:sz w:val="16"/>
          <w:szCs w:val="16"/>
          <w:color w:val="auto"/>
        </w:rPr>
        <w:t>) or by mail at the address above. The CGRC evaluates candidates recommended by shareowners using the same criteria as for other candidates recommended by existing Board members or other persons, as described above under “Evaluation and Nomination of Director Candidates.”</w:t>
      </w:r>
    </w:p>
    <w:p>
      <w:pPr>
        <w:spacing w:after="0" w:line="257"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WHERE SHAREOWNERS CAN FIND MORE INFORMATION</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SEC FILINGS AND REPORTS</w:t>
      </w:r>
    </w:p>
    <w:p>
      <w:pPr>
        <w:spacing w:after="0" w:line="128"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 xml:space="preserve">Our Annual Report on Form 10-K, Quarterly Reports on Form 10-Q, Current Reports on Form 8-K, and any amendments to those reports, are available free of charge on our website at </w:t>
      </w:r>
      <w:r>
        <w:rPr>
          <w:rFonts w:ascii="Arial" w:cs="Arial" w:eastAsia="Arial" w:hAnsi="Arial"/>
          <w:sz w:val="16"/>
          <w:szCs w:val="16"/>
          <w:b w:val="1"/>
          <w:bCs w:val="1"/>
          <w:color w:val="D7282F"/>
        </w:rPr>
        <w:t>investor.honeywell.com</w:t>
      </w:r>
      <w:r>
        <w:rPr>
          <w:rFonts w:ascii="Arial" w:cs="Arial" w:eastAsia="Arial" w:hAnsi="Arial"/>
          <w:sz w:val="16"/>
          <w:szCs w:val="16"/>
          <w:color w:val="auto"/>
        </w:rPr>
        <w:t xml:space="preserve"> (see “Financials/SEC Filings”) immediately after they are publicly filed or furnished. Please visit our website at </w:t>
      </w:r>
      <w:r>
        <w:rPr>
          <w:rFonts w:ascii="Arial" w:cs="Arial" w:eastAsia="Arial" w:hAnsi="Arial"/>
          <w:sz w:val="16"/>
          <w:szCs w:val="16"/>
          <w:b w:val="1"/>
          <w:bCs w:val="1"/>
          <w:color w:val="D7282F"/>
        </w:rPr>
        <w:t>investor.honeywell.com</w:t>
      </w:r>
      <w:r>
        <w:rPr>
          <w:rFonts w:ascii="Arial" w:cs="Arial" w:eastAsia="Arial" w:hAnsi="Arial"/>
          <w:sz w:val="16"/>
          <w:szCs w:val="16"/>
          <w:color w:val="auto"/>
        </w:rPr>
        <w:t xml:space="preserve"> (see “Governance/Governance Overview”) to view our governance documents, including our Charter and By-laws, Corporate Governance Guidelines, Code of Business Conduct, and Board committee charters.</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COMMUNICATING WITH MANAGEMENT AND INVESTOR RELATIONS</w:t>
      </w:r>
    </w:p>
    <w:p>
      <w:pPr>
        <w:spacing w:after="0" w:line="141"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auto"/>
        </w:rPr>
        <w:t>Our Investor Relations department is the primary point of contact for shareowner interaction with Honeywell. Shareowners should write to or call: Mark Macaluso, Senior Vice President, Investor Relations, Honeywell, 855 S. Mint Street, Charlotte, NC 28202, or +1 (704) 627-6118.</w:t>
      </w:r>
    </w:p>
    <w:p>
      <w:pPr>
        <w:spacing w:after="0" w:line="218" w:lineRule="exact"/>
        <w:rPr>
          <w:sz w:val="20"/>
          <w:szCs w:val="20"/>
          <w:color w:val="auto"/>
        </w:rPr>
      </w:pPr>
    </w:p>
    <w:p>
      <w:pPr>
        <w:ind w:left="20"/>
        <w:spacing w:after="0"/>
        <w:tabs>
          <w:tab w:leader="none" w:pos="1860" w:val="left"/>
        </w:tabs>
        <w:rPr>
          <w:sz w:val="20"/>
          <w:szCs w:val="20"/>
          <w:color w:val="auto"/>
        </w:rPr>
      </w:pPr>
      <w:r>
        <w:rPr>
          <w:rFonts w:ascii="Arial" w:cs="Arial" w:eastAsia="Arial" w:hAnsi="Arial"/>
          <w:sz w:val="18"/>
          <w:szCs w:val="18"/>
          <w:b w:val="1"/>
          <w:bCs w:val="1"/>
          <w:color w:val="auto"/>
        </w:rPr>
        <w:t xml:space="preserve">126  </w:t>
      </w:r>
      <w:r>
        <w:rPr>
          <w:sz w:val="1"/>
          <w:szCs w:val="1"/>
          <w:color w:val="auto"/>
        </w:rPr>
        <w:drawing>
          <wp:inline distT="0" distB="0" distL="0" distR="0">
            <wp:extent cx="548640" cy="102870"/>
            <wp:effectExtent l="0" t="0" r="0" b="0"/>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2026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2" w:name="page143"/>
    <w:bookmarkEnd w:id="142"/>
    <w:p>
      <w:pPr>
        <w:jc w:val="right"/>
        <w:spacing w:after="0"/>
        <w:rPr>
          <w:sz w:val="20"/>
          <w:szCs w:val="20"/>
          <w:color w:val="auto"/>
        </w:rPr>
      </w:pPr>
      <w:r>
        <w:rPr>
          <w:rFonts w:ascii="Arial" w:cs="Arial" w:eastAsia="Arial" w:hAnsi="Arial"/>
          <w:sz w:val="13"/>
          <w:szCs w:val="13"/>
          <w:b w:val="1"/>
          <w:bCs w:val="1"/>
          <w:color w:val="6D6E71"/>
        </w:rPr>
        <w:t>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COMMUNICATING WITH THE BOARD</w:t>
      </w:r>
    </w:p>
    <w:p>
      <w:pPr>
        <w:spacing w:after="0" w:line="141" w:lineRule="exact"/>
        <w:rPr>
          <w:sz w:val="20"/>
          <w:szCs w:val="20"/>
          <w:color w:val="auto"/>
        </w:rPr>
      </w:pPr>
    </w:p>
    <w:p>
      <w:pPr>
        <w:ind w:right="60"/>
        <w:spacing w:after="0" w:line="198" w:lineRule="exact"/>
        <w:rPr>
          <w:sz w:val="20"/>
          <w:szCs w:val="20"/>
          <w:color w:val="auto"/>
        </w:rPr>
      </w:pPr>
      <w:r>
        <w:rPr>
          <w:rFonts w:ascii="Arial" w:cs="Arial" w:eastAsia="Arial" w:hAnsi="Arial"/>
          <w:sz w:val="16"/>
          <w:szCs w:val="16"/>
          <w:color w:val="auto"/>
        </w:rPr>
        <w:t>Shareowners, as well as other interested parties, may communicate directly with our independent Lead Director, the non-employee directors as a group, or individual directors by writing to: Corporate Secretary, Honeywell, 855 S. Mint Street, Charlotte, NC 28202. Honeywell’s Corporate Secretary reviews and promptly forwards communications to the directors as appropriate. Communication involving substantive accounting or auditing matters are forwarded to the Audit Committee Chair. Certain items that are unrelated to the duties and responsibilities of the Board will not be forwarded, such as business solicitation or advertisements; product or service related inquires; junk mail or mass mailings; resumes or other job</w:t>
      </w:r>
      <w:r>
        <w:rPr>
          <w:rFonts w:ascii="MS PGothic" w:cs="MS PGothic" w:eastAsia="MS PGothic" w:hAnsi="MS PGothic"/>
          <w:sz w:val="16"/>
          <w:szCs w:val="16"/>
          <w:color w:val="auto"/>
        </w:rPr>
        <w:t>‑</w:t>
      </w:r>
      <w:r>
        <w:rPr>
          <w:rFonts w:ascii="Arial" w:cs="Arial" w:eastAsia="Arial" w:hAnsi="Arial"/>
          <w:sz w:val="16"/>
          <w:szCs w:val="16"/>
          <w:color w:val="auto"/>
        </w:rPr>
        <w:t>related inquires; spam; and overly hostile, threatening, potentially illegal, or similarly unsuitable communications.</w:t>
      </w:r>
    </w:p>
    <w:p>
      <w:pPr>
        <w:spacing w:after="0" w:line="22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OUR WEBSITE</w:t>
      </w:r>
    </w:p>
    <w:p>
      <w:pPr>
        <w:spacing w:after="0" w:line="128" w:lineRule="exact"/>
        <w:rPr>
          <w:sz w:val="20"/>
          <w:szCs w:val="20"/>
          <w:color w:val="auto"/>
        </w:rPr>
      </w:pPr>
    </w:p>
    <w:p>
      <w:pPr>
        <w:ind w:right="340"/>
        <w:spacing w:after="0" w:line="265" w:lineRule="auto"/>
        <w:rPr>
          <w:sz w:val="20"/>
          <w:szCs w:val="20"/>
          <w:color w:val="auto"/>
        </w:rPr>
      </w:pPr>
      <w:r>
        <w:rPr>
          <w:rFonts w:ascii="Arial" w:cs="Arial" w:eastAsia="Arial" w:hAnsi="Arial"/>
          <w:sz w:val="16"/>
          <w:szCs w:val="16"/>
          <w:color w:val="auto"/>
        </w:rPr>
        <w:t xml:space="preserve">Honeywell uses our Investor Relations website, </w:t>
      </w:r>
      <w:r>
        <w:rPr>
          <w:rFonts w:ascii="Arial" w:cs="Arial" w:eastAsia="Arial" w:hAnsi="Arial"/>
          <w:sz w:val="16"/>
          <w:szCs w:val="16"/>
          <w:b w:val="1"/>
          <w:bCs w:val="1"/>
          <w:color w:val="D7282F"/>
        </w:rPr>
        <w:t>investor.honeywell.com</w:t>
      </w:r>
      <w:r>
        <w:rPr>
          <w:rFonts w:ascii="Arial" w:cs="Arial" w:eastAsia="Arial" w:hAnsi="Arial"/>
          <w:sz w:val="16"/>
          <w:szCs w:val="16"/>
          <w:color w:val="auto"/>
        </w:rPr>
        <w:t>, as a means of disclosing information that may be of interest or material to our investors and for complying with disclosure obligations under Regulation FD. Accordingly, investors should monitor our Investor Relations website, in addition to following our press releases, SEC filings, public conference calls, webcasts, and social media. We encourage our shareowners to visit our website for more information about our financial, corporate governance, corporate responsibility, and sustainability policies, practices, and performance.</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 xml:space="preserve">Visit Our Website at </w:t>
      </w:r>
      <w:r>
        <w:rPr>
          <w:rFonts w:ascii="Arial" w:cs="Arial" w:eastAsia="Arial" w:hAnsi="Arial"/>
          <w:sz w:val="16"/>
          <w:szCs w:val="16"/>
          <w:b w:val="1"/>
          <w:bCs w:val="1"/>
          <w:color w:val="D7282F"/>
        </w:rPr>
        <w:t>investor.honeywell.com.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-115570</wp:posOffset>
            </wp:positionV>
            <wp:extent cx="34290" cy="14541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34290" cy="145415"/>
                    </a:xfrm>
                    <a:prstGeom prst="rect">
                      <a:avLst/>
                    </a:prstGeom>
                    <a:noFill/>
                  </pic:spPr>
                </pic:pic>
              </a:graphicData>
            </a:graphic>
          </wp:anchor>
        </w:drawing>
      </w:r>
    </w:p>
    <w:p>
      <w:pPr>
        <w:spacing w:after="0" w:line="201" w:lineRule="exact"/>
        <w:rPr>
          <w:sz w:val="20"/>
          <w:szCs w:val="20"/>
          <w:color w:val="auto"/>
        </w:rPr>
      </w:pPr>
    </w:p>
    <w:p>
      <w:pPr>
        <w:ind w:right="380"/>
        <w:spacing w:after="0" w:line="275" w:lineRule="auto"/>
        <w:rPr>
          <w:sz w:val="20"/>
          <w:szCs w:val="20"/>
          <w:color w:val="auto"/>
        </w:rPr>
      </w:pPr>
      <w:r>
        <w:rPr>
          <w:rFonts w:ascii="Arial" w:cs="Arial" w:eastAsia="Arial" w:hAnsi="Arial"/>
          <w:sz w:val="16"/>
          <w:szCs w:val="16"/>
          <w:color w:val="auto"/>
        </w:rPr>
        <w:t>Although we include references to our website throughout this Proxy Statement, information contained on or accessible through, including any reports available on, our website is not a part of, and is not incorporated by reference into, this Proxy Statement or any other report or document we file with the SEC. Any reference to our website throughout this Proxy Statement is intended to be an inactive textual reference only.</w:t>
      </w:r>
    </w:p>
    <w:p>
      <w:pPr>
        <w:spacing w:after="0" w:line="70"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No assurance can be given that any plan, initiative, projection, goal, target, commitment, expectation, or prospect set forth in this Proxy Statement can or will be achieved. Inclusion of information in this Proxy Statement is not an indication that the subject or information is material to our business or operating results.</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1062990" cy="4025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06299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 PING LU</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b w:val="1"/>
          <w:bCs w:val="1"/>
          <w:color w:val="D7282F"/>
        </w:rPr>
        <w:t>Senior Vice President, General Counsel and Corporate Secretary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D7282F"/>
        </w:rPr>
        <w:t>April 10, 2026</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260" w:type="dxa"/>
            <w:vAlign w:val="bottom"/>
          </w:tcPr>
          <w:p>
            <w:pPr>
              <w:ind w:left="6840"/>
              <w:spacing w:after="0"/>
              <w:rPr>
                <w:sz w:val="20"/>
                <w:szCs w:val="20"/>
                <w:color w:val="auto"/>
              </w:rPr>
            </w:pPr>
            <w:r>
              <w:rPr>
                <w:rFonts w:ascii="Arial" w:cs="Arial" w:eastAsia="Arial" w:hAnsi="Arial"/>
                <w:sz w:val="13"/>
                <w:szCs w:val="13"/>
                <w:b w:val="1"/>
                <w:bCs w:val="1"/>
                <w:color w:val="6D6E71"/>
              </w:rPr>
              <w:t>2026 NOTICE AND PROXY STATEMENT   |</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127</w:t>
            </w:r>
          </w:p>
        </w:tc>
      </w:tr>
      <w:tr>
        <w:trPr>
          <w:trHeight w:val="373"/>
        </w:trPr>
        <w:tc>
          <w:tcPr>
            <w:tcW w:w="10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spacing w:after="0"/>
        <w:rPr>
          <w:sz w:val="20"/>
          <w:szCs w:val="20"/>
          <w:color w:val="auto"/>
        </w:rPr>
      </w:pPr>
      <w:r>
        <w:rPr>
          <w:rFonts w:ascii="Arial" w:cs="Arial" w:eastAsia="Arial" w:hAnsi="Arial"/>
          <w:sz w:val="13"/>
          <w:szCs w:val="13"/>
          <w:b w:val="1"/>
          <w:bCs w:val="1"/>
          <w:color w:val="6D6E71"/>
        </w:rPr>
        <w:t>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CAUTIONARY STATEMENT ABOUT FORWARD-LOOKING STATEMENTS</w:t>
      </w:r>
    </w:p>
    <w:p>
      <w:pPr>
        <w:spacing w:after="0" w:line="14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This Proxy Statement, and the documents to which Honeywell refers you in this Proxy Statement, contains “forward-looking statements” within the meaning of Section 21E of the Securities Exchange Act of 1934, as amended, including statements related to the proposed separation of Honeywell from Honeywell Aerospace and the planned sale of the Productivity Solutions and Services and Warehouse and Workflow Solutions businesses. Forward-looking statements are those that address activities, events, or developments that we or our management intend, expect, project, believe, or anticipate will or may occur in the future. They are based on management's assumptions and assessments in light of past experience and trends, current economic and industry conditions, expected future developments, and other relevant factors, many of which are difficult to predict and outside of our control, including Honeywell's current expectations, estimates, and projections regarding the proposed separation of Honeywell from Honeywell Aerospace and the planned sale of the Productivity Solutions and Services and Warehouse and Workflow Solutions businesses. They are not guarantees of future performance, and actual results, developments, and business decisions may differ significantly from those envisaged by our forward-looking statements, including the proposed separation of Honeywell from Honeywell Aerospace and the planned sale of the Productivity Solutions and Services and Warehouse and Workflow Solutions businesses, and the anticipated benefits of each. We do not undertake to update or revise any of our forward-looking statements, except as required by applicable securities law. Our forward-looking statements are also subject to material risks and uncertainties, including ongoing macroeconomic and geopolitical risks, such as changes in or application of trade and tax laws and policies, including the impacts of tariffs and other trade barriers and restrictions, lower GDP growth or recession in the U.S. or globally, supply chain disruptions, capital markets volatility, inflation, and certain regional conflicts, which can affect our performance in both the near- and long-term. In addition, no assurance can be given that any plan, initiative, projection, goal, commitment, expectation, or prospect set forth in this Proxy Statement can or will be achieved. These forward-looking statements should be considered in light of the information included in this in this Proxy Statement, the risk factors described in our Annual Report on Form 10-K for the year ended December 31, 2025, and the description of trends and other factors in Management’s Discussion and Analysis of Financial Condition and Results of Operations set forth in our Annual Report on Form 10-K for the year ended December 31, 2025, and in our other filings with the SEC. Any forward-looking plans described herein are not final and may be modified or abandoned at any time.</w:t>
      </w:r>
    </w:p>
    <w:p>
      <w:pPr>
        <w:spacing w:after="0" w:line="8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Proxy Statement is dated April 10, 2026. You should not assume the information contained in this Proxy Statement is accurate as of any date other than this date, and neither the mailing (or otherwise making available) of this Proxy Statement implies that the information is accurate as of any other date.</w:t>
      </w:r>
    </w:p>
    <w:p>
      <w:pPr>
        <w:spacing w:after="0" w:line="218" w:lineRule="exact"/>
        <w:rPr>
          <w:sz w:val="20"/>
          <w:szCs w:val="20"/>
          <w:color w:val="auto"/>
        </w:rPr>
      </w:pPr>
    </w:p>
    <w:p>
      <w:pPr>
        <w:ind w:left="20"/>
        <w:spacing w:after="0"/>
        <w:tabs>
          <w:tab w:leader="none" w:pos="1860" w:val="left"/>
        </w:tabs>
        <w:rPr>
          <w:sz w:val="20"/>
          <w:szCs w:val="20"/>
          <w:color w:val="auto"/>
        </w:rPr>
      </w:pPr>
      <w:r>
        <w:rPr>
          <w:rFonts w:ascii="Arial" w:cs="Arial" w:eastAsia="Arial" w:hAnsi="Arial"/>
          <w:sz w:val="18"/>
          <w:szCs w:val="18"/>
          <w:b w:val="1"/>
          <w:bCs w:val="1"/>
          <w:color w:val="auto"/>
        </w:rPr>
        <w:t xml:space="preserve">128  </w:t>
      </w:r>
      <w:r>
        <w:rPr>
          <w:sz w:val="1"/>
          <w:szCs w:val="1"/>
          <w:color w:val="auto"/>
        </w:rPr>
        <w:drawing>
          <wp:inline distT="0" distB="0" distL="0" distR="0">
            <wp:extent cx="548640" cy="102870"/>
            <wp:effectExtent l="0" t="0" r="0" b="0"/>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2026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4" w:name="page145"/>
    <w:bookmarkEnd w:id="144"/>
    <w:p>
      <w:pPr>
        <w:ind w:right="1040"/>
        <w:spacing w:after="0" w:line="298" w:lineRule="auto"/>
        <w:rPr>
          <w:sz w:val="20"/>
          <w:szCs w:val="20"/>
          <w:color w:val="auto"/>
        </w:rPr>
      </w:pPr>
      <w:r>
        <w:rPr>
          <w:rFonts w:ascii="Arial" w:cs="Arial" w:eastAsia="Arial" w:hAnsi="Arial"/>
          <w:sz w:val="45"/>
          <w:szCs w:val="45"/>
          <w:b w:val="1"/>
          <w:bCs w:val="1"/>
          <w:color w:val="auto"/>
        </w:rPr>
        <w:t>APPENDIX A: RECONCILIATION OF NON-GAAP FINANCIAL MEASURES</w:t>
      </w:r>
    </w:p>
    <w:p>
      <w:pPr>
        <w:spacing w:after="0" w:line="207" w:lineRule="exact"/>
        <w:rPr>
          <w:sz w:val="20"/>
          <w:szCs w:val="20"/>
          <w:color w:val="auto"/>
        </w:rPr>
      </w:pPr>
    </w:p>
    <w:p>
      <w:pPr>
        <w:jc w:val="both"/>
        <w:ind w:right="280"/>
        <w:spacing w:after="0" w:line="275" w:lineRule="auto"/>
        <w:rPr>
          <w:sz w:val="20"/>
          <w:szCs w:val="20"/>
          <w:color w:val="auto"/>
        </w:rPr>
      </w:pPr>
      <w:r>
        <w:rPr>
          <w:rFonts w:ascii="Arial" w:cs="Arial" w:eastAsia="Arial" w:hAnsi="Arial"/>
          <w:sz w:val="16"/>
          <w:szCs w:val="16"/>
          <w:color w:val="auto"/>
        </w:rPr>
        <w:t>The following information provides definitions and reconciliations of certain non-GAAP financial measures presented in this Proxy Statement to which this reconciliation is attached to the most directly comparable financial measures calculated and presented in accordance with generally accepted accounting principles (GAAP).</w:t>
      </w:r>
    </w:p>
    <w:p>
      <w:pPr>
        <w:spacing w:after="0" w:line="56"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Management believes that, when considered together with reported amounts, these measures are useful to investors and management in understanding our ongoing operations and in the analysis of ongoing operating trends. These measures should be considered in addition to, and not as replacements for, the most comparable GAAP measure. Certain measures presented on a non-GAAP basis represent the impact of adjusting items net of tax. The tax-effect for adjusting items is determined individually and on a case-by-case basis. Other companies may calculate these non-GAAP measures differently, limiting the usefulness of these measures for comparative purposes.</w:t>
      </w:r>
    </w:p>
    <w:p>
      <w:pPr>
        <w:spacing w:after="0" w:line="64"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Management does not consider these non-GAAP measures in isolation or as an alternative to financial measures determined in accordance with GAAP. The principal limitations of these non-GAAP financial measures are that they exclude significant expenses and income that are required by GAAP to be recognized in the consolidated financial statements. In addition, they are subject to inherent limitations as they reflect the exercise of judgments by management about which expenses and income are excluded or included in determining these non-GAAP financial measures. Investors are urged to review the reconciliation of the non-GAAP financial measures to the comparable GAAP financial measures and not to rely on any single financial measure to evaluate Honeywell’s business.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6D6E71"/>
        </w:rPr>
        <w:t>(1)RECONCILIATION OF NET SALES TO ADJUSTED NET SALES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20" w:type="dxa"/>
            <w:vAlign w:val="bottom"/>
          </w:tcPr>
          <w:p>
            <w:pPr>
              <w:ind w:left="20"/>
              <w:spacing w:after="0"/>
              <w:rPr>
                <w:sz w:val="20"/>
                <w:szCs w:val="20"/>
                <w:color w:val="auto"/>
              </w:rPr>
            </w:pPr>
            <w:r>
              <w:rPr>
                <w:rFonts w:ascii="Arial" w:cs="Arial" w:eastAsia="Arial" w:hAnsi="Arial"/>
                <w:sz w:val="14"/>
                <w:szCs w:val="14"/>
                <w:b w:val="1"/>
                <w:bCs w:val="1"/>
                <w:color w:val="auto"/>
              </w:rPr>
              <w:t>($M)</w:t>
            </w:r>
          </w:p>
        </w:tc>
        <w:tc>
          <w:tcPr>
            <w:tcW w:w="430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17"/>
        </w:trPr>
        <w:tc>
          <w:tcPr>
            <w:tcW w:w="6320" w:type="dxa"/>
            <w:vAlign w:val="bottom"/>
            <w:tcBorders>
              <w:bottom w:val="single" w:sz="8" w:color="D7282F"/>
            </w:tcBorders>
          </w:tcPr>
          <w:p>
            <w:pPr>
              <w:spacing w:after="0"/>
              <w:rPr>
                <w:sz w:val="10"/>
                <w:szCs w:val="10"/>
                <w:color w:val="auto"/>
              </w:rPr>
            </w:pPr>
          </w:p>
        </w:tc>
        <w:tc>
          <w:tcPr>
            <w:tcW w:w="430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22"/>
        </w:trPr>
        <w:tc>
          <w:tcPr>
            <w:tcW w:w="6320" w:type="dxa"/>
            <w:vAlign w:val="bottom"/>
          </w:tcPr>
          <w:p>
            <w:pPr>
              <w:ind w:left="20"/>
              <w:spacing w:after="0"/>
              <w:rPr>
                <w:sz w:val="20"/>
                <w:szCs w:val="20"/>
                <w:color w:val="auto"/>
              </w:rPr>
            </w:pPr>
            <w:r>
              <w:rPr>
                <w:rFonts w:ascii="Arial" w:cs="Arial" w:eastAsia="Arial" w:hAnsi="Arial"/>
                <w:sz w:val="14"/>
                <w:szCs w:val="14"/>
                <w:b w:val="1"/>
                <w:bCs w:val="1"/>
                <w:color w:val="auto"/>
              </w:rPr>
              <w:t>Honeywell</w:t>
            </w:r>
          </w:p>
        </w:tc>
        <w:tc>
          <w:tcPr>
            <w:tcW w:w="4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6320" w:type="dxa"/>
            <w:vAlign w:val="bottom"/>
            <w:tcBorders>
              <w:bottom w:val="single" w:sz="8" w:color="939598"/>
            </w:tcBorders>
          </w:tcPr>
          <w:p>
            <w:pPr>
              <w:spacing w:after="0"/>
              <w:rPr>
                <w:sz w:val="10"/>
                <w:szCs w:val="10"/>
                <w:color w:val="auto"/>
              </w:rPr>
            </w:pPr>
          </w:p>
        </w:tc>
        <w:tc>
          <w:tcPr>
            <w:tcW w:w="430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315"/>
        </w:trPr>
        <w:tc>
          <w:tcPr>
            <w:tcW w:w="6320" w:type="dxa"/>
            <w:vAlign w:val="bottom"/>
          </w:tcPr>
          <w:p>
            <w:pPr>
              <w:ind w:left="140"/>
              <w:spacing w:after="0"/>
              <w:rPr>
                <w:sz w:val="20"/>
                <w:szCs w:val="20"/>
                <w:color w:val="auto"/>
              </w:rPr>
            </w:pPr>
            <w:r>
              <w:rPr>
                <w:rFonts w:ascii="Arial" w:cs="Arial" w:eastAsia="Arial" w:hAnsi="Arial"/>
                <w:sz w:val="14"/>
                <w:szCs w:val="14"/>
                <w:b w:val="1"/>
                <w:bCs w:val="1"/>
                <w:color w:val="auto"/>
              </w:rPr>
              <w:t>Net Sales</w:t>
            </w:r>
          </w:p>
        </w:tc>
        <w:tc>
          <w:tcPr>
            <w:tcW w:w="43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37,442</w:t>
            </w:r>
          </w:p>
        </w:tc>
        <w:tc>
          <w:tcPr>
            <w:tcW w:w="0" w:type="dxa"/>
            <w:vAlign w:val="bottom"/>
          </w:tcPr>
          <w:p>
            <w:pPr>
              <w:spacing w:after="0"/>
              <w:rPr>
                <w:sz w:val="1"/>
                <w:szCs w:val="1"/>
                <w:color w:val="auto"/>
              </w:rPr>
            </w:pPr>
          </w:p>
        </w:tc>
      </w:tr>
      <w:tr>
        <w:trPr>
          <w:trHeight w:val="123"/>
        </w:trPr>
        <w:tc>
          <w:tcPr>
            <w:tcW w:w="6320" w:type="dxa"/>
            <w:vAlign w:val="bottom"/>
            <w:tcBorders>
              <w:bottom w:val="single" w:sz="8" w:color="939598"/>
            </w:tcBorders>
          </w:tcPr>
          <w:p>
            <w:pPr>
              <w:spacing w:after="0"/>
              <w:rPr>
                <w:sz w:val="10"/>
                <w:szCs w:val="10"/>
                <w:color w:val="auto"/>
              </w:rPr>
            </w:pPr>
          </w:p>
        </w:tc>
        <w:tc>
          <w:tcPr>
            <w:tcW w:w="430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367"/>
        </w:trPr>
        <w:tc>
          <w:tcPr>
            <w:tcW w:w="6320" w:type="dxa"/>
            <w:vAlign w:val="bottom"/>
          </w:tcPr>
          <w:p>
            <w:pPr>
              <w:ind w:left="140"/>
              <w:spacing w:after="0"/>
              <w:rPr>
                <w:sz w:val="20"/>
                <w:szCs w:val="20"/>
                <w:color w:val="auto"/>
              </w:rPr>
            </w:pPr>
            <w:r>
              <w:rPr>
                <w:rFonts w:ascii="Arial" w:cs="Arial" w:eastAsia="Arial" w:hAnsi="Arial"/>
                <w:sz w:val="14"/>
                <w:szCs w:val="14"/>
                <w:color w:val="auto"/>
              </w:rPr>
              <w:t>Flexjet-related litigation matters</w:t>
            </w:r>
            <w:r>
              <w:rPr>
                <w:rFonts w:ascii="Arial" w:cs="Arial" w:eastAsia="Arial" w:hAnsi="Arial"/>
                <w:sz w:val="18"/>
                <w:szCs w:val="18"/>
                <w:color w:val="auto"/>
                <w:vertAlign w:val="superscript"/>
              </w:rPr>
              <w:t>1</w:t>
            </w:r>
          </w:p>
        </w:tc>
        <w:tc>
          <w:tcPr>
            <w:tcW w:w="4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72"/>
        </w:trPr>
        <w:tc>
          <w:tcPr>
            <w:tcW w:w="6320" w:type="dxa"/>
            <w:vAlign w:val="bottom"/>
            <w:tcBorders>
              <w:bottom w:val="single" w:sz="8" w:color="D7282F"/>
            </w:tcBorders>
          </w:tcPr>
          <w:p>
            <w:pPr>
              <w:spacing w:after="0"/>
              <w:rPr>
                <w:sz w:val="6"/>
                <w:szCs w:val="6"/>
                <w:color w:val="auto"/>
              </w:rPr>
            </w:pPr>
          </w:p>
        </w:tc>
        <w:tc>
          <w:tcPr>
            <w:tcW w:w="4300" w:type="dxa"/>
            <w:vAlign w:val="bottom"/>
            <w:tcBorders>
              <w:bottom w:val="single" w:sz="8" w:color="D7282F"/>
            </w:tcBorders>
          </w:tcPr>
          <w:p>
            <w:pPr>
              <w:spacing w:after="0"/>
              <w:rPr>
                <w:sz w:val="6"/>
                <w:szCs w:val="6"/>
                <w:color w:val="auto"/>
              </w:rPr>
            </w:pPr>
          </w:p>
        </w:tc>
        <w:tc>
          <w:tcPr>
            <w:tcW w:w="600" w:type="dxa"/>
            <w:vAlign w:val="bottom"/>
            <w:tcBorders>
              <w:bottom w:val="single" w:sz="8" w:color="D7282F"/>
            </w:tcBorders>
          </w:tcPr>
          <w:p>
            <w:pPr>
              <w:spacing w:after="0"/>
              <w:rPr>
                <w:sz w:val="6"/>
                <w:szCs w:val="6"/>
                <w:color w:val="auto"/>
              </w:rPr>
            </w:pPr>
          </w:p>
        </w:tc>
        <w:tc>
          <w:tcPr>
            <w:tcW w:w="0" w:type="dxa"/>
            <w:vAlign w:val="bottom"/>
          </w:tcPr>
          <w:p>
            <w:pPr>
              <w:spacing w:after="0"/>
              <w:rPr>
                <w:sz w:val="1"/>
                <w:szCs w:val="1"/>
                <w:color w:val="auto"/>
              </w:rPr>
            </w:pPr>
          </w:p>
        </w:tc>
      </w:tr>
      <w:tr>
        <w:trPr>
          <w:trHeight w:val="315"/>
        </w:trPr>
        <w:tc>
          <w:tcPr>
            <w:tcW w:w="6320" w:type="dxa"/>
            <w:vAlign w:val="bottom"/>
          </w:tcPr>
          <w:p>
            <w:pPr>
              <w:ind w:left="240"/>
              <w:spacing w:after="0"/>
              <w:rPr>
                <w:sz w:val="20"/>
                <w:szCs w:val="20"/>
                <w:color w:val="auto"/>
              </w:rPr>
            </w:pPr>
            <w:r>
              <w:rPr>
                <w:rFonts w:ascii="Arial" w:cs="Arial" w:eastAsia="Arial" w:hAnsi="Arial"/>
                <w:sz w:val="14"/>
                <w:szCs w:val="14"/>
                <w:b w:val="1"/>
                <w:bCs w:val="1"/>
                <w:color w:val="auto"/>
              </w:rPr>
              <w:t>Adjusted net sales</w:t>
            </w:r>
          </w:p>
        </w:tc>
        <w:tc>
          <w:tcPr>
            <w:tcW w:w="43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37,754</w:t>
            </w:r>
          </w:p>
        </w:tc>
        <w:tc>
          <w:tcPr>
            <w:tcW w:w="0" w:type="dxa"/>
            <w:vAlign w:val="bottom"/>
          </w:tcPr>
          <w:p>
            <w:pPr>
              <w:spacing w:after="0"/>
              <w:rPr>
                <w:sz w:val="1"/>
                <w:szCs w:val="1"/>
                <w:color w:val="auto"/>
              </w:rPr>
            </w:pPr>
          </w:p>
        </w:tc>
      </w:tr>
      <w:tr>
        <w:trPr>
          <w:trHeight w:val="123"/>
        </w:trPr>
        <w:tc>
          <w:tcPr>
            <w:tcW w:w="6320" w:type="dxa"/>
            <w:vAlign w:val="bottom"/>
            <w:tcBorders>
              <w:bottom w:val="single" w:sz="8" w:color="D7282F"/>
            </w:tcBorders>
          </w:tcPr>
          <w:p>
            <w:pPr>
              <w:spacing w:after="0"/>
              <w:rPr>
                <w:sz w:val="10"/>
                <w:szCs w:val="10"/>
                <w:color w:val="auto"/>
              </w:rPr>
            </w:pPr>
          </w:p>
        </w:tc>
        <w:tc>
          <w:tcPr>
            <w:tcW w:w="430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6320" w:type="dxa"/>
            <w:vAlign w:val="bottom"/>
            <w:tcBorders>
              <w:bottom w:val="single" w:sz="8" w:color="D7282F"/>
            </w:tcBorders>
          </w:tcPr>
          <w:p>
            <w:pPr>
              <w:spacing w:after="0"/>
              <w:rPr>
                <w:sz w:val="18"/>
                <w:szCs w:val="18"/>
                <w:color w:val="auto"/>
              </w:rPr>
            </w:pPr>
          </w:p>
        </w:tc>
        <w:tc>
          <w:tcPr>
            <w:tcW w:w="4300" w:type="dxa"/>
            <w:vAlign w:val="bottom"/>
            <w:tcBorders>
              <w:bottom w:val="single" w:sz="8" w:color="D7282F"/>
            </w:tcBorders>
          </w:tcPr>
          <w:p>
            <w:pPr>
              <w:spacing w:after="0"/>
              <w:rPr>
                <w:sz w:val="18"/>
                <w:szCs w:val="18"/>
                <w:color w:val="auto"/>
              </w:rPr>
            </w:pPr>
          </w:p>
        </w:tc>
        <w:tc>
          <w:tcPr>
            <w:tcW w:w="600" w:type="dxa"/>
            <w:vAlign w:val="bottom"/>
            <w:tcBorders>
              <w:bottom w:val="single" w:sz="8" w:color="D7282F"/>
            </w:tcBorders>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6320" w:type="dxa"/>
            <w:vAlign w:val="bottom"/>
          </w:tcPr>
          <w:p>
            <w:pPr>
              <w:ind w:left="20"/>
              <w:spacing w:after="0"/>
              <w:rPr>
                <w:sz w:val="20"/>
                <w:szCs w:val="20"/>
                <w:color w:val="auto"/>
              </w:rPr>
            </w:pPr>
            <w:r>
              <w:rPr>
                <w:rFonts w:ascii="Arial" w:cs="Arial" w:eastAsia="Arial" w:hAnsi="Arial"/>
                <w:sz w:val="14"/>
                <w:szCs w:val="14"/>
                <w:b w:val="1"/>
                <w:bCs w:val="1"/>
                <w:color w:val="auto"/>
              </w:rPr>
              <w:t>Aerospace Technologies</w:t>
            </w:r>
          </w:p>
        </w:tc>
        <w:tc>
          <w:tcPr>
            <w:tcW w:w="4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6320" w:type="dxa"/>
            <w:vAlign w:val="bottom"/>
            <w:tcBorders>
              <w:bottom w:val="single" w:sz="8" w:color="939598"/>
            </w:tcBorders>
          </w:tcPr>
          <w:p>
            <w:pPr>
              <w:spacing w:after="0"/>
              <w:rPr>
                <w:sz w:val="10"/>
                <w:szCs w:val="10"/>
                <w:color w:val="auto"/>
              </w:rPr>
            </w:pPr>
          </w:p>
        </w:tc>
        <w:tc>
          <w:tcPr>
            <w:tcW w:w="430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315"/>
        </w:trPr>
        <w:tc>
          <w:tcPr>
            <w:tcW w:w="6320" w:type="dxa"/>
            <w:vAlign w:val="bottom"/>
          </w:tcPr>
          <w:p>
            <w:pPr>
              <w:ind w:left="140"/>
              <w:spacing w:after="0"/>
              <w:rPr>
                <w:sz w:val="20"/>
                <w:szCs w:val="20"/>
                <w:color w:val="auto"/>
              </w:rPr>
            </w:pPr>
            <w:r>
              <w:rPr>
                <w:rFonts w:ascii="Arial" w:cs="Arial" w:eastAsia="Arial" w:hAnsi="Arial"/>
                <w:sz w:val="14"/>
                <w:szCs w:val="14"/>
                <w:b w:val="1"/>
                <w:bCs w:val="1"/>
                <w:color w:val="auto"/>
              </w:rPr>
              <w:t>Net Sales</w:t>
            </w:r>
          </w:p>
        </w:tc>
        <w:tc>
          <w:tcPr>
            <w:tcW w:w="43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17,510</w:t>
            </w:r>
          </w:p>
        </w:tc>
        <w:tc>
          <w:tcPr>
            <w:tcW w:w="0" w:type="dxa"/>
            <w:vAlign w:val="bottom"/>
          </w:tcPr>
          <w:p>
            <w:pPr>
              <w:spacing w:after="0"/>
              <w:rPr>
                <w:sz w:val="1"/>
                <w:szCs w:val="1"/>
                <w:color w:val="auto"/>
              </w:rPr>
            </w:pPr>
          </w:p>
        </w:tc>
      </w:tr>
      <w:tr>
        <w:trPr>
          <w:trHeight w:val="123"/>
        </w:trPr>
        <w:tc>
          <w:tcPr>
            <w:tcW w:w="6320" w:type="dxa"/>
            <w:vAlign w:val="bottom"/>
            <w:tcBorders>
              <w:bottom w:val="single" w:sz="8" w:color="939598"/>
            </w:tcBorders>
          </w:tcPr>
          <w:p>
            <w:pPr>
              <w:spacing w:after="0"/>
              <w:rPr>
                <w:sz w:val="10"/>
                <w:szCs w:val="10"/>
                <w:color w:val="auto"/>
              </w:rPr>
            </w:pPr>
          </w:p>
        </w:tc>
        <w:tc>
          <w:tcPr>
            <w:tcW w:w="430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367"/>
        </w:trPr>
        <w:tc>
          <w:tcPr>
            <w:tcW w:w="6320" w:type="dxa"/>
            <w:vAlign w:val="bottom"/>
          </w:tcPr>
          <w:p>
            <w:pPr>
              <w:ind w:left="140"/>
              <w:spacing w:after="0"/>
              <w:rPr>
                <w:sz w:val="20"/>
                <w:szCs w:val="20"/>
                <w:color w:val="auto"/>
              </w:rPr>
            </w:pPr>
            <w:r>
              <w:rPr>
                <w:rFonts w:ascii="Arial" w:cs="Arial" w:eastAsia="Arial" w:hAnsi="Arial"/>
                <w:sz w:val="14"/>
                <w:szCs w:val="14"/>
                <w:color w:val="auto"/>
              </w:rPr>
              <w:t>Flexjet-related litigation matters</w:t>
            </w:r>
            <w:r>
              <w:rPr>
                <w:rFonts w:ascii="Arial" w:cs="Arial" w:eastAsia="Arial" w:hAnsi="Arial"/>
                <w:sz w:val="18"/>
                <w:szCs w:val="18"/>
                <w:color w:val="auto"/>
                <w:vertAlign w:val="superscript"/>
              </w:rPr>
              <w:t>1</w:t>
            </w:r>
          </w:p>
        </w:tc>
        <w:tc>
          <w:tcPr>
            <w:tcW w:w="4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72"/>
        </w:trPr>
        <w:tc>
          <w:tcPr>
            <w:tcW w:w="6320" w:type="dxa"/>
            <w:vAlign w:val="bottom"/>
            <w:tcBorders>
              <w:bottom w:val="single" w:sz="8" w:color="D7282F"/>
            </w:tcBorders>
          </w:tcPr>
          <w:p>
            <w:pPr>
              <w:spacing w:after="0"/>
              <w:rPr>
                <w:sz w:val="6"/>
                <w:szCs w:val="6"/>
                <w:color w:val="auto"/>
              </w:rPr>
            </w:pPr>
          </w:p>
        </w:tc>
        <w:tc>
          <w:tcPr>
            <w:tcW w:w="4300" w:type="dxa"/>
            <w:vAlign w:val="bottom"/>
            <w:tcBorders>
              <w:bottom w:val="single" w:sz="8" w:color="D7282F"/>
            </w:tcBorders>
          </w:tcPr>
          <w:p>
            <w:pPr>
              <w:spacing w:after="0"/>
              <w:rPr>
                <w:sz w:val="6"/>
                <w:szCs w:val="6"/>
                <w:color w:val="auto"/>
              </w:rPr>
            </w:pPr>
          </w:p>
        </w:tc>
        <w:tc>
          <w:tcPr>
            <w:tcW w:w="600" w:type="dxa"/>
            <w:vAlign w:val="bottom"/>
            <w:tcBorders>
              <w:bottom w:val="single" w:sz="8" w:color="D7282F"/>
            </w:tcBorders>
          </w:tcPr>
          <w:p>
            <w:pPr>
              <w:spacing w:after="0"/>
              <w:rPr>
                <w:sz w:val="6"/>
                <w:szCs w:val="6"/>
                <w:color w:val="auto"/>
              </w:rPr>
            </w:pPr>
          </w:p>
        </w:tc>
        <w:tc>
          <w:tcPr>
            <w:tcW w:w="0" w:type="dxa"/>
            <w:vAlign w:val="bottom"/>
          </w:tcPr>
          <w:p>
            <w:pPr>
              <w:spacing w:after="0"/>
              <w:rPr>
                <w:sz w:val="1"/>
                <w:szCs w:val="1"/>
                <w:color w:val="auto"/>
              </w:rPr>
            </w:pPr>
          </w:p>
        </w:tc>
      </w:tr>
      <w:tr>
        <w:trPr>
          <w:trHeight w:val="315"/>
        </w:trPr>
        <w:tc>
          <w:tcPr>
            <w:tcW w:w="6320" w:type="dxa"/>
            <w:vAlign w:val="bottom"/>
          </w:tcPr>
          <w:p>
            <w:pPr>
              <w:ind w:left="240"/>
              <w:spacing w:after="0"/>
              <w:rPr>
                <w:sz w:val="20"/>
                <w:szCs w:val="20"/>
                <w:color w:val="auto"/>
              </w:rPr>
            </w:pPr>
            <w:r>
              <w:rPr>
                <w:rFonts w:ascii="Arial" w:cs="Arial" w:eastAsia="Arial" w:hAnsi="Arial"/>
                <w:sz w:val="14"/>
                <w:szCs w:val="14"/>
                <w:b w:val="1"/>
                <w:bCs w:val="1"/>
                <w:color w:val="auto"/>
              </w:rPr>
              <w:t>Adjusted net sales</w:t>
            </w:r>
          </w:p>
        </w:tc>
        <w:tc>
          <w:tcPr>
            <w:tcW w:w="43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17,822</w:t>
            </w:r>
          </w:p>
        </w:tc>
        <w:tc>
          <w:tcPr>
            <w:tcW w:w="0" w:type="dxa"/>
            <w:vAlign w:val="bottom"/>
          </w:tcPr>
          <w:p>
            <w:pPr>
              <w:spacing w:after="0"/>
              <w:rPr>
                <w:sz w:val="1"/>
                <w:szCs w:val="1"/>
                <w:color w:val="auto"/>
              </w:rPr>
            </w:pPr>
          </w:p>
        </w:tc>
      </w:tr>
      <w:tr>
        <w:trPr>
          <w:trHeight w:val="123"/>
        </w:trPr>
        <w:tc>
          <w:tcPr>
            <w:tcW w:w="6320" w:type="dxa"/>
            <w:vAlign w:val="bottom"/>
            <w:tcBorders>
              <w:bottom w:val="single" w:sz="8" w:color="D7282F"/>
            </w:tcBorders>
          </w:tcPr>
          <w:p>
            <w:pPr>
              <w:spacing w:after="0"/>
              <w:rPr>
                <w:sz w:val="10"/>
                <w:szCs w:val="10"/>
                <w:color w:val="auto"/>
              </w:rPr>
            </w:pPr>
          </w:p>
        </w:tc>
        <w:tc>
          <w:tcPr>
            <w:tcW w:w="430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200" w:hanging="192"/>
        <w:spacing w:after="0"/>
        <w:tabs>
          <w:tab w:leader="none" w:pos="200" w:val="left"/>
        </w:tabs>
        <w:numPr>
          <w:ilvl w:val="0"/>
          <w:numId w:val="221"/>
        </w:numPr>
        <w:rPr>
          <w:rFonts w:ascii="Arial" w:cs="Arial" w:eastAsia="Arial" w:hAnsi="Arial"/>
          <w:sz w:val="16"/>
          <w:szCs w:val="16"/>
          <w:color w:val="auto"/>
          <w:vertAlign w:val="superscript"/>
        </w:rPr>
      </w:pPr>
      <w:r>
        <w:rPr>
          <w:rFonts w:ascii="Arial" w:cs="Arial" w:eastAsia="Arial" w:hAnsi="Arial"/>
          <w:sz w:val="13"/>
          <w:szCs w:val="13"/>
          <w:color w:val="auto"/>
        </w:rPr>
        <w:t>For the twelve months ended December 31, 2025, reflects a $312 million impact to sales due to contra revenue accounting as a result of the settlement of the Flexjet-related litigation matters.</w:t>
      </w:r>
    </w:p>
    <w:p>
      <w:pPr>
        <w:spacing w:after="0" w:line="108"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We define adjusted net sales as net sales less the sales impact of the Flexjet-related litigation matters. Management considers the nature and significance of these litigation matters to be unusual and not indicative of the Company's ongoing performance. We believe this measure is useful to investors and management in understanding our ongoing operations and in analysis of ongoing operating trends.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260" w:type="dxa"/>
            <w:vAlign w:val="bottom"/>
          </w:tcPr>
          <w:p>
            <w:pPr>
              <w:ind w:left="6840"/>
              <w:spacing w:after="0"/>
              <w:rPr>
                <w:sz w:val="20"/>
                <w:szCs w:val="20"/>
                <w:color w:val="auto"/>
              </w:rPr>
            </w:pPr>
            <w:r>
              <w:rPr>
                <w:rFonts w:ascii="Arial" w:cs="Arial" w:eastAsia="Arial" w:hAnsi="Arial"/>
                <w:sz w:val="13"/>
                <w:szCs w:val="13"/>
                <w:b w:val="1"/>
                <w:bCs w:val="1"/>
                <w:color w:val="6D6E71"/>
              </w:rPr>
              <w:t>2026 NOTICE AND PROXY STATEMENT   |</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129</w:t>
            </w:r>
          </w:p>
        </w:tc>
      </w:tr>
      <w:tr>
        <w:trPr>
          <w:trHeight w:val="373"/>
        </w:trPr>
        <w:tc>
          <w:tcPr>
            <w:tcW w:w="10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1293" w:right="339" w:bottom="1440" w:gutter="0" w:footer="0" w:header="0"/>
        </w:sectPr>
      </w:pPr>
    </w:p>
    <w:bookmarkStart w:id="145" w:name="page146"/>
    <w:bookmarkEnd w:id="145"/>
    <w:p>
      <w:pPr>
        <w:spacing w:after="0"/>
        <w:rPr>
          <w:sz w:val="20"/>
          <w:szCs w:val="20"/>
          <w:color w:val="auto"/>
        </w:rPr>
      </w:pPr>
      <w:r>
        <w:rPr>
          <w:rFonts w:ascii="Arial" w:cs="Arial" w:eastAsia="Arial" w:hAnsi="Arial"/>
          <w:sz w:val="13"/>
          <w:szCs w:val="13"/>
          <w:b w:val="1"/>
          <w:bCs w:val="1"/>
          <w:color w:val="6D6E71"/>
        </w:rPr>
        <w:t>APPENDIX A: RECONCILIATION OF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6D6E71"/>
        </w:rPr>
        <w:t>(2)RECONCILIATION OF EPS TO ADJUSTED EPS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980" w:type="dxa"/>
            <w:vAlign w:val="bottom"/>
            <w:tcBorders>
              <w:bottom w:val="single" w:sz="8" w:color="D7282F"/>
            </w:tcBorders>
          </w:tcPr>
          <w:p>
            <w:pPr>
              <w:spacing w:after="0"/>
              <w:rPr>
                <w:sz w:val="17"/>
                <w:szCs w:val="17"/>
                <w:color w:val="auto"/>
              </w:rPr>
            </w:pPr>
          </w:p>
        </w:tc>
        <w:tc>
          <w:tcPr>
            <w:tcW w:w="188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2022*</w:t>
            </w:r>
          </w:p>
        </w:tc>
        <w:tc>
          <w:tcPr>
            <w:tcW w:w="8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2023</w:t>
            </w:r>
          </w:p>
        </w:tc>
        <w:tc>
          <w:tcPr>
            <w:tcW w:w="8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2024</w:t>
            </w:r>
          </w:p>
        </w:tc>
        <w:tc>
          <w:tcPr>
            <w:tcW w:w="7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2025</w:t>
            </w:r>
          </w:p>
        </w:tc>
      </w:tr>
      <w:tr>
        <w:trPr>
          <w:trHeight w:val="322"/>
        </w:trPr>
        <w:tc>
          <w:tcPr>
            <w:tcW w:w="6980" w:type="dxa"/>
            <w:vAlign w:val="bottom"/>
          </w:tcPr>
          <w:p>
            <w:pPr>
              <w:ind w:left="20"/>
              <w:spacing w:after="0"/>
              <w:rPr>
                <w:sz w:val="20"/>
                <w:szCs w:val="20"/>
                <w:color w:val="auto"/>
              </w:rPr>
            </w:pPr>
            <w:r>
              <w:rPr>
                <w:rFonts w:ascii="Arial" w:cs="Arial" w:eastAsia="Arial" w:hAnsi="Arial"/>
                <w:sz w:val="14"/>
                <w:szCs w:val="14"/>
                <w:b w:val="1"/>
                <w:bCs w:val="1"/>
                <w:color w:val="auto"/>
              </w:rPr>
              <w:t>Earnings per share of common stock from continuing operations — diluted</w:t>
            </w:r>
            <w:r>
              <w:rPr>
                <w:rFonts w:ascii="Arial" w:cs="Arial" w:eastAsia="Arial" w:hAnsi="Arial"/>
                <w:sz w:val="9"/>
                <w:szCs w:val="9"/>
                <w:b w:val="1"/>
                <w:bCs w:val="1"/>
                <w:color w:val="auto"/>
              </w:rPr>
              <w:t>(1)</w:t>
            </w:r>
          </w:p>
        </w:tc>
        <w:tc>
          <w:tcPr>
            <w:tcW w:w="1880" w:type="dxa"/>
            <w:vAlign w:val="bottom"/>
          </w:tcPr>
          <w:p>
            <w:pPr>
              <w:jc w:val="right"/>
              <w:ind w:right="108"/>
              <w:spacing w:after="0"/>
              <w:rPr>
                <w:sz w:val="20"/>
                <w:szCs w:val="20"/>
                <w:color w:val="auto"/>
              </w:rPr>
            </w:pPr>
            <w:r>
              <w:rPr>
                <w:rFonts w:ascii="Arial" w:cs="Arial" w:eastAsia="Arial" w:hAnsi="Arial"/>
                <w:sz w:val="14"/>
                <w:szCs w:val="14"/>
                <w:b w:val="1"/>
                <w:bCs w:val="1"/>
                <w:color w:val="auto"/>
              </w:rPr>
              <w:t>$  6.02</w:t>
            </w:r>
          </w:p>
        </w:tc>
        <w:tc>
          <w:tcPr>
            <w:tcW w:w="840" w:type="dxa"/>
            <w:vAlign w:val="bottom"/>
          </w:tcPr>
          <w:p>
            <w:pPr>
              <w:jc w:val="right"/>
              <w:ind w:right="108"/>
              <w:spacing w:after="0"/>
              <w:rPr>
                <w:sz w:val="20"/>
                <w:szCs w:val="20"/>
                <w:color w:val="auto"/>
              </w:rPr>
            </w:pPr>
            <w:r>
              <w:rPr>
                <w:rFonts w:ascii="Arial" w:cs="Arial" w:eastAsia="Arial" w:hAnsi="Arial"/>
                <w:sz w:val="14"/>
                <w:szCs w:val="14"/>
                <w:b w:val="1"/>
                <w:bCs w:val="1"/>
                <w:color w:val="auto"/>
              </w:rPr>
              <w:t>$  7.36</w:t>
            </w: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  7.58</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  6.94</w:t>
            </w:r>
          </w:p>
        </w:tc>
      </w:tr>
      <w:tr>
        <w:trPr>
          <w:trHeight w:val="123"/>
        </w:trPr>
        <w:tc>
          <w:tcPr>
            <w:tcW w:w="6980" w:type="dxa"/>
            <w:vAlign w:val="bottom"/>
            <w:tcBorders>
              <w:bottom w:val="single" w:sz="8" w:color="939598"/>
            </w:tcBorders>
          </w:tcPr>
          <w:p>
            <w:pPr>
              <w:spacing w:after="0"/>
              <w:rPr>
                <w:sz w:val="10"/>
                <w:szCs w:val="10"/>
                <w:color w:val="auto"/>
              </w:rPr>
            </w:pPr>
          </w:p>
        </w:tc>
        <w:tc>
          <w:tcPr>
            <w:tcW w:w="1880" w:type="dxa"/>
            <w:vAlign w:val="bottom"/>
            <w:tcBorders>
              <w:bottom w:val="single" w:sz="8" w:color="939598"/>
            </w:tcBorders>
          </w:tcPr>
          <w:p>
            <w:pPr>
              <w:spacing w:after="0"/>
              <w:rPr>
                <w:sz w:val="10"/>
                <w:szCs w:val="10"/>
                <w:color w:val="auto"/>
              </w:rPr>
            </w:pPr>
          </w:p>
        </w:tc>
        <w:tc>
          <w:tcPr>
            <w:tcW w:w="8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spacing w:after="0"/>
              <w:rPr>
                <w:sz w:val="10"/>
                <w:szCs w:val="10"/>
                <w:color w:val="auto"/>
              </w:rPr>
            </w:pPr>
          </w:p>
        </w:tc>
        <w:tc>
          <w:tcPr>
            <w:tcW w:w="700" w:type="dxa"/>
            <w:vAlign w:val="bottom"/>
            <w:tcBorders>
              <w:bottom w:val="single" w:sz="8" w:color="939598"/>
            </w:tcBorders>
          </w:tcPr>
          <w:p>
            <w:pPr>
              <w:spacing w:after="0"/>
              <w:rPr>
                <w:sz w:val="10"/>
                <w:szCs w:val="10"/>
                <w:color w:val="auto"/>
              </w:rPr>
            </w:pPr>
          </w:p>
        </w:tc>
      </w:tr>
      <w:tr>
        <w:trPr>
          <w:trHeight w:val="309"/>
        </w:trPr>
        <w:tc>
          <w:tcPr>
            <w:tcW w:w="6980" w:type="dxa"/>
            <w:vAlign w:val="bottom"/>
          </w:tcPr>
          <w:p>
            <w:pPr>
              <w:ind w:left="20"/>
              <w:spacing w:after="0"/>
              <w:rPr>
                <w:sz w:val="20"/>
                <w:szCs w:val="20"/>
                <w:color w:val="auto"/>
              </w:rPr>
            </w:pPr>
            <w:r>
              <w:rPr>
                <w:rFonts w:ascii="Arial" w:cs="Arial" w:eastAsia="Arial" w:hAnsi="Arial"/>
                <w:sz w:val="14"/>
                <w:szCs w:val="14"/>
                <w:color w:val="auto"/>
              </w:rPr>
              <w:t>Pension mark-to-market expense</w:t>
            </w:r>
            <w:r>
              <w:rPr>
                <w:rFonts w:ascii="Arial" w:cs="Arial" w:eastAsia="Arial" w:hAnsi="Arial"/>
                <w:sz w:val="9"/>
                <w:szCs w:val="9"/>
                <w:color w:val="auto"/>
              </w:rPr>
              <w:t>2</w:t>
            </w:r>
          </w:p>
        </w:tc>
        <w:tc>
          <w:tcPr>
            <w:tcW w:w="1880" w:type="dxa"/>
            <w:vAlign w:val="bottom"/>
          </w:tcPr>
          <w:p>
            <w:pPr>
              <w:jc w:val="right"/>
              <w:ind w:right="108"/>
              <w:spacing w:after="0"/>
              <w:rPr>
                <w:sz w:val="20"/>
                <w:szCs w:val="20"/>
                <w:color w:val="auto"/>
              </w:rPr>
            </w:pPr>
            <w:r>
              <w:rPr>
                <w:rFonts w:ascii="Arial" w:cs="Arial" w:eastAsia="Arial" w:hAnsi="Arial"/>
                <w:sz w:val="14"/>
                <w:szCs w:val="14"/>
                <w:color w:val="auto"/>
              </w:rPr>
              <w:t>0.64</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0.19</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0.14</w:t>
            </w:r>
          </w:p>
        </w:tc>
        <w:tc>
          <w:tcPr>
            <w:tcW w:w="700" w:type="dxa"/>
            <w:vAlign w:val="bottom"/>
          </w:tcPr>
          <w:p>
            <w:pPr>
              <w:jc w:val="right"/>
              <w:spacing w:after="0"/>
              <w:rPr>
                <w:sz w:val="20"/>
                <w:szCs w:val="20"/>
                <w:color w:val="auto"/>
              </w:rPr>
            </w:pPr>
            <w:r>
              <w:rPr>
                <w:rFonts w:ascii="Arial" w:cs="Arial" w:eastAsia="Arial" w:hAnsi="Arial"/>
                <w:sz w:val="14"/>
                <w:szCs w:val="14"/>
                <w:color w:val="auto"/>
              </w:rPr>
              <w:t>0.19</w:t>
            </w:r>
          </w:p>
        </w:tc>
      </w:tr>
      <w:tr>
        <w:trPr>
          <w:trHeight w:val="130"/>
        </w:trPr>
        <w:tc>
          <w:tcPr>
            <w:tcW w:w="6980" w:type="dxa"/>
            <w:vAlign w:val="bottom"/>
            <w:tcBorders>
              <w:bottom w:val="single" w:sz="8" w:color="939598"/>
            </w:tcBorders>
          </w:tcPr>
          <w:p>
            <w:pPr>
              <w:spacing w:after="0"/>
              <w:rPr>
                <w:sz w:val="11"/>
                <w:szCs w:val="11"/>
                <w:color w:val="auto"/>
              </w:rPr>
            </w:pPr>
          </w:p>
        </w:tc>
        <w:tc>
          <w:tcPr>
            <w:tcW w:w="1880" w:type="dxa"/>
            <w:vAlign w:val="bottom"/>
            <w:tcBorders>
              <w:bottom w:val="single" w:sz="8" w:color="939598"/>
            </w:tcBorders>
          </w:tcPr>
          <w:p>
            <w:pPr>
              <w:spacing w:after="0"/>
              <w:rPr>
                <w:sz w:val="11"/>
                <w:szCs w:val="11"/>
                <w:color w:val="auto"/>
              </w:rPr>
            </w:pPr>
          </w:p>
        </w:tc>
        <w:tc>
          <w:tcPr>
            <w:tcW w:w="840" w:type="dxa"/>
            <w:vAlign w:val="bottom"/>
            <w:tcBorders>
              <w:bottom w:val="single" w:sz="8" w:color="939598"/>
            </w:tcBorders>
          </w:tcPr>
          <w:p>
            <w:pPr>
              <w:spacing w:after="0"/>
              <w:rPr>
                <w:sz w:val="11"/>
                <w:szCs w:val="11"/>
                <w:color w:val="auto"/>
              </w:rPr>
            </w:pPr>
          </w:p>
        </w:tc>
        <w:tc>
          <w:tcPr>
            <w:tcW w:w="820" w:type="dxa"/>
            <w:vAlign w:val="bottom"/>
            <w:tcBorders>
              <w:bottom w:val="single" w:sz="8" w:color="939598"/>
            </w:tcBorders>
          </w:tcPr>
          <w:p>
            <w:pPr>
              <w:spacing w:after="0"/>
              <w:rPr>
                <w:sz w:val="11"/>
                <w:szCs w:val="11"/>
                <w:color w:val="auto"/>
              </w:rPr>
            </w:pPr>
          </w:p>
        </w:tc>
        <w:tc>
          <w:tcPr>
            <w:tcW w:w="700" w:type="dxa"/>
            <w:vAlign w:val="bottom"/>
            <w:tcBorders>
              <w:bottom w:val="single" w:sz="8" w:color="939598"/>
            </w:tcBorders>
          </w:tcPr>
          <w:p>
            <w:pPr>
              <w:spacing w:after="0"/>
              <w:rPr>
                <w:sz w:val="11"/>
                <w:szCs w:val="11"/>
                <w:color w:val="auto"/>
              </w:rPr>
            </w:pPr>
          </w:p>
        </w:tc>
      </w:tr>
      <w:tr>
        <w:trPr>
          <w:trHeight w:val="309"/>
        </w:trPr>
        <w:tc>
          <w:tcPr>
            <w:tcW w:w="6980" w:type="dxa"/>
            <w:vAlign w:val="bottom"/>
          </w:tcPr>
          <w:p>
            <w:pPr>
              <w:ind w:left="20"/>
              <w:spacing w:after="0"/>
              <w:rPr>
                <w:sz w:val="20"/>
                <w:szCs w:val="20"/>
                <w:color w:val="auto"/>
              </w:rPr>
            </w:pPr>
            <w:r>
              <w:rPr>
                <w:rFonts w:ascii="Arial" w:cs="Arial" w:eastAsia="Arial" w:hAnsi="Arial"/>
                <w:sz w:val="14"/>
                <w:szCs w:val="14"/>
                <w:color w:val="auto"/>
              </w:rPr>
              <w:t>Amortization of acquisition-related intangibles</w:t>
            </w:r>
            <w:r>
              <w:rPr>
                <w:rFonts w:ascii="Arial" w:cs="Arial" w:eastAsia="Arial" w:hAnsi="Arial"/>
                <w:sz w:val="9"/>
                <w:szCs w:val="9"/>
                <w:color w:val="auto"/>
              </w:rPr>
              <w:t>3</w:t>
            </w:r>
          </w:p>
        </w:tc>
        <w:tc>
          <w:tcPr>
            <w:tcW w:w="1880" w:type="dxa"/>
            <w:vAlign w:val="bottom"/>
          </w:tcPr>
          <w:p>
            <w:pPr>
              <w:jc w:val="right"/>
              <w:ind w:right="108"/>
              <w:spacing w:after="0"/>
              <w:rPr>
                <w:sz w:val="20"/>
                <w:szCs w:val="20"/>
                <w:color w:val="auto"/>
              </w:rPr>
            </w:pPr>
            <w:r>
              <w:rPr>
                <w:rFonts w:ascii="Arial" w:cs="Arial" w:eastAsia="Arial" w:hAnsi="Arial"/>
                <w:sz w:val="14"/>
                <w:szCs w:val="14"/>
                <w:color w:val="auto"/>
              </w:rPr>
              <w:t>0.38</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0.34</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0.49</w:t>
            </w:r>
          </w:p>
        </w:tc>
        <w:tc>
          <w:tcPr>
            <w:tcW w:w="700" w:type="dxa"/>
            <w:vAlign w:val="bottom"/>
          </w:tcPr>
          <w:p>
            <w:pPr>
              <w:jc w:val="right"/>
              <w:spacing w:after="0"/>
              <w:rPr>
                <w:sz w:val="20"/>
                <w:szCs w:val="20"/>
                <w:color w:val="auto"/>
              </w:rPr>
            </w:pPr>
            <w:r>
              <w:rPr>
                <w:rFonts w:ascii="Arial" w:cs="Arial" w:eastAsia="Arial" w:hAnsi="Arial"/>
                <w:sz w:val="14"/>
                <w:szCs w:val="14"/>
                <w:color w:val="auto"/>
              </w:rPr>
              <w:t>0.67</w:t>
            </w:r>
          </w:p>
        </w:tc>
      </w:tr>
      <w:tr>
        <w:trPr>
          <w:trHeight w:val="130"/>
        </w:trPr>
        <w:tc>
          <w:tcPr>
            <w:tcW w:w="6980" w:type="dxa"/>
            <w:vAlign w:val="bottom"/>
            <w:tcBorders>
              <w:bottom w:val="single" w:sz="8" w:color="939598"/>
            </w:tcBorders>
          </w:tcPr>
          <w:p>
            <w:pPr>
              <w:spacing w:after="0"/>
              <w:rPr>
                <w:sz w:val="11"/>
                <w:szCs w:val="11"/>
                <w:color w:val="auto"/>
              </w:rPr>
            </w:pPr>
          </w:p>
        </w:tc>
        <w:tc>
          <w:tcPr>
            <w:tcW w:w="1880" w:type="dxa"/>
            <w:vAlign w:val="bottom"/>
            <w:tcBorders>
              <w:bottom w:val="single" w:sz="8" w:color="939598"/>
            </w:tcBorders>
          </w:tcPr>
          <w:p>
            <w:pPr>
              <w:spacing w:after="0"/>
              <w:rPr>
                <w:sz w:val="11"/>
                <w:szCs w:val="11"/>
                <w:color w:val="auto"/>
              </w:rPr>
            </w:pPr>
          </w:p>
        </w:tc>
        <w:tc>
          <w:tcPr>
            <w:tcW w:w="840" w:type="dxa"/>
            <w:vAlign w:val="bottom"/>
            <w:tcBorders>
              <w:bottom w:val="single" w:sz="8" w:color="939598"/>
            </w:tcBorders>
          </w:tcPr>
          <w:p>
            <w:pPr>
              <w:spacing w:after="0"/>
              <w:rPr>
                <w:sz w:val="11"/>
                <w:szCs w:val="11"/>
                <w:color w:val="auto"/>
              </w:rPr>
            </w:pPr>
          </w:p>
        </w:tc>
        <w:tc>
          <w:tcPr>
            <w:tcW w:w="820" w:type="dxa"/>
            <w:vAlign w:val="bottom"/>
            <w:tcBorders>
              <w:bottom w:val="single" w:sz="8" w:color="939598"/>
            </w:tcBorders>
          </w:tcPr>
          <w:p>
            <w:pPr>
              <w:spacing w:after="0"/>
              <w:rPr>
                <w:sz w:val="11"/>
                <w:szCs w:val="11"/>
                <w:color w:val="auto"/>
              </w:rPr>
            </w:pPr>
          </w:p>
        </w:tc>
        <w:tc>
          <w:tcPr>
            <w:tcW w:w="700" w:type="dxa"/>
            <w:vAlign w:val="bottom"/>
            <w:tcBorders>
              <w:bottom w:val="single" w:sz="8" w:color="939598"/>
            </w:tcBorders>
          </w:tcPr>
          <w:p>
            <w:pPr>
              <w:spacing w:after="0"/>
              <w:rPr>
                <w:sz w:val="11"/>
                <w:szCs w:val="11"/>
                <w:color w:val="auto"/>
              </w:rPr>
            </w:pPr>
          </w:p>
        </w:tc>
      </w:tr>
      <w:tr>
        <w:trPr>
          <w:trHeight w:val="309"/>
        </w:trPr>
        <w:tc>
          <w:tcPr>
            <w:tcW w:w="6980" w:type="dxa"/>
            <w:vAlign w:val="bottom"/>
          </w:tcPr>
          <w:p>
            <w:pPr>
              <w:ind w:left="20"/>
              <w:spacing w:after="0"/>
              <w:rPr>
                <w:sz w:val="20"/>
                <w:szCs w:val="20"/>
                <w:color w:val="auto"/>
              </w:rPr>
            </w:pPr>
            <w:r>
              <w:rPr>
                <w:rFonts w:ascii="Arial" w:cs="Arial" w:eastAsia="Arial" w:hAnsi="Arial"/>
                <w:sz w:val="14"/>
                <w:szCs w:val="14"/>
                <w:color w:val="auto"/>
              </w:rPr>
              <w:t>Acquisition-related costs</w:t>
            </w:r>
            <w:r>
              <w:rPr>
                <w:rFonts w:ascii="Arial" w:cs="Arial" w:eastAsia="Arial" w:hAnsi="Arial"/>
                <w:sz w:val="9"/>
                <w:szCs w:val="9"/>
                <w:color w:val="auto"/>
              </w:rPr>
              <w:t>4</w:t>
            </w:r>
          </w:p>
        </w:tc>
        <w:tc>
          <w:tcPr>
            <w:tcW w:w="18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0.01</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0.10</w:t>
            </w:r>
          </w:p>
        </w:tc>
        <w:tc>
          <w:tcPr>
            <w:tcW w:w="700" w:type="dxa"/>
            <w:vAlign w:val="bottom"/>
          </w:tcPr>
          <w:p>
            <w:pPr>
              <w:jc w:val="right"/>
              <w:spacing w:after="0"/>
              <w:rPr>
                <w:sz w:val="20"/>
                <w:szCs w:val="20"/>
                <w:color w:val="auto"/>
              </w:rPr>
            </w:pPr>
            <w:r>
              <w:rPr>
                <w:rFonts w:ascii="Arial" w:cs="Arial" w:eastAsia="Arial" w:hAnsi="Arial"/>
                <w:sz w:val="14"/>
                <w:szCs w:val="14"/>
                <w:color w:val="auto"/>
              </w:rPr>
              <w:t>0.05</w:t>
            </w:r>
          </w:p>
        </w:tc>
      </w:tr>
      <w:tr>
        <w:trPr>
          <w:trHeight w:val="129"/>
        </w:trPr>
        <w:tc>
          <w:tcPr>
            <w:tcW w:w="6980" w:type="dxa"/>
            <w:vAlign w:val="bottom"/>
            <w:tcBorders>
              <w:bottom w:val="single" w:sz="8" w:color="939598"/>
            </w:tcBorders>
          </w:tcPr>
          <w:p>
            <w:pPr>
              <w:spacing w:after="0"/>
              <w:rPr>
                <w:sz w:val="11"/>
                <w:szCs w:val="11"/>
                <w:color w:val="auto"/>
              </w:rPr>
            </w:pPr>
          </w:p>
        </w:tc>
        <w:tc>
          <w:tcPr>
            <w:tcW w:w="1880" w:type="dxa"/>
            <w:vAlign w:val="bottom"/>
            <w:tcBorders>
              <w:bottom w:val="single" w:sz="8" w:color="939598"/>
            </w:tcBorders>
          </w:tcPr>
          <w:p>
            <w:pPr>
              <w:spacing w:after="0"/>
              <w:rPr>
                <w:sz w:val="11"/>
                <w:szCs w:val="11"/>
                <w:color w:val="auto"/>
              </w:rPr>
            </w:pPr>
          </w:p>
        </w:tc>
        <w:tc>
          <w:tcPr>
            <w:tcW w:w="840" w:type="dxa"/>
            <w:vAlign w:val="bottom"/>
            <w:tcBorders>
              <w:bottom w:val="single" w:sz="8" w:color="939598"/>
            </w:tcBorders>
          </w:tcPr>
          <w:p>
            <w:pPr>
              <w:spacing w:after="0"/>
              <w:rPr>
                <w:sz w:val="11"/>
                <w:szCs w:val="11"/>
                <w:color w:val="auto"/>
              </w:rPr>
            </w:pPr>
          </w:p>
        </w:tc>
        <w:tc>
          <w:tcPr>
            <w:tcW w:w="820" w:type="dxa"/>
            <w:vAlign w:val="bottom"/>
            <w:tcBorders>
              <w:bottom w:val="single" w:sz="8" w:color="939598"/>
            </w:tcBorders>
          </w:tcPr>
          <w:p>
            <w:pPr>
              <w:spacing w:after="0"/>
              <w:rPr>
                <w:sz w:val="11"/>
                <w:szCs w:val="11"/>
                <w:color w:val="auto"/>
              </w:rPr>
            </w:pPr>
          </w:p>
        </w:tc>
        <w:tc>
          <w:tcPr>
            <w:tcW w:w="700" w:type="dxa"/>
            <w:vAlign w:val="bottom"/>
            <w:tcBorders>
              <w:bottom w:val="single" w:sz="8" w:color="939598"/>
            </w:tcBorders>
          </w:tcPr>
          <w:p>
            <w:pPr>
              <w:spacing w:after="0"/>
              <w:rPr>
                <w:sz w:val="11"/>
                <w:szCs w:val="11"/>
                <w:color w:val="auto"/>
              </w:rPr>
            </w:pPr>
          </w:p>
        </w:tc>
      </w:tr>
      <w:tr>
        <w:trPr>
          <w:trHeight w:val="310"/>
        </w:trPr>
        <w:tc>
          <w:tcPr>
            <w:tcW w:w="6980" w:type="dxa"/>
            <w:vAlign w:val="bottom"/>
          </w:tcPr>
          <w:p>
            <w:pPr>
              <w:ind w:left="20"/>
              <w:spacing w:after="0"/>
              <w:rPr>
                <w:sz w:val="20"/>
                <w:szCs w:val="20"/>
                <w:color w:val="auto"/>
              </w:rPr>
            </w:pPr>
            <w:r>
              <w:rPr>
                <w:rFonts w:ascii="Arial" w:cs="Arial" w:eastAsia="Arial" w:hAnsi="Arial"/>
                <w:sz w:val="14"/>
                <w:szCs w:val="14"/>
                <w:color w:val="auto"/>
              </w:rPr>
              <w:t>Divestiture-related costs</w:t>
            </w:r>
            <w:r>
              <w:rPr>
                <w:rFonts w:ascii="Arial" w:cs="Arial" w:eastAsia="Arial" w:hAnsi="Arial"/>
                <w:sz w:val="9"/>
                <w:szCs w:val="9"/>
                <w:color w:val="auto"/>
              </w:rPr>
              <w:t>5</w:t>
            </w:r>
          </w:p>
        </w:tc>
        <w:tc>
          <w:tcPr>
            <w:tcW w:w="18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0.72</w:t>
            </w:r>
          </w:p>
        </w:tc>
      </w:tr>
      <w:tr>
        <w:trPr>
          <w:trHeight w:val="129"/>
        </w:trPr>
        <w:tc>
          <w:tcPr>
            <w:tcW w:w="6980" w:type="dxa"/>
            <w:vAlign w:val="bottom"/>
            <w:tcBorders>
              <w:bottom w:val="single" w:sz="8" w:color="939598"/>
            </w:tcBorders>
          </w:tcPr>
          <w:p>
            <w:pPr>
              <w:spacing w:after="0"/>
              <w:rPr>
                <w:sz w:val="11"/>
                <w:szCs w:val="11"/>
                <w:color w:val="auto"/>
              </w:rPr>
            </w:pPr>
          </w:p>
        </w:tc>
        <w:tc>
          <w:tcPr>
            <w:tcW w:w="1880" w:type="dxa"/>
            <w:vAlign w:val="bottom"/>
            <w:tcBorders>
              <w:bottom w:val="single" w:sz="8" w:color="939598"/>
            </w:tcBorders>
          </w:tcPr>
          <w:p>
            <w:pPr>
              <w:spacing w:after="0"/>
              <w:rPr>
                <w:sz w:val="11"/>
                <w:szCs w:val="11"/>
                <w:color w:val="auto"/>
              </w:rPr>
            </w:pPr>
          </w:p>
        </w:tc>
        <w:tc>
          <w:tcPr>
            <w:tcW w:w="840" w:type="dxa"/>
            <w:vAlign w:val="bottom"/>
            <w:tcBorders>
              <w:bottom w:val="single" w:sz="8" w:color="939598"/>
            </w:tcBorders>
          </w:tcPr>
          <w:p>
            <w:pPr>
              <w:spacing w:after="0"/>
              <w:rPr>
                <w:sz w:val="11"/>
                <w:szCs w:val="11"/>
                <w:color w:val="auto"/>
              </w:rPr>
            </w:pPr>
          </w:p>
        </w:tc>
        <w:tc>
          <w:tcPr>
            <w:tcW w:w="820" w:type="dxa"/>
            <w:vAlign w:val="bottom"/>
            <w:tcBorders>
              <w:bottom w:val="single" w:sz="8" w:color="939598"/>
            </w:tcBorders>
          </w:tcPr>
          <w:p>
            <w:pPr>
              <w:spacing w:after="0"/>
              <w:rPr>
                <w:sz w:val="11"/>
                <w:szCs w:val="11"/>
                <w:color w:val="auto"/>
              </w:rPr>
            </w:pPr>
          </w:p>
        </w:tc>
        <w:tc>
          <w:tcPr>
            <w:tcW w:w="700" w:type="dxa"/>
            <w:vAlign w:val="bottom"/>
            <w:tcBorders>
              <w:bottom w:val="single" w:sz="8" w:color="939598"/>
            </w:tcBorders>
          </w:tcPr>
          <w:p>
            <w:pPr>
              <w:spacing w:after="0"/>
              <w:rPr>
                <w:sz w:val="11"/>
                <w:szCs w:val="11"/>
                <w:color w:val="auto"/>
              </w:rPr>
            </w:pPr>
          </w:p>
        </w:tc>
      </w:tr>
      <w:tr>
        <w:trPr>
          <w:trHeight w:val="309"/>
        </w:trPr>
        <w:tc>
          <w:tcPr>
            <w:tcW w:w="6980" w:type="dxa"/>
            <w:vAlign w:val="bottom"/>
          </w:tcPr>
          <w:p>
            <w:pPr>
              <w:ind w:left="20"/>
              <w:spacing w:after="0"/>
              <w:rPr>
                <w:sz w:val="20"/>
                <w:szCs w:val="20"/>
                <w:color w:val="auto"/>
              </w:rPr>
            </w:pPr>
            <w:r>
              <w:rPr>
                <w:rFonts w:ascii="Arial" w:cs="Arial" w:eastAsia="Arial" w:hAnsi="Arial"/>
                <w:sz w:val="14"/>
                <w:szCs w:val="14"/>
                <w:color w:val="auto"/>
              </w:rPr>
              <w:t>Russian-related charges</w:t>
            </w:r>
            <w:r>
              <w:rPr>
                <w:rFonts w:ascii="Arial" w:cs="Arial" w:eastAsia="Arial" w:hAnsi="Arial"/>
                <w:sz w:val="9"/>
                <w:szCs w:val="9"/>
                <w:color w:val="auto"/>
              </w:rPr>
              <w:t>6</w:t>
            </w:r>
          </w:p>
        </w:tc>
        <w:tc>
          <w:tcPr>
            <w:tcW w:w="1880" w:type="dxa"/>
            <w:vAlign w:val="bottom"/>
          </w:tcPr>
          <w:p>
            <w:pPr>
              <w:jc w:val="right"/>
              <w:ind w:right="108"/>
              <w:spacing w:after="0"/>
              <w:rPr>
                <w:sz w:val="20"/>
                <w:szCs w:val="20"/>
                <w:color w:val="auto"/>
              </w:rPr>
            </w:pPr>
            <w:r>
              <w:rPr>
                <w:rFonts w:ascii="Arial" w:cs="Arial" w:eastAsia="Arial" w:hAnsi="Arial"/>
                <w:sz w:val="14"/>
                <w:szCs w:val="14"/>
                <w:color w:val="auto"/>
              </w:rPr>
              <w:t>0.43</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0.03</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6980" w:type="dxa"/>
            <w:vAlign w:val="bottom"/>
            <w:tcBorders>
              <w:bottom w:val="single" w:sz="8" w:color="939598"/>
            </w:tcBorders>
          </w:tcPr>
          <w:p>
            <w:pPr>
              <w:spacing w:after="0"/>
              <w:rPr>
                <w:sz w:val="11"/>
                <w:szCs w:val="11"/>
                <w:color w:val="auto"/>
              </w:rPr>
            </w:pPr>
          </w:p>
        </w:tc>
        <w:tc>
          <w:tcPr>
            <w:tcW w:w="1880" w:type="dxa"/>
            <w:vAlign w:val="bottom"/>
            <w:tcBorders>
              <w:bottom w:val="single" w:sz="8" w:color="939598"/>
            </w:tcBorders>
          </w:tcPr>
          <w:p>
            <w:pPr>
              <w:spacing w:after="0"/>
              <w:rPr>
                <w:sz w:val="11"/>
                <w:szCs w:val="11"/>
                <w:color w:val="auto"/>
              </w:rPr>
            </w:pPr>
          </w:p>
        </w:tc>
        <w:tc>
          <w:tcPr>
            <w:tcW w:w="840" w:type="dxa"/>
            <w:vAlign w:val="bottom"/>
            <w:tcBorders>
              <w:bottom w:val="single" w:sz="8" w:color="939598"/>
            </w:tcBorders>
          </w:tcPr>
          <w:p>
            <w:pPr>
              <w:spacing w:after="0"/>
              <w:rPr>
                <w:sz w:val="11"/>
                <w:szCs w:val="11"/>
                <w:color w:val="auto"/>
              </w:rPr>
            </w:pPr>
          </w:p>
        </w:tc>
        <w:tc>
          <w:tcPr>
            <w:tcW w:w="820" w:type="dxa"/>
            <w:vAlign w:val="bottom"/>
            <w:tcBorders>
              <w:bottom w:val="single" w:sz="8" w:color="939598"/>
            </w:tcBorders>
          </w:tcPr>
          <w:p>
            <w:pPr>
              <w:spacing w:after="0"/>
              <w:rPr>
                <w:sz w:val="11"/>
                <w:szCs w:val="11"/>
                <w:color w:val="auto"/>
              </w:rPr>
            </w:pPr>
          </w:p>
        </w:tc>
        <w:tc>
          <w:tcPr>
            <w:tcW w:w="700" w:type="dxa"/>
            <w:vAlign w:val="bottom"/>
            <w:tcBorders>
              <w:bottom w:val="single" w:sz="8" w:color="939598"/>
            </w:tcBorders>
          </w:tcPr>
          <w:p>
            <w:pPr>
              <w:spacing w:after="0"/>
              <w:rPr>
                <w:sz w:val="11"/>
                <w:szCs w:val="11"/>
                <w:color w:val="auto"/>
              </w:rPr>
            </w:pPr>
          </w:p>
        </w:tc>
      </w:tr>
      <w:tr>
        <w:trPr>
          <w:trHeight w:val="309"/>
        </w:trPr>
        <w:tc>
          <w:tcPr>
            <w:tcW w:w="6980" w:type="dxa"/>
            <w:vAlign w:val="bottom"/>
          </w:tcPr>
          <w:p>
            <w:pPr>
              <w:ind w:left="20"/>
              <w:spacing w:after="0"/>
              <w:rPr>
                <w:sz w:val="20"/>
                <w:szCs w:val="20"/>
                <w:color w:val="auto"/>
              </w:rPr>
            </w:pPr>
            <w:r>
              <w:rPr>
                <w:rFonts w:ascii="Arial" w:cs="Arial" w:eastAsia="Arial" w:hAnsi="Arial"/>
                <w:sz w:val="14"/>
                <w:szCs w:val="14"/>
                <w:color w:val="auto"/>
              </w:rPr>
              <w:t>Indefinite-lived intangible asset impairment</w:t>
            </w:r>
            <w:r>
              <w:rPr>
                <w:rFonts w:ascii="Arial" w:cs="Arial" w:eastAsia="Arial" w:hAnsi="Arial"/>
                <w:sz w:val="9"/>
                <w:szCs w:val="9"/>
                <w:color w:val="auto"/>
              </w:rPr>
              <w:t>7</w:t>
            </w:r>
          </w:p>
        </w:tc>
        <w:tc>
          <w:tcPr>
            <w:tcW w:w="18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0.06</w:t>
            </w:r>
          </w:p>
        </w:tc>
        <w:tc>
          <w:tcPr>
            <w:tcW w:w="700" w:type="dxa"/>
            <w:vAlign w:val="bottom"/>
          </w:tcPr>
          <w:p>
            <w:pPr>
              <w:jc w:val="right"/>
              <w:spacing w:after="0"/>
              <w:rPr>
                <w:sz w:val="20"/>
                <w:szCs w:val="20"/>
                <w:color w:val="auto"/>
              </w:rPr>
            </w:pPr>
            <w:r>
              <w:rPr>
                <w:rFonts w:ascii="Arial" w:cs="Arial" w:eastAsia="Arial" w:hAnsi="Arial"/>
                <w:sz w:val="14"/>
                <w:szCs w:val="14"/>
                <w:color w:val="auto"/>
              </w:rPr>
              <w:t>0.07</w:t>
            </w:r>
          </w:p>
        </w:tc>
      </w:tr>
      <w:tr>
        <w:trPr>
          <w:trHeight w:val="130"/>
        </w:trPr>
        <w:tc>
          <w:tcPr>
            <w:tcW w:w="6980" w:type="dxa"/>
            <w:vAlign w:val="bottom"/>
            <w:tcBorders>
              <w:bottom w:val="single" w:sz="8" w:color="939598"/>
            </w:tcBorders>
          </w:tcPr>
          <w:p>
            <w:pPr>
              <w:spacing w:after="0"/>
              <w:rPr>
                <w:sz w:val="11"/>
                <w:szCs w:val="11"/>
                <w:color w:val="auto"/>
              </w:rPr>
            </w:pPr>
          </w:p>
        </w:tc>
        <w:tc>
          <w:tcPr>
            <w:tcW w:w="1880" w:type="dxa"/>
            <w:vAlign w:val="bottom"/>
            <w:tcBorders>
              <w:bottom w:val="single" w:sz="8" w:color="939598"/>
            </w:tcBorders>
          </w:tcPr>
          <w:p>
            <w:pPr>
              <w:spacing w:after="0"/>
              <w:rPr>
                <w:sz w:val="11"/>
                <w:szCs w:val="11"/>
                <w:color w:val="auto"/>
              </w:rPr>
            </w:pPr>
          </w:p>
        </w:tc>
        <w:tc>
          <w:tcPr>
            <w:tcW w:w="840" w:type="dxa"/>
            <w:vAlign w:val="bottom"/>
            <w:tcBorders>
              <w:bottom w:val="single" w:sz="8" w:color="939598"/>
            </w:tcBorders>
          </w:tcPr>
          <w:p>
            <w:pPr>
              <w:spacing w:after="0"/>
              <w:rPr>
                <w:sz w:val="11"/>
                <w:szCs w:val="11"/>
                <w:color w:val="auto"/>
              </w:rPr>
            </w:pPr>
          </w:p>
        </w:tc>
        <w:tc>
          <w:tcPr>
            <w:tcW w:w="820" w:type="dxa"/>
            <w:vAlign w:val="bottom"/>
            <w:tcBorders>
              <w:bottom w:val="single" w:sz="8" w:color="939598"/>
            </w:tcBorders>
          </w:tcPr>
          <w:p>
            <w:pPr>
              <w:spacing w:after="0"/>
              <w:rPr>
                <w:sz w:val="11"/>
                <w:szCs w:val="11"/>
                <w:color w:val="auto"/>
              </w:rPr>
            </w:pPr>
          </w:p>
        </w:tc>
        <w:tc>
          <w:tcPr>
            <w:tcW w:w="700" w:type="dxa"/>
            <w:vAlign w:val="bottom"/>
            <w:tcBorders>
              <w:bottom w:val="single" w:sz="8" w:color="939598"/>
            </w:tcBorders>
          </w:tcPr>
          <w:p>
            <w:pPr>
              <w:spacing w:after="0"/>
              <w:rPr>
                <w:sz w:val="11"/>
                <w:szCs w:val="11"/>
                <w:color w:val="auto"/>
              </w:rPr>
            </w:pPr>
          </w:p>
        </w:tc>
      </w:tr>
      <w:tr>
        <w:trPr>
          <w:trHeight w:val="309"/>
        </w:trPr>
        <w:tc>
          <w:tcPr>
            <w:tcW w:w="6980" w:type="dxa"/>
            <w:vAlign w:val="bottom"/>
          </w:tcPr>
          <w:p>
            <w:pPr>
              <w:ind w:left="20"/>
              <w:spacing w:after="0"/>
              <w:rPr>
                <w:sz w:val="20"/>
                <w:szCs w:val="20"/>
                <w:color w:val="auto"/>
              </w:rPr>
            </w:pPr>
            <w:r>
              <w:rPr>
                <w:rFonts w:ascii="Arial" w:cs="Arial" w:eastAsia="Arial" w:hAnsi="Arial"/>
                <w:sz w:val="14"/>
                <w:szCs w:val="14"/>
                <w:color w:val="auto"/>
              </w:rPr>
              <w:t>Impairment of goodwill</w:t>
            </w:r>
            <w:r>
              <w:rPr>
                <w:rFonts w:ascii="Arial" w:cs="Arial" w:eastAsia="Arial" w:hAnsi="Arial"/>
                <w:sz w:val="9"/>
                <w:szCs w:val="9"/>
                <w:color w:val="auto"/>
              </w:rPr>
              <w:t>8</w:t>
            </w:r>
          </w:p>
        </w:tc>
        <w:tc>
          <w:tcPr>
            <w:tcW w:w="18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1.13</w:t>
            </w:r>
          </w:p>
        </w:tc>
      </w:tr>
      <w:tr>
        <w:trPr>
          <w:trHeight w:val="129"/>
        </w:trPr>
        <w:tc>
          <w:tcPr>
            <w:tcW w:w="6980" w:type="dxa"/>
            <w:vAlign w:val="bottom"/>
            <w:tcBorders>
              <w:bottom w:val="single" w:sz="8" w:color="939598"/>
            </w:tcBorders>
          </w:tcPr>
          <w:p>
            <w:pPr>
              <w:spacing w:after="0"/>
              <w:rPr>
                <w:sz w:val="11"/>
                <w:szCs w:val="11"/>
                <w:color w:val="auto"/>
              </w:rPr>
            </w:pPr>
          </w:p>
        </w:tc>
        <w:tc>
          <w:tcPr>
            <w:tcW w:w="1880" w:type="dxa"/>
            <w:vAlign w:val="bottom"/>
            <w:tcBorders>
              <w:bottom w:val="single" w:sz="8" w:color="939598"/>
            </w:tcBorders>
          </w:tcPr>
          <w:p>
            <w:pPr>
              <w:spacing w:after="0"/>
              <w:rPr>
                <w:sz w:val="11"/>
                <w:szCs w:val="11"/>
                <w:color w:val="auto"/>
              </w:rPr>
            </w:pPr>
          </w:p>
        </w:tc>
        <w:tc>
          <w:tcPr>
            <w:tcW w:w="840" w:type="dxa"/>
            <w:vAlign w:val="bottom"/>
            <w:tcBorders>
              <w:bottom w:val="single" w:sz="8" w:color="939598"/>
            </w:tcBorders>
          </w:tcPr>
          <w:p>
            <w:pPr>
              <w:spacing w:after="0"/>
              <w:rPr>
                <w:sz w:val="11"/>
                <w:szCs w:val="11"/>
                <w:color w:val="auto"/>
              </w:rPr>
            </w:pPr>
          </w:p>
        </w:tc>
        <w:tc>
          <w:tcPr>
            <w:tcW w:w="820" w:type="dxa"/>
            <w:vAlign w:val="bottom"/>
            <w:tcBorders>
              <w:bottom w:val="single" w:sz="8" w:color="939598"/>
            </w:tcBorders>
          </w:tcPr>
          <w:p>
            <w:pPr>
              <w:spacing w:after="0"/>
              <w:rPr>
                <w:sz w:val="11"/>
                <w:szCs w:val="11"/>
                <w:color w:val="auto"/>
              </w:rPr>
            </w:pPr>
          </w:p>
        </w:tc>
        <w:tc>
          <w:tcPr>
            <w:tcW w:w="700" w:type="dxa"/>
            <w:vAlign w:val="bottom"/>
            <w:tcBorders>
              <w:bottom w:val="single" w:sz="8" w:color="939598"/>
            </w:tcBorders>
          </w:tcPr>
          <w:p>
            <w:pPr>
              <w:spacing w:after="0"/>
              <w:rPr>
                <w:sz w:val="11"/>
                <w:szCs w:val="11"/>
                <w:color w:val="auto"/>
              </w:rPr>
            </w:pPr>
          </w:p>
        </w:tc>
      </w:tr>
      <w:tr>
        <w:trPr>
          <w:trHeight w:val="310"/>
        </w:trPr>
        <w:tc>
          <w:tcPr>
            <w:tcW w:w="6980" w:type="dxa"/>
            <w:vAlign w:val="bottom"/>
          </w:tcPr>
          <w:p>
            <w:pPr>
              <w:ind w:left="20"/>
              <w:spacing w:after="0"/>
              <w:rPr>
                <w:sz w:val="20"/>
                <w:szCs w:val="20"/>
                <w:color w:val="auto"/>
              </w:rPr>
            </w:pPr>
            <w:r>
              <w:rPr>
                <w:rFonts w:ascii="Arial" w:cs="Arial" w:eastAsia="Arial" w:hAnsi="Arial"/>
                <w:sz w:val="14"/>
                <w:szCs w:val="14"/>
                <w:color w:val="auto"/>
              </w:rPr>
              <w:t>Impairment of assets held for sale</w:t>
            </w:r>
            <w:r>
              <w:rPr>
                <w:rFonts w:ascii="Arial" w:cs="Arial" w:eastAsia="Arial" w:hAnsi="Arial"/>
                <w:sz w:val="9"/>
                <w:szCs w:val="9"/>
                <w:color w:val="auto"/>
              </w:rPr>
              <w:t>9</w:t>
            </w:r>
          </w:p>
        </w:tc>
        <w:tc>
          <w:tcPr>
            <w:tcW w:w="18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0.33</w:t>
            </w:r>
          </w:p>
        </w:tc>
        <w:tc>
          <w:tcPr>
            <w:tcW w:w="700" w:type="dxa"/>
            <w:vAlign w:val="bottom"/>
          </w:tcPr>
          <w:p>
            <w:pPr>
              <w:jc w:val="right"/>
              <w:spacing w:after="0"/>
              <w:rPr>
                <w:sz w:val="20"/>
                <w:szCs w:val="20"/>
                <w:color w:val="auto"/>
              </w:rPr>
            </w:pPr>
            <w:r>
              <w:rPr>
                <w:rFonts w:ascii="Arial" w:cs="Arial" w:eastAsia="Arial" w:hAnsi="Arial"/>
                <w:sz w:val="14"/>
                <w:szCs w:val="14"/>
                <w:color w:val="auto"/>
              </w:rPr>
              <w:t>0.32</w:t>
            </w:r>
          </w:p>
        </w:tc>
      </w:tr>
      <w:tr>
        <w:trPr>
          <w:trHeight w:val="129"/>
        </w:trPr>
        <w:tc>
          <w:tcPr>
            <w:tcW w:w="6980" w:type="dxa"/>
            <w:vAlign w:val="bottom"/>
            <w:tcBorders>
              <w:bottom w:val="single" w:sz="8" w:color="939598"/>
            </w:tcBorders>
          </w:tcPr>
          <w:p>
            <w:pPr>
              <w:spacing w:after="0"/>
              <w:rPr>
                <w:sz w:val="11"/>
                <w:szCs w:val="11"/>
                <w:color w:val="auto"/>
              </w:rPr>
            </w:pPr>
          </w:p>
        </w:tc>
        <w:tc>
          <w:tcPr>
            <w:tcW w:w="1880" w:type="dxa"/>
            <w:vAlign w:val="bottom"/>
            <w:tcBorders>
              <w:bottom w:val="single" w:sz="8" w:color="939598"/>
            </w:tcBorders>
          </w:tcPr>
          <w:p>
            <w:pPr>
              <w:spacing w:after="0"/>
              <w:rPr>
                <w:sz w:val="11"/>
                <w:szCs w:val="11"/>
                <w:color w:val="auto"/>
              </w:rPr>
            </w:pPr>
          </w:p>
        </w:tc>
        <w:tc>
          <w:tcPr>
            <w:tcW w:w="840" w:type="dxa"/>
            <w:vAlign w:val="bottom"/>
            <w:tcBorders>
              <w:bottom w:val="single" w:sz="8" w:color="939598"/>
            </w:tcBorders>
          </w:tcPr>
          <w:p>
            <w:pPr>
              <w:spacing w:after="0"/>
              <w:rPr>
                <w:sz w:val="11"/>
                <w:szCs w:val="11"/>
                <w:color w:val="auto"/>
              </w:rPr>
            </w:pPr>
          </w:p>
        </w:tc>
        <w:tc>
          <w:tcPr>
            <w:tcW w:w="820" w:type="dxa"/>
            <w:vAlign w:val="bottom"/>
            <w:tcBorders>
              <w:bottom w:val="single" w:sz="8" w:color="939598"/>
            </w:tcBorders>
          </w:tcPr>
          <w:p>
            <w:pPr>
              <w:spacing w:after="0"/>
              <w:rPr>
                <w:sz w:val="11"/>
                <w:szCs w:val="11"/>
                <w:color w:val="auto"/>
              </w:rPr>
            </w:pPr>
          </w:p>
        </w:tc>
        <w:tc>
          <w:tcPr>
            <w:tcW w:w="700" w:type="dxa"/>
            <w:vAlign w:val="bottom"/>
            <w:tcBorders>
              <w:bottom w:val="single" w:sz="8" w:color="939598"/>
            </w:tcBorders>
          </w:tcPr>
          <w:p>
            <w:pPr>
              <w:spacing w:after="0"/>
              <w:rPr>
                <w:sz w:val="11"/>
                <w:szCs w:val="11"/>
                <w:color w:val="auto"/>
              </w:rPr>
            </w:pPr>
          </w:p>
        </w:tc>
      </w:tr>
      <w:tr>
        <w:trPr>
          <w:trHeight w:val="309"/>
        </w:trPr>
        <w:tc>
          <w:tcPr>
            <w:tcW w:w="6980" w:type="dxa"/>
            <w:vAlign w:val="bottom"/>
          </w:tcPr>
          <w:p>
            <w:pPr>
              <w:ind w:left="20"/>
              <w:spacing w:after="0"/>
              <w:rPr>
                <w:sz w:val="20"/>
                <w:szCs w:val="20"/>
                <w:color w:val="auto"/>
              </w:rPr>
            </w:pPr>
            <w:r>
              <w:rPr>
                <w:rFonts w:ascii="Arial" w:cs="Arial" w:eastAsia="Arial" w:hAnsi="Arial"/>
                <w:sz w:val="14"/>
                <w:szCs w:val="14"/>
                <w:color w:val="auto"/>
              </w:rPr>
              <w:t>Loss on sale of business</w:t>
            </w:r>
            <w:r>
              <w:rPr>
                <w:rFonts w:ascii="Arial" w:cs="Arial" w:eastAsia="Arial" w:hAnsi="Arial"/>
                <w:sz w:val="9"/>
                <w:szCs w:val="9"/>
                <w:color w:val="auto"/>
              </w:rPr>
              <w:t>10</w:t>
            </w:r>
          </w:p>
        </w:tc>
        <w:tc>
          <w:tcPr>
            <w:tcW w:w="18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0.04</w:t>
            </w:r>
          </w:p>
        </w:tc>
      </w:tr>
      <w:tr>
        <w:trPr>
          <w:trHeight w:val="130"/>
        </w:trPr>
        <w:tc>
          <w:tcPr>
            <w:tcW w:w="6980" w:type="dxa"/>
            <w:vAlign w:val="bottom"/>
            <w:tcBorders>
              <w:bottom w:val="single" w:sz="8" w:color="939598"/>
            </w:tcBorders>
          </w:tcPr>
          <w:p>
            <w:pPr>
              <w:spacing w:after="0"/>
              <w:rPr>
                <w:sz w:val="11"/>
                <w:szCs w:val="11"/>
                <w:color w:val="auto"/>
              </w:rPr>
            </w:pPr>
          </w:p>
        </w:tc>
        <w:tc>
          <w:tcPr>
            <w:tcW w:w="1880" w:type="dxa"/>
            <w:vAlign w:val="bottom"/>
            <w:tcBorders>
              <w:bottom w:val="single" w:sz="8" w:color="939598"/>
            </w:tcBorders>
          </w:tcPr>
          <w:p>
            <w:pPr>
              <w:spacing w:after="0"/>
              <w:rPr>
                <w:sz w:val="11"/>
                <w:szCs w:val="11"/>
                <w:color w:val="auto"/>
              </w:rPr>
            </w:pPr>
          </w:p>
        </w:tc>
        <w:tc>
          <w:tcPr>
            <w:tcW w:w="840" w:type="dxa"/>
            <w:vAlign w:val="bottom"/>
            <w:tcBorders>
              <w:bottom w:val="single" w:sz="8" w:color="939598"/>
            </w:tcBorders>
          </w:tcPr>
          <w:p>
            <w:pPr>
              <w:spacing w:after="0"/>
              <w:rPr>
                <w:sz w:val="11"/>
                <w:szCs w:val="11"/>
                <w:color w:val="auto"/>
              </w:rPr>
            </w:pPr>
          </w:p>
        </w:tc>
        <w:tc>
          <w:tcPr>
            <w:tcW w:w="820" w:type="dxa"/>
            <w:vAlign w:val="bottom"/>
            <w:tcBorders>
              <w:bottom w:val="single" w:sz="8" w:color="939598"/>
            </w:tcBorders>
          </w:tcPr>
          <w:p>
            <w:pPr>
              <w:spacing w:after="0"/>
              <w:rPr>
                <w:sz w:val="11"/>
                <w:szCs w:val="11"/>
                <w:color w:val="auto"/>
              </w:rPr>
            </w:pPr>
          </w:p>
        </w:tc>
        <w:tc>
          <w:tcPr>
            <w:tcW w:w="700" w:type="dxa"/>
            <w:vAlign w:val="bottom"/>
            <w:tcBorders>
              <w:bottom w:val="single" w:sz="8" w:color="939598"/>
            </w:tcBorders>
          </w:tcPr>
          <w:p>
            <w:pPr>
              <w:spacing w:after="0"/>
              <w:rPr>
                <w:sz w:val="11"/>
                <w:szCs w:val="11"/>
                <w:color w:val="auto"/>
              </w:rPr>
            </w:pPr>
          </w:p>
        </w:tc>
      </w:tr>
      <w:tr>
        <w:trPr>
          <w:trHeight w:val="309"/>
        </w:trPr>
        <w:tc>
          <w:tcPr>
            <w:tcW w:w="6980" w:type="dxa"/>
            <w:vAlign w:val="bottom"/>
          </w:tcPr>
          <w:p>
            <w:pPr>
              <w:ind w:left="20"/>
              <w:spacing w:after="0"/>
              <w:rPr>
                <w:sz w:val="20"/>
                <w:szCs w:val="20"/>
                <w:color w:val="auto"/>
              </w:rPr>
            </w:pPr>
            <w:r>
              <w:rPr>
                <w:rFonts w:ascii="Arial" w:cs="Arial" w:eastAsia="Arial" w:hAnsi="Arial"/>
                <w:sz w:val="14"/>
                <w:szCs w:val="14"/>
                <w:color w:val="auto"/>
              </w:rPr>
              <w:t>Gain related to Resideo indemnification and reimbursement agreement termination</w:t>
            </w:r>
            <w:r>
              <w:rPr>
                <w:rFonts w:ascii="Arial" w:cs="Arial" w:eastAsia="Arial" w:hAnsi="Arial"/>
                <w:sz w:val="9"/>
                <w:szCs w:val="9"/>
                <w:color w:val="auto"/>
              </w:rPr>
              <w:t>11</w:t>
            </w:r>
          </w:p>
        </w:tc>
        <w:tc>
          <w:tcPr>
            <w:tcW w:w="18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(1.25)</w:t>
            </w:r>
          </w:p>
        </w:tc>
      </w:tr>
      <w:tr>
        <w:trPr>
          <w:trHeight w:val="130"/>
        </w:trPr>
        <w:tc>
          <w:tcPr>
            <w:tcW w:w="6980" w:type="dxa"/>
            <w:vAlign w:val="bottom"/>
            <w:tcBorders>
              <w:bottom w:val="single" w:sz="8" w:color="939598"/>
            </w:tcBorders>
          </w:tcPr>
          <w:p>
            <w:pPr>
              <w:spacing w:after="0"/>
              <w:rPr>
                <w:sz w:val="11"/>
                <w:szCs w:val="11"/>
                <w:color w:val="auto"/>
              </w:rPr>
            </w:pPr>
          </w:p>
        </w:tc>
        <w:tc>
          <w:tcPr>
            <w:tcW w:w="1880" w:type="dxa"/>
            <w:vAlign w:val="bottom"/>
            <w:tcBorders>
              <w:bottom w:val="single" w:sz="8" w:color="939598"/>
            </w:tcBorders>
          </w:tcPr>
          <w:p>
            <w:pPr>
              <w:spacing w:after="0"/>
              <w:rPr>
                <w:sz w:val="11"/>
                <w:szCs w:val="11"/>
                <w:color w:val="auto"/>
              </w:rPr>
            </w:pPr>
          </w:p>
        </w:tc>
        <w:tc>
          <w:tcPr>
            <w:tcW w:w="840" w:type="dxa"/>
            <w:vAlign w:val="bottom"/>
            <w:tcBorders>
              <w:bottom w:val="single" w:sz="8" w:color="939598"/>
            </w:tcBorders>
          </w:tcPr>
          <w:p>
            <w:pPr>
              <w:spacing w:after="0"/>
              <w:rPr>
                <w:sz w:val="11"/>
                <w:szCs w:val="11"/>
                <w:color w:val="auto"/>
              </w:rPr>
            </w:pPr>
          </w:p>
        </w:tc>
        <w:tc>
          <w:tcPr>
            <w:tcW w:w="820" w:type="dxa"/>
            <w:vAlign w:val="bottom"/>
            <w:tcBorders>
              <w:bottom w:val="single" w:sz="8" w:color="939598"/>
            </w:tcBorders>
          </w:tcPr>
          <w:p>
            <w:pPr>
              <w:spacing w:after="0"/>
              <w:rPr>
                <w:sz w:val="11"/>
                <w:szCs w:val="11"/>
                <w:color w:val="auto"/>
              </w:rPr>
            </w:pPr>
          </w:p>
        </w:tc>
        <w:tc>
          <w:tcPr>
            <w:tcW w:w="700" w:type="dxa"/>
            <w:vAlign w:val="bottom"/>
            <w:tcBorders>
              <w:bottom w:val="single" w:sz="8" w:color="939598"/>
            </w:tcBorders>
          </w:tcPr>
          <w:p>
            <w:pPr>
              <w:spacing w:after="0"/>
              <w:rPr>
                <w:sz w:val="11"/>
                <w:szCs w:val="11"/>
                <w:color w:val="auto"/>
              </w:rPr>
            </w:pPr>
          </w:p>
        </w:tc>
      </w:tr>
      <w:tr>
        <w:trPr>
          <w:trHeight w:val="310"/>
        </w:trPr>
        <w:tc>
          <w:tcPr>
            <w:tcW w:w="6980" w:type="dxa"/>
            <w:vAlign w:val="bottom"/>
          </w:tcPr>
          <w:p>
            <w:pPr>
              <w:ind w:left="20"/>
              <w:spacing w:after="0"/>
              <w:rPr>
                <w:sz w:val="20"/>
                <w:szCs w:val="20"/>
                <w:color w:val="auto"/>
              </w:rPr>
            </w:pPr>
            <w:r>
              <w:rPr>
                <w:rFonts w:ascii="Arial" w:cs="Arial" w:eastAsia="Arial" w:hAnsi="Arial"/>
                <w:sz w:val="14"/>
                <w:szCs w:val="14"/>
                <w:color w:val="auto"/>
              </w:rPr>
              <w:t>Adjustment to estimated future environmental liabilities</w:t>
            </w:r>
            <w:r>
              <w:rPr>
                <w:rFonts w:ascii="Arial" w:cs="Arial" w:eastAsia="Arial" w:hAnsi="Arial"/>
                <w:sz w:val="9"/>
                <w:szCs w:val="9"/>
                <w:color w:val="auto"/>
              </w:rPr>
              <w:t>12</w:t>
            </w:r>
          </w:p>
        </w:tc>
        <w:tc>
          <w:tcPr>
            <w:tcW w:w="18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0.25</w:t>
            </w:r>
          </w:p>
        </w:tc>
      </w:tr>
      <w:tr>
        <w:trPr>
          <w:trHeight w:val="130"/>
        </w:trPr>
        <w:tc>
          <w:tcPr>
            <w:tcW w:w="6980" w:type="dxa"/>
            <w:vAlign w:val="bottom"/>
            <w:tcBorders>
              <w:bottom w:val="single" w:sz="8" w:color="939598"/>
            </w:tcBorders>
          </w:tcPr>
          <w:p>
            <w:pPr>
              <w:spacing w:after="0"/>
              <w:rPr>
                <w:sz w:val="11"/>
                <w:szCs w:val="11"/>
                <w:color w:val="auto"/>
              </w:rPr>
            </w:pPr>
          </w:p>
        </w:tc>
        <w:tc>
          <w:tcPr>
            <w:tcW w:w="1880" w:type="dxa"/>
            <w:vAlign w:val="bottom"/>
            <w:tcBorders>
              <w:bottom w:val="single" w:sz="8" w:color="939598"/>
            </w:tcBorders>
          </w:tcPr>
          <w:p>
            <w:pPr>
              <w:spacing w:after="0"/>
              <w:rPr>
                <w:sz w:val="11"/>
                <w:szCs w:val="11"/>
                <w:color w:val="auto"/>
              </w:rPr>
            </w:pPr>
          </w:p>
        </w:tc>
        <w:tc>
          <w:tcPr>
            <w:tcW w:w="840" w:type="dxa"/>
            <w:vAlign w:val="bottom"/>
            <w:tcBorders>
              <w:bottom w:val="single" w:sz="8" w:color="939598"/>
            </w:tcBorders>
          </w:tcPr>
          <w:p>
            <w:pPr>
              <w:spacing w:after="0"/>
              <w:rPr>
                <w:sz w:val="11"/>
                <w:szCs w:val="11"/>
                <w:color w:val="auto"/>
              </w:rPr>
            </w:pPr>
          </w:p>
        </w:tc>
        <w:tc>
          <w:tcPr>
            <w:tcW w:w="820" w:type="dxa"/>
            <w:vAlign w:val="bottom"/>
            <w:tcBorders>
              <w:bottom w:val="single" w:sz="8" w:color="939598"/>
            </w:tcBorders>
          </w:tcPr>
          <w:p>
            <w:pPr>
              <w:spacing w:after="0"/>
              <w:rPr>
                <w:sz w:val="11"/>
                <w:szCs w:val="11"/>
                <w:color w:val="auto"/>
              </w:rPr>
            </w:pPr>
          </w:p>
        </w:tc>
        <w:tc>
          <w:tcPr>
            <w:tcW w:w="700" w:type="dxa"/>
            <w:vAlign w:val="bottom"/>
            <w:tcBorders>
              <w:bottom w:val="single" w:sz="8" w:color="939598"/>
            </w:tcBorders>
          </w:tcPr>
          <w:p>
            <w:pPr>
              <w:spacing w:after="0"/>
              <w:rPr>
                <w:sz w:val="11"/>
                <w:szCs w:val="11"/>
                <w:color w:val="auto"/>
              </w:rPr>
            </w:pPr>
          </w:p>
        </w:tc>
      </w:tr>
      <w:tr>
        <w:trPr>
          <w:trHeight w:val="309"/>
        </w:trPr>
        <w:tc>
          <w:tcPr>
            <w:tcW w:w="6980" w:type="dxa"/>
            <w:vAlign w:val="bottom"/>
          </w:tcPr>
          <w:p>
            <w:pPr>
              <w:ind w:left="20"/>
              <w:spacing w:after="0"/>
              <w:rPr>
                <w:sz w:val="20"/>
                <w:szCs w:val="20"/>
                <w:color w:val="auto"/>
              </w:rPr>
            </w:pPr>
            <w:r>
              <w:rPr>
                <w:rFonts w:ascii="Arial" w:cs="Arial" w:eastAsia="Arial" w:hAnsi="Arial"/>
                <w:sz w:val="14"/>
                <w:szCs w:val="14"/>
                <w:color w:val="auto"/>
              </w:rPr>
              <w:t>Loss on settlement of divestiture of asbestos liabilities</w:t>
            </w:r>
            <w:r>
              <w:rPr>
                <w:rFonts w:ascii="Arial" w:cs="Arial" w:eastAsia="Arial" w:hAnsi="Arial"/>
                <w:sz w:val="9"/>
                <w:szCs w:val="9"/>
                <w:color w:val="auto"/>
              </w:rPr>
              <w:t>13</w:t>
            </w:r>
          </w:p>
        </w:tc>
        <w:tc>
          <w:tcPr>
            <w:tcW w:w="18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0.17</w:t>
            </w:r>
          </w:p>
        </w:tc>
      </w:tr>
      <w:tr>
        <w:trPr>
          <w:trHeight w:val="130"/>
        </w:trPr>
        <w:tc>
          <w:tcPr>
            <w:tcW w:w="6980" w:type="dxa"/>
            <w:vAlign w:val="bottom"/>
            <w:tcBorders>
              <w:bottom w:val="single" w:sz="8" w:color="939598"/>
            </w:tcBorders>
          </w:tcPr>
          <w:p>
            <w:pPr>
              <w:spacing w:after="0"/>
              <w:rPr>
                <w:sz w:val="11"/>
                <w:szCs w:val="11"/>
                <w:color w:val="auto"/>
              </w:rPr>
            </w:pPr>
          </w:p>
        </w:tc>
        <w:tc>
          <w:tcPr>
            <w:tcW w:w="1880" w:type="dxa"/>
            <w:vAlign w:val="bottom"/>
            <w:tcBorders>
              <w:bottom w:val="single" w:sz="8" w:color="939598"/>
            </w:tcBorders>
          </w:tcPr>
          <w:p>
            <w:pPr>
              <w:spacing w:after="0"/>
              <w:rPr>
                <w:sz w:val="11"/>
                <w:szCs w:val="11"/>
                <w:color w:val="auto"/>
              </w:rPr>
            </w:pPr>
          </w:p>
        </w:tc>
        <w:tc>
          <w:tcPr>
            <w:tcW w:w="840" w:type="dxa"/>
            <w:vAlign w:val="bottom"/>
            <w:tcBorders>
              <w:bottom w:val="single" w:sz="8" w:color="939598"/>
            </w:tcBorders>
          </w:tcPr>
          <w:p>
            <w:pPr>
              <w:spacing w:after="0"/>
              <w:rPr>
                <w:sz w:val="11"/>
                <w:szCs w:val="11"/>
                <w:color w:val="auto"/>
              </w:rPr>
            </w:pPr>
          </w:p>
        </w:tc>
        <w:tc>
          <w:tcPr>
            <w:tcW w:w="820" w:type="dxa"/>
            <w:vAlign w:val="bottom"/>
            <w:tcBorders>
              <w:bottom w:val="single" w:sz="8" w:color="939598"/>
            </w:tcBorders>
          </w:tcPr>
          <w:p>
            <w:pPr>
              <w:spacing w:after="0"/>
              <w:rPr>
                <w:sz w:val="11"/>
                <w:szCs w:val="11"/>
                <w:color w:val="auto"/>
              </w:rPr>
            </w:pPr>
          </w:p>
        </w:tc>
        <w:tc>
          <w:tcPr>
            <w:tcW w:w="700" w:type="dxa"/>
            <w:vAlign w:val="bottom"/>
            <w:tcBorders>
              <w:bottom w:val="single" w:sz="8" w:color="939598"/>
            </w:tcBorders>
          </w:tcPr>
          <w:p>
            <w:pPr>
              <w:spacing w:after="0"/>
              <w:rPr>
                <w:sz w:val="11"/>
                <w:szCs w:val="11"/>
                <w:color w:val="auto"/>
              </w:rPr>
            </w:pPr>
          </w:p>
        </w:tc>
      </w:tr>
      <w:tr>
        <w:trPr>
          <w:trHeight w:val="310"/>
        </w:trPr>
        <w:tc>
          <w:tcPr>
            <w:tcW w:w="6980" w:type="dxa"/>
            <w:vAlign w:val="bottom"/>
          </w:tcPr>
          <w:p>
            <w:pPr>
              <w:ind w:left="20"/>
              <w:spacing w:after="0"/>
              <w:rPr>
                <w:sz w:val="20"/>
                <w:szCs w:val="20"/>
                <w:color w:val="auto"/>
              </w:rPr>
            </w:pPr>
            <w:r>
              <w:rPr>
                <w:rFonts w:ascii="Arial" w:cs="Arial" w:eastAsia="Arial" w:hAnsi="Arial"/>
                <w:sz w:val="14"/>
                <w:szCs w:val="14"/>
                <w:color w:val="auto"/>
              </w:rPr>
              <w:t>Flexjet-related litigation matters</w:t>
            </w:r>
            <w:r>
              <w:rPr>
                <w:rFonts w:ascii="Arial" w:cs="Arial" w:eastAsia="Arial" w:hAnsi="Arial"/>
                <w:sz w:val="9"/>
                <w:szCs w:val="9"/>
                <w:color w:val="auto"/>
              </w:rPr>
              <w:t>14</w:t>
            </w:r>
          </w:p>
        </w:tc>
        <w:tc>
          <w:tcPr>
            <w:tcW w:w="18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0.48</w:t>
            </w:r>
          </w:p>
        </w:tc>
      </w:tr>
      <w:tr>
        <w:trPr>
          <w:trHeight w:val="130"/>
        </w:trPr>
        <w:tc>
          <w:tcPr>
            <w:tcW w:w="6980" w:type="dxa"/>
            <w:vAlign w:val="bottom"/>
            <w:tcBorders>
              <w:bottom w:val="single" w:sz="8" w:color="939598"/>
            </w:tcBorders>
          </w:tcPr>
          <w:p>
            <w:pPr>
              <w:spacing w:after="0"/>
              <w:rPr>
                <w:sz w:val="11"/>
                <w:szCs w:val="11"/>
                <w:color w:val="auto"/>
              </w:rPr>
            </w:pPr>
          </w:p>
        </w:tc>
        <w:tc>
          <w:tcPr>
            <w:tcW w:w="1880" w:type="dxa"/>
            <w:vAlign w:val="bottom"/>
            <w:tcBorders>
              <w:bottom w:val="single" w:sz="8" w:color="939598"/>
            </w:tcBorders>
          </w:tcPr>
          <w:p>
            <w:pPr>
              <w:spacing w:after="0"/>
              <w:rPr>
                <w:sz w:val="11"/>
                <w:szCs w:val="11"/>
                <w:color w:val="auto"/>
              </w:rPr>
            </w:pPr>
          </w:p>
        </w:tc>
        <w:tc>
          <w:tcPr>
            <w:tcW w:w="840" w:type="dxa"/>
            <w:vAlign w:val="bottom"/>
            <w:tcBorders>
              <w:bottom w:val="single" w:sz="8" w:color="939598"/>
            </w:tcBorders>
          </w:tcPr>
          <w:p>
            <w:pPr>
              <w:spacing w:after="0"/>
              <w:rPr>
                <w:sz w:val="11"/>
                <w:szCs w:val="11"/>
                <w:color w:val="auto"/>
              </w:rPr>
            </w:pPr>
          </w:p>
        </w:tc>
        <w:tc>
          <w:tcPr>
            <w:tcW w:w="820" w:type="dxa"/>
            <w:vAlign w:val="bottom"/>
            <w:tcBorders>
              <w:bottom w:val="single" w:sz="8" w:color="939598"/>
            </w:tcBorders>
          </w:tcPr>
          <w:p>
            <w:pPr>
              <w:spacing w:after="0"/>
              <w:rPr>
                <w:sz w:val="11"/>
                <w:szCs w:val="11"/>
                <w:color w:val="auto"/>
              </w:rPr>
            </w:pPr>
          </w:p>
        </w:tc>
        <w:tc>
          <w:tcPr>
            <w:tcW w:w="700" w:type="dxa"/>
            <w:vAlign w:val="bottom"/>
            <w:tcBorders>
              <w:bottom w:val="single" w:sz="8" w:color="939598"/>
            </w:tcBorders>
          </w:tcPr>
          <w:p>
            <w:pPr>
              <w:spacing w:after="0"/>
              <w:rPr>
                <w:sz w:val="11"/>
                <w:szCs w:val="11"/>
                <w:color w:val="auto"/>
              </w:rPr>
            </w:pPr>
          </w:p>
        </w:tc>
      </w:tr>
      <w:tr>
        <w:trPr>
          <w:trHeight w:val="309"/>
        </w:trPr>
        <w:tc>
          <w:tcPr>
            <w:tcW w:w="6980" w:type="dxa"/>
            <w:vAlign w:val="bottom"/>
          </w:tcPr>
          <w:p>
            <w:pPr>
              <w:ind w:left="20"/>
              <w:spacing w:after="0"/>
              <w:rPr>
                <w:sz w:val="20"/>
                <w:szCs w:val="20"/>
                <w:color w:val="auto"/>
              </w:rPr>
            </w:pPr>
            <w:r>
              <w:rPr>
                <w:rFonts w:ascii="Arial" w:cs="Arial" w:eastAsia="Arial" w:hAnsi="Arial"/>
                <w:sz w:val="14"/>
                <w:szCs w:val="14"/>
                <w:color w:val="auto"/>
              </w:rPr>
              <w:t>Net expense related to the NARCO Buyout and HWI Sale</w:t>
            </w:r>
            <w:r>
              <w:rPr>
                <w:rFonts w:ascii="Arial" w:cs="Arial" w:eastAsia="Arial" w:hAnsi="Arial"/>
                <w:sz w:val="9"/>
                <w:szCs w:val="9"/>
                <w:color w:val="auto"/>
              </w:rPr>
              <w:t>15</w:t>
            </w:r>
          </w:p>
        </w:tc>
        <w:tc>
          <w:tcPr>
            <w:tcW w:w="1880" w:type="dxa"/>
            <w:vAlign w:val="bottom"/>
          </w:tcPr>
          <w:p>
            <w:pPr>
              <w:jc w:val="right"/>
              <w:ind w:right="108"/>
              <w:spacing w:after="0"/>
              <w:rPr>
                <w:sz w:val="20"/>
                <w:szCs w:val="20"/>
                <w:color w:val="auto"/>
              </w:rPr>
            </w:pPr>
            <w:r>
              <w:rPr>
                <w:rFonts w:ascii="Arial" w:cs="Arial" w:eastAsia="Arial" w:hAnsi="Arial"/>
                <w:sz w:val="14"/>
                <w:szCs w:val="14"/>
                <w:color w:val="auto"/>
              </w:rPr>
              <w:t>0.38</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0.01</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6980" w:type="dxa"/>
            <w:vAlign w:val="bottom"/>
            <w:tcBorders>
              <w:bottom w:val="single" w:sz="8" w:color="939598"/>
            </w:tcBorders>
          </w:tcPr>
          <w:p>
            <w:pPr>
              <w:spacing w:after="0"/>
              <w:rPr>
                <w:sz w:val="11"/>
                <w:szCs w:val="11"/>
                <w:color w:val="auto"/>
              </w:rPr>
            </w:pPr>
          </w:p>
        </w:tc>
        <w:tc>
          <w:tcPr>
            <w:tcW w:w="1880" w:type="dxa"/>
            <w:vAlign w:val="bottom"/>
            <w:tcBorders>
              <w:bottom w:val="single" w:sz="8" w:color="939598"/>
            </w:tcBorders>
          </w:tcPr>
          <w:p>
            <w:pPr>
              <w:spacing w:after="0"/>
              <w:rPr>
                <w:sz w:val="11"/>
                <w:szCs w:val="11"/>
                <w:color w:val="auto"/>
              </w:rPr>
            </w:pPr>
          </w:p>
        </w:tc>
        <w:tc>
          <w:tcPr>
            <w:tcW w:w="840" w:type="dxa"/>
            <w:vAlign w:val="bottom"/>
            <w:tcBorders>
              <w:bottom w:val="single" w:sz="8" w:color="939598"/>
            </w:tcBorders>
          </w:tcPr>
          <w:p>
            <w:pPr>
              <w:spacing w:after="0"/>
              <w:rPr>
                <w:sz w:val="11"/>
                <w:szCs w:val="11"/>
                <w:color w:val="auto"/>
              </w:rPr>
            </w:pPr>
          </w:p>
        </w:tc>
        <w:tc>
          <w:tcPr>
            <w:tcW w:w="820" w:type="dxa"/>
            <w:vAlign w:val="bottom"/>
            <w:tcBorders>
              <w:bottom w:val="single" w:sz="8" w:color="939598"/>
            </w:tcBorders>
          </w:tcPr>
          <w:p>
            <w:pPr>
              <w:spacing w:after="0"/>
              <w:rPr>
                <w:sz w:val="11"/>
                <w:szCs w:val="11"/>
                <w:color w:val="auto"/>
              </w:rPr>
            </w:pPr>
          </w:p>
        </w:tc>
        <w:tc>
          <w:tcPr>
            <w:tcW w:w="700" w:type="dxa"/>
            <w:vAlign w:val="bottom"/>
            <w:tcBorders>
              <w:bottom w:val="single" w:sz="8" w:color="939598"/>
            </w:tcBorders>
          </w:tcPr>
          <w:p>
            <w:pPr>
              <w:spacing w:after="0"/>
              <w:rPr>
                <w:sz w:val="11"/>
                <w:szCs w:val="11"/>
                <w:color w:val="auto"/>
              </w:rPr>
            </w:pPr>
          </w:p>
        </w:tc>
      </w:tr>
      <w:tr>
        <w:trPr>
          <w:trHeight w:val="309"/>
        </w:trPr>
        <w:tc>
          <w:tcPr>
            <w:tcW w:w="6980" w:type="dxa"/>
            <w:vAlign w:val="bottom"/>
          </w:tcPr>
          <w:p>
            <w:pPr>
              <w:ind w:left="20"/>
              <w:spacing w:after="0"/>
              <w:rPr>
                <w:sz w:val="20"/>
                <w:szCs w:val="20"/>
                <w:color w:val="auto"/>
              </w:rPr>
            </w:pPr>
            <w:r>
              <w:rPr>
                <w:rFonts w:ascii="Arial" w:cs="Arial" w:eastAsia="Arial" w:hAnsi="Arial"/>
                <w:sz w:val="14"/>
                <w:szCs w:val="14"/>
                <w:color w:val="auto"/>
              </w:rPr>
              <w:t>Bendix liability adjustment</w:t>
            </w:r>
            <w:r>
              <w:rPr>
                <w:rFonts w:ascii="Arial" w:cs="Arial" w:eastAsia="Arial" w:hAnsi="Arial"/>
                <w:sz w:val="9"/>
                <w:szCs w:val="9"/>
                <w:color w:val="auto"/>
              </w:rPr>
              <w:t>16</w:t>
            </w:r>
          </w:p>
        </w:tc>
        <w:tc>
          <w:tcPr>
            <w:tcW w:w="18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0.49</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6980" w:type="dxa"/>
            <w:vAlign w:val="bottom"/>
            <w:tcBorders>
              <w:bottom w:val="single" w:sz="8" w:color="939598"/>
            </w:tcBorders>
          </w:tcPr>
          <w:p>
            <w:pPr>
              <w:spacing w:after="0"/>
              <w:rPr>
                <w:sz w:val="11"/>
                <w:szCs w:val="11"/>
                <w:color w:val="auto"/>
              </w:rPr>
            </w:pPr>
          </w:p>
        </w:tc>
        <w:tc>
          <w:tcPr>
            <w:tcW w:w="1880" w:type="dxa"/>
            <w:vAlign w:val="bottom"/>
            <w:tcBorders>
              <w:bottom w:val="single" w:sz="8" w:color="939598"/>
            </w:tcBorders>
          </w:tcPr>
          <w:p>
            <w:pPr>
              <w:spacing w:after="0"/>
              <w:rPr>
                <w:sz w:val="11"/>
                <w:szCs w:val="11"/>
                <w:color w:val="auto"/>
              </w:rPr>
            </w:pPr>
          </w:p>
        </w:tc>
        <w:tc>
          <w:tcPr>
            <w:tcW w:w="840" w:type="dxa"/>
            <w:vAlign w:val="bottom"/>
            <w:tcBorders>
              <w:bottom w:val="single" w:sz="8" w:color="939598"/>
            </w:tcBorders>
          </w:tcPr>
          <w:p>
            <w:pPr>
              <w:spacing w:after="0"/>
              <w:rPr>
                <w:sz w:val="11"/>
                <w:szCs w:val="11"/>
                <w:color w:val="auto"/>
              </w:rPr>
            </w:pPr>
          </w:p>
        </w:tc>
        <w:tc>
          <w:tcPr>
            <w:tcW w:w="820" w:type="dxa"/>
            <w:vAlign w:val="bottom"/>
            <w:tcBorders>
              <w:bottom w:val="single" w:sz="8" w:color="939598"/>
            </w:tcBorders>
          </w:tcPr>
          <w:p>
            <w:pPr>
              <w:spacing w:after="0"/>
              <w:rPr>
                <w:sz w:val="11"/>
                <w:szCs w:val="11"/>
                <w:color w:val="auto"/>
              </w:rPr>
            </w:pPr>
          </w:p>
        </w:tc>
        <w:tc>
          <w:tcPr>
            <w:tcW w:w="700" w:type="dxa"/>
            <w:vAlign w:val="bottom"/>
            <w:tcBorders>
              <w:bottom w:val="single" w:sz="8" w:color="939598"/>
            </w:tcBorders>
          </w:tcPr>
          <w:p>
            <w:pPr>
              <w:spacing w:after="0"/>
              <w:rPr>
                <w:sz w:val="11"/>
                <w:szCs w:val="11"/>
                <w:color w:val="auto"/>
              </w:rPr>
            </w:pPr>
          </w:p>
        </w:tc>
      </w:tr>
      <w:tr>
        <w:trPr>
          <w:trHeight w:val="309"/>
        </w:trPr>
        <w:tc>
          <w:tcPr>
            <w:tcW w:w="6980" w:type="dxa"/>
            <w:vAlign w:val="bottom"/>
          </w:tcPr>
          <w:p>
            <w:pPr>
              <w:ind w:left="20"/>
              <w:spacing w:after="0"/>
              <w:rPr>
                <w:sz w:val="20"/>
                <w:szCs w:val="20"/>
                <w:color w:val="auto"/>
              </w:rPr>
            </w:pPr>
            <w:r>
              <w:rPr>
                <w:rFonts w:ascii="Arial" w:cs="Arial" w:eastAsia="Arial" w:hAnsi="Arial"/>
                <w:sz w:val="14"/>
                <w:szCs w:val="14"/>
                <w:color w:val="auto"/>
              </w:rPr>
              <w:t>Expense related to UOP Matters</w:t>
            </w:r>
            <w:r>
              <w:rPr>
                <w:rFonts w:ascii="Arial" w:cs="Arial" w:eastAsia="Arial" w:hAnsi="Arial"/>
                <w:sz w:val="9"/>
                <w:szCs w:val="9"/>
                <w:color w:val="auto"/>
              </w:rPr>
              <w:t>17</w:t>
            </w:r>
          </w:p>
        </w:tc>
        <w:tc>
          <w:tcPr>
            <w:tcW w:w="1880" w:type="dxa"/>
            <w:vAlign w:val="bottom"/>
          </w:tcPr>
          <w:p>
            <w:pPr>
              <w:jc w:val="right"/>
              <w:ind w:right="108"/>
              <w:spacing w:after="0"/>
              <w:rPr>
                <w:sz w:val="20"/>
                <w:szCs w:val="20"/>
                <w:color w:val="auto"/>
              </w:rPr>
            </w:pPr>
            <w:r>
              <w:rPr>
                <w:rFonts w:ascii="Arial" w:cs="Arial" w:eastAsia="Arial" w:hAnsi="Arial"/>
                <w:sz w:val="14"/>
                <w:szCs w:val="14"/>
                <w:color w:val="auto"/>
              </w:rPr>
              <w:t>0.07</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6980" w:type="dxa"/>
            <w:vAlign w:val="bottom"/>
            <w:tcBorders>
              <w:bottom w:val="single" w:sz="8" w:color="939598"/>
            </w:tcBorders>
          </w:tcPr>
          <w:p>
            <w:pPr>
              <w:spacing w:after="0"/>
              <w:rPr>
                <w:sz w:val="11"/>
                <w:szCs w:val="11"/>
                <w:color w:val="auto"/>
              </w:rPr>
            </w:pPr>
          </w:p>
        </w:tc>
        <w:tc>
          <w:tcPr>
            <w:tcW w:w="1880" w:type="dxa"/>
            <w:vAlign w:val="bottom"/>
            <w:tcBorders>
              <w:bottom w:val="single" w:sz="8" w:color="939598"/>
            </w:tcBorders>
          </w:tcPr>
          <w:p>
            <w:pPr>
              <w:spacing w:after="0"/>
              <w:rPr>
                <w:sz w:val="11"/>
                <w:szCs w:val="11"/>
                <w:color w:val="auto"/>
              </w:rPr>
            </w:pPr>
          </w:p>
        </w:tc>
        <w:tc>
          <w:tcPr>
            <w:tcW w:w="840" w:type="dxa"/>
            <w:vAlign w:val="bottom"/>
            <w:tcBorders>
              <w:bottom w:val="single" w:sz="8" w:color="939598"/>
            </w:tcBorders>
          </w:tcPr>
          <w:p>
            <w:pPr>
              <w:spacing w:after="0"/>
              <w:rPr>
                <w:sz w:val="11"/>
                <w:szCs w:val="11"/>
                <w:color w:val="auto"/>
              </w:rPr>
            </w:pPr>
          </w:p>
        </w:tc>
        <w:tc>
          <w:tcPr>
            <w:tcW w:w="820" w:type="dxa"/>
            <w:vAlign w:val="bottom"/>
            <w:tcBorders>
              <w:bottom w:val="single" w:sz="8" w:color="939598"/>
            </w:tcBorders>
          </w:tcPr>
          <w:p>
            <w:pPr>
              <w:spacing w:after="0"/>
              <w:rPr>
                <w:sz w:val="11"/>
                <w:szCs w:val="11"/>
                <w:color w:val="auto"/>
              </w:rPr>
            </w:pPr>
          </w:p>
        </w:tc>
        <w:tc>
          <w:tcPr>
            <w:tcW w:w="700" w:type="dxa"/>
            <w:vAlign w:val="bottom"/>
            <w:tcBorders>
              <w:bottom w:val="single" w:sz="8" w:color="939598"/>
            </w:tcBorders>
          </w:tcPr>
          <w:p>
            <w:pPr>
              <w:spacing w:after="0"/>
              <w:rPr>
                <w:sz w:val="11"/>
                <w:szCs w:val="11"/>
                <w:color w:val="auto"/>
              </w:rPr>
            </w:pPr>
          </w:p>
        </w:tc>
      </w:tr>
      <w:tr>
        <w:trPr>
          <w:trHeight w:val="309"/>
        </w:trPr>
        <w:tc>
          <w:tcPr>
            <w:tcW w:w="6980" w:type="dxa"/>
            <w:vAlign w:val="bottom"/>
          </w:tcPr>
          <w:p>
            <w:pPr>
              <w:ind w:left="20"/>
              <w:spacing w:after="0"/>
              <w:rPr>
                <w:sz w:val="20"/>
                <w:szCs w:val="20"/>
                <w:color w:val="auto"/>
              </w:rPr>
            </w:pPr>
            <w:r>
              <w:rPr>
                <w:rFonts w:ascii="Arial" w:cs="Arial" w:eastAsia="Arial" w:hAnsi="Arial"/>
                <w:sz w:val="14"/>
                <w:szCs w:val="14"/>
                <w:color w:val="auto"/>
              </w:rPr>
              <w:t xml:space="preserve">Gain on sale of Russian entities </w:t>
            </w:r>
            <w:r>
              <w:rPr>
                <w:rFonts w:ascii="Arial" w:cs="Arial" w:eastAsia="Arial" w:hAnsi="Arial"/>
                <w:sz w:val="9"/>
                <w:szCs w:val="9"/>
                <w:color w:val="auto"/>
              </w:rPr>
              <w:t>18</w:t>
            </w:r>
          </w:p>
        </w:tc>
        <w:tc>
          <w:tcPr>
            <w:tcW w:w="1880" w:type="dxa"/>
            <w:vAlign w:val="bottom"/>
          </w:tcPr>
          <w:p>
            <w:pPr>
              <w:jc w:val="right"/>
              <w:ind w:right="68"/>
              <w:spacing w:after="0"/>
              <w:rPr>
                <w:sz w:val="20"/>
                <w:szCs w:val="20"/>
                <w:color w:val="auto"/>
              </w:rPr>
            </w:pPr>
            <w:r>
              <w:rPr>
                <w:rFonts w:ascii="Arial" w:cs="Arial" w:eastAsia="Arial" w:hAnsi="Arial"/>
                <w:sz w:val="14"/>
                <w:szCs w:val="14"/>
                <w:color w:val="auto"/>
              </w:rPr>
              <w:t>(0.03)</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6980" w:type="dxa"/>
            <w:vAlign w:val="bottom"/>
            <w:tcBorders>
              <w:bottom w:val="single" w:sz="8" w:color="D7282F"/>
            </w:tcBorders>
          </w:tcPr>
          <w:p>
            <w:pPr>
              <w:spacing w:after="0"/>
              <w:rPr>
                <w:sz w:val="11"/>
                <w:szCs w:val="11"/>
                <w:color w:val="auto"/>
              </w:rPr>
            </w:pPr>
          </w:p>
        </w:tc>
        <w:tc>
          <w:tcPr>
            <w:tcW w:w="1880" w:type="dxa"/>
            <w:vAlign w:val="bottom"/>
            <w:tcBorders>
              <w:bottom w:val="single" w:sz="8" w:color="D7282F"/>
            </w:tcBorders>
          </w:tcPr>
          <w:p>
            <w:pPr>
              <w:spacing w:after="0"/>
              <w:rPr>
                <w:sz w:val="11"/>
                <w:szCs w:val="11"/>
                <w:color w:val="auto"/>
              </w:rPr>
            </w:pPr>
          </w:p>
        </w:tc>
        <w:tc>
          <w:tcPr>
            <w:tcW w:w="840" w:type="dxa"/>
            <w:vAlign w:val="bottom"/>
            <w:tcBorders>
              <w:bottom w:val="single" w:sz="8" w:color="D7282F"/>
            </w:tcBorders>
          </w:tcPr>
          <w:p>
            <w:pPr>
              <w:spacing w:after="0"/>
              <w:rPr>
                <w:sz w:val="11"/>
                <w:szCs w:val="11"/>
                <w:color w:val="auto"/>
              </w:rPr>
            </w:pPr>
          </w:p>
        </w:tc>
        <w:tc>
          <w:tcPr>
            <w:tcW w:w="820" w:type="dxa"/>
            <w:vAlign w:val="bottom"/>
            <w:tcBorders>
              <w:bottom w:val="single" w:sz="8" w:color="D7282F"/>
            </w:tcBorders>
          </w:tcPr>
          <w:p>
            <w:pPr>
              <w:spacing w:after="0"/>
              <w:rPr>
                <w:sz w:val="11"/>
                <w:szCs w:val="11"/>
                <w:color w:val="auto"/>
              </w:rPr>
            </w:pPr>
          </w:p>
        </w:tc>
        <w:tc>
          <w:tcPr>
            <w:tcW w:w="700" w:type="dxa"/>
            <w:vAlign w:val="bottom"/>
            <w:tcBorders>
              <w:bottom w:val="single" w:sz="8" w:color="D7282F"/>
            </w:tcBorders>
          </w:tcPr>
          <w:p>
            <w:pPr>
              <w:spacing w:after="0"/>
              <w:rPr>
                <w:sz w:val="11"/>
                <w:szCs w:val="11"/>
                <w:color w:val="auto"/>
              </w:rPr>
            </w:pPr>
          </w:p>
        </w:tc>
      </w:tr>
      <w:tr>
        <w:trPr>
          <w:trHeight w:val="302"/>
        </w:trPr>
        <w:tc>
          <w:tcPr>
            <w:tcW w:w="6980" w:type="dxa"/>
            <w:vAlign w:val="bottom"/>
          </w:tcPr>
          <w:p>
            <w:pPr>
              <w:ind w:left="20"/>
              <w:spacing w:after="0"/>
              <w:rPr>
                <w:sz w:val="20"/>
                <w:szCs w:val="20"/>
                <w:color w:val="auto"/>
              </w:rPr>
            </w:pPr>
            <w:r>
              <w:rPr>
                <w:rFonts w:ascii="Arial" w:cs="Arial" w:eastAsia="Arial" w:hAnsi="Arial"/>
                <w:sz w:val="14"/>
                <w:szCs w:val="14"/>
                <w:b w:val="1"/>
                <w:bCs w:val="1"/>
                <w:color w:val="auto"/>
              </w:rPr>
              <w:t>Adjusted earnings per share of common stock from continuing operations— diluted</w:t>
            </w:r>
          </w:p>
        </w:tc>
        <w:tc>
          <w:tcPr>
            <w:tcW w:w="1880" w:type="dxa"/>
            <w:vAlign w:val="bottom"/>
          </w:tcPr>
          <w:p>
            <w:pPr>
              <w:jc w:val="right"/>
              <w:ind w:right="108"/>
              <w:spacing w:after="0"/>
              <w:rPr>
                <w:sz w:val="20"/>
                <w:szCs w:val="20"/>
                <w:color w:val="auto"/>
              </w:rPr>
            </w:pPr>
            <w:r>
              <w:rPr>
                <w:rFonts w:ascii="Arial" w:cs="Arial" w:eastAsia="Arial" w:hAnsi="Arial"/>
                <w:sz w:val="14"/>
                <w:szCs w:val="14"/>
                <w:b w:val="1"/>
                <w:bCs w:val="1"/>
                <w:color w:val="auto"/>
              </w:rPr>
              <w:t>7.89</w:t>
            </w:r>
          </w:p>
        </w:tc>
        <w:tc>
          <w:tcPr>
            <w:tcW w:w="840" w:type="dxa"/>
            <w:vAlign w:val="bottom"/>
          </w:tcPr>
          <w:p>
            <w:pPr>
              <w:jc w:val="right"/>
              <w:ind w:right="108"/>
              <w:spacing w:after="0"/>
              <w:rPr>
                <w:sz w:val="20"/>
                <w:szCs w:val="20"/>
                <w:color w:val="auto"/>
              </w:rPr>
            </w:pPr>
            <w:r>
              <w:rPr>
                <w:rFonts w:ascii="Arial" w:cs="Arial" w:eastAsia="Arial" w:hAnsi="Arial"/>
                <w:sz w:val="14"/>
                <w:szCs w:val="14"/>
                <w:b w:val="1"/>
                <w:bCs w:val="1"/>
                <w:color w:val="auto"/>
              </w:rPr>
              <w:t>8.40</w:t>
            </w: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8.73</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9.78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2343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48" w:lineRule="exact"/>
        <w:rPr>
          <w:sz w:val="20"/>
          <w:szCs w:val="20"/>
          <w:color w:val="auto"/>
        </w:rPr>
      </w:pPr>
    </w:p>
    <w:p>
      <w:pPr>
        <w:ind w:left="200" w:right="40" w:hanging="192"/>
        <w:spacing w:after="0" w:line="286" w:lineRule="auto"/>
        <w:tabs>
          <w:tab w:leader="none" w:pos="230" w:val="left"/>
        </w:tabs>
        <w:numPr>
          <w:ilvl w:val="0"/>
          <w:numId w:val="222"/>
        </w:numPr>
        <w:rPr>
          <w:rFonts w:ascii="Arial" w:cs="Arial" w:eastAsia="Arial" w:hAnsi="Arial"/>
          <w:sz w:val="13"/>
          <w:szCs w:val="13"/>
          <w:color w:val="auto"/>
        </w:rPr>
      </w:pPr>
      <w:r>
        <w:rPr>
          <w:rFonts w:ascii="Arial" w:cs="Arial" w:eastAsia="Arial" w:hAnsi="Arial"/>
          <w:sz w:val="13"/>
          <w:szCs w:val="13"/>
          <w:color w:val="auto"/>
        </w:rPr>
        <w:t>2022 reflects estimated unaudited historical results which has been recast for continuing operations as a result of the spin-off and reclassification of the Advanced Materials business to discontinued operations.</w:t>
      </w:r>
    </w:p>
    <w:p>
      <w:pPr>
        <w:spacing w:after="0" w:line="22" w:lineRule="exact"/>
        <w:rPr>
          <w:sz w:val="20"/>
          <w:szCs w:val="20"/>
          <w:color w:val="auto"/>
        </w:rPr>
      </w:pPr>
    </w:p>
    <w:p>
      <w:pPr>
        <w:ind w:left="200" w:right="200" w:hanging="192"/>
        <w:spacing w:after="0" w:line="226" w:lineRule="auto"/>
        <w:tabs>
          <w:tab w:leader="none" w:pos="200" w:val="left"/>
        </w:tabs>
        <w:numPr>
          <w:ilvl w:val="0"/>
          <w:numId w:val="223"/>
        </w:numPr>
        <w:rPr>
          <w:rFonts w:ascii="Arial" w:cs="Arial" w:eastAsia="Arial" w:hAnsi="Arial"/>
          <w:sz w:val="16"/>
          <w:szCs w:val="16"/>
          <w:color w:val="auto"/>
          <w:vertAlign w:val="superscript"/>
        </w:rPr>
      </w:pPr>
      <w:r>
        <w:rPr>
          <w:rFonts w:ascii="Arial" w:cs="Arial" w:eastAsia="Arial" w:hAnsi="Arial"/>
          <w:sz w:val="13"/>
          <w:szCs w:val="13"/>
          <w:color w:val="auto"/>
        </w:rPr>
        <w:t>For the twelve months ended December 31, 2025, 2024, 2023, and 2022, adjusted earnings per share utilizes weighted average shares of approximately 642.8 million, 655.3 million, 668.2 million and 683.1 million, respectively.</w:t>
      </w:r>
    </w:p>
    <w:p>
      <w:pPr>
        <w:spacing w:after="0" w:line="63" w:lineRule="exact"/>
        <w:rPr>
          <w:rFonts w:ascii="Arial" w:cs="Arial" w:eastAsia="Arial" w:hAnsi="Arial"/>
          <w:sz w:val="16"/>
          <w:szCs w:val="16"/>
          <w:color w:val="auto"/>
          <w:vertAlign w:val="superscript"/>
        </w:rPr>
      </w:pPr>
    </w:p>
    <w:p>
      <w:pPr>
        <w:ind w:left="200" w:right="320" w:hanging="192"/>
        <w:spacing w:after="0" w:line="226" w:lineRule="auto"/>
        <w:tabs>
          <w:tab w:leader="none" w:pos="200" w:val="left"/>
        </w:tabs>
        <w:numPr>
          <w:ilvl w:val="0"/>
          <w:numId w:val="223"/>
        </w:numPr>
        <w:rPr>
          <w:rFonts w:ascii="Arial" w:cs="Arial" w:eastAsia="Arial" w:hAnsi="Arial"/>
          <w:sz w:val="16"/>
          <w:szCs w:val="16"/>
          <w:color w:val="auto"/>
          <w:vertAlign w:val="superscript"/>
        </w:rPr>
      </w:pPr>
      <w:r>
        <w:rPr>
          <w:rFonts w:ascii="Arial" w:cs="Arial" w:eastAsia="Arial" w:hAnsi="Arial"/>
          <w:sz w:val="13"/>
          <w:szCs w:val="13"/>
          <w:color w:val="auto"/>
        </w:rPr>
        <w:t>For the twelve months ended December 31, 2025, 2024, 2023 and 2022, pension mark-to-market expense was $123 million, $95 million, $126 million, and $440 million, net of tax benefit of $40 million, $31 million, $27 million, and $83 million, respectively.</w:t>
      </w:r>
    </w:p>
    <w:p>
      <w:pPr>
        <w:spacing w:after="0" w:line="50" w:lineRule="exact"/>
        <w:rPr>
          <w:rFonts w:ascii="Arial" w:cs="Arial" w:eastAsia="Arial" w:hAnsi="Arial"/>
          <w:sz w:val="16"/>
          <w:szCs w:val="16"/>
          <w:color w:val="auto"/>
          <w:vertAlign w:val="superscript"/>
        </w:rPr>
      </w:pPr>
    </w:p>
    <w:p>
      <w:pPr>
        <w:ind w:left="200" w:right="240" w:hanging="192"/>
        <w:spacing w:after="0" w:line="236" w:lineRule="auto"/>
        <w:tabs>
          <w:tab w:leader="none" w:pos="200" w:val="left"/>
        </w:tabs>
        <w:numPr>
          <w:ilvl w:val="0"/>
          <w:numId w:val="223"/>
        </w:numPr>
        <w:rPr>
          <w:rFonts w:ascii="Arial" w:cs="Arial" w:eastAsia="Arial" w:hAnsi="Arial"/>
          <w:sz w:val="16"/>
          <w:szCs w:val="16"/>
          <w:color w:val="auto"/>
          <w:vertAlign w:val="superscript"/>
        </w:rPr>
      </w:pPr>
      <w:r>
        <w:rPr>
          <w:rFonts w:ascii="Arial" w:cs="Arial" w:eastAsia="Arial" w:hAnsi="Arial"/>
          <w:sz w:val="13"/>
          <w:szCs w:val="13"/>
          <w:color w:val="auto"/>
        </w:rPr>
        <w:t>For the twelve months ended December 31, 2025, 2024, 2023, and 2022, acquisition-related intangibles amortization includes $432 million, $321 million, $230 million, and $260 million, net of tax benefit of $138 million, $90 million, $60 million, and $68 million, respectively.</w:t>
      </w:r>
    </w:p>
    <w:p>
      <w:pPr>
        <w:spacing w:after="0" w:line="50" w:lineRule="exact"/>
        <w:rPr>
          <w:rFonts w:ascii="Arial" w:cs="Arial" w:eastAsia="Arial" w:hAnsi="Arial"/>
          <w:sz w:val="16"/>
          <w:szCs w:val="16"/>
          <w:color w:val="auto"/>
          <w:vertAlign w:val="superscript"/>
        </w:rPr>
      </w:pPr>
    </w:p>
    <w:p>
      <w:pPr>
        <w:ind w:left="200" w:right="280" w:hanging="192"/>
        <w:spacing w:after="0" w:line="226" w:lineRule="auto"/>
        <w:tabs>
          <w:tab w:leader="none" w:pos="200" w:val="left"/>
        </w:tabs>
        <w:numPr>
          <w:ilvl w:val="0"/>
          <w:numId w:val="223"/>
        </w:numPr>
        <w:rPr>
          <w:rFonts w:ascii="Arial" w:cs="Arial" w:eastAsia="Arial" w:hAnsi="Arial"/>
          <w:sz w:val="16"/>
          <w:szCs w:val="16"/>
          <w:color w:val="auto"/>
          <w:vertAlign w:val="superscript"/>
        </w:rPr>
      </w:pPr>
      <w:r>
        <w:rPr>
          <w:rFonts w:ascii="Arial" w:cs="Arial" w:eastAsia="Arial" w:hAnsi="Arial"/>
          <w:sz w:val="13"/>
          <w:szCs w:val="13"/>
          <w:color w:val="auto"/>
        </w:rPr>
        <w:t>For the twelve months ended December 31, 2025, 2024, and 2023, the adjustment for acquisition-related costs, which is principally comprised of third-party transaction and integration costs and acquisition-related fair value adjustments to inventory, is $35 million, $66 million, and $7 million, net of tax benefit of $10 million, $17 million, and $2 million, respectively.</w:t>
      </w:r>
    </w:p>
    <w:p>
      <w:pPr>
        <w:spacing w:after="0" w:line="63" w:lineRule="exact"/>
        <w:rPr>
          <w:rFonts w:ascii="Arial" w:cs="Arial" w:eastAsia="Arial" w:hAnsi="Arial"/>
          <w:sz w:val="16"/>
          <w:szCs w:val="16"/>
          <w:color w:val="auto"/>
          <w:vertAlign w:val="superscript"/>
        </w:rPr>
      </w:pPr>
    </w:p>
    <w:p>
      <w:pPr>
        <w:ind w:left="200" w:right="240" w:hanging="192"/>
        <w:spacing w:after="0" w:line="226" w:lineRule="auto"/>
        <w:tabs>
          <w:tab w:leader="none" w:pos="200" w:val="left"/>
        </w:tabs>
        <w:numPr>
          <w:ilvl w:val="0"/>
          <w:numId w:val="223"/>
        </w:numPr>
        <w:rPr>
          <w:rFonts w:ascii="Arial" w:cs="Arial" w:eastAsia="Arial" w:hAnsi="Arial"/>
          <w:sz w:val="16"/>
          <w:szCs w:val="16"/>
          <w:color w:val="auto"/>
          <w:vertAlign w:val="superscript"/>
        </w:rPr>
      </w:pPr>
      <w:r>
        <w:rPr>
          <w:rFonts w:ascii="Arial" w:cs="Arial" w:eastAsia="Arial" w:hAnsi="Arial"/>
          <w:sz w:val="13"/>
          <w:szCs w:val="13"/>
          <w:color w:val="auto"/>
        </w:rPr>
        <w:t>For the twelve months ended December 31, 2025, the adjustment for divestiture-related costs, which is principally comprised of third-party transaction costs, is $460 million, net of tax benefit $61 million.</w:t>
      </w:r>
    </w:p>
    <w:p>
      <w:pPr>
        <w:spacing w:after="0" w:line="63" w:lineRule="exact"/>
        <w:rPr>
          <w:rFonts w:ascii="Arial" w:cs="Arial" w:eastAsia="Arial" w:hAnsi="Arial"/>
          <w:sz w:val="16"/>
          <w:szCs w:val="16"/>
          <w:color w:val="auto"/>
          <w:vertAlign w:val="superscript"/>
        </w:rPr>
      </w:pPr>
    </w:p>
    <w:p>
      <w:pPr>
        <w:ind w:left="200" w:right="100" w:hanging="192"/>
        <w:spacing w:after="0" w:line="253" w:lineRule="auto"/>
        <w:tabs>
          <w:tab w:leader="none" w:pos="200" w:val="left"/>
        </w:tabs>
        <w:numPr>
          <w:ilvl w:val="0"/>
          <w:numId w:val="223"/>
        </w:numPr>
        <w:rPr>
          <w:rFonts w:ascii="Arial" w:cs="Arial" w:eastAsia="Arial" w:hAnsi="Arial"/>
          <w:sz w:val="15"/>
          <w:szCs w:val="15"/>
          <w:color w:val="auto"/>
          <w:vertAlign w:val="superscript"/>
        </w:rPr>
      </w:pPr>
      <w:r>
        <w:rPr>
          <w:rFonts w:ascii="Arial" w:cs="Arial" w:eastAsia="Arial" w:hAnsi="Arial"/>
          <w:sz w:val="12"/>
          <w:szCs w:val="12"/>
          <w:color w:val="auto"/>
        </w:rPr>
        <w:t>For the twelve months ended December 31, 2024, the adjustment was a $17 million expense, without tax benefit, due to the settlement of a contractual dispute with a Russian entity associated with the Company’s suspension and wind down activities in Russia. For the twelve months ended December 31, 2022, the adjustment was $297 million, without tax benefit, to exclude charges and the accrual of reserves related to outstanding accounts receivable, contract assets, impairment of intangible assets, foreign exchange revaluation, inventory reserves, the write-down of other assets, impairment of property, plant and equipment, employee severance, and called guarantees related to the initial suspension and wind down of our businesses and operations in Russia.</w:t>
      </w:r>
    </w:p>
    <w:p>
      <w:pPr>
        <w:spacing w:after="0" w:line="56" w:lineRule="exact"/>
        <w:rPr>
          <w:rFonts w:ascii="Arial" w:cs="Arial" w:eastAsia="Arial" w:hAnsi="Arial"/>
          <w:sz w:val="15"/>
          <w:szCs w:val="15"/>
          <w:color w:val="auto"/>
          <w:vertAlign w:val="superscript"/>
        </w:rPr>
      </w:pPr>
    </w:p>
    <w:p>
      <w:pPr>
        <w:ind w:left="200" w:right="40" w:hanging="192"/>
        <w:spacing w:after="0" w:line="230" w:lineRule="auto"/>
        <w:tabs>
          <w:tab w:leader="none" w:pos="200" w:val="left"/>
        </w:tabs>
        <w:numPr>
          <w:ilvl w:val="0"/>
          <w:numId w:val="223"/>
        </w:numPr>
        <w:rPr>
          <w:rFonts w:ascii="Arial" w:cs="Arial" w:eastAsia="Arial" w:hAnsi="Arial"/>
          <w:sz w:val="16"/>
          <w:szCs w:val="16"/>
          <w:color w:val="auto"/>
          <w:vertAlign w:val="superscript"/>
        </w:rPr>
      </w:pPr>
      <w:r>
        <w:rPr>
          <w:rFonts w:ascii="Arial" w:cs="Arial" w:eastAsia="Arial" w:hAnsi="Arial"/>
          <w:sz w:val="13"/>
          <w:szCs w:val="13"/>
          <w:color w:val="auto"/>
        </w:rPr>
        <w:t>For the twelve months ended December 31, 2025, the impairment charge of indefinite-lived intangible assets associated with the Industrial Automation reportable segment was $44 million, without tax benefit. For the twelve months ended December 31, 2024, the impairment charge of indefinite-lived intangible assets associated with the personal protective equipment business was $37 million, net of tax benefit of $11 million.</w:t>
      </w:r>
    </w:p>
    <w:p>
      <w:pPr>
        <w:spacing w:after="0" w:line="45" w:lineRule="exact"/>
        <w:rPr>
          <w:rFonts w:ascii="Arial" w:cs="Arial" w:eastAsia="Arial" w:hAnsi="Arial"/>
          <w:sz w:val="16"/>
          <w:szCs w:val="16"/>
          <w:color w:val="auto"/>
          <w:vertAlign w:val="superscript"/>
        </w:rPr>
      </w:pPr>
    </w:p>
    <w:p>
      <w:pPr>
        <w:ind w:left="200" w:hanging="192"/>
        <w:spacing w:after="0"/>
        <w:tabs>
          <w:tab w:leader="none" w:pos="200" w:val="left"/>
        </w:tabs>
        <w:numPr>
          <w:ilvl w:val="0"/>
          <w:numId w:val="223"/>
        </w:numPr>
        <w:rPr>
          <w:rFonts w:ascii="Arial" w:cs="Arial" w:eastAsia="Arial" w:hAnsi="Arial"/>
          <w:sz w:val="16"/>
          <w:szCs w:val="16"/>
          <w:color w:val="auto"/>
          <w:vertAlign w:val="superscript"/>
        </w:rPr>
      </w:pPr>
      <w:r>
        <w:rPr>
          <w:rFonts w:ascii="Arial" w:cs="Arial" w:eastAsia="Arial" w:hAnsi="Arial"/>
          <w:sz w:val="13"/>
          <w:szCs w:val="13"/>
          <w:color w:val="auto"/>
        </w:rPr>
        <w:t>For the twelve months ended December 31, 2025, the impairment charge of goodwill associated with the Industrial Automation reportable segment was $724 million, without tax benefit.</w:t>
      </w:r>
    </w:p>
    <w:p>
      <w:pPr>
        <w:spacing w:after="0" w:line="50" w:lineRule="exact"/>
        <w:rPr>
          <w:rFonts w:ascii="Arial" w:cs="Arial" w:eastAsia="Arial" w:hAnsi="Arial"/>
          <w:sz w:val="16"/>
          <w:szCs w:val="16"/>
          <w:color w:val="auto"/>
          <w:vertAlign w:val="superscript"/>
        </w:rPr>
      </w:pPr>
    </w:p>
    <w:p>
      <w:pPr>
        <w:ind w:left="200" w:right="80" w:hanging="192"/>
        <w:spacing w:after="0" w:line="226" w:lineRule="auto"/>
        <w:tabs>
          <w:tab w:leader="none" w:pos="200" w:val="left"/>
        </w:tabs>
        <w:numPr>
          <w:ilvl w:val="0"/>
          <w:numId w:val="223"/>
        </w:numPr>
        <w:rPr>
          <w:rFonts w:ascii="Arial" w:cs="Arial" w:eastAsia="Arial" w:hAnsi="Arial"/>
          <w:sz w:val="16"/>
          <w:szCs w:val="16"/>
          <w:color w:val="auto"/>
          <w:vertAlign w:val="superscript"/>
        </w:rPr>
      </w:pPr>
      <w:r>
        <w:rPr>
          <w:rFonts w:ascii="Arial" w:cs="Arial" w:eastAsia="Arial" w:hAnsi="Arial"/>
          <w:sz w:val="13"/>
          <w:szCs w:val="13"/>
          <w:color w:val="auto"/>
        </w:rPr>
        <w:t>For the twelve months ended December 31, 2025 and 2024, the impairment charge of assets held for sale was $209 million and $219 million, net of tax benefit of $61 million and without tax benefit, respectively.</w:t>
      </w:r>
    </w:p>
    <w:p>
      <w:pPr>
        <w:spacing w:after="0" w:line="18" w:lineRule="exact"/>
        <w:rPr>
          <w:rFonts w:ascii="Arial" w:cs="Arial" w:eastAsia="Arial" w:hAnsi="Arial"/>
          <w:sz w:val="16"/>
          <w:szCs w:val="16"/>
          <w:color w:val="auto"/>
          <w:vertAlign w:val="superscript"/>
        </w:rPr>
      </w:pPr>
    </w:p>
    <w:p>
      <w:pPr>
        <w:ind w:left="200" w:hanging="192"/>
        <w:spacing w:after="0"/>
        <w:tabs>
          <w:tab w:leader="none" w:pos="200" w:val="left"/>
        </w:tabs>
        <w:numPr>
          <w:ilvl w:val="0"/>
          <w:numId w:val="223"/>
        </w:numPr>
        <w:rPr>
          <w:rFonts w:ascii="Arial" w:cs="Arial" w:eastAsia="Arial" w:hAnsi="Arial"/>
          <w:sz w:val="16"/>
          <w:szCs w:val="16"/>
          <w:color w:val="auto"/>
          <w:vertAlign w:val="superscript"/>
        </w:rPr>
      </w:pPr>
      <w:r>
        <w:rPr>
          <w:rFonts w:ascii="Arial" w:cs="Arial" w:eastAsia="Arial" w:hAnsi="Arial"/>
          <w:sz w:val="13"/>
          <w:szCs w:val="13"/>
          <w:color w:val="auto"/>
        </w:rPr>
        <w:t>For the twelve months ended December 31, 2025, the loss on sale of the personal protective equipment business is $28 million, net of tax benefit of $2 million.</w:t>
      </w:r>
    </w:p>
    <w:p>
      <w:pPr>
        <w:spacing w:after="0" w:line="63" w:lineRule="exact"/>
        <w:rPr>
          <w:rFonts w:ascii="Arial" w:cs="Arial" w:eastAsia="Arial" w:hAnsi="Arial"/>
          <w:sz w:val="16"/>
          <w:szCs w:val="16"/>
          <w:color w:val="auto"/>
          <w:vertAlign w:val="superscript"/>
        </w:rPr>
      </w:pPr>
    </w:p>
    <w:p>
      <w:pPr>
        <w:ind w:left="200" w:right="520" w:hanging="192"/>
        <w:spacing w:after="0"/>
        <w:tabs>
          <w:tab w:leader="none" w:pos="185" w:val="left"/>
        </w:tabs>
        <w:numPr>
          <w:ilvl w:val="0"/>
          <w:numId w:val="223"/>
        </w:numPr>
        <w:rPr>
          <w:rFonts w:ascii="Arial" w:cs="Arial" w:eastAsia="Arial" w:hAnsi="Arial"/>
          <w:sz w:val="14"/>
          <w:szCs w:val="14"/>
          <w:color w:val="auto"/>
          <w:vertAlign w:val="superscript"/>
        </w:rPr>
      </w:pPr>
      <w:r>
        <w:rPr>
          <w:rFonts w:ascii="Arial" w:cs="Arial" w:eastAsia="Arial" w:hAnsi="Arial"/>
          <w:sz w:val="11"/>
          <w:szCs w:val="11"/>
          <w:color w:val="auto"/>
        </w:rPr>
        <w:t>For the twelve months ended December 31, 2025, the adjustment for the gain related to the Resideo indemnification and reimbursement agreement termination was $802 million, without tax expense.</w:t>
      </w:r>
    </w:p>
    <w:p>
      <w:pPr>
        <w:spacing w:after="0" w:line="217" w:lineRule="exact"/>
        <w:rPr>
          <w:rFonts w:ascii="Arial" w:cs="Arial" w:eastAsia="Arial" w:hAnsi="Arial"/>
          <w:sz w:val="14"/>
          <w:szCs w:val="14"/>
          <w:color w:val="auto"/>
          <w:vertAlign w:val="superscript"/>
        </w:rPr>
      </w:pPr>
    </w:p>
    <w:p>
      <w:pPr>
        <w:ind w:left="200" w:right="100" w:hanging="192"/>
        <w:spacing w:after="0" w:line="251" w:lineRule="auto"/>
        <w:tabs>
          <w:tab w:leader="none" w:pos="191" w:val="left"/>
        </w:tabs>
        <w:numPr>
          <w:ilvl w:val="0"/>
          <w:numId w:val="223"/>
        </w:numPr>
        <w:rPr>
          <w:rFonts w:ascii="Arial" w:cs="Arial" w:eastAsia="Arial" w:hAnsi="Arial"/>
          <w:sz w:val="15"/>
          <w:szCs w:val="15"/>
          <w:color w:val="auto"/>
          <w:vertAlign w:val="superscript"/>
        </w:rPr>
      </w:pPr>
      <w:r>
        <w:rPr>
          <w:rFonts w:ascii="Arial" w:cs="Arial" w:eastAsia="Arial" w:hAnsi="Arial"/>
          <w:sz w:val="12"/>
          <w:szCs w:val="12"/>
          <w:color w:val="auto"/>
        </w:rPr>
        <w:t>In the twelve months ended December 31, 2025, the Company enhanced its process for estimating environmental liabilities at sites undergoing active remediation, which led to earlier recognition of the estimated probable liabilities and an increase to estimated environmental liabilities. For the twelve months ended December 31, 2025, the adjustment to increase environmental liabilities was $161 million, net of tax benefit of $50 million.</w:t>
      </w:r>
    </w:p>
    <w:p>
      <w:pPr>
        <w:spacing w:after="0" w:line="25" w:lineRule="exact"/>
        <w:rPr>
          <w:rFonts w:ascii="Arial" w:cs="Arial" w:eastAsia="Arial" w:hAnsi="Arial"/>
          <w:sz w:val="15"/>
          <w:szCs w:val="15"/>
          <w:color w:val="auto"/>
          <w:vertAlign w:val="superscript"/>
        </w:rPr>
      </w:pPr>
    </w:p>
    <w:p>
      <w:pPr>
        <w:ind w:left="200" w:hanging="192"/>
        <w:spacing w:after="0"/>
        <w:tabs>
          <w:tab w:leader="none" w:pos="200" w:val="left"/>
        </w:tabs>
        <w:numPr>
          <w:ilvl w:val="0"/>
          <w:numId w:val="223"/>
        </w:numPr>
        <w:rPr>
          <w:rFonts w:ascii="Arial" w:cs="Arial" w:eastAsia="Arial" w:hAnsi="Arial"/>
          <w:sz w:val="16"/>
          <w:szCs w:val="16"/>
          <w:color w:val="auto"/>
          <w:vertAlign w:val="superscript"/>
        </w:rPr>
      </w:pPr>
      <w:r>
        <w:rPr>
          <w:rFonts w:ascii="Arial" w:cs="Arial" w:eastAsia="Arial" w:hAnsi="Arial"/>
          <w:sz w:val="13"/>
          <w:szCs w:val="13"/>
          <w:color w:val="auto"/>
        </w:rPr>
        <w:t>For the twelve months ended December 31, 2025, the adjustment for loss on settlement of divestiture of asbestos liabilities was $112 million, net of tax benefit of $36 million.</w:t>
      </w:r>
    </w:p>
    <w:p>
      <w:pPr>
        <w:spacing w:after="0" w:line="63" w:lineRule="exact"/>
        <w:rPr>
          <w:rFonts w:ascii="Arial" w:cs="Arial" w:eastAsia="Arial" w:hAnsi="Arial"/>
          <w:sz w:val="16"/>
          <w:szCs w:val="16"/>
          <w:color w:val="auto"/>
          <w:vertAlign w:val="superscript"/>
        </w:rPr>
      </w:pPr>
    </w:p>
    <w:p>
      <w:pPr>
        <w:ind w:left="200" w:right="220" w:hanging="192"/>
        <w:spacing w:after="0" w:line="246" w:lineRule="auto"/>
        <w:tabs>
          <w:tab w:leader="none" w:pos="191" w:val="left"/>
        </w:tabs>
        <w:numPr>
          <w:ilvl w:val="0"/>
          <w:numId w:val="223"/>
        </w:numPr>
        <w:rPr>
          <w:rFonts w:ascii="Arial" w:cs="Arial" w:eastAsia="Arial" w:hAnsi="Arial"/>
          <w:sz w:val="15"/>
          <w:szCs w:val="15"/>
          <w:color w:val="auto"/>
          <w:vertAlign w:val="superscript"/>
        </w:rPr>
      </w:pPr>
      <w:r>
        <w:rPr>
          <w:rFonts w:ascii="Arial" w:cs="Arial" w:eastAsia="Arial" w:hAnsi="Arial"/>
          <w:sz w:val="12"/>
          <w:szCs w:val="12"/>
          <w:color w:val="auto"/>
        </w:rPr>
        <w:t>For the twelve months ended December 31, 2025, the adjustment for the Flexjet-related litigation matters was $302 million, net of tax benefit of $71 million. Management considers the nature and significance of these litigation matters to be unusual and not indicative of the Company's ongoing performance.</w:t>
      </w:r>
    </w:p>
    <w:p>
      <w:pPr>
        <w:sectPr>
          <w:pgSz w:w="11900" w:h="16838" w:orient="portrait"/>
          <w:cols w:equalWidth="0" w:num="1">
            <w:col w:w="11220"/>
          </w:cols>
          <w:pgMar w:left="320" w:top="229" w:right="359" w:bottom="0" w:gutter="0" w:footer="0" w:header="0"/>
        </w:sectPr>
      </w:pPr>
    </w:p>
    <w:bookmarkStart w:id="146" w:name="page147"/>
    <w:bookmarkEnd w:id="146"/>
    <w:p>
      <w:pPr>
        <w:ind w:left="192" w:right="120" w:hanging="192"/>
        <w:spacing w:after="0" w:line="246" w:lineRule="auto"/>
        <w:tabs>
          <w:tab w:leader="none" w:pos="183" w:val="left"/>
        </w:tabs>
        <w:numPr>
          <w:ilvl w:val="0"/>
          <w:numId w:val="224"/>
        </w:numPr>
        <w:rPr>
          <w:rFonts w:ascii="Arial" w:cs="Arial" w:eastAsia="Arial" w:hAnsi="Arial"/>
          <w:sz w:val="15"/>
          <w:szCs w:val="15"/>
          <w:color w:val="auto"/>
          <w:vertAlign w:val="superscript"/>
        </w:rPr>
      </w:pPr>
      <w:r>
        <w:rPr>
          <w:rFonts w:ascii="Arial" w:cs="Arial" w:eastAsia="Arial" w:hAnsi="Arial"/>
          <w:sz w:val="12"/>
          <w:szCs w:val="12"/>
          <w:color w:val="auto"/>
        </w:rPr>
        <w:t>For the twelve months ended December 31, 2023, and 2022, the adjustments were $8 million and $260 million, net of tax benefit of $3 million and $82 million, respectively, due to the net expense related to the NARCO Buyout and HWI Sale.</w:t>
      </w:r>
    </w:p>
    <w:p>
      <w:pPr>
        <w:spacing w:after="0" w:line="59" w:lineRule="exact"/>
        <w:rPr>
          <w:rFonts w:ascii="Arial" w:cs="Arial" w:eastAsia="Arial" w:hAnsi="Arial"/>
          <w:sz w:val="15"/>
          <w:szCs w:val="15"/>
          <w:color w:val="auto"/>
          <w:vertAlign w:val="superscript"/>
        </w:rPr>
      </w:pPr>
    </w:p>
    <w:p>
      <w:pPr>
        <w:ind w:left="192" w:hanging="192"/>
        <w:spacing w:after="0" w:line="253" w:lineRule="auto"/>
        <w:tabs>
          <w:tab w:leader="none" w:pos="183" w:val="left"/>
        </w:tabs>
        <w:numPr>
          <w:ilvl w:val="0"/>
          <w:numId w:val="224"/>
        </w:numPr>
        <w:rPr>
          <w:rFonts w:ascii="Arial" w:cs="Arial" w:eastAsia="Arial" w:hAnsi="Arial"/>
          <w:sz w:val="15"/>
          <w:szCs w:val="15"/>
          <w:color w:val="auto"/>
          <w:vertAlign w:val="superscript"/>
        </w:rPr>
      </w:pPr>
      <w:r>
        <w:rPr>
          <w:rFonts w:ascii="Arial" w:cs="Arial" w:eastAsia="Arial" w:hAnsi="Arial"/>
          <w:sz w:val="12"/>
          <w:szCs w:val="12"/>
          <w:color w:val="auto"/>
        </w:rPr>
        <w:t>Bendix Friction Materials (“Bendix”) is a business no longer owned by the Company. In 2023, the Company changed its valuation methodology for calculating legacy Bendix liabilities. For the twelve months ended December 31, 2023, the adjustment was $330 million, net of tax benefit of $104 million (or $434 million pre-tax) due to a change in the estimated liability for resolution of asserted (claims filed as of the financial statement date) and unasserted Bendix-related asbestos claims. The Company experienced fluctuations in average resolution values year-over-year in each of the past five years with no well-established</w:t>
      </w:r>
    </w:p>
    <w:p>
      <w:pPr>
        <w:spacing w:after="0" w:line="218" w:lineRule="exact"/>
        <w:rPr>
          <w:sz w:val="20"/>
          <w:szCs w:val="20"/>
          <w:color w:val="auto"/>
        </w:rPr>
      </w:pPr>
    </w:p>
    <w:p>
      <w:pPr>
        <w:ind w:left="12"/>
        <w:spacing w:after="0"/>
        <w:tabs>
          <w:tab w:leader="none" w:pos="1852" w:val="left"/>
        </w:tabs>
        <w:rPr>
          <w:sz w:val="20"/>
          <w:szCs w:val="20"/>
          <w:color w:val="auto"/>
        </w:rPr>
      </w:pPr>
      <w:r>
        <w:rPr>
          <w:rFonts w:ascii="Arial" w:cs="Arial" w:eastAsia="Arial" w:hAnsi="Arial"/>
          <w:sz w:val="18"/>
          <w:szCs w:val="18"/>
          <w:b w:val="1"/>
          <w:bCs w:val="1"/>
          <w:color w:val="auto"/>
        </w:rPr>
        <w:t xml:space="preserve">130  </w:t>
      </w:r>
      <w:r>
        <w:rPr>
          <w:sz w:val="1"/>
          <w:szCs w:val="1"/>
          <w:color w:val="auto"/>
        </w:rPr>
        <w:drawing>
          <wp:inline distT="0" distB="0" distL="0" distR="0">
            <wp:extent cx="548640" cy="102870"/>
            <wp:effectExtent l="0" t="0" r="0" b="0"/>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2026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245110</wp:posOffset>
            </wp:positionV>
            <wp:extent cx="7157720" cy="4254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12"/>
          </w:cols>
          <w:pgMar w:left="328" w:top="121" w:right="459" w:bottom="1440" w:gutter="0" w:footer="0" w:header="0"/>
        </w:sectPr>
      </w:pPr>
    </w:p>
    <w:bookmarkStart w:id="147" w:name="page148"/>
    <w:bookmarkEnd w:id="147"/>
    <w:p>
      <w:pPr>
        <w:jc w:val="right"/>
        <w:spacing w:after="0"/>
        <w:rPr>
          <w:sz w:val="20"/>
          <w:szCs w:val="20"/>
          <w:color w:val="auto"/>
        </w:rPr>
      </w:pPr>
      <w:r>
        <w:rPr>
          <w:rFonts w:ascii="Arial" w:cs="Arial" w:eastAsia="Arial" w:hAnsi="Arial"/>
          <w:sz w:val="13"/>
          <w:szCs w:val="13"/>
          <w:b w:val="1"/>
          <w:bCs w:val="1"/>
          <w:color w:val="6D6E71"/>
        </w:rPr>
        <w:t>APPENDIX A: RECONCILIATION OF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0" w:right="20"/>
        <w:spacing w:after="0" w:line="276" w:lineRule="auto"/>
        <w:rPr>
          <w:sz w:val="20"/>
          <w:szCs w:val="20"/>
          <w:color w:val="auto"/>
        </w:rPr>
      </w:pPr>
      <w:r>
        <w:rPr>
          <w:rFonts w:ascii="Arial" w:cs="Arial" w:eastAsia="Arial" w:hAnsi="Arial"/>
          <w:sz w:val="12"/>
          <w:szCs w:val="12"/>
          <w:color w:val="auto"/>
        </w:rPr>
        <w:t>trends in either direction. In 2023, the Company observed two consecutive years of increasing average resolution values (2023 and 2022), with more volatility in the earlier years of the five-year period (2019 through 2021). Based on these observations, the Company, during its annual review in the fourth quarter of 2023, reevaluated its valuation methodology and elected to give more weight to the two most recent years by shortening the look-back period from five years to two years (2023 and 2022). The Company believes that the average resolution values in the last two consecutive years are likely more representative of expected resolution values in future periods. The $434 million pre-tax amount was attributable primarily to shortening the look-back period to the two most recent years, and to a lesser extent to increasing expected resolution values for a subset of asserted claims to adjust for higher claim values in that subset than in the modelled two-year data set.</w:t>
      </w:r>
    </w:p>
    <w:p>
      <w:pPr>
        <w:spacing w:after="0" w:line="12" w:lineRule="exact"/>
        <w:rPr>
          <w:sz w:val="20"/>
          <w:szCs w:val="20"/>
          <w:color w:val="auto"/>
        </w:rPr>
      </w:pPr>
    </w:p>
    <w:p>
      <w:pPr>
        <w:ind w:left="200" w:hanging="192"/>
        <w:spacing w:after="0"/>
        <w:tabs>
          <w:tab w:leader="none" w:pos="200" w:val="left"/>
        </w:tabs>
        <w:numPr>
          <w:ilvl w:val="0"/>
          <w:numId w:val="225"/>
        </w:numPr>
        <w:rPr>
          <w:rFonts w:ascii="Arial" w:cs="Arial" w:eastAsia="Arial" w:hAnsi="Arial"/>
          <w:sz w:val="16"/>
          <w:szCs w:val="16"/>
          <w:color w:val="auto"/>
          <w:vertAlign w:val="superscript"/>
        </w:rPr>
      </w:pPr>
      <w:r>
        <w:rPr>
          <w:rFonts w:ascii="Arial" w:cs="Arial" w:eastAsia="Arial" w:hAnsi="Arial"/>
          <w:sz w:val="13"/>
          <w:szCs w:val="13"/>
          <w:color w:val="auto"/>
        </w:rPr>
        <w:t>For the twelve months ended December 31, 2022 the adjustment was $45 million, without tax benefit, due to an expense related to UOP matters.</w:t>
      </w:r>
    </w:p>
    <w:p>
      <w:pPr>
        <w:spacing w:after="0" w:line="56" w:lineRule="exact"/>
        <w:rPr>
          <w:rFonts w:ascii="Arial" w:cs="Arial" w:eastAsia="Arial" w:hAnsi="Arial"/>
          <w:sz w:val="16"/>
          <w:szCs w:val="16"/>
          <w:color w:val="auto"/>
          <w:vertAlign w:val="superscript"/>
        </w:rPr>
      </w:pPr>
    </w:p>
    <w:p>
      <w:pPr>
        <w:ind w:left="200" w:hanging="192"/>
        <w:spacing w:after="0" w:line="225" w:lineRule="auto"/>
        <w:tabs>
          <w:tab w:leader="none" w:pos="200" w:val="left"/>
        </w:tabs>
        <w:numPr>
          <w:ilvl w:val="0"/>
          <w:numId w:val="225"/>
        </w:numPr>
        <w:rPr>
          <w:rFonts w:ascii="Arial" w:cs="Arial" w:eastAsia="Arial" w:hAnsi="Arial"/>
          <w:sz w:val="16"/>
          <w:szCs w:val="16"/>
          <w:color w:val="auto"/>
          <w:vertAlign w:val="superscript"/>
        </w:rPr>
      </w:pPr>
      <w:r>
        <w:rPr>
          <w:rFonts w:ascii="Arial" w:cs="Arial" w:eastAsia="Arial" w:hAnsi="Arial"/>
          <w:sz w:val="13"/>
          <w:szCs w:val="13"/>
          <w:color w:val="auto"/>
        </w:rPr>
        <w:t>For the twelve months ended December 31, 2022, the adjustment was $22 million, without tax expense, due to the gain on sale of Russian entities.</w:t>
      </w:r>
    </w:p>
    <w:p>
      <w:pPr>
        <w:spacing w:after="0" w:line="95" w:lineRule="exact"/>
        <w:rPr>
          <w:sz w:val="20"/>
          <w:szCs w:val="20"/>
          <w:color w:val="auto"/>
        </w:rPr>
      </w:pPr>
    </w:p>
    <w:p>
      <w:pPr>
        <w:jc w:val="both"/>
        <w:ind w:right="280"/>
        <w:spacing w:after="0" w:line="275" w:lineRule="auto"/>
        <w:rPr>
          <w:sz w:val="20"/>
          <w:szCs w:val="20"/>
          <w:color w:val="auto"/>
        </w:rPr>
      </w:pPr>
      <w:r>
        <w:rPr>
          <w:rFonts w:ascii="Arial" w:cs="Arial" w:eastAsia="Arial" w:hAnsi="Arial"/>
          <w:sz w:val="16"/>
          <w:szCs w:val="16"/>
          <w:color w:val="auto"/>
        </w:rPr>
        <w:t>We define adjusted earnings per share as diluted earnings per share from continuing operations adjusted to exclude various charges as listed above. We believe adjusted earnings per share is a measure that is useful to investors and management in understanding our ongoing operations and in analysis of ongoing operating trends.</w:t>
      </w:r>
    </w:p>
    <w:p>
      <w:pPr>
        <w:spacing w:after="0" w:line="56"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Acquisition amortization and acquisition- and divestiture-related costs are significantly impacted by the timing, size, and number of acquisitions or divestitures we complete and is not on a predictable cycle and we make no comment as to when or whether any future acquisitions or divestitures may occur. We believe excluding these costs provides investors with a more meaningful comparison of operating performance over time and with both acquisitive and other peer companies.</w:t>
      </w:r>
    </w:p>
    <w:p>
      <w:pPr>
        <w:spacing w:after="0" w:line="132" w:lineRule="exact"/>
        <w:rPr>
          <w:sz w:val="20"/>
          <w:szCs w:val="20"/>
          <w:color w:val="auto"/>
        </w:rPr>
      </w:pPr>
    </w:p>
    <w:p>
      <w:pPr>
        <w:ind w:left="260" w:right="260" w:hanging="252"/>
        <w:spacing w:after="0" w:line="296" w:lineRule="auto"/>
        <w:tabs>
          <w:tab w:leader="none" w:pos="212" w:val="left"/>
        </w:tabs>
        <w:numPr>
          <w:ilvl w:val="0"/>
          <w:numId w:val="226"/>
        </w:numPr>
        <w:rPr>
          <w:rFonts w:ascii="Arial" w:cs="Arial" w:eastAsia="Arial" w:hAnsi="Arial"/>
          <w:sz w:val="16"/>
          <w:szCs w:val="16"/>
          <w:b w:val="1"/>
          <w:bCs w:val="1"/>
          <w:color w:val="6D6E71"/>
        </w:rPr>
      </w:pPr>
      <w:r>
        <w:rPr>
          <w:rFonts w:ascii="Arial" w:cs="Arial" w:eastAsia="Arial" w:hAnsi="Arial"/>
          <w:sz w:val="16"/>
          <w:szCs w:val="16"/>
          <w:b w:val="1"/>
          <w:bCs w:val="1"/>
          <w:color w:val="6D6E71"/>
        </w:rPr>
        <w:t>RECONCILIATION OF OPERATING INCOME TO SEGMENT PROFIT AND ADJUSTED SEGMENT PROFIT AND CALCULATION OF OPERATING INCOME MARGIN, SEGMENT PROFIT MARGIN, AND ADJUSTED SEGMENT PROFIT MARGIN</w:t>
      </w:r>
    </w:p>
    <w:p>
      <w:pPr>
        <w:spacing w:after="0" w:line="86"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u w:val="single" w:color="auto"/>
          <w:color w:val="auto"/>
        </w:rPr>
        <w:t>Recast Segment Profit and Segment Profit Margin Reflecting Continuing Operations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5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($M)</w:t>
            </w:r>
          </w:p>
        </w:tc>
        <w:tc>
          <w:tcPr>
            <w:tcW w:w="162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bottom w:val="single" w:sz="8" w:color="D7282F"/>
            </w:tcBorders>
          </w:tcPr>
          <w:p>
            <w:pPr>
              <w:spacing w:after="0"/>
              <w:rPr>
                <w:sz w:val="17"/>
                <w:szCs w:val="17"/>
                <w:color w:val="auto"/>
              </w:rPr>
            </w:pPr>
          </w:p>
        </w:tc>
        <w:tc>
          <w:tcPr>
            <w:tcW w:w="96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2024</w:t>
            </w:r>
          </w:p>
        </w:tc>
        <w:tc>
          <w:tcPr>
            <w:tcW w:w="38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2025</w:t>
            </w:r>
          </w:p>
        </w:tc>
      </w:tr>
      <w:tr>
        <w:trPr>
          <w:trHeight w:val="308"/>
        </w:trPr>
        <w:tc>
          <w:tcPr>
            <w:tcW w:w="4560" w:type="dxa"/>
            <w:vAlign w:val="bottom"/>
          </w:tcPr>
          <w:p>
            <w:pPr>
              <w:ind w:left="20"/>
              <w:spacing w:after="0"/>
              <w:rPr>
                <w:sz w:val="20"/>
                <w:szCs w:val="20"/>
                <w:color w:val="auto"/>
              </w:rPr>
            </w:pPr>
            <w:r>
              <w:rPr>
                <w:rFonts w:ascii="Arial" w:cs="Arial" w:eastAsia="Arial" w:hAnsi="Arial"/>
                <w:sz w:val="14"/>
                <w:szCs w:val="14"/>
                <w:b w:val="1"/>
                <w:bCs w:val="1"/>
                <w:color w:val="auto"/>
              </w:rPr>
              <w:t>Operating income</w:t>
            </w:r>
          </w:p>
        </w:tc>
        <w:tc>
          <w:tcPr>
            <w:tcW w:w="16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308"/>
              <w:spacing w:after="0"/>
              <w:rPr>
                <w:sz w:val="20"/>
                <w:szCs w:val="20"/>
                <w:color w:val="auto"/>
              </w:rPr>
            </w:pPr>
            <w:r>
              <w:rPr>
                <w:rFonts w:ascii="Arial" w:cs="Arial" w:eastAsia="Arial" w:hAnsi="Arial"/>
                <w:sz w:val="14"/>
                <w:szCs w:val="14"/>
                <w:b w:val="1"/>
                <w:bCs w:val="1"/>
                <w:color w:val="auto"/>
              </w:rPr>
              <w:t>5,328</w:t>
            </w:r>
          </w:p>
        </w:tc>
        <w:tc>
          <w:tcPr>
            <w:tcW w:w="36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308"/>
              <w:spacing w:after="0"/>
              <w:rPr>
                <w:sz w:val="20"/>
                <w:szCs w:val="20"/>
                <w:color w:val="auto"/>
              </w:rPr>
            </w:pPr>
            <w:r>
              <w:rPr>
                <w:rFonts w:ascii="Arial" w:cs="Arial" w:eastAsia="Arial" w:hAnsi="Arial"/>
                <w:sz w:val="14"/>
                <w:szCs w:val="14"/>
                <w:b w:val="1"/>
                <w:bCs w:val="1"/>
                <w:color w:val="auto"/>
              </w:rPr>
              <w:t>6,110</w:t>
            </w:r>
          </w:p>
        </w:tc>
        <w:tc>
          <w:tcPr>
            <w:tcW w:w="3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288"/>
              <w:spacing w:after="0"/>
              <w:rPr>
                <w:sz w:val="20"/>
                <w:szCs w:val="20"/>
                <w:color w:val="auto"/>
              </w:rPr>
            </w:pPr>
            <w:r>
              <w:rPr>
                <w:rFonts w:ascii="Arial" w:cs="Arial" w:eastAsia="Arial" w:hAnsi="Arial"/>
                <w:sz w:val="14"/>
                <w:szCs w:val="14"/>
                <w:b w:val="1"/>
                <w:bCs w:val="1"/>
                <w:color w:val="auto"/>
              </w:rPr>
              <w:t>6,449</w:t>
            </w:r>
          </w:p>
        </w:tc>
        <w:tc>
          <w:tcPr>
            <w:tcW w:w="38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168"/>
              <w:spacing w:after="0"/>
              <w:rPr>
                <w:sz w:val="20"/>
                <w:szCs w:val="20"/>
                <w:color w:val="auto"/>
              </w:rPr>
            </w:pPr>
            <w:r>
              <w:rPr>
                <w:rFonts w:ascii="Arial" w:cs="Arial" w:eastAsia="Arial" w:hAnsi="Arial"/>
                <w:sz w:val="14"/>
                <w:szCs w:val="14"/>
                <w:b w:val="1"/>
                <w:bCs w:val="1"/>
                <w:color w:val="auto"/>
              </w:rPr>
              <w:t>5,573</w:t>
            </w:r>
          </w:p>
        </w:tc>
      </w:tr>
      <w:tr>
        <w:trPr>
          <w:trHeight w:val="124"/>
        </w:trPr>
        <w:tc>
          <w:tcPr>
            <w:tcW w:w="4560" w:type="dxa"/>
            <w:vAlign w:val="bottom"/>
            <w:tcBorders>
              <w:bottom w:val="single" w:sz="8" w:color="939598"/>
            </w:tcBorders>
          </w:tcPr>
          <w:p>
            <w:pPr>
              <w:spacing w:after="0"/>
              <w:rPr>
                <w:sz w:val="10"/>
                <w:szCs w:val="10"/>
                <w:color w:val="auto"/>
              </w:rPr>
            </w:pPr>
          </w:p>
        </w:tc>
        <w:tc>
          <w:tcPr>
            <w:tcW w:w="1620" w:type="dxa"/>
            <w:vAlign w:val="bottom"/>
            <w:tcBorders>
              <w:bottom w:val="single" w:sz="8" w:color="939598"/>
            </w:tcBorders>
          </w:tcPr>
          <w:p>
            <w:pPr>
              <w:spacing w:after="0"/>
              <w:rPr>
                <w:sz w:val="10"/>
                <w:szCs w:val="10"/>
                <w:color w:val="auto"/>
              </w:rPr>
            </w:pPr>
          </w:p>
        </w:tc>
        <w:tc>
          <w:tcPr>
            <w:tcW w:w="98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spacing w:after="0"/>
              <w:rPr>
                <w:sz w:val="10"/>
                <w:szCs w:val="10"/>
                <w:color w:val="auto"/>
              </w:rPr>
            </w:pPr>
          </w:p>
        </w:tc>
        <w:tc>
          <w:tcPr>
            <w:tcW w:w="98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spacing w:after="0"/>
              <w:rPr>
                <w:sz w:val="10"/>
                <w:szCs w:val="10"/>
                <w:color w:val="auto"/>
              </w:rPr>
            </w:pPr>
          </w:p>
        </w:tc>
        <w:tc>
          <w:tcPr>
            <w:tcW w:w="96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spacing w:after="0"/>
              <w:rPr>
                <w:sz w:val="10"/>
                <w:szCs w:val="10"/>
                <w:color w:val="auto"/>
              </w:rPr>
            </w:pPr>
          </w:p>
        </w:tc>
        <w:tc>
          <w:tcPr>
            <w:tcW w:w="840" w:type="dxa"/>
            <w:vAlign w:val="bottom"/>
            <w:tcBorders>
              <w:bottom w:val="single" w:sz="8" w:color="939598"/>
            </w:tcBorders>
          </w:tcPr>
          <w:p>
            <w:pPr>
              <w:spacing w:after="0"/>
              <w:rPr>
                <w:sz w:val="10"/>
                <w:szCs w:val="10"/>
                <w:color w:val="auto"/>
              </w:rPr>
            </w:pPr>
          </w:p>
        </w:tc>
      </w:tr>
      <w:tr>
        <w:trPr>
          <w:trHeight w:val="353"/>
        </w:trPr>
        <w:tc>
          <w:tcPr>
            <w:tcW w:w="4560" w:type="dxa"/>
            <w:vAlign w:val="bottom"/>
          </w:tcPr>
          <w:p>
            <w:pPr>
              <w:ind w:left="20"/>
              <w:spacing w:after="0"/>
              <w:rPr>
                <w:sz w:val="20"/>
                <w:szCs w:val="20"/>
                <w:color w:val="auto"/>
              </w:rPr>
            </w:pPr>
            <w:r>
              <w:rPr>
                <w:rFonts w:ascii="Arial" w:cs="Arial" w:eastAsia="Arial" w:hAnsi="Arial"/>
                <w:sz w:val="14"/>
                <w:szCs w:val="14"/>
                <w:color w:val="auto"/>
              </w:rPr>
              <w:t>Stock compensation expense</w:t>
            </w:r>
            <w:r>
              <w:rPr>
                <w:rFonts w:ascii="Arial" w:cs="Arial" w:eastAsia="Arial" w:hAnsi="Arial"/>
                <w:sz w:val="18"/>
                <w:szCs w:val="18"/>
                <w:color w:val="auto"/>
                <w:vertAlign w:val="superscript"/>
              </w:rPr>
              <w:t>(1)</w:t>
            </w:r>
          </w:p>
        </w:tc>
        <w:tc>
          <w:tcPr>
            <w:tcW w:w="1620" w:type="dxa"/>
            <w:vAlign w:val="bottom"/>
          </w:tcPr>
          <w:p>
            <w:pPr>
              <w:spacing w:after="0"/>
              <w:rPr>
                <w:sz w:val="24"/>
                <w:szCs w:val="24"/>
                <w:color w:val="auto"/>
              </w:rPr>
            </w:pPr>
          </w:p>
        </w:tc>
        <w:tc>
          <w:tcPr>
            <w:tcW w:w="980" w:type="dxa"/>
            <w:vAlign w:val="bottom"/>
          </w:tcPr>
          <w:p>
            <w:pPr>
              <w:jc w:val="right"/>
              <w:ind w:right="308"/>
              <w:spacing w:after="0"/>
              <w:rPr>
                <w:sz w:val="20"/>
                <w:szCs w:val="20"/>
                <w:color w:val="auto"/>
              </w:rPr>
            </w:pPr>
            <w:r>
              <w:rPr>
                <w:rFonts w:ascii="Arial" w:cs="Arial" w:eastAsia="Arial" w:hAnsi="Arial"/>
                <w:sz w:val="14"/>
                <w:szCs w:val="14"/>
                <w:color w:val="auto"/>
              </w:rPr>
              <w:t>182</w:t>
            </w:r>
          </w:p>
        </w:tc>
        <w:tc>
          <w:tcPr>
            <w:tcW w:w="360" w:type="dxa"/>
            <w:vAlign w:val="bottom"/>
          </w:tcPr>
          <w:p>
            <w:pPr>
              <w:spacing w:after="0"/>
              <w:rPr>
                <w:sz w:val="24"/>
                <w:szCs w:val="24"/>
                <w:color w:val="auto"/>
              </w:rPr>
            </w:pPr>
          </w:p>
        </w:tc>
        <w:tc>
          <w:tcPr>
            <w:tcW w:w="980" w:type="dxa"/>
            <w:vAlign w:val="bottom"/>
          </w:tcPr>
          <w:p>
            <w:pPr>
              <w:jc w:val="right"/>
              <w:ind w:right="308"/>
              <w:spacing w:after="0"/>
              <w:rPr>
                <w:sz w:val="20"/>
                <w:szCs w:val="20"/>
                <w:color w:val="auto"/>
              </w:rPr>
            </w:pPr>
            <w:r>
              <w:rPr>
                <w:rFonts w:ascii="Arial" w:cs="Arial" w:eastAsia="Arial" w:hAnsi="Arial"/>
                <w:sz w:val="14"/>
                <w:szCs w:val="14"/>
                <w:color w:val="auto"/>
              </w:rPr>
              <w:t>197</w:t>
            </w:r>
          </w:p>
        </w:tc>
        <w:tc>
          <w:tcPr>
            <w:tcW w:w="360" w:type="dxa"/>
            <w:vAlign w:val="bottom"/>
          </w:tcPr>
          <w:p>
            <w:pPr>
              <w:spacing w:after="0"/>
              <w:rPr>
                <w:sz w:val="24"/>
                <w:szCs w:val="24"/>
                <w:color w:val="auto"/>
              </w:rPr>
            </w:pPr>
          </w:p>
        </w:tc>
        <w:tc>
          <w:tcPr>
            <w:tcW w:w="960" w:type="dxa"/>
            <w:vAlign w:val="bottom"/>
          </w:tcPr>
          <w:p>
            <w:pPr>
              <w:jc w:val="right"/>
              <w:ind w:right="288"/>
              <w:spacing w:after="0"/>
              <w:rPr>
                <w:sz w:val="20"/>
                <w:szCs w:val="20"/>
                <w:color w:val="auto"/>
              </w:rPr>
            </w:pPr>
            <w:r>
              <w:rPr>
                <w:rFonts w:ascii="Arial" w:cs="Arial" w:eastAsia="Arial" w:hAnsi="Arial"/>
                <w:sz w:val="14"/>
                <w:szCs w:val="14"/>
                <w:color w:val="auto"/>
              </w:rPr>
              <w:t>189</w:t>
            </w:r>
          </w:p>
        </w:tc>
        <w:tc>
          <w:tcPr>
            <w:tcW w:w="380" w:type="dxa"/>
            <w:vAlign w:val="bottom"/>
          </w:tcPr>
          <w:p>
            <w:pPr>
              <w:spacing w:after="0"/>
              <w:rPr>
                <w:sz w:val="24"/>
                <w:szCs w:val="24"/>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color w:val="auto"/>
              </w:rPr>
              <w:t>196</w:t>
            </w:r>
          </w:p>
        </w:tc>
      </w:tr>
      <w:tr>
        <w:trPr>
          <w:trHeight w:val="72"/>
        </w:trPr>
        <w:tc>
          <w:tcPr>
            <w:tcW w:w="4560" w:type="dxa"/>
            <w:vAlign w:val="bottom"/>
            <w:tcBorders>
              <w:bottom w:val="single" w:sz="8" w:color="939598"/>
            </w:tcBorders>
          </w:tcPr>
          <w:p>
            <w:pPr>
              <w:spacing w:after="0"/>
              <w:rPr>
                <w:sz w:val="6"/>
                <w:szCs w:val="6"/>
                <w:color w:val="auto"/>
              </w:rPr>
            </w:pPr>
          </w:p>
        </w:tc>
        <w:tc>
          <w:tcPr>
            <w:tcW w:w="1620" w:type="dxa"/>
            <w:vAlign w:val="bottom"/>
            <w:tcBorders>
              <w:bottom w:val="single" w:sz="8" w:color="939598"/>
            </w:tcBorders>
          </w:tcPr>
          <w:p>
            <w:pPr>
              <w:spacing w:after="0"/>
              <w:rPr>
                <w:sz w:val="6"/>
                <w:szCs w:val="6"/>
                <w:color w:val="auto"/>
              </w:rPr>
            </w:pPr>
          </w:p>
        </w:tc>
        <w:tc>
          <w:tcPr>
            <w:tcW w:w="980" w:type="dxa"/>
            <w:vAlign w:val="bottom"/>
            <w:tcBorders>
              <w:bottom w:val="single" w:sz="8" w:color="939598"/>
            </w:tcBorders>
          </w:tcPr>
          <w:p>
            <w:pPr>
              <w:spacing w:after="0"/>
              <w:rPr>
                <w:sz w:val="6"/>
                <w:szCs w:val="6"/>
                <w:color w:val="auto"/>
              </w:rPr>
            </w:pPr>
          </w:p>
        </w:tc>
        <w:tc>
          <w:tcPr>
            <w:tcW w:w="360" w:type="dxa"/>
            <w:vAlign w:val="bottom"/>
            <w:tcBorders>
              <w:bottom w:val="single" w:sz="8" w:color="939598"/>
            </w:tcBorders>
          </w:tcPr>
          <w:p>
            <w:pPr>
              <w:spacing w:after="0"/>
              <w:rPr>
                <w:sz w:val="6"/>
                <w:szCs w:val="6"/>
                <w:color w:val="auto"/>
              </w:rPr>
            </w:pPr>
          </w:p>
        </w:tc>
        <w:tc>
          <w:tcPr>
            <w:tcW w:w="980" w:type="dxa"/>
            <w:vAlign w:val="bottom"/>
            <w:tcBorders>
              <w:bottom w:val="single" w:sz="8" w:color="939598"/>
            </w:tcBorders>
          </w:tcPr>
          <w:p>
            <w:pPr>
              <w:spacing w:after="0"/>
              <w:rPr>
                <w:sz w:val="6"/>
                <w:szCs w:val="6"/>
                <w:color w:val="auto"/>
              </w:rPr>
            </w:pPr>
          </w:p>
        </w:tc>
        <w:tc>
          <w:tcPr>
            <w:tcW w:w="360" w:type="dxa"/>
            <w:vAlign w:val="bottom"/>
            <w:tcBorders>
              <w:bottom w:val="single" w:sz="8" w:color="939598"/>
            </w:tcBorders>
          </w:tcPr>
          <w:p>
            <w:pPr>
              <w:spacing w:after="0"/>
              <w:rPr>
                <w:sz w:val="6"/>
                <w:szCs w:val="6"/>
                <w:color w:val="auto"/>
              </w:rPr>
            </w:pPr>
          </w:p>
        </w:tc>
        <w:tc>
          <w:tcPr>
            <w:tcW w:w="960" w:type="dxa"/>
            <w:vAlign w:val="bottom"/>
            <w:tcBorders>
              <w:bottom w:val="single" w:sz="8" w:color="939598"/>
            </w:tcBorders>
          </w:tcPr>
          <w:p>
            <w:pPr>
              <w:spacing w:after="0"/>
              <w:rPr>
                <w:sz w:val="6"/>
                <w:szCs w:val="6"/>
                <w:color w:val="auto"/>
              </w:rPr>
            </w:pPr>
          </w:p>
        </w:tc>
        <w:tc>
          <w:tcPr>
            <w:tcW w:w="380" w:type="dxa"/>
            <w:vAlign w:val="bottom"/>
            <w:tcBorders>
              <w:bottom w:val="single" w:sz="8" w:color="939598"/>
            </w:tcBorders>
          </w:tcPr>
          <w:p>
            <w:pPr>
              <w:spacing w:after="0"/>
              <w:rPr>
                <w:sz w:val="6"/>
                <w:szCs w:val="6"/>
                <w:color w:val="auto"/>
              </w:rPr>
            </w:pPr>
          </w:p>
        </w:tc>
        <w:tc>
          <w:tcPr>
            <w:tcW w:w="840" w:type="dxa"/>
            <w:vAlign w:val="bottom"/>
            <w:tcBorders>
              <w:bottom w:val="single" w:sz="8" w:color="939598"/>
            </w:tcBorders>
          </w:tcPr>
          <w:p>
            <w:pPr>
              <w:spacing w:after="0"/>
              <w:rPr>
                <w:sz w:val="6"/>
                <w:szCs w:val="6"/>
                <w:color w:val="auto"/>
              </w:rPr>
            </w:pPr>
          </w:p>
        </w:tc>
      </w:tr>
      <w:tr>
        <w:trPr>
          <w:trHeight w:val="353"/>
        </w:trPr>
        <w:tc>
          <w:tcPr>
            <w:tcW w:w="4560" w:type="dxa"/>
            <w:vAlign w:val="bottom"/>
          </w:tcPr>
          <w:p>
            <w:pPr>
              <w:ind w:left="20"/>
              <w:spacing w:after="0"/>
              <w:rPr>
                <w:sz w:val="20"/>
                <w:szCs w:val="20"/>
                <w:color w:val="auto"/>
              </w:rPr>
            </w:pPr>
            <w:r>
              <w:rPr>
                <w:rFonts w:ascii="Arial" w:cs="Arial" w:eastAsia="Arial" w:hAnsi="Arial"/>
                <w:sz w:val="14"/>
                <w:szCs w:val="14"/>
                <w:color w:val="auto"/>
              </w:rPr>
              <w:t>Repositioning, Other</w:t>
            </w:r>
            <w:r>
              <w:rPr>
                <w:rFonts w:ascii="Arial" w:cs="Arial" w:eastAsia="Arial" w:hAnsi="Arial"/>
                <w:sz w:val="18"/>
                <w:szCs w:val="18"/>
                <w:color w:val="auto"/>
                <w:vertAlign w:val="superscript"/>
              </w:rPr>
              <w:t>(2,3)</w:t>
            </w:r>
          </w:p>
        </w:tc>
        <w:tc>
          <w:tcPr>
            <w:tcW w:w="1620" w:type="dxa"/>
            <w:vAlign w:val="bottom"/>
          </w:tcPr>
          <w:p>
            <w:pPr>
              <w:spacing w:after="0"/>
              <w:rPr>
                <w:sz w:val="24"/>
                <w:szCs w:val="24"/>
                <w:color w:val="auto"/>
              </w:rPr>
            </w:pPr>
          </w:p>
        </w:tc>
        <w:tc>
          <w:tcPr>
            <w:tcW w:w="980" w:type="dxa"/>
            <w:vAlign w:val="bottom"/>
          </w:tcPr>
          <w:p>
            <w:pPr>
              <w:jc w:val="right"/>
              <w:ind w:right="308"/>
              <w:spacing w:after="0"/>
              <w:rPr>
                <w:sz w:val="20"/>
                <w:szCs w:val="20"/>
                <w:color w:val="auto"/>
              </w:rPr>
            </w:pPr>
            <w:r>
              <w:rPr>
                <w:rFonts w:ascii="Arial" w:cs="Arial" w:eastAsia="Arial" w:hAnsi="Arial"/>
                <w:sz w:val="14"/>
                <w:szCs w:val="14"/>
                <w:color w:val="auto"/>
              </w:rPr>
              <w:t>876</w:t>
            </w:r>
          </w:p>
        </w:tc>
        <w:tc>
          <w:tcPr>
            <w:tcW w:w="360" w:type="dxa"/>
            <w:vAlign w:val="bottom"/>
          </w:tcPr>
          <w:p>
            <w:pPr>
              <w:spacing w:after="0"/>
              <w:rPr>
                <w:sz w:val="24"/>
                <w:szCs w:val="24"/>
                <w:color w:val="auto"/>
              </w:rPr>
            </w:pPr>
          </w:p>
        </w:tc>
        <w:tc>
          <w:tcPr>
            <w:tcW w:w="980" w:type="dxa"/>
            <w:vAlign w:val="bottom"/>
          </w:tcPr>
          <w:p>
            <w:pPr>
              <w:jc w:val="right"/>
              <w:ind w:right="308"/>
              <w:spacing w:after="0"/>
              <w:rPr>
                <w:sz w:val="20"/>
                <w:szCs w:val="20"/>
                <w:color w:val="auto"/>
              </w:rPr>
            </w:pPr>
            <w:r>
              <w:rPr>
                <w:rFonts w:ascii="Arial" w:cs="Arial" w:eastAsia="Arial" w:hAnsi="Arial"/>
                <w:sz w:val="14"/>
                <w:szCs w:val="14"/>
                <w:color w:val="auto"/>
              </w:rPr>
              <w:t>900</w:t>
            </w:r>
          </w:p>
        </w:tc>
        <w:tc>
          <w:tcPr>
            <w:tcW w:w="360" w:type="dxa"/>
            <w:vAlign w:val="bottom"/>
          </w:tcPr>
          <w:p>
            <w:pPr>
              <w:spacing w:after="0"/>
              <w:rPr>
                <w:sz w:val="24"/>
                <w:szCs w:val="24"/>
                <w:color w:val="auto"/>
              </w:rPr>
            </w:pPr>
          </w:p>
        </w:tc>
        <w:tc>
          <w:tcPr>
            <w:tcW w:w="960" w:type="dxa"/>
            <w:vAlign w:val="bottom"/>
          </w:tcPr>
          <w:p>
            <w:pPr>
              <w:jc w:val="right"/>
              <w:ind w:right="288"/>
              <w:spacing w:after="0"/>
              <w:rPr>
                <w:sz w:val="20"/>
                <w:szCs w:val="20"/>
                <w:color w:val="auto"/>
              </w:rPr>
            </w:pPr>
            <w:r>
              <w:rPr>
                <w:rFonts w:ascii="Arial" w:cs="Arial" w:eastAsia="Arial" w:hAnsi="Arial"/>
                <w:sz w:val="14"/>
                <w:szCs w:val="14"/>
                <w:color w:val="auto"/>
              </w:rPr>
              <w:t>265</w:t>
            </w:r>
          </w:p>
        </w:tc>
        <w:tc>
          <w:tcPr>
            <w:tcW w:w="380" w:type="dxa"/>
            <w:vAlign w:val="bottom"/>
          </w:tcPr>
          <w:p>
            <w:pPr>
              <w:spacing w:after="0"/>
              <w:rPr>
                <w:sz w:val="24"/>
                <w:szCs w:val="24"/>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color w:val="auto"/>
              </w:rPr>
              <w:t>675</w:t>
            </w:r>
          </w:p>
        </w:tc>
      </w:tr>
      <w:tr>
        <w:trPr>
          <w:trHeight w:val="73"/>
        </w:trPr>
        <w:tc>
          <w:tcPr>
            <w:tcW w:w="4560" w:type="dxa"/>
            <w:vAlign w:val="bottom"/>
            <w:tcBorders>
              <w:bottom w:val="single" w:sz="8" w:color="939598"/>
            </w:tcBorders>
          </w:tcPr>
          <w:p>
            <w:pPr>
              <w:spacing w:after="0"/>
              <w:rPr>
                <w:sz w:val="6"/>
                <w:szCs w:val="6"/>
                <w:color w:val="auto"/>
              </w:rPr>
            </w:pPr>
          </w:p>
        </w:tc>
        <w:tc>
          <w:tcPr>
            <w:tcW w:w="1620" w:type="dxa"/>
            <w:vAlign w:val="bottom"/>
            <w:tcBorders>
              <w:bottom w:val="single" w:sz="8" w:color="939598"/>
            </w:tcBorders>
          </w:tcPr>
          <w:p>
            <w:pPr>
              <w:spacing w:after="0"/>
              <w:rPr>
                <w:sz w:val="6"/>
                <w:szCs w:val="6"/>
                <w:color w:val="auto"/>
              </w:rPr>
            </w:pPr>
          </w:p>
        </w:tc>
        <w:tc>
          <w:tcPr>
            <w:tcW w:w="980" w:type="dxa"/>
            <w:vAlign w:val="bottom"/>
            <w:tcBorders>
              <w:bottom w:val="single" w:sz="8" w:color="939598"/>
            </w:tcBorders>
          </w:tcPr>
          <w:p>
            <w:pPr>
              <w:spacing w:after="0"/>
              <w:rPr>
                <w:sz w:val="6"/>
                <w:szCs w:val="6"/>
                <w:color w:val="auto"/>
              </w:rPr>
            </w:pPr>
          </w:p>
        </w:tc>
        <w:tc>
          <w:tcPr>
            <w:tcW w:w="360" w:type="dxa"/>
            <w:vAlign w:val="bottom"/>
            <w:tcBorders>
              <w:bottom w:val="single" w:sz="8" w:color="939598"/>
            </w:tcBorders>
          </w:tcPr>
          <w:p>
            <w:pPr>
              <w:spacing w:after="0"/>
              <w:rPr>
                <w:sz w:val="6"/>
                <w:szCs w:val="6"/>
                <w:color w:val="auto"/>
              </w:rPr>
            </w:pPr>
          </w:p>
        </w:tc>
        <w:tc>
          <w:tcPr>
            <w:tcW w:w="980" w:type="dxa"/>
            <w:vAlign w:val="bottom"/>
            <w:tcBorders>
              <w:bottom w:val="single" w:sz="8" w:color="939598"/>
            </w:tcBorders>
          </w:tcPr>
          <w:p>
            <w:pPr>
              <w:spacing w:after="0"/>
              <w:rPr>
                <w:sz w:val="6"/>
                <w:szCs w:val="6"/>
                <w:color w:val="auto"/>
              </w:rPr>
            </w:pPr>
          </w:p>
        </w:tc>
        <w:tc>
          <w:tcPr>
            <w:tcW w:w="360" w:type="dxa"/>
            <w:vAlign w:val="bottom"/>
            <w:tcBorders>
              <w:bottom w:val="single" w:sz="8" w:color="939598"/>
            </w:tcBorders>
          </w:tcPr>
          <w:p>
            <w:pPr>
              <w:spacing w:after="0"/>
              <w:rPr>
                <w:sz w:val="6"/>
                <w:szCs w:val="6"/>
                <w:color w:val="auto"/>
              </w:rPr>
            </w:pPr>
          </w:p>
        </w:tc>
        <w:tc>
          <w:tcPr>
            <w:tcW w:w="960" w:type="dxa"/>
            <w:vAlign w:val="bottom"/>
            <w:tcBorders>
              <w:bottom w:val="single" w:sz="8" w:color="939598"/>
            </w:tcBorders>
          </w:tcPr>
          <w:p>
            <w:pPr>
              <w:spacing w:after="0"/>
              <w:rPr>
                <w:sz w:val="6"/>
                <w:szCs w:val="6"/>
                <w:color w:val="auto"/>
              </w:rPr>
            </w:pPr>
          </w:p>
        </w:tc>
        <w:tc>
          <w:tcPr>
            <w:tcW w:w="380" w:type="dxa"/>
            <w:vAlign w:val="bottom"/>
            <w:tcBorders>
              <w:bottom w:val="single" w:sz="8" w:color="939598"/>
            </w:tcBorders>
          </w:tcPr>
          <w:p>
            <w:pPr>
              <w:spacing w:after="0"/>
              <w:rPr>
                <w:sz w:val="6"/>
                <w:szCs w:val="6"/>
                <w:color w:val="auto"/>
              </w:rPr>
            </w:pPr>
          </w:p>
        </w:tc>
        <w:tc>
          <w:tcPr>
            <w:tcW w:w="840" w:type="dxa"/>
            <w:vAlign w:val="bottom"/>
            <w:tcBorders>
              <w:bottom w:val="single" w:sz="8" w:color="939598"/>
            </w:tcBorders>
          </w:tcPr>
          <w:p>
            <w:pPr>
              <w:spacing w:after="0"/>
              <w:rPr>
                <w:sz w:val="6"/>
                <w:szCs w:val="6"/>
                <w:color w:val="auto"/>
              </w:rPr>
            </w:pPr>
          </w:p>
        </w:tc>
      </w:tr>
      <w:tr>
        <w:trPr>
          <w:trHeight w:val="353"/>
        </w:trPr>
        <w:tc>
          <w:tcPr>
            <w:tcW w:w="4560" w:type="dxa"/>
            <w:vAlign w:val="bottom"/>
          </w:tcPr>
          <w:p>
            <w:pPr>
              <w:ind w:left="20"/>
              <w:spacing w:after="0"/>
              <w:rPr>
                <w:sz w:val="20"/>
                <w:szCs w:val="20"/>
                <w:color w:val="auto"/>
              </w:rPr>
            </w:pPr>
            <w:r>
              <w:rPr>
                <w:rFonts w:ascii="Arial" w:cs="Arial" w:eastAsia="Arial" w:hAnsi="Arial"/>
                <w:sz w:val="14"/>
                <w:szCs w:val="14"/>
                <w:color w:val="auto"/>
              </w:rPr>
              <w:t>Pension and other postretirement service costs</w:t>
            </w:r>
            <w:r>
              <w:rPr>
                <w:rFonts w:ascii="Arial" w:cs="Arial" w:eastAsia="Arial" w:hAnsi="Arial"/>
                <w:sz w:val="18"/>
                <w:szCs w:val="18"/>
                <w:color w:val="auto"/>
                <w:vertAlign w:val="superscript"/>
              </w:rPr>
              <w:t>(4)</w:t>
            </w:r>
          </w:p>
        </w:tc>
        <w:tc>
          <w:tcPr>
            <w:tcW w:w="1620" w:type="dxa"/>
            <w:vAlign w:val="bottom"/>
          </w:tcPr>
          <w:p>
            <w:pPr>
              <w:spacing w:after="0"/>
              <w:rPr>
                <w:sz w:val="24"/>
                <w:szCs w:val="24"/>
                <w:color w:val="auto"/>
              </w:rPr>
            </w:pPr>
          </w:p>
        </w:tc>
        <w:tc>
          <w:tcPr>
            <w:tcW w:w="980" w:type="dxa"/>
            <w:vAlign w:val="bottom"/>
          </w:tcPr>
          <w:p>
            <w:pPr>
              <w:jc w:val="right"/>
              <w:ind w:right="308"/>
              <w:spacing w:after="0"/>
              <w:rPr>
                <w:sz w:val="20"/>
                <w:szCs w:val="20"/>
                <w:color w:val="auto"/>
              </w:rPr>
            </w:pPr>
            <w:r>
              <w:rPr>
                <w:rFonts w:ascii="Arial" w:cs="Arial" w:eastAsia="Arial" w:hAnsi="Arial"/>
                <w:sz w:val="14"/>
                <w:szCs w:val="14"/>
                <w:color w:val="auto"/>
              </w:rPr>
              <w:t>130</w:t>
            </w:r>
          </w:p>
        </w:tc>
        <w:tc>
          <w:tcPr>
            <w:tcW w:w="360" w:type="dxa"/>
            <w:vAlign w:val="bottom"/>
          </w:tcPr>
          <w:p>
            <w:pPr>
              <w:spacing w:after="0"/>
              <w:rPr>
                <w:sz w:val="24"/>
                <w:szCs w:val="24"/>
                <w:color w:val="auto"/>
              </w:rPr>
            </w:pPr>
          </w:p>
        </w:tc>
        <w:tc>
          <w:tcPr>
            <w:tcW w:w="980" w:type="dxa"/>
            <w:vAlign w:val="bottom"/>
          </w:tcPr>
          <w:p>
            <w:pPr>
              <w:jc w:val="right"/>
              <w:ind w:right="308"/>
              <w:spacing w:after="0"/>
              <w:rPr>
                <w:sz w:val="20"/>
                <w:szCs w:val="20"/>
                <w:color w:val="auto"/>
              </w:rPr>
            </w:pPr>
            <w:r>
              <w:rPr>
                <w:rFonts w:ascii="Arial" w:cs="Arial" w:eastAsia="Arial" w:hAnsi="Arial"/>
                <w:sz w:val="14"/>
                <w:szCs w:val="14"/>
                <w:color w:val="auto"/>
              </w:rPr>
              <w:t>64</w:t>
            </w:r>
          </w:p>
        </w:tc>
        <w:tc>
          <w:tcPr>
            <w:tcW w:w="360" w:type="dxa"/>
            <w:vAlign w:val="bottom"/>
          </w:tcPr>
          <w:p>
            <w:pPr>
              <w:spacing w:after="0"/>
              <w:rPr>
                <w:sz w:val="24"/>
                <w:szCs w:val="24"/>
                <w:color w:val="auto"/>
              </w:rPr>
            </w:pPr>
          </w:p>
        </w:tc>
        <w:tc>
          <w:tcPr>
            <w:tcW w:w="960" w:type="dxa"/>
            <w:vAlign w:val="bottom"/>
          </w:tcPr>
          <w:p>
            <w:pPr>
              <w:jc w:val="right"/>
              <w:ind w:right="288"/>
              <w:spacing w:after="0"/>
              <w:rPr>
                <w:sz w:val="20"/>
                <w:szCs w:val="20"/>
                <w:color w:val="auto"/>
              </w:rPr>
            </w:pPr>
            <w:r>
              <w:rPr>
                <w:rFonts w:ascii="Arial" w:cs="Arial" w:eastAsia="Arial" w:hAnsi="Arial"/>
                <w:sz w:val="14"/>
                <w:szCs w:val="14"/>
                <w:color w:val="auto"/>
              </w:rPr>
              <w:t>61</w:t>
            </w:r>
          </w:p>
        </w:tc>
        <w:tc>
          <w:tcPr>
            <w:tcW w:w="380" w:type="dxa"/>
            <w:vAlign w:val="bottom"/>
          </w:tcPr>
          <w:p>
            <w:pPr>
              <w:spacing w:after="0"/>
              <w:rPr>
                <w:sz w:val="24"/>
                <w:szCs w:val="24"/>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color w:val="auto"/>
              </w:rPr>
              <w:t>73</w:t>
            </w:r>
          </w:p>
        </w:tc>
      </w:tr>
      <w:tr>
        <w:trPr>
          <w:trHeight w:val="72"/>
        </w:trPr>
        <w:tc>
          <w:tcPr>
            <w:tcW w:w="4560" w:type="dxa"/>
            <w:vAlign w:val="bottom"/>
            <w:tcBorders>
              <w:bottom w:val="single" w:sz="8" w:color="939598"/>
            </w:tcBorders>
          </w:tcPr>
          <w:p>
            <w:pPr>
              <w:spacing w:after="0"/>
              <w:rPr>
                <w:sz w:val="6"/>
                <w:szCs w:val="6"/>
                <w:color w:val="auto"/>
              </w:rPr>
            </w:pPr>
          </w:p>
        </w:tc>
        <w:tc>
          <w:tcPr>
            <w:tcW w:w="1620" w:type="dxa"/>
            <w:vAlign w:val="bottom"/>
            <w:tcBorders>
              <w:bottom w:val="single" w:sz="8" w:color="939598"/>
            </w:tcBorders>
          </w:tcPr>
          <w:p>
            <w:pPr>
              <w:spacing w:after="0"/>
              <w:rPr>
                <w:sz w:val="6"/>
                <w:szCs w:val="6"/>
                <w:color w:val="auto"/>
              </w:rPr>
            </w:pPr>
          </w:p>
        </w:tc>
        <w:tc>
          <w:tcPr>
            <w:tcW w:w="980" w:type="dxa"/>
            <w:vAlign w:val="bottom"/>
            <w:tcBorders>
              <w:bottom w:val="single" w:sz="8" w:color="939598"/>
            </w:tcBorders>
          </w:tcPr>
          <w:p>
            <w:pPr>
              <w:spacing w:after="0"/>
              <w:rPr>
                <w:sz w:val="6"/>
                <w:szCs w:val="6"/>
                <w:color w:val="auto"/>
              </w:rPr>
            </w:pPr>
          </w:p>
        </w:tc>
        <w:tc>
          <w:tcPr>
            <w:tcW w:w="360" w:type="dxa"/>
            <w:vAlign w:val="bottom"/>
            <w:tcBorders>
              <w:bottom w:val="single" w:sz="8" w:color="939598"/>
            </w:tcBorders>
          </w:tcPr>
          <w:p>
            <w:pPr>
              <w:spacing w:after="0"/>
              <w:rPr>
                <w:sz w:val="6"/>
                <w:szCs w:val="6"/>
                <w:color w:val="auto"/>
              </w:rPr>
            </w:pPr>
          </w:p>
        </w:tc>
        <w:tc>
          <w:tcPr>
            <w:tcW w:w="980" w:type="dxa"/>
            <w:vAlign w:val="bottom"/>
            <w:tcBorders>
              <w:bottom w:val="single" w:sz="8" w:color="939598"/>
            </w:tcBorders>
          </w:tcPr>
          <w:p>
            <w:pPr>
              <w:spacing w:after="0"/>
              <w:rPr>
                <w:sz w:val="6"/>
                <w:szCs w:val="6"/>
                <w:color w:val="auto"/>
              </w:rPr>
            </w:pPr>
          </w:p>
        </w:tc>
        <w:tc>
          <w:tcPr>
            <w:tcW w:w="360" w:type="dxa"/>
            <w:vAlign w:val="bottom"/>
            <w:tcBorders>
              <w:bottom w:val="single" w:sz="8" w:color="939598"/>
            </w:tcBorders>
          </w:tcPr>
          <w:p>
            <w:pPr>
              <w:spacing w:after="0"/>
              <w:rPr>
                <w:sz w:val="6"/>
                <w:szCs w:val="6"/>
                <w:color w:val="auto"/>
              </w:rPr>
            </w:pPr>
          </w:p>
        </w:tc>
        <w:tc>
          <w:tcPr>
            <w:tcW w:w="960" w:type="dxa"/>
            <w:vAlign w:val="bottom"/>
            <w:tcBorders>
              <w:bottom w:val="single" w:sz="8" w:color="939598"/>
            </w:tcBorders>
          </w:tcPr>
          <w:p>
            <w:pPr>
              <w:spacing w:after="0"/>
              <w:rPr>
                <w:sz w:val="6"/>
                <w:szCs w:val="6"/>
                <w:color w:val="auto"/>
              </w:rPr>
            </w:pPr>
          </w:p>
        </w:tc>
        <w:tc>
          <w:tcPr>
            <w:tcW w:w="380" w:type="dxa"/>
            <w:vAlign w:val="bottom"/>
            <w:tcBorders>
              <w:bottom w:val="single" w:sz="8" w:color="939598"/>
            </w:tcBorders>
          </w:tcPr>
          <w:p>
            <w:pPr>
              <w:spacing w:after="0"/>
              <w:rPr>
                <w:sz w:val="6"/>
                <w:szCs w:val="6"/>
                <w:color w:val="auto"/>
              </w:rPr>
            </w:pPr>
          </w:p>
        </w:tc>
        <w:tc>
          <w:tcPr>
            <w:tcW w:w="840" w:type="dxa"/>
            <w:vAlign w:val="bottom"/>
            <w:tcBorders>
              <w:bottom w:val="single" w:sz="8" w:color="939598"/>
            </w:tcBorders>
          </w:tcPr>
          <w:p>
            <w:pPr>
              <w:spacing w:after="0"/>
              <w:rPr>
                <w:sz w:val="6"/>
                <w:szCs w:val="6"/>
                <w:color w:val="auto"/>
              </w:rPr>
            </w:pPr>
          </w:p>
        </w:tc>
      </w:tr>
      <w:tr>
        <w:trPr>
          <w:trHeight w:val="353"/>
        </w:trPr>
        <w:tc>
          <w:tcPr>
            <w:tcW w:w="4560" w:type="dxa"/>
            <w:vAlign w:val="bottom"/>
          </w:tcPr>
          <w:p>
            <w:pPr>
              <w:ind w:left="20"/>
              <w:spacing w:after="0"/>
              <w:rPr>
                <w:sz w:val="20"/>
                <w:szCs w:val="20"/>
                <w:color w:val="auto"/>
              </w:rPr>
            </w:pPr>
            <w:r>
              <w:rPr>
                <w:rFonts w:ascii="Arial" w:cs="Arial" w:eastAsia="Arial" w:hAnsi="Arial"/>
                <w:sz w:val="14"/>
                <w:szCs w:val="14"/>
                <w:color w:val="auto"/>
              </w:rPr>
              <w:t>Amortization of acquisition-related intangibles</w:t>
            </w:r>
            <w:r>
              <w:rPr>
                <w:rFonts w:ascii="Arial" w:cs="Arial" w:eastAsia="Arial" w:hAnsi="Arial"/>
                <w:sz w:val="18"/>
                <w:szCs w:val="18"/>
                <w:color w:val="auto"/>
                <w:vertAlign w:val="superscript"/>
              </w:rPr>
              <w:t>(5)</w:t>
            </w:r>
          </w:p>
        </w:tc>
        <w:tc>
          <w:tcPr>
            <w:tcW w:w="1620" w:type="dxa"/>
            <w:vAlign w:val="bottom"/>
          </w:tcPr>
          <w:p>
            <w:pPr>
              <w:spacing w:after="0"/>
              <w:rPr>
                <w:sz w:val="24"/>
                <w:szCs w:val="24"/>
                <w:color w:val="auto"/>
              </w:rPr>
            </w:pPr>
          </w:p>
        </w:tc>
        <w:tc>
          <w:tcPr>
            <w:tcW w:w="980" w:type="dxa"/>
            <w:vAlign w:val="bottom"/>
          </w:tcPr>
          <w:p>
            <w:pPr>
              <w:jc w:val="right"/>
              <w:ind w:right="308"/>
              <w:spacing w:after="0"/>
              <w:rPr>
                <w:sz w:val="20"/>
                <w:szCs w:val="20"/>
                <w:color w:val="auto"/>
              </w:rPr>
            </w:pPr>
            <w:r>
              <w:rPr>
                <w:rFonts w:ascii="Arial" w:cs="Arial" w:eastAsia="Arial" w:hAnsi="Arial"/>
                <w:sz w:val="14"/>
                <w:szCs w:val="14"/>
                <w:color w:val="auto"/>
              </w:rPr>
              <w:t>328</w:t>
            </w:r>
          </w:p>
        </w:tc>
        <w:tc>
          <w:tcPr>
            <w:tcW w:w="360" w:type="dxa"/>
            <w:vAlign w:val="bottom"/>
          </w:tcPr>
          <w:p>
            <w:pPr>
              <w:spacing w:after="0"/>
              <w:rPr>
                <w:sz w:val="24"/>
                <w:szCs w:val="24"/>
                <w:color w:val="auto"/>
              </w:rPr>
            </w:pPr>
          </w:p>
        </w:tc>
        <w:tc>
          <w:tcPr>
            <w:tcW w:w="980" w:type="dxa"/>
            <w:vAlign w:val="bottom"/>
          </w:tcPr>
          <w:p>
            <w:pPr>
              <w:jc w:val="right"/>
              <w:ind w:right="308"/>
              <w:spacing w:after="0"/>
              <w:rPr>
                <w:sz w:val="20"/>
                <w:szCs w:val="20"/>
                <w:color w:val="auto"/>
              </w:rPr>
            </w:pPr>
            <w:r>
              <w:rPr>
                <w:rFonts w:ascii="Arial" w:cs="Arial" w:eastAsia="Arial" w:hAnsi="Arial"/>
                <w:sz w:val="14"/>
                <w:szCs w:val="14"/>
                <w:color w:val="auto"/>
              </w:rPr>
              <w:t>290</w:t>
            </w:r>
          </w:p>
        </w:tc>
        <w:tc>
          <w:tcPr>
            <w:tcW w:w="360" w:type="dxa"/>
            <w:vAlign w:val="bottom"/>
          </w:tcPr>
          <w:p>
            <w:pPr>
              <w:spacing w:after="0"/>
              <w:rPr>
                <w:sz w:val="24"/>
                <w:szCs w:val="24"/>
                <w:color w:val="auto"/>
              </w:rPr>
            </w:pPr>
          </w:p>
        </w:tc>
        <w:tc>
          <w:tcPr>
            <w:tcW w:w="960" w:type="dxa"/>
            <w:vAlign w:val="bottom"/>
          </w:tcPr>
          <w:p>
            <w:pPr>
              <w:jc w:val="right"/>
              <w:ind w:right="288"/>
              <w:spacing w:after="0"/>
              <w:rPr>
                <w:sz w:val="20"/>
                <w:szCs w:val="20"/>
                <w:color w:val="auto"/>
              </w:rPr>
            </w:pPr>
            <w:r>
              <w:rPr>
                <w:rFonts w:ascii="Arial" w:cs="Arial" w:eastAsia="Arial" w:hAnsi="Arial"/>
                <w:sz w:val="14"/>
                <w:szCs w:val="14"/>
                <w:color w:val="auto"/>
              </w:rPr>
              <w:t>411</w:t>
            </w:r>
          </w:p>
        </w:tc>
        <w:tc>
          <w:tcPr>
            <w:tcW w:w="380" w:type="dxa"/>
            <w:vAlign w:val="bottom"/>
          </w:tcPr>
          <w:p>
            <w:pPr>
              <w:spacing w:after="0"/>
              <w:rPr>
                <w:sz w:val="24"/>
                <w:szCs w:val="24"/>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color w:val="auto"/>
              </w:rPr>
              <w:t>570</w:t>
            </w:r>
          </w:p>
        </w:tc>
      </w:tr>
      <w:tr>
        <w:trPr>
          <w:trHeight w:val="72"/>
        </w:trPr>
        <w:tc>
          <w:tcPr>
            <w:tcW w:w="4560" w:type="dxa"/>
            <w:vAlign w:val="bottom"/>
            <w:tcBorders>
              <w:bottom w:val="single" w:sz="8" w:color="939598"/>
            </w:tcBorders>
          </w:tcPr>
          <w:p>
            <w:pPr>
              <w:spacing w:after="0"/>
              <w:rPr>
                <w:sz w:val="6"/>
                <w:szCs w:val="6"/>
                <w:color w:val="auto"/>
              </w:rPr>
            </w:pPr>
          </w:p>
        </w:tc>
        <w:tc>
          <w:tcPr>
            <w:tcW w:w="1620" w:type="dxa"/>
            <w:vAlign w:val="bottom"/>
            <w:tcBorders>
              <w:bottom w:val="single" w:sz="8" w:color="939598"/>
            </w:tcBorders>
          </w:tcPr>
          <w:p>
            <w:pPr>
              <w:spacing w:after="0"/>
              <w:rPr>
                <w:sz w:val="6"/>
                <w:szCs w:val="6"/>
                <w:color w:val="auto"/>
              </w:rPr>
            </w:pPr>
          </w:p>
        </w:tc>
        <w:tc>
          <w:tcPr>
            <w:tcW w:w="980" w:type="dxa"/>
            <w:vAlign w:val="bottom"/>
            <w:tcBorders>
              <w:bottom w:val="single" w:sz="8" w:color="939598"/>
            </w:tcBorders>
          </w:tcPr>
          <w:p>
            <w:pPr>
              <w:spacing w:after="0"/>
              <w:rPr>
                <w:sz w:val="6"/>
                <w:szCs w:val="6"/>
                <w:color w:val="auto"/>
              </w:rPr>
            </w:pPr>
          </w:p>
        </w:tc>
        <w:tc>
          <w:tcPr>
            <w:tcW w:w="360" w:type="dxa"/>
            <w:vAlign w:val="bottom"/>
            <w:tcBorders>
              <w:bottom w:val="single" w:sz="8" w:color="939598"/>
            </w:tcBorders>
          </w:tcPr>
          <w:p>
            <w:pPr>
              <w:spacing w:after="0"/>
              <w:rPr>
                <w:sz w:val="6"/>
                <w:szCs w:val="6"/>
                <w:color w:val="auto"/>
              </w:rPr>
            </w:pPr>
          </w:p>
        </w:tc>
        <w:tc>
          <w:tcPr>
            <w:tcW w:w="980" w:type="dxa"/>
            <w:vAlign w:val="bottom"/>
            <w:tcBorders>
              <w:bottom w:val="single" w:sz="8" w:color="939598"/>
            </w:tcBorders>
          </w:tcPr>
          <w:p>
            <w:pPr>
              <w:spacing w:after="0"/>
              <w:rPr>
                <w:sz w:val="6"/>
                <w:szCs w:val="6"/>
                <w:color w:val="auto"/>
              </w:rPr>
            </w:pPr>
          </w:p>
        </w:tc>
        <w:tc>
          <w:tcPr>
            <w:tcW w:w="360" w:type="dxa"/>
            <w:vAlign w:val="bottom"/>
            <w:tcBorders>
              <w:bottom w:val="single" w:sz="8" w:color="939598"/>
            </w:tcBorders>
          </w:tcPr>
          <w:p>
            <w:pPr>
              <w:spacing w:after="0"/>
              <w:rPr>
                <w:sz w:val="6"/>
                <w:szCs w:val="6"/>
                <w:color w:val="auto"/>
              </w:rPr>
            </w:pPr>
          </w:p>
        </w:tc>
        <w:tc>
          <w:tcPr>
            <w:tcW w:w="960" w:type="dxa"/>
            <w:vAlign w:val="bottom"/>
            <w:tcBorders>
              <w:bottom w:val="single" w:sz="8" w:color="939598"/>
            </w:tcBorders>
          </w:tcPr>
          <w:p>
            <w:pPr>
              <w:spacing w:after="0"/>
              <w:rPr>
                <w:sz w:val="6"/>
                <w:szCs w:val="6"/>
                <w:color w:val="auto"/>
              </w:rPr>
            </w:pPr>
          </w:p>
        </w:tc>
        <w:tc>
          <w:tcPr>
            <w:tcW w:w="380" w:type="dxa"/>
            <w:vAlign w:val="bottom"/>
            <w:tcBorders>
              <w:bottom w:val="single" w:sz="8" w:color="939598"/>
            </w:tcBorders>
          </w:tcPr>
          <w:p>
            <w:pPr>
              <w:spacing w:after="0"/>
              <w:rPr>
                <w:sz w:val="6"/>
                <w:szCs w:val="6"/>
                <w:color w:val="auto"/>
              </w:rPr>
            </w:pPr>
          </w:p>
        </w:tc>
        <w:tc>
          <w:tcPr>
            <w:tcW w:w="840" w:type="dxa"/>
            <w:vAlign w:val="bottom"/>
            <w:tcBorders>
              <w:bottom w:val="single" w:sz="8" w:color="939598"/>
            </w:tcBorders>
          </w:tcPr>
          <w:p>
            <w:pPr>
              <w:spacing w:after="0"/>
              <w:rPr>
                <w:sz w:val="6"/>
                <w:szCs w:val="6"/>
                <w:color w:val="auto"/>
              </w:rPr>
            </w:pPr>
          </w:p>
        </w:tc>
      </w:tr>
      <w:tr>
        <w:trPr>
          <w:trHeight w:val="353"/>
        </w:trPr>
        <w:tc>
          <w:tcPr>
            <w:tcW w:w="4560" w:type="dxa"/>
            <w:vAlign w:val="bottom"/>
          </w:tcPr>
          <w:p>
            <w:pPr>
              <w:ind w:left="20"/>
              <w:spacing w:after="0"/>
              <w:rPr>
                <w:sz w:val="20"/>
                <w:szCs w:val="20"/>
                <w:color w:val="auto"/>
              </w:rPr>
            </w:pPr>
            <w:r>
              <w:rPr>
                <w:rFonts w:ascii="Arial" w:cs="Arial" w:eastAsia="Arial" w:hAnsi="Arial"/>
                <w:sz w:val="14"/>
                <w:szCs w:val="14"/>
                <w:color w:val="auto"/>
              </w:rPr>
              <w:t>Acquisition-related costs</w:t>
            </w:r>
            <w:r>
              <w:rPr>
                <w:rFonts w:ascii="Arial" w:cs="Arial" w:eastAsia="Arial" w:hAnsi="Arial"/>
                <w:sz w:val="18"/>
                <w:szCs w:val="18"/>
                <w:color w:val="auto"/>
                <w:vertAlign w:val="superscript"/>
              </w:rPr>
              <w:t>(6)</w:t>
            </w:r>
          </w:p>
        </w:tc>
        <w:tc>
          <w:tcPr>
            <w:tcW w:w="1620" w:type="dxa"/>
            <w:vAlign w:val="bottom"/>
          </w:tcPr>
          <w:p>
            <w:pPr>
              <w:spacing w:after="0"/>
              <w:rPr>
                <w:sz w:val="24"/>
                <w:szCs w:val="24"/>
                <w:color w:val="auto"/>
              </w:rPr>
            </w:pPr>
          </w:p>
        </w:tc>
        <w:tc>
          <w:tcPr>
            <w:tcW w:w="9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980" w:type="dxa"/>
            <w:vAlign w:val="bottom"/>
          </w:tcPr>
          <w:p>
            <w:pPr>
              <w:jc w:val="right"/>
              <w:ind w:right="308"/>
              <w:spacing w:after="0"/>
              <w:rPr>
                <w:sz w:val="20"/>
                <w:szCs w:val="20"/>
                <w:color w:val="auto"/>
              </w:rPr>
            </w:pPr>
            <w:r>
              <w:rPr>
                <w:rFonts w:ascii="Arial" w:cs="Arial" w:eastAsia="Arial" w:hAnsi="Arial"/>
                <w:sz w:val="14"/>
                <w:szCs w:val="14"/>
                <w:color w:val="auto"/>
              </w:rPr>
              <w:t>2</w:t>
            </w:r>
          </w:p>
        </w:tc>
        <w:tc>
          <w:tcPr>
            <w:tcW w:w="360" w:type="dxa"/>
            <w:vAlign w:val="bottom"/>
          </w:tcPr>
          <w:p>
            <w:pPr>
              <w:spacing w:after="0"/>
              <w:rPr>
                <w:sz w:val="24"/>
                <w:szCs w:val="24"/>
                <w:color w:val="auto"/>
              </w:rPr>
            </w:pPr>
          </w:p>
        </w:tc>
        <w:tc>
          <w:tcPr>
            <w:tcW w:w="960" w:type="dxa"/>
            <w:vAlign w:val="bottom"/>
          </w:tcPr>
          <w:p>
            <w:pPr>
              <w:jc w:val="right"/>
              <w:ind w:right="288"/>
              <w:spacing w:after="0"/>
              <w:rPr>
                <w:sz w:val="20"/>
                <w:szCs w:val="20"/>
                <w:color w:val="auto"/>
              </w:rPr>
            </w:pPr>
            <w:r>
              <w:rPr>
                <w:rFonts w:ascii="Arial" w:cs="Arial" w:eastAsia="Arial" w:hAnsi="Arial"/>
                <w:sz w:val="14"/>
                <w:szCs w:val="14"/>
                <w:color w:val="auto"/>
              </w:rPr>
              <w:t>25</w:t>
            </w:r>
          </w:p>
        </w:tc>
        <w:tc>
          <w:tcPr>
            <w:tcW w:w="380" w:type="dxa"/>
            <w:vAlign w:val="bottom"/>
          </w:tcPr>
          <w:p>
            <w:pPr>
              <w:spacing w:after="0"/>
              <w:rPr>
                <w:sz w:val="24"/>
                <w:szCs w:val="24"/>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color w:val="auto"/>
              </w:rPr>
              <w:t>2</w:t>
            </w:r>
          </w:p>
        </w:tc>
      </w:tr>
      <w:tr>
        <w:trPr>
          <w:trHeight w:val="72"/>
        </w:trPr>
        <w:tc>
          <w:tcPr>
            <w:tcW w:w="4560" w:type="dxa"/>
            <w:vAlign w:val="bottom"/>
            <w:tcBorders>
              <w:bottom w:val="single" w:sz="8" w:color="939598"/>
            </w:tcBorders>
          </w:tcPr>
          <w:p>
            <w:pPr>
              <w:spacing w:after="0"/>
              <w:rPr>
                <w:sz w:val="6"/>
                <w:szCs w:val="6"/>
                <w:color w:val="auto"/>
              </w:rPr>
            </w:pPr>
          </w:p>
        </w:tc>
        <w:tc>
          <w:tcPr>
            <w:tcW w:w="1620" w:type="dxa"/>
            <w:vAlign w:val="bottom"/>
            <w:tcBorders>
              <w:bottom w:val="single" w:sz="8" w:color="939598"/>
            </w:tcBorders>
          </w:tcPr>
          <w:p>
            <w:pPr>
              <w:spacing w:after="0"/>
              <w:rPr>
                <w:sz w:val="6"/>
                <w:szCs w:val="6"/>
                <w:color w:val="auto"/>
              </w:rPr>
            </w:pPr>
          </w:p>
        </w:tc>
        <w:tc>
          <w:tcPr>
            <w:tcW w:w="980" w:type="dxa"/>
            <w:vAlign w:val="bottom"/>
            <w:tcBorders>
              <w:bottom w:val="single" w:sz="8" w:color="939598"/>
            </w:tcBorders>
          </w:tcPr>
          <w:p>
            <w:pPr>
              <w:spacing w:after="0"/>
              <w:rPr>
                <w:sz w:val="6"/>
                <w:szCs w:val="6"/>
                <w:color w:val="auto"/>
              </w:rPr>
            </w:pPr>
          </w:p>
        </w:tc>
        <w:tc>
          <w:tcPr>
            <w:tcW w:w="360" w:type="dxa"/>
            <w:vAlign w:val="bottom"/>
            <w:tcBorders>
              <w:bottom w:val="single" w:sz="8" w:color="939598"/>
            </w:tcBorders>
          </w:tcPr>
          <w:p>
            <w:pPr>
              <w:spacing w:after="0"/>
              <w:rPr>
                <w:sz w:val="6"/>
                <w:szCs w:val="6"/>
                <w:color w:val="auto"/>
              </w:rPr>
            </w:pPr>
          </w:p>
        </w:tc>
        <w:tc>
          <w:tcPr>
            <w:tcW w:w="980" w:type="dxa"/>
            <w:vAlign w:val="bottom"/>
            <w:tcBorders>
              <w:bottom w:val="single" w:sz="8" w:color="939598"/>
            </w:tcBorders>
          </w:tcPr>
          <w:p>
            <w:pPr>
              <w:spacing w:after="0"/>
              <w:rPr>
                <w:sz w:val="6"/>
                <w:szCs w:val="6"/>
                <w:color w:val="auto"/>
              </w:rPr>
            </w:pPr>
          </w:p>
        </w:tc>
        <w:tc>
          <w:tcPr>
            <w:tcW w:w="360" w:type="dxa"/>
            <w:vAlign w:val="bottom"/>
            <w:tcBorders>
              <w:bottom w:val="single" w:sz="8" w:color="939598"/>
            </w:tcBorders>
          </w:tcPr>
          <w:p>
            <w:pPr>
              <w:spacing w:after="0"/>
              <w:rPr>
                <w:sz w:val="6"/>
                <w:szCs w:val="6"/>
                <w:color w:val="auto"/>
              </w:rPr>
            </w:pPr>
          </w:p>
        </w:tc>
        <w:tc>
          <w:tcPr>
            <w:tcW w:w="960" w:type="dxa"/>
            <w:vAlign w:val="bottom"/>
            <w:tcBorders>
              <w:bottom w:val="single" w:sz="8" w:color="939598"/>
            </w:tcBorders>
          </w:tcPr>
          <w:p>
            <w:pPr>
              <w:spacing w:after="0"/>
              <w:rPr>
                <w:sz w:val="6"/>
                <w:szCs w:val="6"/>
                <w:color w:val="auto"/>
              </w:rPr>
            </w:pPr>
          </w:p>
        </w:tc>
        <w:tc>
          <w:tcPr>
            <w:tcW w:w="380" w:type="dxa"/>
            <w:vAlign w:val="bottom"/>
            <w:tcBorders>
              <w:bottom w:val="single" w:sz="8" w:color="939598"/>
            </w:tcBorders>
          </w:tcPr>
          <w:p>
            <w:pPr>
              <w:spacing w:after="0"/>
              <w:rPr>
                <w:sz w:val="6"/>
                <w:szCs w:val="6"/>
                <w:color w:val="auto"/>
              </w:rPr>
            </w:pPr>
          </w:p>
        </w:tc>
        <w:tc>
          <w:tcPr>
            <w:tcW w:w="840" w:type="dxa"/>
            <w:vAlign w:val="bottom"/>
            <w:tcBorders>
              <w:bottom w:val="single" w:sz="8" w:color="939598"/>
            </w:tcBorders>
          </w:tcPr>
          <w:p>
            <w:pPr>
              <w:spacing w:after="0"/>
              <w:rPr>
                <w:sz w:val="6"/>
                <w:szCs w:val="6"/>
                <w:color w:val="auto"/>
              </w:rPr>
            </w:pPr>
          </w:p>
        </w:tc>
      </w:tr>
      <w:tr>
        <w:trPr>
          <w:trHeight w:val="353"/>
        </w:trPr>
        <w:tc>
          <w:tcPr>
            <w:tcW w:w="4560" w:type="dxa"/>
            <w:vAlign w:val="bottom"/>
          </w:tcPr>
          <w:p>
            <w:pPr>
              <w:ind w:left="20"/>
              <w:spacing w:after="0"/>
              <w:rPr>
                <w:sz w:val="20"/>
                <w:szCs w:val="20"/>
                <w:color w:val="auto"/>
              </w:rPr>
            </w:pPr>
            <w:r>
              <w:rPr>
                <w:rFonts w:ascii="Arial" w:cs="Arial" w:eastAsia="Arial" w:hAnsi="Arial"/>
                <w:sz w:val="14"/>
                <w:szCs w:val="14"/>
                <w:color w:val="auto"/>
              </w:rPr>
              <w:t>Indefinite-lived intangible asset impairment</w:t>
            </w:r>
            <w:r>
              <w:rPr>
                <w:rFonts w:ascii="Arial" w:cs="Arial" w:eastAsia="Arial" w:hAnsi="Arial"/>
                <w:sz w:val="18"/>
                <w:szCs w:val="18"/>
                <w:color w:val="auto"/>
                <w:vertAlign w:val="superscript"/>
              </w:rPr>
              <w:t>(1)</w:t>
            </w:r>
          </w:p>
        </w:tc>
        <w:tc>
          <w:tcPr>
            <w:tcW w:w="1620" w:type="dxa"/>
            <w:vAlign w:val="bottom"/>
          </w:tcPr>
          <w:p>
            <w:pPr>
              <w:spacing w:after="0"/>
              <w:rPr>
                <w:sz w:val="24"/>
                <w:szCs w:val="24"/>
                <w:color w:val="auto"/>
              </w:rPr>
            </w:pPr>
          </w:p>
        </w:tc>
        <w:tc>
          <w:tcPr>
            <w:tcW w:w="9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9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960" w:type="dxa"/>
            <w:vAlign w:val="bottom"/>
          </w:tcPr>
          <w:p>
            <w:pPr>
              <w:jc w:val="right"/>
              <w:ind w:right="288"/>
              <w:spacing w:after="0"/>
              <w:rPr>
                <w:sz w:val="20"/>
                <w:szCs w:val="20"/>
                <w:color w:val="auto"/>
              </w:rPr>
            </w:pPr>
            <w:r>
              <w:rPr>
                <w:rFonts w:ascii="Arial" w:cs="Arial" w:eastAsia="Arial" w:hAnsi="Arial"/>
                <w:sz w:val="14"/>
                <w:szCs w:val="14"/>
                <w:color w:val="auto"/>
              </w:rPr>
              <w:t>48</w:t>
            </w:r>
          </w:p>
        </w:tc>
        <w:tc>
          <w:tcPr>
            <w:tcW w:w="380" w:type="dxa"/>
            <w:vAlign w:val="bottom"/>
          </w:tcPr>
          <w:p>
            <w:pPr>
              <w:spacing w:after="0"/>
              <w:rPr>
                <w:sz w:val="24"/>
                <w:szCs w:val="24"/>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color w:val="auto"/>
              </w:rPr>
              <w:t>44</w:t>
            </w:r>
          </w:p>
        </w:tc>
      </w:tr>
      <w:tr>
        <w:trPr>
          <w:trHeight w:val="72"/>
        </w:trPr>
        <w:tc>
          <w:tcPr>
            <w:tcW w:w="4560" w:type="dxa"/>
            <w:vAlign w:val="bottom"/>
            <w:tcBorders>
              <w:bottom w:val="single" w:sz="8" w:color="939598"/>
            </w:tcBorders>
          </w:tcPr>
          <w:p>
            <w:pPr>
              <w:spacing w:after="0"/>
              <w:rPr>
                <w:sz w:val="6"/>
                <w:szCs w:val="6"/>
                <w:color w:val="auto"/>
              </w:rPr>
            </w:pPr>
          </w:p>
        </w:tc>
        <w:tc>
          <w:tcPr>
            <w:tcW w:w="1620" w:type="dxa"/>
            <w:vAlign w:val="bottom"/>
            <w:tcBorders>
              <w:bottom w:val="single" w:sz="8" w:color="939598"/>
            </w:tcBorders>
          </w:tcPr>
          <w:p>
            <w:pPr>
              <w:spacing w:after="0"/>
              <w:rPr>
                <w:sz w:val="6"/>
                <w:szCs w:val="6"/>
                <w:color w:val="auto"/>
              </w:rPr>
            </w:pPr>
          </w:p>
        </w:tc>
        <w:tc>
          <w:tcPr>
            <w:tcW w:w="980" w:type="dxa"/>
            <w:vAlign w:val="bottom"/>
            <w:tcBorders>
              <w:bottom w:val="single" w:sz="8" w:color="939598"/>
            </w:tcBorders>
          </w:tcPr>
          <w:p>
            <w:pPr>
              <w:spacing w:after="0"/>
              <w:rPr>
                <w:sz w:val="6"/>
                <w:szCs w:val="6"/>
                <w:color w:val="auto"/>
              </w:rPr>
            </w:pPr>
          </w:p>
        </w:tc>
        <w:tc>
          <w:tcPr>
            <w:tcW w:w="360" w:type="dxa"/>
            <w:vAlign w:val="bottom"/>
            <w:tcBorders>
              <w:bottom w:val="single" w:sz="8" w:color="939598"/>
            </w:tcBorders>
          </w:tcPr>
          <w:p>
            <w:pPr>
              <w:spacing w:after="0"/>
              <w:rPr>
                <w:sz w:val="6"/>
                <w:szCs w:val="6"/>
                <w:color w:val="auto"/>
              </w:rPr>
            </w:pPr>
          </w:p>
        </w:tc>
        <w:tc>
          <w:tcPr>
            <w:tcW w:w="980" w:type="dxa"/>
            <w:vAlign w:val="bottom"/>
            <w:tcBorders>
              <w:bottom w:val="single" w:sz="8" w:color="939598"/>
            </w:tcBorders>
          </w:tcPr>
          <w:p>
            <w:pPr>
              <w:spacing w:after="0"/>
              <w:rPr>
                <w:sz w:val="6"/>
                <w:szCs w:val="6"/>
                <w:color w:val="auto"/>
              </w:rPr>
            </w:pPr>
          </w:p>
        </w:tc>
        <w:tc>
          <w:tcPr>
            <w:tcW w:w="360" w:type="dxa"/>
            <w:vAlign w:val="bottom"/>
            <w:tcBorders>
              <w:bottom w:val="single" w:sz="8" w:color="939598"/>
            </w:tcBorders>
          </w:tcPr>
          <w:p>
            <w:pPr>
              <w:spacing w:after="0"/>
              <w:rPr>
                <w:sz w:val="6"/>
                <w:szCs w:val="6"/>
                <w:color w:val="auto"/>
              </w:rPr>
            </w:pPr>
          </w:p>
        </w:tc>
        <w:tc>
          <w:tcPr>
            <w:tcW w:w="960" w:type="dxa"/>
            <w:vAlign w:val="bottom"/>
            <w:tcBorders>
              <w:bottom w:val="single" w:sz="8" w:color="939598"/>
            </w:tcBorders>
          </w:tcPr>
          <w:p>
            <w:pPr>
              <w:spacing w:after="0"/>
              <w:rPr>
                <w:sz w:val="6"/>
                <w:szCs w:val="6"/>
                <w:color w:val="auto"/>
              </w:rPr>
            </w:pPr>
          </w:p>
        </w:tc>
        <w:tc>
          <w:tcPr>
            <w:tcW w:w="380" w:type="dxa"/>
            <w:vAlign w:val="bottom"/>
            <w:tcBorders>
              <w:bottom w:val="single" w:sz="8" w:color="939598"/>
            </w:tcBorders>
          </w:tcPr>
          <w:p>
            <w:pPr>
              <w:spacing w:after="0"/>
              <w:rPr>
                <w:sz w:val="6"/>
                <w:szCs w:val="6"/>
                <w:color w:val="auto"/>
              </w:rPr>
            </w:pPr>
          </w:p>
        </w:tc>
        <w:tc>
          <w:tcPr>
            <w:tcW w:w="840" w:type="dxa"/>
            <w:vAlign w:val="bottom"/>
            <w:tcBorders>
              <w:bottom w:val="single" w:sz="8" w:color="939598"/>
            </w:tcBorders>
          </w:tcPr>
          <w:p>
            <w:pPr>
              <w:spacing w:after="0"/>
              <w:rPr>
                <w:sz w:val="6"/>
                <w:szCs w:val="6"/>
                <w:color w:val="auto"/>
              </w:rPr>
            </w:pPr>
          </w:p>
        </w:tc>
      </w:tr>
      <w:tr>
        <w:trPr>
          <w:trHeight w:val="296"/>
        </w:trPr>
        <w:tc>
          <w:tcPr>
            <w:tcW w:w="4560" w:type="dxa"/>
            <w:vAlign w:val="bottom"/>
          </w:tcPr>
          <w:p>
            <w:pPr>
              <w:ind w:left="20"/>
              <w:spacing w:after="0"/>
              <w:rPr>
                <w:sz w:val="20"/>
                <w:szCs w:val="20"/>
                <w:color w:val="auto"/>
              </w:rPr>
            </w:pPr>
            <w:r>
              <w:rPr>
                <w:rFonts w:ascii="Arial" w:cs="Arial" w:eastAsia="Arial" w:hAnsi="Arial"/>
                <w:sz w:val="14"/>
                <w:szCs w:val="14"/>
                <w:color w:val="auto"/>
              </w:rPr>
              <w:t>Impairment of goodwill</w:t>
            </w:r>
          </w:p>
        </w:tc>
        <w:tc>
          <w:tcPr>
            <w:tcW w:w="1620" w:type="dxa"/>
            <w:vAlign w:val="bottom"/>
          </w:tcPr>
          <w:p>
            <w:pPr>
              <w:spacing w:after="0"/>
              <w:rPr>
                <w:sz w:val="24"/>
                <w:szCs w:val="24"/>
                <w:color w:val="auto"/>
              </w:rPr>
            </w:pPr>
          </w:p>
        </w:tc>
        <w:tc>
          <w:tcPr>
            <w:tcW w:w="9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9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9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color w:val="auto"/>
              </w:rPr>
              <w:t>724</w:t>
            </w:r>
          </w:p>
        </w:tc>
      </w:tr>
      <w:tr>
        <w:trPr>
          <w:trHeight w:val="130"/>
        </w:trPr>
        <w:tc>
          <w:tcPr>
            <w:tcW w:w="4560" w:type="dxa"/>
            <w:vAlign w:val="bottom"/>
            <w:tcBorders>
              <w:bottom w:val="single" w:sz="8" w:color="939598"/>
            </w:tcBorders>
          </w:tcPr>
          <w:p>
            <w:pPr>
              <w:spacing w:after="0"/>
              <w:rPr>
                <w:sz w:val="11"/>
                <w:szCs w:val="11"/>
                <w:color w:val="auto"/>
              </w:rPr>
            </w:pPr>
          </w:p>
        </w:tc>
        <w:tc>
          <w:tcPr>
            <w:tcW w:w="1620" w:type="dxa"/>
            <w:vAlign w:val="bottom"/>
            <w:tcBorders>
              <w:bottom w:val="single" w:sz="8" w:color="939598"/>
            </w:tcBorders>
          </w:tcPr>
          <w:p>
            <w:pPr>
              <w:spacing w:after="0"/>
              <w:rPr>
                <w:sz w:val="11"/>
                <w:szCs w:val="11"/>
                <w:color w:val="auto"/>
              </w:rPr>
            </w:pPr>
          </w:p>
        </w:tc>
        <w:tc>
          <w:tcPr>
            <w:tcW w:w="980" w:type="dxa"/>
            <w:vAlign w:val="bottom"/>
            <w:tcBorders>
              <w:bottom w:val="single" w:sz="8" w:color="939598"/>
            </w:tcBorders>
          </w:tcPr>
          <w:p>
            <w:pPr>
              <w:spacing w:after="0"/>
              <w:rPr>
                <w:sz w:val="11"/>
                <w:szCs w:val="11"/>
                <w:color w:val="auto"/>
              </w:rPr>
            </w:pPr>
          </w:p>
        </w:tc>
        <w:tc>
          <w:tcPr>
            <w:tcW w:w="360" w:type="dxa"/>
            <w:vAlign w:val="bottom"/>
            <w:tcBorders>
              <w:bottom w:val="single" w:sz="8" w:color="939598"/>
            </w:tcBorders>
          </w:tcPr>
          <w:p>
            <w:pPr>
              <w:spacing w:after="0"/>
              <w:rPr>
                <w:sz w:val="11"/>
                <w:szCs w:val="11"/>
                <w:color w:val="auto"/>
              </w:rPr>
            </w:pPr>
          </w:p>
        </w:tc>
        <w:tc>
          <w:tcPr>
            <w:tcW w:w="980" w:type="dxa"/>
            <w:vAlign w:val="bottom"/>
            <w:tcBorders>
              <w:bottom w:val="single" w:sz="8" w:color="939598"/>
            </w:tcBorders>
          </w:tcPr>
          <w:p>
            <w:pPr>
              <w:spacing w:after="0"/>
              <w:rPr>
                <w:sz w:val="11"/>
                <w:szCs w:val="11"/>
                <w:color w:val="auto"/>
              </w:rPr>
            </w:pPr>
          </w:p>
        </w:tc>
        <w:tc>
          <w:tcPr>
            <w:tcW w:w="360" w:type="dxa"/>
            <w:vAlign w:val="bottom"/>
            <w:tcBorders>
              <w:bottom w:val="single" w:sz="8" w:color="939598"/>
            </w:tcBorders>
          </w:tcPr>
          <w:p>
            <w:pPr>
              <w:spacing w:after="0"/>
              <w:rPr>
                <w:sz w:val="11"/>
                <w:szCs w:val="11"/>
                <w:color w:val="auto"/>
              </w:rPr>
            </w:pPr>
          </w:p>
        </w:tc>
        <w:tc>
          <w:tcPr>
            <w:tcW w:w="960" w:type="dxa"/>
            <w:vAlign w:val="bottom"/>
            <w:tcBorders>
              <w:bottom w:val="single" w:sz="8" w:color="939598"/>
            </w:tcBorders>
          </w:tcPr>
          <w:p>
            <w:pPr>
              <w:spacing w:after="0"/>
              <w:rPr>
                <w:sz w:val="11"/>
                <w:szCs w:val="11"/>
                <w:color w:val="auto"/>
              </w:rPr>
            </w:pPr>
          </w:p>
        </w:tc>
        <w:tc>
          <w:tcPr>
            <w:tcW w:w="380" w:type="dxa"/>
            <w:vAlign w:val="bottom"/>
            <w:tcBorders>
              <w:bottom w:val="single" w:sz="8" w:color="939598"/>
            </w:tcBorders>
          </w:tcPr>
          <w:p>
            <w:pPr>
              <w:spacing w:after="0"/>
              <w:rPr>
                <w:sz w:val="11"/>
                <w:szCs w:val="11"/>
                <w:color w:val="auto"/>
              </w:rPr>
            </w:pPr>
          </w:p>
        </w:tc>
        <w:tc>
          <w:tcPr>
            <w:tcW w:w="840" w:type="dxa"/>
            <w:vAlign w:val="bottom"/>
            <w:tcBorders>
              <w:bottom w:val="single" w:sz="8" w:color="939598"/>
            </w:tcBorders>
          </w:tcPr>
          <w:p>
            <w:pPr>
              <w:spacing w:after="0"/>
              <w:rPr>
                <w:sz w:val="11"/>
                <w:szCs w:val="11"/>
                <w:color w:val="auto"/>
              </w:rPr>
            </w:pPr>
          </w:p>
        </w:tc>
      </w:tr>
      <w:tr>
        <w:trPr>
          <w:trHeight w:val="296"/>
        </w:trPr>
        <w:tc>
          <w:tcPr>
            <w:tcW w:w="4560" w:type="dxa"/>
            <w:vAlign w:val="bottom"/>
          </w:tcPr>
          <w:p>
            <w:pPr>
              <w:ind w:left="20"/>
              <w:spacing w:after="0"/>
              <w:rPr>
                <w:sz w:val="20"/>
                <w:szCs w:val="20"/>
                <w:color w:val="auto"/>
              </w:rPr>
            </w:pPr>
            <w:r>
              <w:rPr>
                <w:rFonts w:ascii="Arial" w:cs="Arial" w:eastAsia="Arial" w:hAnsi="Arial"/>
                <w:sz w:val="14"/>
                <w:szCs w:val="14"/>
                <w:color w:val="auto"/>
              </w:rPr>
              <w:t>Impairment of assets held for sale</w:t>
            </w:r>
          </w:p>
        </w:tc>
        <w:tc>
          <w:tcPr>
            <w:tcW w:w="1620" w:type="dxa"/>
            <w:vAlign w:val="bottom"/>
          </w:tcPr>
          <w:p>
            <w:pPr>
              <w:spacing w:after="0"/>
              <w:rPr>
                <w:sz w:val="24"/>
                <w:szCs w:val="24"/>
                <w:color w:val="auto"/>
              </w:rPr>
            </w:pPr>
          </w:p>
        </w:tc>
        <w:tc>
          <w:tcPr>
            <w:tcW w:w="9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9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960" w:type="dxa"/>
            <w:vAlign w:val="bottom"/>
          </w:tcPr>
          <w:p>
            <w:pPr>
              <w:jc w:val="right"/>
              <w:ind w:right="288"/>
              <w:spacing w:after="0"/>
              <w:rPr>
                <w:sz w:val="20"/>
                <w:szCs w:val="20"/>
                <w:color w:val="auto"/>
              </w:rPr>
            </w:pPr>
            <w:r>
              <w:rPr>
                <w:rFonts w:ascii="Arial" w:cs="Arial" w:eastAsia="Arial" w:hAnsi="Arial"/>
                <w:sz w:val="14"/>
                <w:szCs w:val="14"/>
                <w:color w:val="auto"/>
              </w:rPr>
              <w:t>219</w:t>
            </w:r>
          </w:p>
        </w:tc>
        <w:tc>
          <w:tcPr>
            <w:tcW w:w="380" w:type="dxa"/>
            <w:vAlign w:val="bottom"/>
          </w:tcPr>
          <w:p>
            <w:pPr>
              <w:spacing w:after="0"/>
              <w:rPr>
                <w:sz w:val="24"/>
                <w:szCs w:val="24"/>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color w:val="auto"/>
              </w:rPr>
              <w:t>270</w:t>
            </w:r>
          </w:p>
        </w:tc>
      </w:tr>
      <w:tr>
        <w:trPr>
          <w:trHeight w:val="130"/>
        </w:trPr>
        <w:tc>
          <w:tcPr>
            <w:tcW w:w="4560" w:type="dxa"/>
            <w:vAlign w:val="bottom"/>
            <w:tcBorders>
              <w:bottom w:val="single" w:sz="8" w:color="D7282F"/>
            </w:tcBorders>
          </w:tcPr>
          <w:p>
            <w:pPr>
              <w:spacing w:after="0"/>
              <w:rPr>
                <w:sz w:val="11"/>
                <w:szCs w:val="11"/>
                <w:color w:val="auto"/>
              </w:rPr>
            </w:pPr>
          </w:p>
        </w:tc>
        <w:tc>
          <w:tcPr>
            <w:tcW w:w="1620" w:type="dxa"/>
            <w:vAlign w:val="bottom"/>
            <w:tcBorders>
              <w:bottom w:val="single" w:sz="8" w:color="D7282F"/>
            </w:tcBorders>
          </w:tcPr>
          <w:p>
            <w:pPr>
              <w:spacing w:after="0"/>
              <w:rPr>
                <w:sz w:val="11"/>
                <w:szCs w:val="11"/>
                <w:color w:val="auto"/>
              </w:rPr>
            </w:pPr>
          </w:p>
        </w:tc>
        <w:tc>
          <w:tcPr>
            <w:tcW w:w="980" w:type="dxa"/>
            <w:vAlign w:val="bottom"/>
            <w:tcBorders>
              <w:bottom w:val="single" w:sz="8" w:color="D7282F"/>
            </w:tcBorders>
          </w:tcPr>
          <w:p>
            <w:pPr>
              <w:spacing w:after="0"/>
              <w:rPr>
                <w:sz w:val="11"/>
                <w:szCs w:val="11"/>
                <w:color w:val="auto"/>
              </w:rPr>
            </w:pPr>
          </w:p>
        </w:tc>
        <w:tc>
          <w:tcPr>
            <w:tcW w:w="360" w:type="dxa"/>
            <w:vAlign w:val="bottom"/>
            <w:tcBorders>
              <w:bottom w:val="single" w:sz="8" w:color="D7282F"/>
            </w:tcBorders>
          </w:tcPr>
          <w:p>
            <w:pPr>
              <w:spacing w:after="0"/>
              <w:rPr>
                <w:sz w:val="11"/>
                <w:szCs w:val="11"/>
                <w:color w:val="auto"/>
              </w:rPr>
            </w:pPr>
          </w:p>
        </w:tc>
        <w:tc>
          <w:tcPr>
            <w:tcW w:w="980" w:type="dxa"/>
            <w:vAlign w:val="bottom"/>
            <w:tcBorders>
              <w:bottom w:val="single" w:sz="8" w:color="D7282F"/>
            </w:tcBorders>
          </w:tcPr>
          <w:p>
            <w:pPr>
              <w:spacing w:after="0"/>
              <w:rPr>
                <w:sz w:val="11"/>
                <w:szCs w:val="11"/>
                <w:color w:val="auto"/>
              </w:rPr>
            </w:pPr>
          </w:p>
        </w:tc>
        <w:tc>
          <w:tcPr>
            <w:tcW w:w="360" w:type="dxa"/>
            <w:vAlign w:val="bottom"/>
            <w:tcBorders>
              <w:bottom w:val="single" w:sz="8" w:color="D7282F"/>
            </w:tcBorders>
          </w:tcPr>
          <w:p>
            <w:pPr>
              <w:spacing w:after="0"/>
              <w:rPr>
                <w:sz w:val="11"/>
                <w:szCs w:val="11"/>
                <w:color w:val="auto"/>
              </w:rPr>
            </w:pPr>
          </w:p>
        </w:tc>
        <w:tc>
          <w:tcPr>
            <w:tcW w:w="960" w:type="dxa"/>
            <w:vAlign w:val="bottom"/>
            <w:tcBorders>
              <w:bottom w:val="single" w:sz="8" w:color="D7282F"/>
            </w:tcBorders>
          </w:tcPr>
          <w:p>
            <w:pPr>
              <w:spacing w:after="0"/>
              <w:rPr>
                <w:sz w:val="11"/>
                <w:szCs w:val="11"/>
                <w:color w:val="auto"/>
              </w:rPr>
            </w:pPr>
          </w:p>
        </w:tc>
        <w:tc>
          <w:tcPr>
            <w:tcW w:w="380" w:type="dxa"/>
            <w:vAlign w:val="bottom"/>
            <w:tcBorders>
              <w:bottom w:val="single" w:sz="8" w:color="D7282F"/>
            </w:tcBorders>
          </w:tcPr>
          <w:p>
            <w:pPr>
              <w:spacing w:after="0"/>
              <w:rPr>
                <w:sz w:val="11"/>
                <w:szCs w:val="11"/>
                <w:color w:val="auto"/>
              </w:rPr>
            </w:pPr>
          </w:p>
        </w:tc>
        <w:tc>
          <w:tcPr>
            <w:tcW w:w="840" w:type="dxa"/>
            <w:vAlign w:val="bottom"/>
            <w:tcBorders>
              <w:bottom w:val="single" w:sz="8" w:color="D7282F"/>
            </w:tcBorders>
          </w:tcPr>
          <w:p>
            <w:pPr>
              <w:spacing w:after="0"/>
              <w:rPr>
                <w:sz w:val="11"/>
                <w:szCs w:val="11"/>
                <w:color w:val="auto"/>
              </w:rPr>
            </w:pPr>
          </w:p>
        </w:tc>
      </w:tr>
      <w:tr>
        <w:trPr>
          <w:trHeight w:val="302"/>
        </w:trPr>
        <w:tc>
          <w:tcPr>
            <w:tcW w:w="4560" w:type="dxa"/>
            <w:vAlign w:val="bottom"/>
          </w:tcPr>
          <w:p>
            <w:pPr>
              <w:ind w:left="20"/>
              <w:spacing w:after="0"/>
              <w:rPr>
                <w:sz w:val="20"/>
                <w:szCs w:val="20"/>
                <w:color w:val="auto"/>
              </w:rPr>
            </w:pPr>
            <w:r>
              <w:rPr>
                <w:rFonts w:ascii="Arial" w:cs="Arial" w:eastAsia="Arial" w:hAnsi="Arial"/>
                <w:sz w:val="14"/>
                <w:szCs w:val="14"/>
                <w:b w:val="1"/>
                <w:bCs w:val="1"/>
                <w:color w:val="auto"/>
              </w:rPr>
              <w:t>Segment profit</w:t>
            </w:r>
          </w:p>
        </w:tc>
        <w:tc>
          <w:tcPr>
            <w:tcW w:w="1620" w:type="dxa"/>
            <w:vAlign w:val="bottom"/>
          </w:tcPr>
          <w:p>
            <w:pPr>
              <w:spacing w:after="0"/>
              <w:rPr>
                <w:sz w:val="24"/>
                <w:szCs w:val="24"/>
                <w:color w:val="auto"/>
              </w:rPr>
            </w:pPr>
          </w:p>
        </w:tc>
        <w:tc>
          <w:tcPr>
            <w:tcW w:w="980" w:type="dxa"/>
            <w:vAlign w:val="bottom"/>
          </w:tcPr>
          <w:p>
            <w:pPr>
              <w:jc w:val="right"/>
              <w:ind w:right="308"/>
              <w:spacing w:after="0"/>
              <w:rPr>
                <w:sz w:val="20"/>
                <w:szCs w:val="20"/>
                <w:color w:val="auto"/>
              </w:rPr>
            </w:pPr>
            <w:r>
              <w:rPr>
                <w:rFonts w:ascii="Arial" w:cs="Arial" w:eastAsia="Arial" w:hAnsi="Arial"/>
                <w:sz w:val="14"/>
                <w:szCs w:val="14"/>
                <w:b w:val="1"/>
                <w:bCs w:val="1"/>
                <w:color w:val="auto"/>
              </w:rPr>
              <w:t>6,844</w:t>
            </w:r>
          </w:p>
        </w:tc>
        <w:tc>
          <w:tcPr>
            <w:tcW w:w="360" w:type="dxa"/>
            <w:vAlign w:val="bottom"/>
          </w:tcPr>
          <w:p>
            <w:pPr>
              <w:spacing w:after="0"/>
              <w:rPr>
                <w:sz w:val="24"/>
                <w:szCs w:val="24"/>
                <w:color w:val="auto"/>
              </w:rPr>
            </w:pPr>
          </w:p>
        </w:tc>
        <w:tc>
          <w:tcPr>
            <w:tcW w:w="980" w:type="dxa"/>
            <w:vAlign w:val="bottom"/>
          </w:tcPr>
          <w:p>
            <w:pPr>
              <w:jc w:val="right"/>
              <w:ind w:right="308"/>
              <w:spacing w:after="0"/>
              <w:rPr>
                <w:sz w:val="20"/>
                <w:szCs w:val="20"/>
                <w:color w:val="auto"/>
              </w:rPr>
            </w:pPr>
            <w:r>
              <w:rPr>
                <w:rFonts w:ascii="Arial" w:cs="Arial" w:eastAsia="Arial" w:hAnsi="Arial"/>
                <w:sz w:val="14"/>
                <w:szCs w:val="14"/>
                <w:b w:val="1"/>
                <w:bCs w:val="1"/>
                <w:color w:val="auto"/>
              </w:rPr>
              <w:t>7,563</w:t>
            </w:r>
          </w:p>
        </w:tc>
        <w:tc>
          <w:tcPr>
            <w:tcW w:w="360" w:type="dxa"/>
            <w:vAlign w:val="bottom"/>
          </w:tcPr>
          <w:p>
            <w:pPr>
              <w:spacing w:after="0"/>
              <w:rPr>
                <w:sz w:val="24"/>
                <w:szCs w:val="24"/>
                <w:color w:val="auto"/>
              </w:rPr>
            </w:pPr>
          </w:p>
        </w:tc>
        <w:tc>
          <w:tcPr>
            <w:tcW w:w="960" w:type="dxa"/>
            <w:vAlign w:val="bottom"/>
          </w:tcPr>
          <w:p>
            <w:pPr>
              <w:jc w:val="right"/>
              <w:ind w:right="288"/>
              <w:spacing w:after="0"/>
              <w:rPr>
                <w:sz w:val="20"/>
                <w:szCs w:val="20"/>
                <w:color w:val="auto"/>
              </w:rPr>
            </w:pPr>
            <w:r>
              <w:rPr>
                <w:rFonts w:ascii="Arial" w:cs="Arial" w:eastAsia="Arial" w:hAnsi="Arial"/>
                <w:sz w:val="14"/>
                <w:szCs w:val="14"/>
                <w:b w:val="1"/>
                <w:bCs w:val="1"/>
                <w:color w:val="auto"/>
              </w:rPr>
              <w:t>7,667</w:t>
            </w:r>
          </w:p>
        </w:tc>
        <w:tc>
          <w:tcPr>
            <w:tcW w:w="380" w:type="dxa"/>
            <w:vAlign w:val="bottom"/>
          </w:tcPr>
          <w:p>
            <w:pPr>
              <w:spacing w:after="0"/>
              <w:rPr>
                <w:sz w:val="24"/>
                <w:szCs w:val="24"/>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b w:val="1"/>
                <w:bCs w:val="1"/>
                <w:color w:val="auto"/>
              </w:rPr>
              <w:t>8,127</w:t>
            </w:r>
          </w:p>
        </w:tc>
      </w:tr>
      <w:tr>
        <w:trPr>
          <w:trHeight w:val="123"/>
        </w:trPr>
        <w:tc>
          <w:tcPr>
            <w:tcW w:w="4560" w:type="dxa"/>
            <w:vAlign w:val="bottom"/>
            <w:tcBorders>
              <w:bottom w:val="single" w:sz="8" w:color="D7282F"/>
            </w:tcBorders>
          </w:tcPr>
          <w:p>
            <w:pPr>
              <w:spacing w:after="0"/>
              <w:rPr>
                <w:sz w:val="10"/>
                <w:szCs w:val="10"/>
                <w:color w:val="auto"/>
              </w:rPr>
            </w:pPr>
          </w:p>
        </w:tc>
        <w:tc>
          <w:tcPr>
            <w:tcW w:w="1620" w:type="dxa"/>
            <w:vAlign w:val="bottom"/>
            <w:tcBorders>
              <w:bottom w:val="single" w:sz="8" w:color="D7282F"/>
            </w:tcBorders>
          </w:tcPr>
          <w:p>
            <w:pPr>
              <w:spacing w:after="0"/>
              <w:rPr>
                <w:sz w:val="10"/>
                <w:szCs w:val="10"/>
                <w:color w:val="auto"/>
              </w:rPr>
            </w:pPr>
          </w:p>
        </w:tc>
        <w:tc>
          <w:tcPr>
            <w:tcW w:w="980" w:type="dxa"/>
            <w:vAlign w:val="bottom"/>
            <w:tcBorders>
              <w:bottom w:val="single" w:sz="8" w:color="D7282F"/>
            </w:tcBorders>
          </w:tcPr>
          <w:p>
            <w:pPr>
              <w:spacing w:after="0"/>
              <w:rPr>
                <w:sz w:val="10"/>
                <w:szCs w:val="10"/>
                <w:color w:val="auto"/>
              </w:rPr>
            </w:pPr>
          </w:p>
        </w:tc>
        <w:tc>
          <w:tcPr>
            <w:tcW w:w="360" w:type="dxa"/>
            <w:vAlign w:val="bottom"/>
            <w:tcBorders>
              <w:bottom w:val="single" w:sz="8" w:color="D7282F"/>
            </w:tcBorders>
          </w:tcPr>
          <w:p>
            <w:pPr>
              <w:spacing w:after="0"/>
              <w:rPr>
                <w:sz w:val="10"/>
                <w:szCs w:val="10"/>
                <w:color w:val="auto"/>
              </w:rPr>
            </w:pPr>
          </w:p>
        </w:tc>
        <w:tc>
          <w:tcPr>
            <w:tcW w:w="980" w:type="dxa"/>
            <w:vAlign w:val="bottom"/>
            <w:tcBorders>
              <w:bottom w:val="single" w:sz="8" w:color="D7282F"/>
            </w:tcBorders>
          </w:tcPr>
          <w:p>
            <w:pPr>
              <w:spacing w:after="0"/>
              <w:rPr>
                <w:sz w:val="10"/>
                <w:szCs w:val="10"/>
                <w:color w:val="auto"/>
              </w:rPr>
            </w:pPr>
          </w:p>
        </w:tc>
        <w:tc>
          <w:tcPr>
            <w:tcW w:w="360" w:type="dxa"/>
            <w:vAlign w:val="bottom"/>
            <w:tcBorders>
              <w:bottom w:val="single" w:sz="8" w:color="D7282F"/>
            </w:tcBorders>
          </w:tcPr>
          <w:p>
            <w:pPr>
              <w:spacing w:after="0"/>
              <w:rPr>
                <w:sz w:val="10"/>
                <w:szCs w:val="10"/>
                <w:color w:val="auto"/>
              </w:rPr>
            </w:pPr>
          </w:p>
        </w:tc>
        <w:tc>
          <w:tcPr>
            <w:tcW w:w="960" w:type="dxa"/>
            <w:vAlign w:val="bottom"/>
            <w:tcBorders>
              <w:bottom w:val="single" w:sz="8" w:color="D7282F"/>
            </w:tcBorders>
          </w:tcPr>
          <w:p>
            <w:pPr>
              <w:spacing w:after="0"/>
              <w:rPr>
                <w:sz w:val="10"/>
                <w:szCs w:val="10"/>
                <w:color w:val="auto"/>
              </w:rPr>
            </w:pPr>
          </w:p>
        </w:tc>
        <w:tc>
          <w:tcPr>
            <w:tcW w:w="380" w:type="dxa"/>
            <w:vAlign w:val="bottom"/>
            <w:tcBorders>
              <w:bottom w:val="single" w:sz="8" w:color="D7282F"/>
            </w:tcBorders>
          </w:tcPr>
          <w:p>
            <w:pPr>
              <w:spacing w:after="0"/>
              <w:rPr>
                <w:sz w:val="10"/>
                <w:szCs w:val="10"/>
                <w:color w:val="auto"/>
              </w:rPr>
            </w:pPr>
          </w:p>
        </w:tc>
        <w:tc>
          <w:tcPr>
            <w:tcW w:w="840" w:type="dxa"/>
            <w:vAlign w:val="bottom"/>
            <w:tcBorders>
              <w:bottom w:val="single" w:sz="8" w:color="D7282F"/>
            </w:tcBorders>
          </w:tcPr>
          <w:p>
            <w:pPr>
              <w:spacing w:after="0"/>
              <w:rPr>
                <w:sz w:val="10"/>
                <w:szCs w:val="10"/>
                <w:color w:val="auto"/>
              </w:rPr>
            </w:pPr>
          </w:p>
        </w:tc>
      </w:tr>
      <w:tr>
        <w:trPr>
          <w:trHeight w:val="367"/>
        </w:trPr>
        <w:tc>
          <w:tcPr>
            <w:tcW w:w="4560" w:type="dxa"/>
            <w:vAlign w:val="bottom"/>
          </w:tcPr>
          <w:p>
            <w:pPr>
              <w:ind w:left="20"/>
              <w:spacing w:after="0"/>
              <w:rPr>
                <w:sz w:val="20"/>
                <w:szCs w:val="20"/>
                <w:color w:val="auto"/>
              </w:rPr>
            </w:pPr>
            <w:r>
              <w:rPr>
                <w:rFonts w:ascii="Arial" w:cs="Arial" w:eastAsia="Arial" w:hAnsi="Arial"/>
                <w:sz w:val="14"/>
                <w:szCs w:val="14"/>
                <w:color w:val="auto"/>
              </w:rPr>
              <w:t>Flexjet-related litigation matters</w:t>
            </w:r>
            <w:r>
              <w:rPr>
                <w:rFonts w:ascii="Arial" w:cs="Arial" w:eastAsia="Arial" w:hAnsi="Arial"/>
                <w:sz w:val="18"/>
                <w:szCs w:val="18"/>
                <w:color w:val="auto"/>
                <w:vertAlign w:val="superscript"/>
              </w:rPr>
              <w:t>(7)</w:t>
            </w:r>
          </w:p>
        </w:tc>
        <w:tc>
          <w:tcPr>
            <w:tcW w:w="1620" w:type="dxa"/>
            <w:vAlign w:val="bottom"/>
          </w:tcPr>
          <w:p>
            <w:pPr>
              <w:spacing w:after="0"/>
              <w:rPr>
                <w:sz w:val="24"/>
                <w:szCs w:val="24"/>
                <w:color w:val="auto"/>
              </w:rPr>
            </w:pPr>
          </w:p>
        </w:tc>
        <w:tc>
          <w:tcPr>
            <w:tcW w:w="9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9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9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color w:val="auto"/>
              </w:rPr>
              <w:t>373</w:t>
            </w:r>
          </w:p>
        </w:tc>
      </w:tr>
      <w:tr>
        <w:trPr>
          <w:trHeight w:val="72"/>
        </w:trPr>
        <w:tc>
          <w:tcPr>
            <w:tcW w:w="4560" w:type="dxa"/>
            <w:vAlign w:val="bottom"/>
            <w:tcBorders>
              <w:bottom w:val="single" w:sz="8" w:color="D7282F"/>
            </w:tcBorders>
          </w:tcPr>
          <w:p>
            <w:pPr>
              <w:spacing w:after="0"/>
              <w:rPr>
                <w:sz w:val="6"/>
                <w:szCs w:val="6"/>
                <w:color w:val="auto"/>
              </w:rPr>
            </w:pPr>
          </w:p>
        </w:tc>
        <w:tc>
          <w:tcPr>
            <w:tcW w:w="1620" w:type="dxa"/>
            <w:vAlign w:val="bottom"/>
            <w:tcBorders>
              <w:bottom w:val="single" w:sz="8" w:color="D7282F"/>
            </w:tcBorders>
          </w:tcPr>
          <w:p>
            <w:pPr>
              <w:spacing w:after="0"/>
              <w:rPr>
                <w:sz w:val="6"/>
                <w:szCs w:val="6"/>
                <w:color w:val="auto"/>
              </w:rPr>
            </w:pPr>
          </w:p>
        </w:tc>
        <w:tc>
          <w:tcPr>
            <w:tcW w:w="980" w:type="dxa"/>
            <w:vAlign w:val="bottom"/>
            <w:tcBorders>
              <w:bottom w:val="single" w:sz="8" w:color="D7282F"/>
            </w:tcBorders>
          </w:tcPr>
          <w:p>
            <w:pPr>
              <w:spacing w:after="0"/>
              <w:rPr>
                <w:sz w:val="6"/>
                <w:szCs w:val="6"/>
                <w:color w:val="auto"/>
              </w:rPr>
            </w:pPr>
          </w:p>
        </w:tc>
        <w:tc>
          <w:tcPr>
            <w:tcW w:w="360" w:type="dxa"/>
            <w:vAlign w:val="bottom"/>
            <w:tcBorders>
              <w:bottom w:val="single" w:sz="8" w:color="D7282F"/>
            </w:tcBorders>
          </w:tcPr>
          <w:p>
            <w:pPr>
              <w:spacing w:after="0"/>
              <w:rPr>
                <w:sz w:val="6"/>
                <w:szCs w:val="6"/>
                <w:color w:val="auto"/>
              </w:rPr>
            </w:pPr>
          </w:p>
        </w:tc>
        <w:tc>
          <w:tcPr>
            <w:tcW w:w="980" w:type="dxa"/>
            <w:vAlign w:val="bottom"/>
            <w:tcBorders>
              <w:bottom w:val="single" w:sz="8" w:color="D7282F"/>
            </w:tcBorders>
          </w:tcPr>
          <w:p>
            <w:pPr>
              <w:spacing w:after="0"/>
              <w:rPr>
                <w:sz w:val="6"/>
                <w:szCs w:val="6"/>
                <w:color w:val="auto"/>
              </w:rPr>
            </w:pPr>
          </w:p>
        </w:tc>
        <w:tc>
          <w:tcPr>
            <w:tcW w:w="360" w:type="dxa"/>
            <w:vAlign w:val="bottom"/>
            <w:tcBorders>
              <w:bottom w:val="single" w:sz="8" w:color="D7282F"/>
            </w:tcBorders>
          </w:tcPr>
          <w:p>
            <w:pPr>
              <w:spacing w:after="0"/>
              <w:rPr>
                <w:sz w:val="6"/>
                <w:szCs w:val="6"/>
                <w:color w:val="auto"/>
              </w:rPr>
            </w:pPr>
          </w:p>
        </w:tc>
        <w:tc>
          <w:tcPr>
            <w:tcW w:w="960" w:type="dxa"/>
            <w:vAlign w:val="bottom"/>
            <w:tcBorders>
              <w:bottom w:val="single" w:sz="8" w:color="D7282F"/>
            </w:tcBorders>
          </w:tcPr>
          <w:p>
            <w:pPr>
              <w:spacing w:after="0"/>
              <w:rPr>
                <w:sz w:val="6"/>
                <w:szCs w:val="6"/>
                <w:color w:val="auto"/>
              </w:rPr>
            </w:pPr>
          </w:p>
        </w:tc>
        <w:tc>
          <w:tcPr>
            <w:tcW w:w="380" w:type="dxa"/>
            <w:vAlign w:val="bottom"/>
            <w:tcBorders>
              <w:bottom w:val="single" w:sz="8" w:color="D7282F"/>
            </w:tcBorders>
          </w:tcPr>
          <w:p>
            <w:pPr>
              <w:spacing w:after="0"/>
              <w:rPr>
                <w:sz w:val="6"/>
                <w:szCs w:val="6"/>
                <w:color w:val="auto"/>
              </w:rPr>
            </w:pPr>
          </w:p>
        </w:tc>
        <w:tc>
          <w:tcPr>
            <w:tcW w:w="840" w:type="dxa"/>
            <w:vAlign w:val="bottom"/>
            <w:tcBorders>
              <w:bottom w:val="single" w:sz="8" w:color="D7282F"/>
            </w:tcBorders>
          </w:tcPr>
          <w:p>
            <w:pPr>
              <w:spacing w:after="0"/>
              <w:rPr>
                <w:sz w:val="6"/>
                <w:szCs w:val="6"/>
                <w:color w:val="auto"/>
              </w:rPr>
            </w:pPr>
          </w:p>
        </w:tc>
      </w:tr>
      <w:tr>
        <w:trPr>
          <w:trHeight w:val="315"/>
        </w:trPr>
        <w:tc>
          <w:tcPr>
            <w:tcW w:w="4560" w:type="dxa"/>
            <w:vAlign w:val="bottom"/>
          </w:tcPr>
          <w:p>
            <w:pPr>
              <w:ind w:left="20"/>
              <w:spacing w:after="0"/>
              <w:rPr>
                <w:sz w:val="20"/>
                <w:szCs w:val="20"/>
                <w:color w:val="auto"/>
              </w:rPr>
            </w:pPr>
            <w:r>
              <w:rPr>
                <w:rFonts w:ascii="Arial" w:cs="Arial" w:eastAsia="Arial" w:hAnsi="Arial"/>
                <w:sz w:val="14"/>
                <w:szCs w:val="14"/>
                <w:b w:val="1"/>
                <w:bCs w:val="1"/>
                <w:color w:val="auto"/>
              </w:rPr>
              <w:t>Adjusted segment profit</w:t>
            </w:r>
          </w:p>
        </w:tc>
        <w:tc>
          <w:tcPr>
            <w:tcW w:w="1620" w:type="dxa"/>
            <w:vAlign w:val="bottom"/>
          </w:tcPr>
          <w:p>
            <w:pPr>
              <w:spacing w:after="0"/>
              <w:rPr>
                <w:sz w:val="24"/>
                <w:szCs w:val="24"/>
                <w:color w:val="auto"/>
              </w:rPr>
            </w:pPr>
          </w:p>
        </w:tc>
        <w:tc>
          <w:tcPr>
            <w:tcW w:w="980" w:type="dxa"/>
            <w:vAlign w:val="bottom"/>
          </w:tcPr>
          <w:p>
            <w:pPr>
              <w:jc w:val="right"/>
              <w:ind w:right="308"/>
              <w:spacing w:after="0"/>
              <w:rPr>
                <w:sz w:val="20"/>
                <w:szCs w:val="20"/>
                <w:color w:val="auto"/>
              </w:rPr>
            </w:pPr>
            <w:r>
              <w:rPr>
                <w:rFonts w:ascii="Arial" w:cs="Arial" w:eastAsia="Arial" w:hAnsi="Arial"/>
                <w:sz w:val="14"/>
                <w:szCs w:val="14"/>
                <w:b w:val="1"/>
                <w:bCs w:val="1"/>
                <w:color w:val="auto"/>
              </w:rPr>
              <w:t>6,844</w:t>
            </w:r>
          </w:p>
        </w:tc>
        <w:tc>
          <w:tcPr>
            <w:tcW w:w="360" w:type="dxa"/>
            <w:vAlign w:val="bottom"/>
          </w:tcPr>
          <w:p>
            <w:pPr>
              <w:spacing w:after="0"/>
              <w:rPr>
                <w:sz w:val="24"/>
                <w:szCs w:val="24"/>
                <w:color w:val="auto"/>
              </w:rPr>
            </w:pPr>
          </w:p>
        </w:tc>
        <w:tc>
          <w:tcPr>
            <w:tcW w:w="980" w:type="dxa"/>
            <w:vAlign w:val="bottom"/>
          </w:tcPr>
          <w:p>
            <w:pPr>
              <w:jc w:val="right"/>
              <w:ind w:right="308"/>
              <w:spacing w:after="0"/>
              <w:rPr>
                <w:sz w:val="20"/>
                <w:szCs w:val="20"/>
                <w:color w:val="auto"/>
              </w:rPr>
            </w:pPr>
            <w:r>
              <w:rPr>
                <w:rFonts w:ascii="Arial" w:cs="Arial" w:eastAsia="Arial" w:hAnsi="Arial"/>
                <w:sz w:val="14"/>
                <w:szCs w:val="14"/>
                <w:b w:val="1"/>
                <w:bCs w:val="1"/>
                <w:color w:val="auto"/>
              </w:rPr>
              <w:t>7,563</w:t>
            </w:r>
          </w:p>
        </w:tc>
        <w:tc>
          <w:tcPr>
            <w:tcW w:w="360" w:type="dxa"/>
            <w:vAlign w:val="bottom"/>
          </w:tcPr>
          <w:p>
            <w:pPr>
              <w:spacing w:after="0"/>
              <w:rPr>
                <w:sz w:val="24"/>
                <w:szCs w:val="24"/>
                <w:color w:val="auto"/>
              </w:rPr>
            </w:pPr>
          </w:p>
        </w:tc>
        <w:tc>
          <w:tcPr>
            <w:tcW w:w="960" w:type="dxa"/>
            <w:vAlign w:val="bottom"/>
          </w:tcPr>
          <w:p>
            <w:pPr>
              <w:jc w:val="right"/>
              <w:ind w:right="288"/>
              <w:spacing w:after="0"/>
              <w:rPr>
                <w:sz w:val="20"/>
                <w:szCs w:val="20"/>
                <w:color w:val="auto"/>
              </w:rPr>
            </w:pPr>
            <w:r>
              <w:rPr>
                <w:rFonts w:ascii="Arial" w:cs="Arial" w:eastAsia="Arial" w:hAnsi="Arial"/>
                <w:sz w:val="14"/>
                <w:szCs w:val="14"/>
                <w:b w:val="1"/>
                <w:bCs w:val="1"/>
                <w:color w:val="auto"/>
              </w:rPr>
              <w:t>7,667</w:t>
            </w:r>
          </w:p>
        </w:tc>
        <w:tc>
          <w:tcPr>
            <w:tcW w:w="380" w:type="dxa"/>
            <w:vAlign w:val="bottom"/>
          </w:tcPr>
          <w:p>
            <w:pPr>
              <w:spacing w:after="0"/>
              <w:rPr>
                <w:sz w:val="24"/>
                <w:szCs w:val="24"/>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b w:val="1"/>
                <w:bCs w:val="1"/>
                <w:color w:val="auto"/>
              </w:rPr>
              <w:t>8,500</w:t>
            </w:r>
          </w:p>
        </w:tc>
      </w:tr>
      <w:tr>
        <w:trPr>
          <w:trHeight w:val="123"/>
        </w:trPr>
        <w:tc>
          <w:tcPr>
            <w:tcW w:w="4560" w:type="dxa"/>
            <w:vAlign w:val="bottom"/>
            <w:tcBorders>
              <w:bottom w:val="single" w:sz="8" w:color="D7282F"/>
            </w:tcBorders>
          </w:tcPr>
          <w:p>
            <w:pPr>
              <w:spacing w:after="0"/>
              <w:rPr>
                <w:sz w:val="10"/>
                <w:szCs w:val="10"/>
                <w:color w:val="auto"/>
              </w:rPr>
            </w:pPr>
          </w:p>
        </w:tc>
        <w:tc>
          <w:tcPr>
            <w:tcW w:w="1620" w:type="dxa"/>
            <w:vAlign w:val="bottom"/>
            <w:tcBorders>
              <w:bottom w:val="single" w:sz="8" w:color="D7282F"/>
            </w:tcBorders>
          </w:tcPr>
          <w:p>
            <w:pPr>
              <w:spacing w:after="0"/>
              <w:rPr>
                <w:sz w:val="10"/>
                <w:szCs w:val="10"/>
                <w:color w:val="auto"/>
              </w:rPr>
            </w:pPr>
          </w:p>
        </w:tc>
        <w:tc>
          <w:tcPr>
            <w:tcW w:w="980" w:type="dxa"/>
            <w:vAlign w:val="bottom"/>
            <w:tcBorders>
              <w:bottom w:val="single" w:sz="8" w:color="D7282F"/>
            </w:tcBorders>
          </w:tcPr>
          <w:p>
            <w:pPr>
              <w:spacing w:after="0"/>
              <w:rPr>
                <w:sz w:val="10"/>
                <w:szCs w:val="10"/>
                <w:color w:val="auto"/>
              </w:rPr>
            </w:pPr>
          </w:p>
        </w:tc>
        <w:tc>
          <w:tcPr>
            <w:tcW w:w="360" w:type="dxa"/>
            <w:vAlign w:val="bottom"/>
            <w:tcBorders>
              <w:bottom w:val="single" w:sz="8" w:color="D7282F"/>
            </w:tcBorders>
          </w:tcPr>
          <w:p>
            <w:pPr>
              <w:spacing w:after="0"/>
              <w:rPr>
                <w:sz w:val="10"/>
                <w:szCs w:val="10"/>
                <w:color w:val="auto"/>
              </w:rPr>
            </w:pPr>
          </w:p>
        </w:tc>
        <w:tc>
          <w:tcPr>
            <w:tcW w:w="980" w:type="dxa"/>
            <w:vAlign w:val="bottom"/>
            <w:tcBorders>
              <w:bottom w:val="single" w:sz="8" w:color="D7282F"/>
            </w:tcBorders>
          </w:tcPr>
          <w:p>
            <w:pPr>
              <w:spacing w:after="0"/>
              <w:rPr>
                <w:sz w:val="10"/>
                <w:szCs w:val="10"/>
                <w:color w:val="auto"/>
              </w:rPr>
            </w:pPr>
          </w:p>
        </w:tc>
        <w:tc>
          <w:tcPr>
            <w:tcW w:w="360" w:type="dxa"/>
            <w:vAlign w:val="bottom"/>
            <w:tcBorders>
              <w:bottom w:val="single" w:sz="8" w:color="D7282F"/>
            </w:tcBorders>
          </w:tcPr>
          <w:p>
            <w:pPr>
              <w:spacing w:after="0"/>
              <w:rPr>
                <w:sz w:val="10"/>
                <w:szCs w:val="10"/>
                <w:color w:val="auto"/>
              </w:rPr>
            </w:pPr>
          </w:p>
        </w:tc>
        <w:tc>
          <w:tcPr>
            <w:tcW w:w="960" w:type="dxa"/>
            <w:vAlign w:val="bottom"/>
            <w:tcBorders>
              <w:bottom w:val="single" w:sz="8" w:color="D7282F"/>
            </w:tcBorders>
          </w:tcPr>
          <w:p>
            <w:pPr>
              <w:spacing w:after="0"/>
              <w:rPr>
                <w:sz w:val="10"/>
                <w:szCs w:val="10"/>
                <w:color w:val="auto"/>
              </w:rPr>
            </w:pPr>
          </w:p>
        </w:tc>
        <w:tc>
          <w:tcPr>
            <w:tcW w:w="380" w:type="dxa"/>
            <w:vAlign w:val="bottom"/>
            <w:tcBorders>
              <w:bottom w:val="single" w:sz="8" w:color="D7282F"/>
            </w:tcBorders>
          </w:tcPr>
          <w:p>
            <w:pPr>
              <w:spacing w:after="0"/>
              <w:rPr>
                <w:sz w:val="10"/>
                <w:szCs w:val="10"/>
                <w:color w:val="auto"/>
              </w:rPr>
            </w:pPr>
          </w:p>
        </w:tc>
        <w:tc>
          <w:tcPr>
            <w:tcW w:w="840" w:type="dxa"/>
            <w:vAlign w:val="bottom"/>
            <w:tcBorders>
              <w:bottom w:val="single" w:sz="8" w:color="D7282F"/>
            </w:tcBorders>
          </w:tcPr>
          <w:p>
            <w:pPr>
              <w:spacing w:after="0"/>
              <w:rPr>
                <w:sz w:val="10"/>
                <w:szCs w:val="10"/>
                <w:color w:val="auto"/>
              </w:rPr>
            </w:pPr>
          </w:p>
        </w:tc>
      </w:tr>
      <w:tr>
        <w:trPr>
          <w:trHeight w:val="296"/>
        </w:trPr>
        <w:tc>
          <w:tcPr>
            <w:tcW w:w="456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1620" w:type="dxa"/>
            <w:vAlign w:val="bottom"/>
          </w:tcPr>
          <w:p>
            <w:pPr>
              <w:spacing w:after="0"/>
              <w:rPr>
                <w:sz w:val="24"/>
                <w:szCs w:val="24"/>
                <w:color w:val="auto"/>
              </w:rPr>
            </w:pPr>
          </w:p>
        </w:tc>
        <w:tc>
          <w:tcPr>
            <w:tcW w:w="980" w:type="dxa"/>
            <w:vAlign w:val="bottom"/>
          </w:tcPr>
          <w:p>
            <w:pPr>
              <w:jc w:val="right"/>
              <w:ind w:right="308"/>
              <w:spacing w:after="0"/>
              <w:rPr>
                <w:sz w:val="20"/>
                <w:szCs w:val="20"/>
                <w:color w:val="auto"/>
              </w:rPr>
            </w:pPr>
            <w:r>
              <w:rPr>
                <w:rFonts w:ascii="Arial" w:cs="Arial" w:eastAsia="Arial" w:hAnsi="Arial"/>
                <w:sz w:val="14"/>
                <w:szCs w:val="14"/>
                <w:color w:val="auto"/>
              </w:rPr>
              <w:t>5,328</w:t>
            </w:r>
          </w:p>
        </w:tc>
        <w:tc>
          <w:tcPr>
            <w:tcW w:w="360" w:type="dxa"/>
            <w:vAlign w:val="bottom"/>
          </w:tcPr>
          <w:p>
            <w:pPr>
              <w:spacing w:after="0"/>
              <w:rPr>
                <w:sz w:val="24"/>
                <w:szCs w:val="24"/>
                <w:color w:val="auto"/>
              </w:rPr>
            </w:pPr>
          </w:p>
        </w:tc>
        <w:tc>
          <w:tcPr>
            <w:tcW w:w="980" w:type="dxa"/>
            <w:vAlign w:val="bottom"/>
          </w:tcPr>
          <w:p>
            <w:pPr>
              <w:jc w:val="right"/>
              <w:ind w:right="308"/>
              <w:spacing w:after="0"/>
              <w:rPr>
                <w:sz w:val="20"/>
                <w:szCs w:val="20"/>
                <w:color w:val="auto"/>
              </w:rPr>
            </w:pPr>
            <w:r>
              <w:rPr>
                <w:rFonts w:ascii="Arial" w:cs="Arial" w:eastAsia="Arial" w:hAnsi="Arial"/>
                <w:sz w:val="14"/>
                <w:szCs w:val="14"/>
                <w:color w:val="auto"/>
              </w:rPr>
              <w:t>6,110</w:t>
            </w:r>
          </w:p>
        </w:tc>
        <w:tc>
          <w:tcPr>
            <w:tcW w:w="360" w:type="dxa"/>
            <w:vAlign w:val="bottom"/>
          </w:tcPr>
          <w:p>
            <w:pPr>
              <w:spacing w:after="0"/>
              <w:rPr>
                <w:sz w:val="24"/>
                <w:szCs w:val="24"/>
                <w:color w:val="auto"/>
              </w:rPr>
            </w:pPr>
          </w:p>
        </w:tc>
        <w:tc>
          <w:tcPr>
            <w:tcW w:w="960" w:type="dxa"/>
            <w:vAlign w:val="bottom"/>
          </w:tcPr>
          <w:p>
            <w:pPr>
              <w:jc w:val="right"/>
              <w:ind w:right="288"/>
              <w:spacing w:after="0"/>
              <w:rPr>
                <w:sz w:val="20"/>
                <w:szCs w:val="20"/>
                <w:color w:val="auto"/>
              </w:rPr>
            </w:pPr>
            <w:r>
              <w:rPr>
                <w:rFonts w:ascii="Arial" w:cs="Arial" w:eastAsia="Arial" w:hAnsi="Arial"/>
                <w:sz w:val="14"/>
                <w:szCs w:val="14"/>
                <w:color w:val="auto"/>
              </w:rPr>
              <w:t>6,449</w:t>
            </w:r>
          </w:p>
        </w:tc>
        <w:tc>
          <w:tcPr>
            <w:tcW w:w="380" w:type="dxa"/>
            <w:vAlign w:val="bottom"/>
          </w:tcPr>
          <w:p>
            <w:pPr>
              <w:spacing w:after="0"/>
              <w:rPr>
                <w:sz w:val="24"/>
                <w:szCs w:val="24"/>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color w:val="auto"/>
              </w:rPr>
              <w:t>5,573</w:t>
            </w:r>
          </w:p>
        </w:tc>
      </w:tr>
      <w:tr>
        <w:trPr>
          <w:trHeight w:val="130"/>
        </w:trPr>
        <w:tc>
          <w:tcPr>
            <w:tcW w:w="4560" w:type="dxa"/>
            <w:vAlign w:val="bottom"/>
            <w:tcBorders>
              <w:bottom w:val="single" w:sz="8" w:color="939598"/>
            </w:tcBorders>
          </w:tcPr>
          <w:p>
            <w:pPr>
              <w:spacing w:after="0"/>
              <w:rPr>
                <w:sz w:val="11"/>
                <w:szCs w:val="11"/>
                <w:color w:val="auto"/>
              </w:rPr>
            </w:pPr>
          </w:p>
        </w:tc>
        <w:tc>
          <w:tcPr>
            <w:tcW w:w="1620" w:type="dxa"/>
            <w:vAlign w:val="bottom"/>
            <w:tcBorders>
              <w:bottom w:val="single" w:sz="8" w:color="939598"/>
            </w:tcBorders>
          </w:tcPr>
          <w:p>
            <w:pPr>
              <w:spacing w:after="0"/>
              <w:rPr>
                <w:sz w:val="11"/>
                <w:szCs w:val="11"/>
                <w:color w:val="auto"/>
              </w:rPr>
            </w:pPr>
          </w:p>
        </w:tc>
        <w:tc>
          <w:tcPr>
            <w:tcW w:w="980" w:type="dxa"/>
            <w:vAlign w:val="bottom"/>
            <w:tcBorders>
              <w:bottom w:val="single" w:sz="8" w:color="939598"/>
            </w:tcBorders>
          </w:tcPr>
          <w:p>
            <w:pPr>
              <w:spacing w:after="0"/>
              <w:rPr>
                <w:sz w:val="11"/>
                <w:szCs w:val="11"/>
                <w:color w:val="auto"/>
              </w:rPr>
            </w:pPr>
          </w:p>
        </w:tc>
        <w:tc>
          <w:tcPr>
            <w:tcW w:w="360" w:type="dxa"/>
            <w:vAlign w:val="bottom"/>
            <w:tcBorders>
              <w:bottom w:val="single" w:sz="8" w:color="939598"/>
            </w:tcBorders>
          </w:tcPr>
          <w:p>
            <w:pPr>
              <w:spacing w:after="0"/>
              <w:rPr>
                <w:sz w:val="11"/>
                <w:szCs w:val="11"/>
                <w:color w:val="auto"/>
              </w:rPr>
            </w:pPr>
          </w:p>
        </w:tc>
        <w:tc>
          <w:tcPr>
            <w:tcW w:w="980" w:type="dxa"/>
            <w:vAlign w:val="bottom"/>
            <w:tcBorders>
              <w:bottom w:val="single" w:sz="8" w:color="939598"/>
            </w:tcBorders>
          </w:tcPr>
          <w:p>
            <w:pPr>
              <w:spacing w:after="0"/>
              <w:rPr>
                <w:sz w:val="11"/>
                <w:szCs w:val="11"/>
                <w:color w:val="auto"/>
              </w:rPr>
            </w:pPr>
          </w:p>
        </w:tc>
        <w:tc>
          <w:tcPr>
            <w:tcW w:w="360" w:type="dxa"/>
            <w:vAlign w:val="bottom"/>
            <w:tcBorders>
              <w:bottom w:val="single" w:sz="8" w:color="939598"/>
            </w:tcBorders>
          </w:tcPr>
          <w:p>
            <w:pPr>
              <w:spacing w:after="0"/>
              <w:rPr>
                <w:sz w:val="11"/>
                <w:szCs w:val="11"/>
                <w:color w:val="auto"/>
              </w:rPr>
            </w:pPr>
          </w:p>
        </w:tc>
        <w:tc>
          <w:tcPr>
            <w:tcW w:w="960" w:type="dxa"/>
            <w:vAlign w:val="bottom"/>
            <w:tcBorders>
              <w:bottom w:val="single" w:sz="8" w:color="939598"/>
            </w:tcBorders>
          </w:tcPr>
          <w:p>
            <w:pPr>
              <w:spacing w:after="0"/>
              <w:rPr>
                <w:sz w:val="11"/>
                <w:szCs w:val="11"/>
                <w:color w:val="auto"/>
              </w:rPr>
            </w:pPr>
          </w:p>
        </w:tc>
        <w:tc>
          <w:tcPr>
            <w:tcW w:w="380" w:type="dxa"/>
            <w:vAlign w:val="bottom"/>
            <w:tcBorders>
              <w:bottom w:val="single" w:sz="8" w:color="939598"/>
            </w:tcBorders>
          </w:tcPr>
          <w:p>
            <w:pPr>
              <w:spacing w:after="0"/>
              <w:rPr>
                <w:sz w:val="11"/>
                <w:szCs w:val="11"/>
                <w:color w:val="auto"/>
              </w:rPr>
            </w:pPr>
          </w:p>
        </w:tc>
        <w:tc>
          <w:tcPr>
            <w:tcW w:w="840" w:type="dxa"/>
            <w:vAlign w:val="bottom"/>
            <w:tcBorders>
              <w:bottom w:val="single" w:sz="8" w:color="939598"/>
            </w:tcBorders>
          </w:tcPr>
          <w:p>
            <w:pPr>
              <w:spacing w:after="0"/>
              <w:rPr>
                <w:sz w:val="11"/>
                <w:szCs w:val="11"/>
                <w:color w:val="auto"/>
              </w:rPr>
            </w:pPr>
          </w:p>
        </w:tc>
      </w:tr>
      <w:tr>
        <w:trPr>
          <w:trHeight w:val="296"/>
        </w:trPr>
        <w:tc>
          <w:tcPr>
            <w:tcW w:w="4560" w:type="dxa"/>
            <w:vAlign w:val="bottom"/>
          </w:tcPr>
          <w:p>
            <w:pPr>
              <w:ind w:left="20"/>
              <w:spacing w:after="0"/>
              <w:rPr>
                <w:sz w:val="20"/>
                <w:szCs w:val="20"/>
                <w:color w:val="auto"/>
              </w:rPr>
            </w:pPr>
            <w:r>
              <w:rPr>
                <w:rFonts w:ascii="Arial" w:cs="Arial" w:eastAsia="Arial" w:hAnsi="Arial"/>
                <w:sz w:val="14"/>
                <w:szCs w:val="14"/>
                <w:color w:val="auto"/>
              </w:rPr>
              <w:t>÷ Net sales</w:t>
            </w:r>
          </w:p>
        </w:tc>
        <w:tc>
          <w:tcPr>
            <w:tcW w:w="1620" w:type="dxa"/>
            <w:vAlign w:val="bottom"/>
          </w:tcPr>
          <w:p>
            <w:pPr>
              <w:spacing w:after="0"/>
              <w:rPr>
                <w:sz w:val="24"/>
                <w:szCs w:val="24"/>
                <w:color w:val="auto"/>
              </w:rPr>
            </w:pPr>
          </w:p>
        </w:tc>
        <w:tc>
          <w:tcPr>
            <w:tcW w:w="980" w:type="dxa"/>
            <w:vAlign w:val="bottom"/>
          </w:tcPr>
          <w:p>
            <w:pPr>
              <w:jc w:val="right"/>
              <w:ind w:right="308"/>
              <w:spacing w:after="0"/>
              <w:rPr>
                <w:sz w:val="20"/>
                <w:szCs w:val="20"/>
                <w:color w:val="auto"/>
              </w:rPr>
            </w:pPr>
            <w:r>
              <w:rPr>
                <w:rFonts w:ascii="Arial" w:cs="Arial" w:eastAsia="Arial" w:hAnsi="Arial"/>
                <w:sz w:val="14"/>
                <w:szCs w:val="14"/>
                <w:color w:val="auto"/>
              </w:rPr>
              <w:t>31,875</w:t>
            </w:r>
          </w:p>
        </w:tc>
        <w:tc>
          <w:tcPr>
            <w:tcW w:w="360" w:type="dxa"/>
            <w:vAlign w:val="bottom"/>
          </w:tcPr>
          <w:p>
            <w:pPr>
              <w:spacing w:after="0"/>
              <w:rPr>
                <w:sz w:val="24"/>
                <w:szCs w:val="24"/>
                <w:color w:val="auto"/>
              </w:rPr>
            </w:pPr>
          </w:p>
        </w:tc>
        <w:tc>
          <w:tcPr>
            <w:tcW w:w="980" w:type="dxa"/>
            <w:vAlign w:val="bottom"/>
          </w:tcPr>
          <w:p>
            <w:pPr>
              <w:jc w:val="right"/>
              <w:ind w:right="308"/>
              <w:spacing w:after="0"/>
              <w:rPr>
                <w:sz w:val="20"/>
                <w:szCs w:val="20"/>
                <w:color w:val="auto"/>
              </w:rPr>
            </w:pPr>
            <w:r>
              <w:rPr>
                <w:rFonts w:ascii="Arial" w:cs="Arial" w:eastAsia="Arial" w:hAnsi="Arial"/>
                <w:sz w:val="14"/>
                <w:szCs w:val="14"/>
                <w:color w:val="auto"/>
              </w:rPr>
              <w:t>33,009</w:t>
            </w:r>
          </w:p>
        </w:tc>
        <w:tc>
          <w:tcPr>
            <w:tcW w:w="360" w:type="dxa"/>
            <w:vAlign w:val="bottom"/>
          </w:tcPr>
          <w:p>
            <w:pPr>
              <w:spacing w:after="0"/>
              <w:rPr>
                <w:sz w:val="24"/>
                <w:szCs w:val="24"/>
                <w:color w:val="auto"/>
              </w:rPr>
            </w:pPr>
          </w:p>
        </w:tc>
        <w:tc>
          <w:tcPr>
            <w:tcW w:w="960" w:type="dxa"/>
            <w:vAlign w:val="bottom"/>
          </w:tcPr>
          <w:p>
            <w:pPr>
              <w:jc w:val="right"/>
              <w:ind w:right="288"/>
              <w:spacing w:after="0"/>
              <w:rPr>
                <w:sz w:val="20"/>
                <w:szCs w:val="20"/>
                <w:color w:val="auto"/>
              </w:rPr>
            </w:pPr>
            <w:r>
              <w:rPr>
                <w:rFonts w:ascii="Arial" w:cs="Arial" w:eastAsia="Arial" w:hAnsi="Arial"/>
                <w:sz w:val="14"/>
                <w:szCs w:val="14"/>
                <w:color w:val="auto"/>
              </w:rPr>
              <w:t>34,717</w:t>
            </w:r>
          </w:p>
        </w:tc>
        <w:tc>
          <w:tcPr>
            <w:tcW w:w="380" w:type="dxa"/>
            <w:vAlign w:val="bottom"/>
          </w:tcPr>
          <w:p>
            <w:pPr>
              <w:spacing w:after="0"/>
              <w:rPr>
                <w:sz w:val="24"/>
                <w:szCs w:val="24"/>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color w:val="auto"/>
              </w:rPr>
              <w:t>37,442</w:t>
            </w:r>
          </w:p>
        </w:tc>
      </w:tr>
      <w:tr>
        <w:trPr>
          <w:trHeight w:val="130"/>
        </w:trPr>
        <w:tc>
          <w:tcPr>
            <w:tcW w:w="4560" w:type="dxa"/>
            <w:vAlign w:val="bottom"/>
            <w:tcBorders>
              <w:bottom w:val="single" w:sz="8" w:color="D7282F"/>
            </w:tcBorders>
          </w:tcPr>
          <w:p>
            <w:pPr>
              <w:spacing w:after="0"/>
              <w:rPr>
                <w:sz w:val="11"/>
                <w:szCs w:val="11"/>
                <w:color w:val="auto"/>
              </w:rPr>
            </w:pPr>
          </w:p>
        </w:tc>
        <w:tc>
          <w:tcPr>
            <w:tcW w:w="1620" w:type="dxa"/>
            <w:vAlign w:val="bottom"/>
            <w:tcBorders>
              <w:bottom w:val="single" w:sz="8" w:color="D7282F"/>
            </w:tcBorders>
          </w:tcPr>
          <w:p>
            <w:pPr>
              <w:spacing w:after="0"/>
              <w:rPr>
                <w:sz w:val="11"/>
                <w:szCs w:val="11"/>
                <w:color w:val="auto"/>
              </w:rPr>
            </w:pPr>
          </w:p>
        </w:tc>
        <w:tc>
          <w:tcPr>
            <w:tcW w:w="980" w:type="dxa"/>
            <w:vAlign w:val="bottom"/>
            <w:tcBorders>
              <w:bottom w:val="single" w:sz="8" w:color="D7282F"/>
            </w:tcBorders>
          </w:tcPr>
          <w:p>
            <w:pPr>
              <w:spacing w:after="0"/>
              <w:rPr>
                <w:sz w:val="11"/>
                <w:szCs w:val="11"/>
                <w:color w:val="auto"/>
              </w:rPr>
            </w:pPr>
          </w:p>
        </w:tc>
        <w:tc>
          <w:tcPr>
            <w:tcW w:w="360" w:type="dxa"/>
            <w:vAlign w:val="bottom"/>
            <w:tcBorders>
              <w:bottom w:val="single" w:sz="8" w:color="D7282F"/>
            </w:tcBorders>
          </w:tcPr>
          <w:p>
            <w:pPr>
              <w:spacing w:after="0"/>
              <w:rPr>
                <w:sz w:val="11"/>
                <w:szCs w:val="11"/>
                <w:color w:val="auto"/>
              </w:rPr>
            </w:pPr>
          </w:p>
        </w:tc>
        <w:tc>
          <w:tcPr>
            <w:tcW w:w="980" w:type="dxa"/>
            <w:vAlign w:val="bottom"/>
            <w:tcBorders>
              <w:bottom w:val="single" w:sz="8" w:color="D7282F"/>
            </w:tcBorders>
          </w:tcPr>
          <w:p>
            <w:pPr>
              <w:spacing w:after="0"/>
              <w:rPr>
                <w:sz w:val="11"/>
                <w:szCs w:val="11"/>
                <w:color w:val="auto"/>
              </w:rPr>
            </w:pPr>
          </w:p>
        </w:tc>
        <w:tc>
          <w:tcPr>
            <w:tcW w:w="360" w:type="dxa"/>
            <w:vAlign w:val="bottom"/>
            <w:tcBorders>
              <w:bottom w:val="single" w:sz="8" w:color="D7282F"/>
            </w:tcBorders>
          </w:tcPr>
          <w:p>
            <w:pPr>
              <w:spacing w:after="0"/>
              <w:rPr>
                <w:sz w:val="11"/>
                <w:szCs w:val="11"/>
                <w:color w:val="auto"/>
              </w:rPr>
            </w:pPr>
          </w:p>
        </w:tc>
        <w:tc>
          <w:tcPr>
            <w:tcW w:w="960" w:type="dxa"/>
            <w:vAlign w:val="bottom"/>
            <w:tcBorders>
              <w:bottom w:val="single" w:sz="8" w:color="D7282F"/>
            </w:tcBorders>
          </w:tcPr>
          <w:p>
            <w:pPr>
              <w:spacing w:after="0"/>
              <w:rPr>
                <w:sz w:val="11"/>
                <w:szCs w:val="11"/>
                <w:color w:val="auto"/>
              </w:rPr>
            </w:pPr>
          </w:p>
        </w:tc>
        <w:tc>
          <w:tcPr>
            <w:tcW w:w="380" w:type="dxa"/>
            <w:vAlign w:val="bottom"/>
            <w:tcBorders>
              <w:bottom w:val="single" w:sz="8" w:color="D7282F"/>
            </w:tcBorders>
          </w:tcPr>
          <w:p>
            <w:pPr>
              <w:spacing w:after="0"/>
              <w:rPr>
                <w:sz w:val="11"/>
                <w:szCs w:val="11"/>
                <w:color w:val="auto"/>
              </w:rPr>
            </w:pPr>
          </w:p>
        </w:tc>
        <w:tc>
          <w:tcPr>
            <w:tcW w:w="840" w:type="dxa"/>
            <w:vAlign w:val="bottom"/>
            <w:tcBorders>
              <w:bottom w:val="single" w:sz="8" w:color="D7282F"/>
            </w:tcBorders>
          </w:tcPr>
          <w:p>
            <w:pPr>
              <w:spacing w:after="0"/>
              <w:rPr>
                <w:sz w:val="11"/>
                <w:szCs w:val="11"/>
                <w:color w:val="auto"/>
              </w:rPr>
            </w:pPr>
          </w:p>
        </w:tc>
      </w:tr>
      <w:tr>
        <w:trPr>
          <w:trHeight w:val="302"/>
        </w:trPr>
        <w:tc>
          <w:tcPr>
            <w:tcW w:w="4560" w:type="dxa"/>
            <w:vAlign w:val="bottom"/>
          </w:tcPr>
          <w:p>
            <w:pPr>
              <w:ind w:left="20"/>
              <w:spacing w:after="0"/>
              <w:rPr>
                <w:sz w:val="20"/>
                <w:szCs w:val="20"/>
                <w:color w:val="auto"/>
              </w:rPr>
            </w:pPr>
            <w:r>
              <w:rPr>
                <w:rFonts w:ascii="Arial" w:cs="Arial" w:eastAsia="Arial" w:hAnsi="Arial"/>
                <w:sz w:val="14"/>
                <w:szCs w:val="14"/>
                <w:b w:val="1"/>
                <w:bCs w:val="1"/>
                <w:color w:val="auto"/>
              </w:rPr>
              <w:t>Operating income margin %</w:t>
            </w:r>
          </w:p>
        </w:tc>
        <w:tc>
          <w:tcPr>
            <w:tcW w:w="1620" w:type="dxa"/>
            <w:vAlign w:val="bottom"/>
          </w:tcPr>
          <w:p>
            <w:pPr>
              <w:spacing w:after="0"/>
              <w:rPr>
                <w:sz w:val="24"/>
                <w:szCs w:val="24"/>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b w:val="1"/>
                <w:bCs w:val="1"/>
                <w:color w:val="auto"/>
              </w:rPr>
              <w:t>16.7%</w:t>
            </w:r>
          </w:p>
        </w:tc>
        <w:tc>
          <w:tcPr>
            <w:tcW w:w="360" w:type="dxa"/>
            <w:vAlign w:val="bottom"/>
          </w:tcPr>
          <w:p>
            <w:pPr>
              <w:spacing w:after="0"/>
              <w:rPr>
                <w:sz w:val="24"/>
                <w:szCs w:val="24"/>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b w:val="1"/>
                <w:bCs w:val="1"/>
                <w:color w:val="auto"/>
              </w:rPr>
              <w:t>18.5%</w:t>
            </w:r>
          </w:p>
        </w:tc>
        <w:tc>
          <w:tcPr>
            <w:tcW w:w="360" w:type="dxa"/>
            <w:vAlign w:val="bottom"/>
          </w:tcPr>
          <w:p>
            <w:pPr>
              <w:spacing w:after="0"/>
              <w:rPr>
                <w:sz w:val="24"/>
                <w:szCs w:val="24"/>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18.6%</w:t>
            </w: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14.9%</w:t>
            </w:r>
          </w:p>
        </w:tc>
      </w:tr>
      <w:tr>
        <w:trPr>
          <w:trHeight w:val="123"/>
        </w:trPr>
        <w:tc>
          <w:tcPr>
            <w:tcW w:w="4560" w:type="dxa"/>
            <w:vAlign w:val="bottom"/>
            <w:tcBorders>
              <w:bottom w:val="single" w:sz="8" w:color="D7282F"/>
            </w:tcBorders>
          </w:tcPr>
          <w:p>
            <w:pPr>
              <w:spacing w:after="0"/>
              <w:rPr>
                <w:sz w:val="10"/>
                <w:szCs w:val="10"/>
                <w:color w:val="auto"/>
              </w:rPr>
            </w:pPr>
          </w:p>
        </w:tc>
        <w:tc>
          <w:tcPr>
            <w:tcW w:w="1620" w:type="dxa"/>
            <w:vAlign w:val="bottom"/>
            <w:tcBorders>
              <w:bottom w:val="single" w:sz="8" w:color="D7282F"/>
            </w:tcBorders>
          </w:tcPr>
          <w:p>
            <w:pPr>
              <w:spacing w:after="0"/>
              <w:rPr>
                <w:sz w:val="10"/>
                <w:szCs w:val="10"/>
                <w:color w:val="auto"/>
              </w:rPr>
            </w:pPr>
          </w:p>
        </w:tc>
        <w:tc>
          <w:tcPr>
            <w:tcW w:w="980" w:type="dxa"/>
            <w:vAlign w:val="bottom"/>
            <w:tcBorders>
              <w:bottom w:val="single" w:sz="8" w:color="D7282F"/>
            </w:tcBorders>
          </w:tcPr>
          <w:p>
            <w:pPr>
              <w:spacing w:after="0"/>
              <w:rPr>
                <w:sz w:val="10"/>
                <w:szCs w:val="10"/>
                <w:color w:val="auto"/>
              </w:rPr>
            </w:pPr>
          </w:p>
        </w:tc>
        <w:tc>
          <w:tcPr>
            <w:tcW w:w="360" w:type="dxa"/>
            <w:vAlign w:val="bottom"/>
            <w:tcBorders>
              <w:bottom w:val="single" w:sz="8" w:color="D7282F"/>
            </w:tcBorders>
          </w:tcPr>
          <w:p>
            <w:pPr>
              <w:spacing w:after="0"/>
              <w:rPr>
                <w:sz w:val="10"/>
                <w:szCs w:val="10"/>
                <w:color w:val="auto"/>
              </w:rPr>
            </w:pPr>
          </w:p>
        </w:tc>
        <w:tc>
          <w:tcPr>
            <w:tcW w:w="980" w:type="dxa"/>
            <w:vAlign w:val="bottom"/>
            <w:tcBorders>
              <w:bottom w:val="single" w:sz="8" w:color="D7282F"/>
            </w:tcBorders>
          </w:tcPr>
          <w:p>
            <w:pPr>
              <w:spacing w:after="0"/>
              <w:rPr>
                <w:sz w:val="10"/>
                <w:szCs w:val="10"/>
                <w:color w:val="auto"/>
              </w:rPr>
            </w:pPr>
          </w:p>
        </w:tc>
        <w:tc>
          <w:tcPr>
            <w:tcW w:w="360" w:type="dxa"/>
            <w:vAlign w:val="bottom"/>
            <w:tcBorders>
              <w:bottom w:val="single" w:sz="8" w:color="D7282F"/>
            </w:tcBorders>
          </w:tcPr>
          <w:p>
            <w:pPr>
              <w:spacing w:after="0"/>
              <w:rPr>
                <w:sz w:val="10"/>
                <w:szCs w:val="10"/>
                <w:color w:val="auto"/>
              </w:rPr>
            </w:pPr>
          </w:p>
        </w:tc>
        <w:tc>
          <w:tcPr>
            <w:tcW w:w="960" w:type="dxa"/>
            <w:vAlign w:val="bottom"/>
            <w:tcBorders>
              <w:bottom w:val="single" w:sz="8" w:color="D7282F"/>
            </w:tcBorders>
          </w:tcPr>
          <w:p>
            <w:pPr>
              <w:spacing w:after="0"/>
              <w:rPr>
                <w:sz w:val="10"/>
                <w:szCs w:val="10"/>
                <w:color w:val="auto"/>
              </w:rPr>
            </w:pPr>
          </w:p>
        </w:tc>
        <w:tc>
          <w:tcPr>
            <w:tcW w:w="380" w:type="dxa"/>
            <w:vAlign w:val="bottom"/>
            <w:tcBorders>
              <w:bottom w:val="single" w:sz="8" w:color="D7282F"/>
            </w:tcBorders>
          </w:tcPr>
          <w:p>
            <w:pPr>
              <w:spacing w:after="0"/>
              <w:rPr>
                <w:sz w:val="10"/>
                <w:szCs w:val="10"/>
                <w:color w:val="auto"/>
              </w:rPr>
            </w:pPr>
          </w:p>
        </w:tc>
        <w:tc>
          <w:tcPr>
            <w:tcW w:w="840" w:type="dxa"/>
            <w:vAlign w:val="bottom"/>
            <w:tcBorders>
              <w:bottom w:val="single" w:sz="8" w:color="D7282F"/>
            </w:tcBorders>
          </w:tcPr>
          <w:p>
            <w:pPr>
              <w:spacing w:after="0"/>
              <w:rPr>
                <w:sz w:val="10"/>
                <w:szCs w:val="10"/>
                <w:color w:val="auto"/>
              </w:rPr>
            </w:pPr>
          </w:p>
        </w:tc>
      </w:tr>
      <w:tr>
        <w:trPr>
          <w:trHeight w:val="296"/>
        </w:trPr>
        <w:tc>
          <w:tcPr>
            <w:tcW w:w="4560" w:type="dxa"/>
            <w:vAlign w:val="bottom"/>
          </w:tcPr>
          <w:p>
            <w:pPr>
              <w:ind w:left="20"/>
              <w:spacing w:after="0"/>
              <w:rPr>
                <w:sz w:val="20"/>
                <w:szCs w:val="20"/>
                <w:color w:val="auto"/>
              </w:rPr>
            </w:pPr>
            <w:r>
              <w:rPr>
                <w:rFonts w:ascii="Arial" w:cs="Arial" w:eastAsia="Arial" w:hAnsi="Arial"/>
                <w:sz w:val="14"/>
                <w:szCs w:val="14"/>
                <w:color w:val="auto"/>
              </w:rPr>
              <w:t>Segment profit</w:t>
            </w:r>
          </w:p>
        </w:tc>
        <w:tc>
          <w:tcPr>
            <w:tcW w:w="1620" w:type="dxa"/>
            <w:vAlign w:val="bottom"/>
          </w:tcPr>
          <w:p>
            <w:pPr>
              <w:spacing w:after="0"/>
              <w:rPr>
                <w:sz w:val="24"/>
                <w:szCs w:val="24"/>
                <w:color w:val="auto"/>
              </w:rPr>
            </w:pPr>
          </w:p>
        </w:tc>
        <w:tc>
          <w:tcPr>
            <w:tcW w:w="980" w:type="dxa"/>
            <w:vAlign w:val="bottom"/>
          </w:tcPr>
          <w:p>
            <w:pPr>
              <w:jc w:val="right"/>
              <w:ind w:right="308"/>
              <w:spacing w:after="0"/>
              <w:rPr>
                <w:sz w:val="20"/>
                <w:szCs w:val="20"/>
                <w:color w:val="auto"/>
              </w:rPr>
            </w:pPr>
            <w:r>
              <w:rPr>
                <w:rFonts w:ascii="Arial" w:cs="Arial" w:eastAsia="Arial" w:hAnsi="Arial"/>
                <w:sz w:val="14"/>
                <w:szCs w:val="14"/>
                <w:color w:val="auto"/>
              </w:rPr>
              <w:t>6,844</w:t>
            </w:r>
          </w:p>
        </w:tc>
        <w:tc>
          <w:tcPr>
            <w:tcW w:w="360" w:type="dxa"/>
            <w:vAlign w:val="bottom"/>
          </w:tcPr>
          <w:p>
            <w:pPr>
              <w:spacing w:after="0"/>
              <w:rPr>
                <w:sz w:val="24"/>
                <w:szCs w:val="24"/>
                <w:color w:val="auto"/>
              </w:rPr>
            </w:pPr>
          </w:p>
        </w:tc>
        <w:tc>
          <w:tcPr>
            <w:tcW w:w="980" w:type="dxa"/>
            <w:vAlign w:val="bottom"/>
          </w:tcPr>
          <w:p>
            <w:pPr>
              <w:jc w:val="right"/>
              <w:ind w:right="308"/>
              <w:spacing w:after="0"/>
              <w:rPr>
                <w:sz w:val="20"/>
                <w:szCs w:val="20"/>
                <w:color w:val="auto"/>
              </w:rPr>
            </w:pPr>
            <w:r>
              <w:rPr>
                <w:rFonts w:ascii="Arial" w:cs="Arial" w:eastAsia="Arial" w:hAnsi="Arial"/>
                <w:sz w:val="14"/>
                <w:szCs w:val="14"/>
                <w:color w:val="auto"/>
              </w:rPr>
              <w:t>7,563</w:t>
            </w:r>
          </w:p>
        </w:tc>
        <w:tc>
          <w:tcPr>
            <w:tcW w:w="360" w:type="dxa"/>
            <w:vAlign w:val="bottom"/>
          </w:tcPr>
          <w:p>
            <w:pPr>
              <w:spacing w:after="0"/>
              <w:rPr>
                <w:sz w:val="24"/>
                <w:szCs w:val="24"/>
                <w:color w:val="auto"/>
              </w:rPr>
            </w:pPr>
          </w:p>
        </w:tc>
        <w:tc>
          <w:tcPr>
            <w:tcW w:w="960" w:type="dxa"/>
            <w:vAlign w:val="bottom"/>
          </w:tcPr>
          <w:p>
            <w:pPr>
              <w:jc w:val="right"/>
              <w:ind w:right="288"/>
              <w:spacing w:after="0"/>
              <w:rPr>
                <w:sz w:val="20"/>
                <w:szCs w:val="20"/>
                <w:color w:val="auto"/>
              </w:rPr>
            </w:pPr>
            <w:r>
              <w:rPr>
                <w:rFonts w:ascii="Arial" w:cs="Arial" w:eastAsia="Arial" w:hAnsi="Arial"/>
                <w:sz w:val="14"/>
                <w:szCs w:val="14"/>
                <w:color w:val="auto"/>
              </w:rPr>
              <w:t>7,667</w:t>
            </w:r>
          </w:p>
        </w:tc>
        <w:tc>
          <w:tcPr>
            <w:tcW w:w="380" w:type="dxa"/>
            <w:vAlign w:val="bottom"/>
          </w:tcPr>
          <w:p>
            <w:pPr>
              <w:spacing w:after="0"/>
              <w:rPr>
                <w:sz w:val="24"/>
                <w:szCs w:val="24"/>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color w:val="auto"/>
              </w:rPr>
              <w:t>8,127</w:t>
            </w:r>
          </w:p>
        </w:tc>
      </w:tr>
      <w:tr>
        <w:trPr>
          <w:trHeight w:val="129"/>
        </w:trPr>
        <w:tc>
          <w:tcPr>
            <w:tcW w:w="4560" w:type="dxa"/>
            <w:vAlign w:val="bottom"/>
            <w:tcBorders>
              <w:bottom w:val="single" w:sz="8" w:color="939598"/>
            </w:tcBorders>
          </w:tcPr>
          <w:p>
            <w:pPr>
              <w:spacing w:after="0"/>
              <w:rPr>
                <w:sz w:val="11"/>
                <w:szCs w:val="11"/>
                <w:color w:val="auto"/>
              </w:rPr>
            </w:pPr>
          </w:p>
        </w:tc>
        <w:tc>
          <w:tcPr>
            <w:tcW w:w="1620" w:type="dxa"/>
            <w:vAlign w:val="bottom"/>
            <w:tcBorders>
              <w:bottom w:val="single" w:sz="8" w:color="939598"/>
            </w:tcBorders>
          </w:tcPr>
          <w:p>
            <w:pPr>
              <w:spacing w:after="0"/>
              <w:rPr>
                <w:sz w:val="11"/>
                <w:szCs w:val="11"/>
                <w:color w:val="auto"/>
              </w:rPr>
            </w:pPr>
          </w:p>
        </w:tc>
        <w:tc>
          <w:tcPr>
            <w:tcW w:w="980" w:type="dxa"/>
            <w:vAlign w:val="bottom"/>
            <w:tcBorders>
              <w:bottom w:val="single" w:sz="8" w:color="939598"/>
            </w:tcBorders>
          </w:tcPr>
          <w:p>
            <w:pPr>
              <w:spacing w:after="0"/>
              <w:rPr>
                <w:sz w:val="11"/>
                <w:szCs w:val="11"/>
                <w:color w:val="auto"/>
              </w:rPr>
            </w:pPr>
          </w:p>
        </w:tc>
        <w:tc>
          <w:tcPr>
            <w:tcW w:w="360" w:type="dxa"/>
            <w:vAlign w:val="bottom"/>
            <w:tcBorders>
              <w:bottom w:val="single" w:sz="8" w:color="939598"/>
            </w:tcBorders>
          </w:tcPr>
          <w:p>
            <w:pPr>
              <w:spacing w:after="0"/>
              <w:rPr>
                <w:sz w:val="11"/>
                <w:szCs w:val="11"/>
                <w:color w:val="auto"/>
              </w:rPr>
            </w:pPr>
          </w:p>
        </w:tc>
        <w:tc>
          <w:tcPr>
            <w:tcW w:w="980" w:type="dxa"/>
            <w:vAlign w:val="bottom"/>
            <w:tcBorders>
              <w:bottom w:val="single" w:sz="8" w:color="939598"/>
            </w:tcBorders>
          </w:tcPr>
          <w:p>
            <w:pPr>
              <w:spacing w:after="0"/>
              <w:rPr>
                <w:sz w:val="11"/>
                <w:szCs w:val="11"/>
                <w:color w:val="auto"/>
              </w:rPr>
            </w:pPr>
          </w:p>
        </w:tc>
        <w:tc>
          <w:tcPr>
            <w:tcW w:w="360" w:type="dxa"/>
            <w:vAlign w:val="bottom"/>
            <w:tcBorders>
              <w:bottom w:val="single" w:sz="8" w:color="939598"/>
            </w:tcBorders>
          </w:tcPr>
          <w:p>
            <w:pPr>
              <w:spacing w:after="0"/>
              <w:rPr>
                <w:sz w:val="11"/>
                <w:szCs w:val="11"/>
                <w:color w:val="auto"/>
              </w:rPr>
            </w:pPr>
          </w:p>
        </w:tc>
        <w:tc>
          <w:tcPr>
            <w:tcW w:w="960" w:type="dxa"/>
            <w:vAlign w:val="bottom"/>
            <w:tcBorders>
              <w:bottom w:val="single" w:sz="8" w:color="939598"/>
            </w:tcBorders>
          </w:tcPr>
          <w:p>
            <w:pPr>
              <w:spacing w:after="0"/>
              <w:rPr>
                <w:sz w:val="11"/>
                <w:szCs w:val="11"/>
                <w:color w:val="auto"/>
              </w:rPr>
            </w:pPr>
          </w:p>
        </w:tc>
        <w:tc>
          <w:tcPr>
            <w:tcW w:w="380" w:type="dxa"/>
            <w:vAlign w:val="bottom"/>
            <w:tcBorders>
              <w:bottom w:val="single" w:sz="8" w:color="939598"/>
            </w:tcBorders>
          </w:tcPr>
          <w:p>
            <w:pPr>
              <w:spacing w:after="0"/>
              <w:rPr>
                <w:sz w:val="11"/>
                <w:szCs w:val="11"/>
                <w:color w:val="auto"/>
              </w:rPr>
            </w:pPr>
          </w:p>
        </w:tc>
        <w:tc>
          <w:tcPr>
            <w:tcW w:w="840" w:type="dxa"/>
            <w:vAlign w:val="bottom"/>
            <w:tcBorders>
              <w:bottom w:val="single" w:sz="8" w:color="939598"/>
            </w:tcBorders>
          </w:tcPr>
          <w:p>
            <w:pPr>
              <w:spacing w:after="0"/>
              <w:rPr>
                <w:sz w:val="11"/>
                <w:szCs w:val="11"/>
                <w:color w:val="auto"/>
              </w:rPr>
            </w:pPr>
          </w:p>
        </w:tc>
      </w:tr>
      <w:tr>
        <w:trPr>
          <w:trHeight w:val="296"/>
        </w:trPr>
        <w:tc>
          <w:tcPr>
            <w:tcW w:w="4560" w:type="dxa"/>
            <w:vAlign w:val="bottom"/>
          </w:tcPr>
          <w:p>
            <w:pPr>
              <w:ind w:left="20"/>
              <w:spacing w:after="0"/>
              <w:rPr>
                <w:sz w:val="20"/>
                <w:szCs w:val="20"/>
                <w:color w:val="auto"/>
              </w:rPr>
            </w:pPr>
            <w:r>
              <w:rPr>
                <w:rFonts w:ascii="Arial" w:cs="Arial" w:eastAsia="Arial" w:hAnsi="Arial"/>
                <w:sz w:val="14"/>
                <w:szCs w:val="14"/>
                <w:color w:val="auto"/>
              </w:rPr>
              <w:t>÷ Net sales</w:t>
            </w:r>
          </w:p>
        </w:tc>
        <w:tc>
          <w:tcPr>
            <w:tcW w:w="1620" w:type="dxa"/>
            <w:vAlign w:val="bottom"/>
          </w:tcPr>
          <w:p>
            <w:pPr>
              <w:spacing w:after="0"/>
              <w:rPr>
                <w:sz w:val="24"/>
                <w:szCs w:val="24"/>
                <w:color w:val="auto"/>
              </w:rPr>
            </w:pPr>
          </w:p>
        </w:tc>
        <w:tc>
          <w:tcPr>
            <w:tcW w:w="980" w:type="dxa"/>
            <w:vAlign w:val="bottom"/>
          </w:tcPr>
          <w:p>
            <w:pPr>
              <w:jc w:val="right"/>
              <w:ind w:right="308"/>
              <w:spacing w:after="0"/>
              <w:rPr>
                <w:sz w:val="20"/>
                <w:szCs w:val="20"/>
                <w:color w:val="auto"/>
              </w:rPr>
            </w:pPr>
            <w:r>
              <w:rPr>
                <w:rFonts w:ascii="Arial" w:cs="Arial" w:eastAsia="Arial" w:hAnsi="Arial"/>
                <w:sz w:val="14"/>
                <w:szCs w:val="14"/>
                <w:color w:val="auto"/>
              </w:rPr>
              <w:t>31,875</w:t>
            </w:r>
          </w:p>
        </w:tc>
        <w:tc>
          <w:tcPr>
            <w:tcW w:w="360" w:type="dxa"/>
            <w:vAlign w:val="bottom"/>
          </w:tcPr>
          <w:p>
            <w:pPr>
              <w:spacing w:after="0"/>
              <w:rPr>
                <w:sz w:val="24"/>
                <w:szCs w:val="24"/>
                <w:color w:val="auto"/>
              </w:rPr>
            </w:pPr>
          </w:p>
        </w:tc>
        <w:tc>
          <w:tcPr>
            <w:tcW w:w="980" w:type="dxa"/>
            <w:vAlign w:val="bottom"/>
          </w:tcPr>
          <w:p>
            <w:pPr>
              <w:jc w:val="right"/>
              <w:ind w:right="308"/>
              <w:spacing w:after="0"/>
              <w:rPr>
                <w:sz w:val="20"/>
                <w:szCs w:val="20"/>
                <w:color w:val="auto"/>
              </w:rPr>
            </w:pPr>
            <w:r>
              <w:rPr>
                <w:rFonts w:ascii="Arial" w:cs="Arial" w:eastAsia="Arial" w:hAnsi="Arial"/>
                <w:sz w:val="14"/>
                <w:szCs w:val="14"/>
                <w:color w:val="auto"/>
              </w:rPr>
              <w:t>33,009</w:t>
            </w:r>
          </w:p>
        </w:tc>
        <w:tc>
          <w:tcPr>
            <w:tcW w:w="360" w:type="dxa"/>
            <w:vAlign w:val="bottom"/>
          </w:tcPr>
          <w:p>
            <w:pPr>
              <w:spacing w:after="0"/>
              <w:rPr>
                <w:sz w:val="24"/>
                <w:szCs w:val="24"/>
                <w:color w:val="auto"/>
              </w:rPr>
            </w:pPr>
          </w:p>
        </w:tc>
        <w:tc>
          <w:tcPr>
            <w:tcW w:w="960" w:type="dxa"/>
            <w:vAlign w:val="bottom"/>
          </w:tcPr>
          <w:p>
            <w:pPr>
              <w:jc w:val="right"/>
              <w:ind w:right="288"/>
              <w:spacing w:after="0"/>
              <w:rPr>
                <w:sz w:val="20"/>
                <w:szCs w:val="20"/>
                <w:color w:val="auto"/>
              </w:rPr>
            </w:pPr>
            <w:r>
              <w:rPr>
                <w:rFonts w:ascii="Arial" w:cs="Arial" w:eastAsia="Arial" w:hAnsi="Arial"/>
                <w:sz w:val="14"/>
                <w:szCs w:val="14"/>
                <w:color w:val="auto"/>
              </w:rPr>
              <w:t>34,717</w:t>
            </w:r>
          </w:p>
        </w:tc>
        <w:tc>
          <w:tcPr>
            <w:tcW w:w="380" w:type="dxa"/>
            <w:vAlign w:val="bottom"/>
          </w:tcPr>
          <w:p>
            <w:pPr>
              <w:spacing w:after="0"/>
              <w:rPr>
                <w:sz w:val="24"/>
                <w:szCs w:val="24"/>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color w:val="auto"/>
              </w:rPr>
              <w:t>37,442</w:t>
            </w:r>
          </w:p>
        </w:tc>
      </w:tr>
      <w:tr>
        <w:trPr>
          <w:trHeight w:val="129"/>
        </w:trPr>
        <w:tc>
          <w:tcPr>
            <w:tcW w:w="4560" w:type="dxa"/>
            <w:vAlign w:val="bottom"/>
            <w:tcBorders>
              <w:bottom w:val="single" w:sz="8" w:color="D7282F"/>
            </w:tcBorders>
          </w:tcPr>
          <w:p>
            <w:pPr>
              <w:spacing w:after="0"/>
              <w:rPr>
                <w:sz w:val="11"/>
                <w:szCs w:val="11"/>
                <w:color w:val="auto"/>
              </w:rPr>
            </w:pPr>
          </w:p>
        </w:tc>
        <w:tc>
          <w:tcPr>
            <w:tcW w:w="1620" w:type="dxa"/>
            <w:vAlign w:val="bottom"/>
            <w:tcBorders>
              <w:bottom w:val="single" w:sz="8" w:color="D7282F"/>
            </w:tcBorders>
          </w:tcPr>
          <w:p>
            <w:pPr>
              <w:spacing w:after="0"/>
              <w:rPr>
                <w:sz w:val="11"/>
                <w:szCs w:val="11"/>
                <w:color w:val="auto"/>
              </w:rPr>
            </w:pPr>
          </w:p>
        </w:tc>
        <w:tc>
          <w:tcPr>
            <w:tcW w:w="980" w:type="dxa"/>
            <w:vAlign w:val="bottom"/>
            <w:tcBorders>
              <w:bottom w:val="single" w:sz="8" w:color="D7282F"/>
            </w:tcBorders>
          </w:tcPr>
          <w:p>
            <w:pPr>
              <w:spacing w:after="0"/>
              <w:rPr>
                <w:sz w:val="11"/>
                <w:szCs w:val="11"/>
                <w:color w:val="auto"/>
              </w:rPr>
            </w:pPr>
          </w:p>
        </w:tc>
        <w:tc>
          <w:tcPr>
            <w:tcW w:w="360" w:type="dxa"/>
            <w:vAlign w:val="bottom"/>
            <w:tcBorders>
              <w:bottom w:val="single" w:sz="8" w:color="D7282F"/>
            </w:tcBorders>
          </w:tcPr>
          <w:p>
            <w:pPr>
              <w:spacing w:after="0"/>
              <w:rPr>
                <w:sz w:val="11"/>
                <w:szCs w:val="11"/>
                <w:color w:val="auto"/>
              </w:rPr>
            </w:pPr>
          </w:p>
        </w:tc>
        <w:tc>
          <w:tcPr>
            <w:tcW w:w="980" w:type="dxa"/>
            <w:vAlign w:val="bottom"/>
            <w:tcBorders>
              <w:bottom w:val="single" w:sz="8" w:color="D7282F"/>
            </w:tcBorders>
          </w:tcPr>
          <w:p>
            <w:pPr>
              <w:spacing w:after="0"/>
              <w:rPr>
                <w:sz w:val="11"/>
                <w:szCs w:val="11"/>
                <w:color w:val="auto"/>
              </w:rPr>
            </w:pPr>
          </w:p>
        </w:tc>
        <w:tc>
          <w:tcPr>
            <w:tcW w:w="360" w:type="dxa"/>
            <w:vAlign w:val="bottom"/>
            <w:tcBorders>
              <w:bottom w:val="single" w:sz="8" w:color="D7282F"/>
            </w:tcBorders>
          </w:tcPr>
          <w:p>
            <w:pPr>
              <w:spacing w:after="0"/>
              <w:rPr>
                <w:sz w:val="11"/>
                <w:szCs w:val="11"/>
                <w:color w:val="auto"/>
              </w:rPr>
            </w:pPr>
          </w:p>
        </w:tc>
        <w:tc>
          <w:tcPr>
            <w:tcW w:w="960" w:type="dxa"/>
            <w:vAlign w:val="bottom"/>
            <w:tcBorders>
              <w:bottom w:val="single" w:sz="8" w:color="D7282F"/>
            </w:tcBorders>
          </w:tcPr>
          <w:p>
            <w:pPr>
              <w:spacing w:after="0"/>
              <w:rPr>
                <w:sz w:val="11"/>
                <w:szCs w:val="11"/>
                <w:color w:val="auto"/>
              </w:rPr>
            </w:pPr>
          </w:p>
        </w:tc>
        <w:tc>
          <w:tcPr>
            <w:tcW w:w="380" w:type="dxa"/>
            <w:vAlign w:val="bottom"/>
            <w:tcBorders>
              <w:bottom w:val="single" w:sz="8" w:color="D7282F"/>
            </w:tcBorders>
          </w:tcPr>
          <w:p>
            <w:pPr>
              <w:spacing w:after="0"/>
              <w:rPr>
                <w:sz w:val="11"/>
                <w:szCs w:val="11"/>
                <w:color w:val="auto"/>
              </w:rPr>
            </w:pPr>
          </w:p>
        </w:tc>
        <w:tc>
          <w:tcPr>
            <w:tcW w:w="840" w:type="dxa"/>
            <w:vAlign w:val="bottom"/>
            <w:tcBorders>
              <w:bottom w:val="single" w:sz="8" w:color="D7282F"/>
            </w:tcBorders>
          </w:tcPr>
          <w:p>
            <w:pPr>
              <w:spacing w:after="0"/>
              <w:rPr>
                <w:sz w:val="11"/>
                <w:szCs w:val="11"/>
                <w:color w:val="auto"/>
              </w:rPr>
            </w:pPr>
          </w:p>
        </w:tc>
      </w:tr>
      <w:tr>
        <w:trPr>
          <w:trHeight w:val="302"/>
        </w:trPr>
        <w:tc>
          <w:tcPr>
            <w:tcW w:w="4560" w:type="dxa"/>
            <w:vAlign w:val="bottom"/>
          </w:tcPr>
          <w:p>
            <w:pPr>
              <w:ind w:left="20"/>
              <w:spacing w:after="0"/>
              <w:rPr>
                <w:sz w:val="20"/>
                <w:szCs w:val="20"/>
                <w:color w:val="auto"/>
              </w:rPr>
            </w:pPr>
            <w:r>
              <w:rPr>
                <w:rFonts w:ascii="Arial" w:cs="Arial" w:eastAsia="Arial" w:hAnsi="Arial"/>
                <w:sz w:val="14"/>
                <w:szCs w:val="14"/>
                <w:b w:val="1"/>
                <w:bCs w:val="1"/>
                <w:color w:val="auto"/>
              </w:rPr>
              <w:t>Segment profit margin %</w:t>
            </w:r>
          </w:p>
        </w:tc>
        <w:tc>
          <w:tcPr>
            <w:tcW w:w="1620" w:type="dxa"/>
            <w:vAlign w:val="bottom"/>
          </w:tcPr>
          <w:p>
            <w:pPr>
              <w:spacing w:after="0"/>
              <w:rPr>
                <w:sz w:val="24"/>
                <w:szCs w:val="24"/>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b w:val="1"/>
                <w:bCs w:val="1"/>
                <w:color w:val="auto"/>
              </w:rPr>
              <w:t>21.5%</w:t>
            </w:r>
          </w:p>
        </w:tc>
        <w:tc>
          <w:tcPr>
            <w:tcW w:w="360" w:type="dxa"/>
            <w:vAlign w:val="bottom"/>
          </w:tcPr>
          <w:p>
            <w:pPr>
              <w:spacing w:after="0"/>
              <w:rPr>
                <w:sz w:val="24"/>
                <w:szCs w:val="24"/>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b w:val="1"/>
                <w:bCs w:val="1"/>
                <w:color w:val="auto"/>
              </w:rPr>
              <w:t>22.9%</w:t>
            </w:r>
          </w:p>
        </w:tc>
        <w:tc>
          <w:tcPr>
            <w:tcW w:w="360" w:type="dxa"/>
            <w:vAlign w:val="bottom"/>
          </w:tcPr>
          <w:p>
            <w:pPr>
              <w:spacing w:after="0"/>
              <w:rPr>
                <w:sz w:val="24"/>
                <w:szCs w:val="24"/>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22.1%</w:t>
            </w: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21.7%</w:t>
            </w:r>
          </w:p>
        </w:tc>
      </w:tr>
      <w:tr>
        <w:trPr>
          <w:trHeight w:val="124"/>
        </w:trPr>
        <w:tc>
          <w:tcPr>
            <w:tcW w:w="4560" w:type="dxa"/>
            <w:vAlign w:val="bottom"/>
            <w:tcBorders>
              <w:bottom w:val="single" w:sz="8" w:color="D7282F"/>
            </w:tcBorders>
          </w:tcPr>
          <w:p>
            <w:pPr>
              <w:spacing w:after="0"/>
              <w:rPr>
                <w:sz w:val="10"/>
                <w:szCs w:val="10"/>
                <w:color w:val="auto"/>
              </w:rPr>
            </w:pPr>
          </w:p>
        </w:tc>
        <w:tc>
          <w:tcPr>
            <w:tcW w:w="1620" w:type="dxa"/>
            <w:vAlign w:val="bottom"/>
            <w:tcBorders>
              <w:bottom w:val="single" w:sz="8" w:color="D7282F"/>
            </w:tcBorders>
          </w:tcPr>
          <w:p>
            <w:pPr>
              <w:spacing w:after="0"/>
              <w:rPr>
                <w:sz w:val="10"/>
                <w:szCs w:val="10"/>
                <w:color w:val="auto"/>
              </w:rPr>
            </w:pPr>
          </w:p>
        </w:tc>
        <w:tc>
          <w:tcPr>
            <w:tcW w:w="980" w:type="dxa"/>
            <w:vAlign w:val="bottom"/>
            <w:tcBorders>
              <w:bottom w:val="single" w:sz="8" w:color="D7282F"/>
            </w:tcBorders>
          </w:tcPr>
          <w:p>
            <w:pPr>
              <w:spacing w:after="0"/>
              <w:rPr>
                <w:sz w:val="10"/>
                <w:szCs w:val="10"/>
                <w:color w:val="auto"/>
              </w:rPr>
            </w:pPr>
          </w:p>
        </w:tc>
        <w:tc>
          <w:tcPr>
            <w:tcW w:w="360" w:type="dxa"/>
            <w:vAlign w:val="bottom"/>
            <w:tcBorders>
              <w:bottom w:val="single" w:sz="8" w:color="D7282F"/>
            </w:tcBorders>
          </w:tcPr>
          <w:p>
            <w:pPr>
              <w:spacing w:after="0"/>
              <w:rPr>
                <w:sz w:val="10"/>
                <w:szCs w:val="10"/>
                <w:color w:val="auto"/>
              </w:rPr>
            </w:pPr>
          </w:p>
        </w:tc>
        <w:tc>
          <w:tcPr>
            <w:tcW w:w="980" w:type="dxa"/>
            <w:vAlign w:val="bottom"/>
            <w:tcBorders>
              <w:bottom w:val="single" w:sz="8" w:color="D7282F"/>
            </w:tcBorders>
          </w:tcPr>
          <w:p>
            <w:pPr>
              <w:spacing w:after="0"/>
              <w:rPr>
                <w:sz w:val="10"/>
                <w:szCs w:val="10"/>
                <w:color w:val="auto"/>
              </w:rPr>
            </w:pPr>
          </w:p>
        </w:tc>
        <w:tc>
          <w:tcPr>
            <w:tcW w:w="360" w:type="dxa"/>
            <w:vAlign w:val="bottom"/>
            <w:tcBorders>
              <w:bottom w:val="single" w:sz="8" w:color="D7282F"/>
            </w:tcBorders>
          </w:tcPr>
          <w:p>
            <w:pPr>
              <w:spacing w:after="0"/>
              <w:rPr>
                <w:sz w:val="10"/>
                <w:szCs w:val="10"/>
                <w:color w:val="auto"/>
              </w:rPr>
            </w:pPr>
          </w:p>
        </w:tc>
        <w:tc>
          <w:tcPr>
            <w:tcW w:w="960" w:type="dxa"/>
            <w:vAlign w:val="bottom"/>
            <w:tcBorders>
              <w:bottom w:val="single" w:sz="8" w:color="D7282F"/>
            </w:tcBorders>
          </w:tcPr>
          <w:p>
            <w:pPr>
              <w:spacing w:after="0"/>
              <w:rPr>
                <w:sz w:val="10"/>
                <w:szCs w:val="10"/>
                <w:color w:val="auto"/>
              </w:rPr>
            </w:pPr>
          </w:p>
        </w:tc>
        <w:tc>
          <w:tcPr>
            <w:tcW w:w="380" w:type="dxa"/>
            <w:vAlign w:val="bottom"/>
            <w:tcBorders>
              <w:bottom w:val="single" w:sz="8" w:color="D7282F"/>
            </w:tcBorders>
          </w:tcPr>
          <w:p>
            <w:pPr>
              <w:spacing w:after="0"/>
              <w:rPr>
                <w:sz w:val="10"/>
                <w:szCs w:val="10"/>
                <w:color w:val="auto"/>
              </w:rPr>
            </w:pPr>
          </w:p>
        </w:tc>
        <w:tc>
          <w:tcPr>
            <w:tcW w:w="840" w:type="dxa"/>
            <w:vAlign w:val="bottom"/>
            <w:tcBorders>
              <w:bottom w:val="single" w:sz="8" w:color="D7282F"/>
            </w:tcBorders>
          </w:tcPr>
          <w:p>
            <w:pPr>
              <w:spacing w:after="0"/>
              <w:rPr>
                <w:sz w:val="10"/>
                <w:szCs w:val="10"/>
                <w:color w:val="auto"/>
              </w:rPr>
            </w:pPr>
          </w:p>
        </w:tc>
      </w:tr>
      <w:tr>
        <w:trPr>
          <w:trHeight w:val="296"/>
        </w:trPr>
        <w:tc>
          <w:tcPr>
            <w:tcW w:w="4560" w:type="dxa"/>
            <w:vAlign w:val="bottom"/>
          </w:tcPr>
          <w:p>
            <w:pPr>
              <w:ind w:left="20"/>
              <w:spacing w:after="0"/>
              <w:rPr>
                <w:sz w:val="20"/>
                <w:szCs w:val="20"/>
                <w:color w:val="auto"/>
              </w:rPr>
            </w:pPr>
            <w:r>
              <w:rPr>
                <w:rFonts w:ascii="Arial" w:cs="Arial" w:eastAsia="Arial" w:hAnsi="Arial"/>
                <w:sz w:val="14"/>
                <w:szCs w:val="14"/>
                <w:color w:val="auto"/>
              </w:rPr>
              <w:t>Adjusted segment profit</w:t>
            </w:r>
          </w:p>
        </w:tc>
        <w:tc>
          <w:tcPr>
            <w:tcW w:w="1620" w:type="dxa"/>
            <w:vAlign w:val="bottom"/>
          </w:tcPr>
          <w:p>
            <w:pPr>
              <w:spacing w:after="0"/>
              <w:rPr>
                <w:sz w:val="24"/>
                <w:szCs w:val="24"/>
                <w:color w:val="auto"/>
              </w:rPr>
            </w:pPr>
          </w:p>
        </w:tc>
        <w:tc>
          <w:tcPr>
            <w:tcW w:w="980" w:type="dxa"/>
            <w:vAlign w:val="bottom"/>
          </w:tcPr>
          <w:p>
            <w:pPr>
              <w:jc w:val="right"/>
              <w:ind w:right="308"/>
              <w:spacing w:after="0"/>
              <w:rPr>
                <w:sz w:val="20"/>
                <w:szCs w:val="20"/>
                <w:color w:val="auto"/>
              </w:rPr>
            </w:pPr>
            <w:r>
              <w:rPr>
                <w:rFonts w:ascii="Arial" w:cs="Arial" w:eastAsia="Arial" w:hAnsi="Arial"/>
                <w:sz w:val="14"/>
                <w:szCs w:val="14"/>
                <w:color w:val="auto"/>
              </w:rPr>
              <w:t>6,844</w:t>
            </w:r>
          </w:p>
        </w:tc>
        <w:tc>
          <w:tcPr>
            <w:tcW w:w="360" w:type="dxa"/>
            <w:vAlign w:val="bottom"/>
          </w:tcPr>
          <w:p>
            <w:pPr>
              <w:spacing w:after="0"/>
              <w:rPr>
                <w:sz w:val="24"/>
                <w:szCs w:val="24"/>
                <w:color w:val="auto"/>
              </w:rPr>
            </w:pPr>
          </w:p>
        </w:tc>
        <w:tc>
          <w:tcPr>
            <w:tcW w:w="980" w:type="dxa"/>
            <w:vAlign w:val="bottom"/>
          </w:tcPr>
          <w:p>
            <w:pPr>
              <w:jc w:val="right"/>
              <w:ind w:right="308"/>
              <w:spacing w:after="0"/>
              <w:rPr>
                <w:sz w:val="20"/>
                <w:szCs w:val="20"/>
                <w:color w:val="auto"/>
              </w:rPr>
            </w:pPr>
            <w:r>
              <w:rPr>
                <w:rFonts w:ascii="Arial" w:cs="Arial" w:eastAsia="Arial" w:hAnsi="Arial"/>
                <w:sz w:val="14"/>
                <w:szCs w:val="14"/>
                <w:color w:val="auto"/>
              </w:rPr>
              <w:t>7,563</w:t>
            </w:r>
          </w:p>
        </w:tc>
        <w:tc>
          <w:tcPr>
            <w:tcW w:w="360" w:type="dxa"/>
            <w:vAlign w:val="bottom"/>
          </w:tcPr>
          <w:p>
            <w:pPr>
              <w:spacing w:after="0"/>
              <w:rPr>
                <w:sz w:val="24"/>
                <w:szCs w:val="24"/>
                <w:color w:val="auto"/>
              </w:rPr>
            </w:pPr>
          </w:p>
        </w:tc>
        <w:tc>
          <w:tcPr>
            <w:tcW w:w="960" w:type="dxa"/>
            <w:vAlign w:val="bottom"/>
          </w:tcPr>
          <w:p>
            <w:pPr>
              <w:jc w:val="right"/>
              <w:ind w:right="288"/>
              <w:spacing w:after="0"/>
              <w:rPr>
                <w:sz w:val="20"/>
                <w:szCs w:val="20"/>
                <w:color w:val="auto"/>
              </w:rPr>
            </w:pPr>
            <w:r>
              <w:rPr>
                <w:rFonts w:ascii="Arial" w:cs="Arial" w:eastAsia="Arial" w:hAnsi="Arial"/>
                <w:sz w:val="14"/>
                <w:szCs w:val="14"/>
                <w:color w:val="auto"/>
              </w:rPr>
              <w:t>7,667</w:t>
            </w:r>
          </w:p>
        </w:tc>
        <w:tc>
          <w:tcPr>
            <w:tcW w:w="380" w:type="dxa"/>
            <w:vAlign w:val="bottom"/>
          </w:tcPr>
          <w:p>
            <w:pPr>
              <w:spacing w:after="0"/>
              <w:rPr>
                <w:sz w:val="24"/>
                <w:szCs w:val="24"/>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color w:val="auto"/>
              </w:rPr>
              <w:t>8,500</w:t>
            </w:r>
          </w:p>
        </w:tc>
      </w:tr>
      <w:tr>
        <w:trPr>
          <w:trHeight w:val="129"/>
        </w:trPr>
        <w:tc>
          <w:tcPr>
            <w:tcW w:w="4560" w:type="dxa"/>
            <w:vAlign w:val="bottom"/>
            <w:tcBorders>
              <w:bottom w:val="single" w:sz="8" w:color="939598"/>
            </w:tcBorders>
          </w:tcPr>
          <w:p>
            <w:pPr>
              <w:spacing w:after="0"/>
              <w:rPr>
                <w:sz w:val="11"/>
                <w:szCs w:val="11"/>
                <w:color w:val="auto"/>
              </w:rPr>
            </w:pPr>
          </w:p>
        </w:tc>
        <w:tc>
          <w:tcPr>
            <w:tcW w:w="1620" w:type="dxa"/>
            <w:vAlign w:val="bottom"/>
            <w:tcBorders>
              <w:bottom w:val="single" w:sz="8" w:color="939598"/>
            </w:tcBorders>
          </w:tcPr>
          <w:p>
            <w:pPr>
              <w:spacing w:after="0"/>
              <w:rPr>
                <w:sz w:val="11"/>
                <w:szCs w:val="11"/>
                <w:color w:val="auto"/>
              </w:rPr>
            </w:pPr>
          </w:p>
        </w:tc>
        <w:tc>
          <w:tcPr>
            <w:tcW w:w="980" w:type="dxa"/>
            <w:vAlign w:val="bottom"/>
            <w:tcBorders>
              <w:bottom w:val="single" w:sz="8" w:color="939598"/>
            </w:tcBorders>
          </w:tcPr>
          <w:p>
            <w:pPr>
              <w:spacing w:after="0"/>
              <w:rPr>
                <w:sz w:val="11"/>
                <w:szCs w:val="11"/>
                <w:color w:val="auto"/>
              </w:rPr>
            </w:pPr>
          </w:p>
        </w:tc>
        <w:tc>
          <w:tcPr>
            <w:tcW w:w="360" w:type="dxa"/>
            <w:vAlign w:val="bottom"/>
            <w:tcBorders>
              <w:bottom w:val="single" w:sz="8" w:color="939598"/>
            </w:tcBorders>
          </w:tcPr>
          <w:p>
            <w:pPr>
              <w:spacing w:after="0"/>
              <w:rPr>
                <w:sz w:val="11"/>
                <w:szCs w:val="11"/>
                <w:color w:val="auto"/>
              </w:rPr>
            </w:pPr>
          </w:p>
        </w:tc>
        <w:tc>
          <w:tcPr>
            <w:tcW w:w="980" w:type="dxa"/>
            <w:vAlign w:val="bottom"/>
            <w:tcBorders>
              <w:bottom w:val="single" w:sz="8" w:color="939598"/>
            </w:tcBorders>
          </w:tcPr>
          <w:p>
            <w:pPr>
              <w:spacing w:after="0"/>
              <w:rPr>
                <w:sz w:val="11"/>
                <w:szCs w:val="11"/>
                <w:color w:val="auto"/>
              </w:rPr>
            </w:pPr>
          </w:p>
        </w:tc>
        <w:tc>
          <w:tcPr>
            <w:tcW w:w="360" w:type="dxa"/>
            <w:vAlign w:val="bottom"/>
            <w:tcBorders>
              <w:bottom w:val="single" w:sz="8" w:color="939598"/>
            </w:tcBorders>
          </w:tcPr>
          <w:p>
            <w:pPr>
              <w:spacing w:after="0"/>
              <w:rPr>
                <w:sz w:val="11"/>
                <w:szCs w:val="11"/>
                <w:color w:val="auto"/>
              </w:rPr>
            </w:pPr>
          </w:p>
        </w:tc>
        <w:tc>
          <w:tcPr>
            <w:tcW w:w="960" w:type="dxa"/>
            <w:vAlign w:val="bottom"/>
            <w:tcBorders>
              <w:bottom w:val="single" w:sz="8" w:color="939598"/>
            </w:tcBorders>
          </w:tcPr>
          <w:p>
            <w:pPr>
              <w:spacing w:after="0"/>
              <w:rPr>
                <w:sz w:val="11"/>
                <w:szCs w:val="11"/>
                <w:color w:val="auto"/>
              </w:rPr>
            </w:pPr>
          </w:p>
        </w:tc>
        <w:tc>
          <w:tcPr>
            <w:tcW w:w="380" w:type="dxa"/>
            <w:vAlign w:val="bottom"/>
            <w:tcBorders>
              <w:bottom w:val="single" w:sz="8" w:color="939598"/>
            </w:tcBorders>
          </w:tcPr>
          <w:p>
            <w:pPr>
              <w:spacing w:after="0"/>
              <w:rPr>
                <w:sz w:val="11"/>
                <w:szCs w:val="11"/>
                <w:color w:val="auto"/>
              </w:rPr>
            </w:pPr>
          </w:p>
        </w:tc>
        <w:tc>
          <w:tcPr>
            <w:tcW w:w="840" w:type="dxa"/>
            <w:vAlign w:val="bottom"/>
            <w:tcBorders>
              <w:bottom w:val="single" w:sz="8" w:color="939598"/>
            </w:tcBorders>
          </w:tcPr>
          <w:p>
            <w:pPr>
              <w:spacing w:after="0"/>
              <w:rPr>
                <w:sz w:val="11"/>
                <w:szCs w:val="11"/>
                <w:color w:val="auto"/>
              </w:rPr>
            </w:pPr>
          </w:p>
        </w:tc>
      </w:tr>
      <w:tr>
        <w:trPr>
          <w:trHeight w:val="296"/>
        </w:trPr>
        <w:tc>
          <w:tcPr>
            <w:tcW w:w="4560" w:type="dxa"/>
            <w:vAlign w:val="bottom"/>
          </w:tcPr>
          <w:p>
            <w:pPr>
              <w:ind w:left="20"/>
              <w:spacing w:after="0"/>
              <w:rPr>
                <w:sz w:val="20"/>
                <w:szCs w:val="20"/>
                <w:color w:val="auto"/>
              </w:rPr>
            </w:pPr>
            <w:r>
              <w:rPr>
                <w:rFonts w:ascii="Arial" w:cs="Arial" w:eastAsia="Arial" w:hAnsi="Arial"/>
                <w:sz w:val="14"/>
                <w:szCs w:val="14"/>
                <w:color w:val="auto"/>
              </w:rPr>
              <w:t>÷ Adjusted net sales</w:t>
            </w:r>
          </w:p>
        </w:tc>
        <w:tc>
          <w:tcPr>
            <w:tcW w:w="1620" w:type="dxa"/>
            <w:vAlign w:val="bottom"/>
          </w:tcPr>
          <w:p>
            <w:pPr>
              <w:spacing w:after="0"/>
              <w:rPr>
                <w:sz w:val="24"/>
                <w:szCs w:val="24"/>
                <w:color w:val="auto"/>
              </w:rPr>
            </w:pPr>
          </w:p>
        </w:tc>
        <w:tc>
          <w:tcPr>
            <w:tcW w:w="980" w:type="dxa"/>
            <w:vAlign w:val="bottom"/>
          </w:tcPr>
          <w:p>
            <w:pPr>
              <w:jc w:val="right"/>
              <w:ind w:right="308"/>
              <w:spacing w:after="0"/>
              <w:rPr>
                <w:sz w:val="20"/>
                <w:szCs w:val="20"/>
                <w:color w:val="auto"/>
              </w:rPr>
            </w:pPr>
            <w:r>
              <w:rPr>
                <w:rFonts w:ascii="Arial" w:cs="Arial" w:eastAsia="Arial" w:hAnsi="Arial"/>
                <w:sz w:val="14"/>
                <w:szCs w:val="14"/>
                <w:color w:val="auto"/>
              </w:rPr>
              <w:t>31,875</w:t>
            </w:r>
          </w:p>
        </w:tc>
        <w:tc>
          <w:tcPr>
            <w:tcW w:w="360" w:type="dxa"/>
            <w:vAlign w:val="bottom"/>
          </w:tcPr>
          <w:p>
            <w:pPr>
              <w:spacing w:after="0"/>
              <w:rPr>
                <w:sz w:val="24"/>
                <w:szCs w:val="24"/>
                <w:color w:val="auto"/>
              </w:rPr>
            </w:pPr>
          </w:p>
        </w:tc>
        <w:tc>
          <w:tcPr>
            <w:tcW w:w="980" w:type="dxa"/>
            <w:vAlign w:val="bottom"/>
          </w:tcPr>
          <w:p>
            <w:pPr>
              <w:jc w:val="right"/>
              <w:ind w:right="308"/>
              <w:spacing w:after="0"/>
              <w:rPr>
                <w:sz w:val="20"/>
                <w:szCs w:val="20"/>
                <w:color w:val="auto"/>
              </w:rPr>
            </w:pPr>
            <w:r>
              <w:rPr>
                <w:rFonts w:ascii="Arial" w:cs="Arial" w:eastAsia="Arial" w:hAnsi="Arial"/>
                <w:sz w:val="14"/>
                <w:szCs w:val="14"/>
                <w:color w:val="auto"/>
              </w:rPr>
              <w:t>33,009</w:t>
            </w:r>
          </w:p>
        </w:tc>
        <w:tc>
          <w:tcPr>
            <w:tcW w:w="360" w:type="dxa"/>
            <w:vAlign w:val="bottom"/>
          </w:tcPr>
          <w:p>
            <w:pPr>
              <w:spacing w:after="0"/>
              <w:rPr>
                <w:sz w:val="24"/>
                <w:szCs w:val="24"/>
                <w:color w:val="auto"/>
              </w:rPr>
            </w:pPr>
          </w:p>
        </w:tc>
        <w:tc>
          <w:tcPr>
            <w:tcW w:w="960" w:type="dxa"/>
            <w:vAlign w:val="bottom"/>
          </w:tcPr>
          <w:p>
            <w:pPr>
              <w:jc w:val="right"/>
              <w:ind w:right="288"/>
              <w:spacing w:after="0"/>
              <w:rPr>
                <w:sz w:val="20"/>
                <w:szCs w:val="20"/>
                <w:color w:val="auto"/>
              </w:rPr>
            </w:pPr>
            <w:r>
              <w:rPr>
                <w:rFonts w:ascii="Arial" w:cs="Arial" w:eastAsia="Arial" w:hAnsi="Arial"/>
                <w:sz w:val="14"/>
                <w:szCs w:val="14"/>
                <w:color w:val="auto"/>
              </w:rPr>
              <w:t>34,717</w:t>
            </w:r>
          </w:p>
        </w:tc>
        <w:tc>
          <w:tcPr>
            <w:tcW w:w="380" w:type="dxa"/>
            <w:vAlign w:val="bottom"/>
          </w:tcPr>
          <w:p>
            <w:pPr>
              <w:spacing w:after="0"/>
              <w:rPr>
                <w:sz w:val="24"/>
                <w:szCs w:val="24"/>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color w:val="auto"/>
              </w:rPr>
              <w:t>37,754</w:t>
            </w:r>
          </w:p>
        </w:tc>
      </w:tr>
      <w:tr>
        <w:trPr>
          <w:trHeight w:val="129"/>
        </w:trPr>
        <w:tc>
          <w:tcPr>
            <w:tcW w:w="4560" w:type="dxa"/>
            <w:vAlign w:val="bottom"/>
            <w:tcBorders>
              <w:bottom w:val="single" w:sz="8" w:color="D7282F"/>
            </w:tcBorders>
          </w:tcPr>
          <w:p>
            <w:pPr>
              <w:spacing w:after="0"/>
              <w:rPr>
                <w:sz w:val="11"/>
                <w:szCs w:val="11"/>
                <w:color w:val="auto"/>
              </w:rPr>
            </w:pPr>
          </w:p>
        </w:tc>
        <w:tc>
          <w:tcPr>
            <w:tcW w:w="1620" w:type="dxa"/>
            <w:vAlign w:val="bottom"/>
            <w:tcBorders>
              <w:bottom w:val="single" w:sz="8" w:color="D7282F"/>
            </w:tcBorders>
          </w:tcPr>
          <w:p>
            <w:pPr>
              <w:spacing w:after="0"/>
              <w:rPr>
                <w:sz w:val="11"/>
                <w:szCs w:val="11"/>
                <w:color w:val="auto"/>
              </w:rPr>
            </w:pPr>
          </w:p>
        </w:tc>
        <w:tc>
          <w:tcPr>
            <w:tcW w:w="980" w:type="dxa"/>
            <w:vAlign w:val="bottom"/>
            <w:tcBorders>
              <w:bottom w:val="single" w:sz="8" w:color="D7282F"/>
            </w:tcBorders>
          </w:tcPr>
          <w:p>
            <w:pPr>
              <w:spacing w:after="0"/>
              <w:rPr>
                <w:sz w:val="11"/>
                <w:szCs w:val="11"/>
                <w:color w:val="auto"/>
              </w:rPr>
            </w:pPr>
          </w:p>
        </w:tc>
        <w:tc>
          <w:tcPr>
            <w:tcW w:w="360" w:type="dxa"/>
            <w:vAlign w:val="bottom"/>
            <w:tcBorders>
              <w:bottom w:val="single" w:sz="8" w:color="D7282F"/>
            </w:tcBorders>
          </w:tcPr>
          <w:p>
            <w:pPr>
              <w:spacing w:after="0"/>
              <w:rPr>
                <w:sz w:val="11"/>
                <w:szCs w:val="11"/>
                <w:color w:val="auto"/>
              </w:rPr>
            </w:pPr>
          </w:p>
        </w:tc>
        <w:tc>
          <w:tcPr>
            <w:tcW w:w="980" w:type="dxa"/>
            <w:vAlign w:val="bottom"/>
            <w:tcBorders>
              <w:bottom w:val="single" w:sz="8" w:color="D7282F"/>
            </w:tcBorders>
          </w:tcPr>
          <w:p>
            <w:pPr>
              <w:spacing w:after="0"/>
              <w:rPr>
                <w:sz w:val="11"/>
                <w:szCs w:val="11"/>
                <w:color w:val="auto"/>
              </w:rPr>
            </w:pPr>
          </w:p>
        </w:tc>
        <w:tc>
          <w:tcPr>
            <w:tcW w:w="360" w:type="dxa"/>
            <w:vAlign w:val="bottom"/>
            <w:tcBorders>
              <w:bottom w:val="single" w:sz="8" w:color="D7282F"/>
            </w:tcBorders>
          </w:tcPr>
          <w:p>
            <w:pPr>
              <w:spacing w:after="0"/>
              <w:rPr>
                <w:sz w:val="11"/>
                <w:szCs w:val="11"/>
                <w:color w:val="auto"/>
              </w:rPr>
            </w:pPr>
          </w:p>
        </w:tc>
        <w:tc>
          <w:tcPr>
            <w:tcW w:w="960" w:type="dxa"/>
            <w:vAlign w:val="bottom"/>
            <w:tcBorders>
              <w:bottom w:val="single" w:sz="8" w:color="D7282F"/>
            </w:tcBorders>
          </w:tcPr>
          <w:p>
            <w:pPr>
              <w:spacing w:after="0"/>
              <w:rPr>
                <w:sz w:val="11"/>
                <w:szCs w:val="11"/>
                <w:color w:val="auto"/>
              </w:rPr>
            </w:pPr>
          </w:p>
        </w:tc>
        <w:tc>
          <w:tcPr>
            <w:tcW w:w="380" w:type="dxa"/>
            <w:vAlign w:val="bottom"/>
            <w:tcBorders>
              <w:bottom w:val="single" w:sz="8" w:color="D7282F"/>
            </w:tcBorders>
          </w:tcPr>
          <w:p>
            <w:pPr>
              <w:spacing w:after="0"/>
              <w:rPr>
                <w:sz w:val="11"/>
                <w:szCs w:val="11"/>
                <w:color w:val="auto"/>
              </w:rPr>
            </w:pPr>
          </w:p>
        </w:tc>
        <w:tc>
          <w:tcPr>
            <w:tcW w:w="840" w:type="dxa"/>
            <w:vAlign w:val="bottom"/>
            <w:tcBorders>
              <w:bottom w:val="single" w:sz="8" w:color="D7282F"/>
            </w:tcBorders>
          </w:tcPr>
          <w:p>
            <w:pPr>
              <w:spacing w:after="0"/>
              <w:rPr>
                <w:sz w:val="11"/>
                <w:szCs w:val="11"/>
                <w:color w:val="auto"/>
              </w:rPr>
            </w:pPr>
          </w:p>
        </w:tc>
      </w:tr>
      <w:tr>
        <w:trPr>
          <w:trHeight w:val="302"/>
        </w:trPr>
        <w:tc>
          <w:tcPr>
            <w:tcW w:w="4560" w:type="dxa"/>
            <w:vAlign w:val="bottom"/>
          </w:tcPr>
          <w:p>
            <w:pPr>
              <w:ind w:left="20"/>
              <w:spacing w:after="0"/>
              <w:rPr>
                <w:sz w:val="20"/>
                <w:szCs w:val="20"/>
                <w:color w:val="auto"/>
              </w:rPr>
            </w:pPr>
            <w:r>
              <w:rPr>
                <w:rFonts w:ascii="Arial" w:cs="Arial" w:eastAsia="Arial" w:hAnsi="Arial"/>
                <w:sz w:val="14"/>
                <w:szCs w:val="14"/>
                <w:b w:val="1"/>
                <w:bCs w:val="1"/>
                <w:color w:val="auto"/>
              </w:rPr>
              <w:t>Adjusted segment profit margin %</w:t>
            </w:r>
          </w:p>
        </w:tc>
        <w:tc>
          <w:tcPr>
            <w:tcW w:w="1620" w:type="dxa"/>
            <w:vAlign w:val="bottom"/>
          </w:tcPr>
          <w:p>
            <w:pPr>
              <w:spacing w:after="0"/>
              <w:rPr>
                <w:sz w:val="24"/>
                <w:szCs w:val="24"/>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b w:val="1"/>
                <w:bCs w:val="1"/>
                <w:color w:val="auto"/>
              </w:rPr>
              <w:t>21.5%</w:t>
            </w:r>
          </w:p>
        </w:tc>
        <w:tc>
          <w:tcPr>
            <w:tcW w:w="360" w:type="dxa"/>
            <w:vAlign w:val="bottom"/>
          </w:tcPr>
          <w:p>
            <w:pPr>
              <w:spacing w:after="0"/>
              <w:rPr>
                <w:sz w:val="24"/>
                <w:szCs w:val="24"/>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b w:val="1"/>
                <w:bCs w:val="1"/>
                <w:color w:val="auto"/>
              </w:rPr>
              <w:t>22.9%</w:t>
            </w:r>
          </w:p>
        </w:tc>
        <w:tc>
          <w:tcPr>
            <w:tcW w:w="360" w:type="dxa"/>
            <w:vAlign w:val="bottom"/>
          </w:tcPr>
          <w:p>
            <w:pPr>
              <w:spacing w:after="0"/>
              <w:rPr>
                <w:sz w:val="24"/>
                <w:szCs w:val="24"/>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22.1%</w:t>
            </w: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003415"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61" w:lineRule="exact"/>
        <w:rPr>
          <w:sz w:val="20"/>
          <w:szCs w:val="20"/>
          <w:color w:val="auto"/>
        </w:rPr>
      </w:pPr>
    </w:p>
    <w:p>
      <w:pPr>
        <w:ind w:left="200" w:right="60" w:hanging="192"/>
        <w:spacing w:after="0" w:line="264" w:lineRule="auto"/>
        <w:tabs>
          <w:tab w:leader="none" w:pos="230" w:val="left"/>
        </w:tabs>
        <w:numPr>
          <w:ilvl w:val="0"/>
          <w:numId w:val="227"/>
        </w:numPr>
        <w:rPr>
          <w:rFonts w:ascii="Arial" w:cs="Arial" w:eastAsia="Arial" w:hAnsi="Arial"/>
          <w:sz w:val="13"/>
          <w:szCs w:val="13"/>
          <w:color w:val="auto"/>
        </w:rPr>
      </w:pPr>
      <w:r>
        <w:rPr>
          <w:rFonts w:ascii="Arial" w:cs="Arial" w:eastAsia="Arial" w:hAnsi="Arial"/>
          <w:sz w:val="13"/>
          <w:szCs w:val="13"/>
          <w:color w:val="auto"/>
        </w:rPr>
        <w:t>2022 reflects estimated unaudited historical results which has been recast for continuing operations as a result of the spin-off and reclassification of the Advanced Materials business to discontinued operations.</w:t>
      </w:r>
    </w:p>
    <w:p>
      <w:pPr>
        <w:spacing w:after="0" w:line="31" w:lineRule="exact"/>
        <w:rPr>
          <w:sz w:val="20"/>
          <w:szCs w:val="20"/>
          <w:color w:val="auto"/>
        </w:rPr>
      </w:pPr>
    </w:p>
    <w:p>
      <w:pPr>
        <w:ind w:left="200" w:hanging="192"/>
        <w:spacing w:after="0"/>
        <w:tabs>
          <w:tab w:leader="none" w:pos="200" w:val="left"/>
        </w:tabs>
        <w:numPr>
          <w:ilvl w:val="0"/>
          <w:numId w:val="228"/>
        </w:numPr>
        <w:rPr>
          <w:rFonts w:ascii="Arial" w:cs="Arial" w:eastAsia="Arial" w:hAnsi="Arial"/>
          <w:sz w:val="16"/>
          <w:szCs w:val="16"/>
          <w:color w:val="auto"/>
          <w:vertAlign w:val="superscript"/>
        </w:rPr>
      </w:pPr>
      <w:r>
        <w:rPr>
          <w:rFonts w:ascii="Arial" w:cs="Arial" w:eastAsia="Arial" w:hAnsi="Arial"/>
          <w:sz w:val="13"/>
          <w:szCs w:val="13"/>
          <w:color w:val="auto"/>
        </w:rPr>
        <w:t>Included in Selling, general, and administrative expenses.</w:t>
      </w:r>
    </w:p>
    <w:p>
      <w:pPr>
        <w:spacing w:after="0" w:line="50" w:lineRule="exact"/>
        <w:rPr>
          <w:rFonts w:ascii="Arial" w:cs="Arial" w:eastAsia="Arial" w:hAnsi="Arial"/>
          <w:sz w:val="16"/>
          <w:szCs w:val="16"/>
          <w:color w:val="auto"/>
          <w:vertAlign w:val="superscript"/>
        </w:rPr>
      </w:pPr>
    </w:p>
    <w:p>
      <w:pPr>
        <w:ind w:left="200" w:right="140" w:hanging="192"/>
        <w:spacing w:after="0" w:line="237" w:lineRule="auto"/>
        <w:tabs>
          <w:tab w:leader="none" w:pos="200" w:val="left"/>
        </w:tabs>
        <w:numPr>
          <w:ilvl w:val="0"/>
          <w:numId w:val="228"/>
        </w:numPr>
        <w:rPr>
          <w:rFonts w:ascii="Arial" w:cs="Arial" w:eastAsia="Arial" w:hAnsi="Arial"/>
          <w:sz w:val="16"/>
          <w:szCs w:val="16"/>
          <w:color w:val="auto"/>
          <w:vertAlign w:val="superscript"/>
        </w:rPr>
      </w:pPr>
      <w:r>
        <w:rPr>
          <w:rFonts w:ascii="Arial" w:cs="Arial" w:eastAsia="Arial" w:hAnsi="Arial"/>
          <w:sz w:val="13"/>
          <w:szCs w:val="13"/>
          <w:color w:val="auto"/>
        </w:rPr>
        <w:t>Includes repositioning, asbestos, environmental expenses, equity income adjustment, and other charges. For the twelve months ended December 31, 2022, other charges include an expense of $250 million related to reserves against outstanding accounts receivables, contract assets, and inventory, as well as the write-down of other assets and employee severance related to the initial suspension and wind-down of our businesses and operations in Russia. For the twelve months ended December 31, 2022, other charges include $41 million of incremental long-term contract labor cost inefficiencies due to severe supply chain disruptions (attributable to the COVID-19 pandemic) related to the warehouse automation business within the Safety and Productivity Solutions segment. These costs include incurred amounts and provisions for anticipated losses recognized when total estimated costs at completion for certain of the business’ long-term contracts exceeded total estimated revenue. These certain costs represent unproductive labor costs due to unexpected supplier delays and the resulting downstream installation issues, demobilization, and remobilization of contract workers, and resolution of contractor disputes.</w:t>
      </w:r>
    </w:p>
    <w:p>
      <w:pPr>
        <w:sectPr>
          <w:pgSz w:w="11900" w:h="16838" w:orient="portrait"/>
          <w:cols w:equalWidth="0" w:num="1">
            <w:col w:w="11240"/>
          </w:cols>
          <w:pgMar w:left="320" w:top="229" w:right="339" w:bottom="0" w:gutter="0" w:footer="0" w:header="0"/>
        </w:sectPr>
      </w:pPr>
    </w:p>
    <w:bookmarkStart w:id="148" w:name="page149"/>
    <w:bookmarkEnd w:id="148"/>
    <w:p>
      <w:pPr>
        <w:ind w:left="200" w:hanging="192"/>
        <w:spacing w:after="0"/>
        <w:tabs>
          <w:tab w:leader="none" w:pos="200" w:val="left"/>
        </w:tabs>
        <w:numPr>
          <w:ilvl w:val="0"/>
          <w:numId w:val="229"/>
        </w:numPr>
        <w:rPr>
          <w:rFonts w:ascii="Arial" w:cs="Arial" w:eastAsia="Arial" w:hAnsi="Arial"/>
          <w:sz w:val="16"/>
          <w:szCs w:val="16"/>
          <w:color w:val="auto"/>
          <w:vertAlign w:val="superscript"/>
        </w:rPr>
      </w:pPr>
      <w:r>
        <w:rPr>
          <w:rFonts w:ascii="Arial" w:cs="Arial" w:eastAsia="Arial" w:hAnsi="Arial"/>
          <w:sz w:val="13"/>
          <w:szCs w:val="13"/>
          <w:color w:val="auto"/>
        </w:rPr>
        <w:t>Included in Cost of products and services sold and Selling, general, and administrative expenses.</w:t>
      </w:r>
    </w:p>
    <w:p>
      <w:pPr>
        <w:spacing w:after="0" w:line="46" w:lineRule="exact"/>
        <w:rPr>
          <w:rFonts w:ascii="Arial" w:cs="Arial" w:eastAsia="Arial" w:hAnsi="Arial"/>
          <w:sz w:val="16"/>
          <w:szCs w:val="16"/>
          <w:color w:val="auto"/>
          <w:vertAlign w:val="superscript"/>
        </w:rPr>
      </w:pPr>
    </w:p>
    <w:p>
      <w:pPr>
        <w:ind w:left="200" w:hanging="192"/>
        <w:spacing w:after="0" w:line="238" w:lineRule="auto"/>
        <w:tabs>
          <w:tab w:leader="none" w:pos="200" w:val="left"/>
        </w:tabs>
        <w:numPr>
          <w:ilvl w:val="0"/>
          <w:numId w:val="229"/>
        </w:numPr>
        <w:rPr>
          <w:rFonts w:ascii="Arial" w:cs="Arial" w:eastAsia="Arial" w:hAnsi="Arial"/>
          <w:sz w:val="16"/>
          <w:szCs w:val="16"/>
          <w:color w:val="auto"/>
          <w:vertAlign w:val="superscript"/>
        </w:rPr>
      </w:pPr>
      <w:r>
        <w:rPr>
          <w:rFonts w:ascii="Arial" w:cs="Arial" w:eastAsia="Arial" w:hAnsi="Arial"/>
          <w:sz w:val="13"/>
          <w:szCs w:val="13"/>
          <w:color w:val="auto"/>
        </w:rPr>
        <w:t>Included in Cost of products and services sold, Research and development expenses, and Selling, general and administrative expenses.</w:t>
      </w:r>
    </w:p>
    <w:p>
      <w:pPr>
        <w:spacing w:after="0" w:line="43" w:lineRule="exact"/>
        <w:rPr>
          <w:rFonts w:ascii="Arial" w:cs="Arial" w:eastAsia="Arial" w:hAnsi="Arial"/>
          <w:sz w:val="16"/>
          <w:szCs w:val="16"/>
          <w:color w:val="auto"/>
          <w:vertAlign w:val="superscript"/>
        </w:rPr>
      </w:pPr>
    </w:p>
    <w:p>
      <w:pPr>
        <w:ind w:left="200" w:hanging="192"/>
        <w:spacing w:after="0" w:line="225" w:lineRule="auto"/>
        <w:tabs>
          <w:tab w:leader="none" w:pos="200" w:val="left"/>
        </w:tabs>
        <w:numPr>
          <w:ilvl w:val="0"/>
          <w:numId w:val="229"/>
        </w:numPr>
        <w:rPr>
          <w:rFonts w:ascii="Arial" w:cs="Arial" w:eastAsia="Arial" w:hAnsi="Arial"/>
          <w:sz w:val="16"/>
          <w:szCs w:val="16"/>
          <w:color w:val="auto"/>
          <w:vertAlign w:val="superscript"/>
        </w:rPr>
      </w:pPr>
      <w:r>
        <w:rPr>
          <w:rFonts w:ascii="Arial" w:cs="Arial" w:eastAsia="Arial" w:hAnsi="Arial"/>
          <w:sz w:val="13"/>
          <w:szCs w:val="13"/>
          <w:color w:val="auto"/>
        </w:rPr>
        <w:t>Included in Cost of products and services sold.</w:t>
      </w:r>
    </w:p>
    <w:p>
      <w:pPr>
        <w:spacing w:after="0" w:line="57" w:lineRule="exact"/>
        <w:rPr>
          <w:rFonts w:ascii="Arial" w:cs="Arial" w:eastAsia="Arial" w:hAnsi="Arial"/>
          <w:sz w:val="16"/>
          <w:szCs w:val="16"/>
          <w:color w:val="auto"/>
          <w:vertAlign w:val="superscript"/>
        </w:rPr>
      </w:pPr>
    </w:p>
    <w:p>
      <w:pPr>
        <w:ind w:left="200" w:hanging="192"/>
        <w:spacing w:after="0" w:line="225" w:lineRule="auto"/>
        <w:tabs>
          <w:tab w:leader="none" w:pos="200" w:val="left"/>
        </w:tabs>
        <w:numPr>
          <w:ilvl w:val="0"/>
          <w:numId w:val="229"/>
        </w:numPr>
        <w:rPr>
          <w:rFonts w:ascii="Arial" w:cs="Arial" w:eastAsia="Arial" w:hAnsi="Arial"/>
          <w:sz w:val="16"/>
          <w:szCs w:val="16"/>
          <w:color w:val="auto"/>
          <w:vertAlign w:val="superscript"/>
        </w:rPr>
      </w:pPr>
      <w:r>
        <w:rPr>
          <w:rFonts w:ascii="Arial" w:cs="Arial" w:eastAsia="Arial" w:hAnsi="Arial"/>
          <w:sz w:val="13"/>
          <w:szCs w:val="13"/>
          <w:color w:val="auto"/>
        </w:rPr>
        <w:t>Included in Other (income) expense. Includes acquisition-related fair value adjustments to inventory and third-party transaction and integration costs.</w:t>
      </w:r>
    </w:p>
    <w:p>
      <w:pPr>
        <w:spacing w:after="0" w:line="43" w:lineRule="exact"/>
        <w:rPr>
          <w:rFonts w:ascii="Arial" w:cs="Arial" w:eastAsia="Arial" w:hAnsi="Arial"/>
          <w:sz w:val="16"/>
          <w:szCs w:val="16"/>
          <w:color w:val="auto"/>
          <w:vertAlign w:val="superscript"/>
        </w:rPr>
      </w:pPr>
    </w:p>
    <w:p>
      <w:pPr>
        <w:ind w:left="200" w:hanging="192"/>
        <w:spacing w:after="0" w:line="225" w:lineRule="auto"/>
        <w:tabs>
          <w:tab w:leader="none" w:pos="200" w:val="left"/>
        </w:tabs>
        <w:numPr>
          <w:ilvl w:val="0"/>
          <w:numId w:val="229"/>
        </w:numPr>
        <w:rPr>
          <w:rFonts w:ascii="Arial" w:cs="Arial" w:eastAsia="Arial" w:hAnsi="Arial"/>
          <w:sz w:val="16"/>
          <w:szCs w:val="16"/>
          <w:color w:val="auto"/>
          <w:vertAlign w:val="superscript"/>
        </w:rPr>
      </w:pPr>
      <w:r>
        <w:rPr>
          <w:rFonts w:ascii="Arial" w:cs="Arial" w:eastAsia="Arial" w:hAnsi="Arial"/>
          <w:sz w:val="13"/>
          <w:szCs w:val="13"/>
          <w:color w:val="auto"/>
        </w:rPr>
        <w:t>For the twelve months ended December 31, 2025, reflects a $373 million impact to segment profit as a result of the settlement of the Flexjet-related litigation matters.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260" w:type="dxa"/>
            <w:vAlign w:val="bottom"/>
          </w:tcPr>
          <w:p>
            <w:pPr>
              <w:ind w:left="6840"/>
              <w:spacing w:after="0"/>
              <w:rPr>
                <w:sz w:val="20"/>
                <w:szCs w:val="20"/>
                <w:color w:val="auto"/>
              </w:rPr>
            </w:pPr>
            <w:r>
              <w:rPr>
                <w:rFonts w:ascii="Arial" w:cs="Arial" w:eastAsia="Arial" w:hAnsi="Arial"/>
                <w:sz w:val="13"/>
                <w:szCs w:val="13"/>
                <w:b w:val="1"/>
                <w:bCs w:val="1"/>
                <w:color w:val="6D6E71"/>
              </w:rPr>
              <w:t>2026 NOTICE AND PROXY STATEMENT   |</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131</w:t>
            </w:r>
          </w:p>
        </w:tc>
      </w:tr>
      <w:tr>
        <w:trPr>
          <w:trHeight w:val="373"/>
        </w:trPr>
        <w:tc>
          <w:tcPr>
            <w:tcW w:w="10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103" w:right="339" w:bottom="1440" w:gutter="0" w:footer="0" w:header="0"/>
        </w:sectPr>
      </w:pPr>
    </w:p>
    <w:bookmarkStart w:id="149" w:name="page150"/>
    <w:bookmarkEnd w:id="149"/>
    <w:p>
      <w:pPr>
        <w:spacing w:after="0"/>
        <w:rPr>
          <w:sz w:val="20"/>
          <w:szCs w:val="20"/>
          <w:color w:val="auto"/>
        </w:rPr>
      </w:pPr>
      <w:r>
        <w:rPr>
          <w:rFonts w:ascii="Arial" w:cs="Arial" w:eastAsia="Arial" w:hAnsi="Arial"/>
          <w:sz w:val="13"/>
          <w:szCs w:val="13"/>
          <w:b w:val="1"/>
          <w:bCs w:val="1"/>
          <w:color w:val="6D6E71"/>
        </w:rPr>
        <w:t>APPENDIX A: RECONCILIATION OF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u w:val="single" w:color="auto"/>
          <w:color w:val="auto"/>
        </w:rPr>
        <w:t>Previously Reported Total Company Segment Profit and Segment Profit Margin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($M)</w:t>
            </w:r>
          </w:p>
        </w:tc>
        <w:tc>
          <w:tcPr>
            <w:tcW w:w="1740" w:type="dxa"/>
            <w:vAlign w:val="bottom"/>
            <w:tcBorders>
              <w:bottom w:val="single" w:sz="8" w:color="D7282F"/>
            </w:tcBorders>
          </w:tcPr>
          <w:p>
            <w:pPr>
              <w:spacing w:after="0"/>
              <w:rPr>
                <w:sz w:val="17"/>
                <w:szCs w:val="17"/>
                <w:color w:val="auto"/>
              </w:rPr>
            </w:pPr>
          </w:p>
        </w:tc>
        <w:tc>
          <w:tcPr>
            <w:tcW w:w="1000" w:type="dxa"/>
            <w:vAlign w:val="bottom"/>
            <w:tcBorders>
              <w:bottom w:val="single" w:sz="8" w:color="D7282F"/>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D7282F"/>
            </w:tcBorders>
          </w:tcPr>
          <w:p>
            <w:pPr>
              <w:spacing w:after="0"/>
              <w:rPr>
                <w:sz w:val="17"/>
                <w:szCs w:val="17"/>
                <w:color w:val="auto"/>
              </w:rPr>
            </w:pPr>
          </w:p>
        </w:tc>
        <w:tc>
          <w:tcPr>
            <w:tcW w:w="96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D7282F"/>
            </w:tcBorders>
          </w:tcPr>
          <w:p>
            <w:pPr>
              <w:spacing w:after="0"/>
              <w:rPr>
                <w:sz w:val="17"/>
                <w:szCs w:val="17"/>
                <w:color w:val="auto"/>
              </w:rPr>
            </w:pPr>
          </w:p>
        </w:tc>
        <w:tc>
          <w:tcPr>
            <w:tcW w:w="96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2024</w:t>
            </w:r>
          </w:p>
        </w:tc>
      </w:tr>
      <w:tr>
        <w:trPr>
          <w:trHeight w:val="308"/>
        </w:trPr>
        <w:tc>
          <w:tcPr>
            <w:tcW w:w="4680" w:type="dxa"/>
            <w:vAlign w:val="bottom"/>
          </w:tcPr>
          <w:p>
            <w:pPr>
              <w:ind w:left="20"/>
              <w:spacing w:after="0"/>
              <w:rPr>
                <w:sz w:val="20"/>
                <w:szCs w:val="20"/>
                <w:color w:val="auto"/>
              </w:rPr>
            </w:pPr>
            <w:r>
              <w:rPr>
                <w:rFonts w:ascii="Arial" w:cs="Arial" w:eastAsia="Arial" w:hAnsi="Arial"/>
                <w:sz w:val="14"/>
                <w:szCs w:val="14"/>
                <w:b w:val="1"/>
                <w:bCs w:val="1"/>
                <w:color w:val="auto"/>
              </w:rPr>
              <w:t>Operating income</w:t>
            </w:r>
          </w:p>
        </w:tc>
        <w:tc>
          <w:tcPr>
            <w:tcW w:w="17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308"/>
              <w:spacing w:after="0"/>
              <w:rPr>
                <w:sz w:val="20"/>
                <w:szCs w:val="20"/>
                <w:color w:val="auto"/>
              </w:rPr>
            </w:pPr>
            <w:r>
              <w:rPr>
                <w:rFonts w:ascii="Arial" w:cs="Arial" w:eastAsia="Arial" w:hAnsi="Arial"/>
                <w:sz w:val="14"/>
                <w:szCs w:val="14"/>
                <w:b w:val="1"/>
                <w:bCs w:val="1"/>
                <w:color w:val="auto"/>
              </w:rPr>
              <w:t>6,200</w:t>
            </w:r>
          </w:p>
        </w:tc>
        <w:tc>
          <w:tcPr>
            <w:tcW w:w="3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268"/>
              <w:spacing w:after="0"/>
              <w:rPr>
                <w:sz w:val="20"/>
                <w:szCs w:val="20"/>
                <w:color w:val="auto"/>
              </w:rPr>
            </w:pPr>
            <w:r>
              <w:rPr>
                <w:rFonts w:ascii="Arial" w:cs="Arial" w:eastAsia="Arial" w:hAnsi="Arial"/>
                <w:sz w:val="14"/>
                <w:szCs w:val="14"/>
                <w:b w:val="1"/>
                <w:bCs w:val="1"/>
                <w:color w:val="auto"/>
              </w:rPr>
              <w:t>6,427</w:t>
            </w:r>
          </w:p>
        </w:tc>
        <w:tc>
          <w:tcPr>
            <w:tcW w:w="3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268"/>
              <w:spacing w:after="0"/>
              <w:rPr>
                <w:sz w:val="20"/>
                <w:szCs w:val="20"/>
                <w:color w:val="auto"/>
              </w:rPr>
            </w:pPr>
            <w:r>
              <w:rPr>
                <w:rFonts w:ascii="Arial" w:cs="Arial" w:eastAsia="Arial" w:hAnsi="Arial"/>
                <w:sz w:val="14"/>
                <w:szCs w:val="14"/>
                <w:b w:val="1"/>
                <w:bCs w:val="1"/>
                <w:color w:val="auto"/>
              </w:rPr>
              <w:t>7,084</w:t>
            </w:r>
          </w:p>
        </w:tc>
        <w:tc>
          <w:tcPr>
            <w:tcW w:w="3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148"/>
              <w:spacing w:after="0"/>
              <w:rPr>
                <w:sz w:val="20"/>
                <w:szCs w:val="20"/>
                <w:color w:val="auto"/>
              </w:rPr>
            </w:pPr>
            <w:r>
              <w:rPr>
                <w:rFonts w:ascii="Arial" w:cs="Arial" w:eastAsia="Arial" w:hAnsi="Arial"/>
                <w:sz w:val="14"/>
                <w:szCs w:val="14"/>
                <w:b w:val="1"/>
                <w:bCs w:val="1"/>
                <w:color w:val="auto"/>
              </w:rPr>
              <w:t>7,441</w:t>
            </w:r>
          </w:p>
        </w:tc>
      </w:tr>
      <w:tr>
        <w:trPr>
          <w:trHeight w:val="124"/>
        </w:trPr>
        <w:tc>
          <w:tcPr>
            <w:tcW w:w="4680" w:type="dxa"/>
            <w:vAlign w:val="bottom"/>
            <w:tcBorders>
              <w:bottom w:val="single" w:sz="8" w:color="939598"/>
            </w:tcBorders>
          </w:tcPr>
          <w:p>
            <w:pPr>
              <w:spacing w:after="0"/>
              <w:rPr>
                <w:sz w:val="10"/>
                <w:szCs w:val="10"/>
                <w:color w:val="auto"/>
              </w:rPr>
            </w:pPr>
          </w:p>
        </w:tc>
        <w:tc>
          <w:tcPr>
            <w:tcW w:w="1740" w:type="dxa"/>
            <w:vAlign w:val="bottom"/>
            <w:tcBorders>
              <w:bottom w:val="single" w:sz="8" w:color="939598"/>
            </w:tcBorders>
          </w:tcPr>
          <w:p>
            <w:pPr>
              <w:spacing w:after="0"/>
              <w:rPr>
                <w:sz w:val="10"/>
                <w:szCs w:val="10"/>
                <w:color w:val="auto"/>
              </w:rPr>
            </w:pPr>
          </w:p>
        </w:tc>
        <w:tc>
          <w:tcPr>
            <w:tcW w:w="100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spacing w:after="0"/>
              <w:rPr>
                <w:sz w:val="10"/>
                <w:szCs w:val="10"/>
                <w:color w:val="auto"/>
              </w:rPr>
            </w:pPr>
          </w:p>
        </w:tc>
        <w:tc>
          <w:tcPr>
            <w:tcW w:w="96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spacing w:after="0"/>
              <w:rPr>
                <w:sz w:val="10"/>
                <w:szCs w:val="10"/>
                <w:color w:val="auto"/>
              </w:rPr>
            </w:pPr>
          </w:p>
        </w:tc>
        <w:tc>
          <w:tcPr>
            <w:tcW w:w="96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spacing w:after="0"/>
              <w:rPr>
                <w:sz w:val="10"/>
                <w:szCs w:val="10"/>
                <w:color w:val="auto"/>
              </w:rPr>
            </w:pPr>
          </w:p>
        </w:tc>
        <w:tc>
          <w:tcPr>
            <w:tcW w:w="840" w:type="dxa"/>
            <w:vAlign w:val="bottom"/>
            <w:tcBorders>
              <w:bottom w:val="single" w:sz="8" w:color="939598"/>
            </w:tcBorders>
          </w:tcPr>
          <w:p>
            <w:pPr>
              <w:spacing w:after="0"/>
              <w:rPr>
                <w:sz w:val="10"/>
                <w:szCs w:val="10"/>
                <w:color w:val="auto"/>
              </w:rPr>
            </w:pPr>
          </w:p>
        </w:tc>
      </w:tr>
      <w:tr>
        <w:trPr>
          <w:trHeight w:val="296"/>
        </w:trPr>
        <w:tc>
          <w:tcPr>
            <w:tcW w:w="4680" w:type="dxa"/>
            <w:vAlign w:val="bottom"/>
          </w:tcPr>
          <w:p>
            <w:pPr>
              <w:ind w:left="20"/>
              <w:spacing w:after="0"/>
              <w:rPr>
                <w:sz w:val="20"/>
                <w:szCs w:val="20"/>
                <w:color w:val="auto"/>
              </w:rPr>
            </w:pPr>
            <w:r>
              <w:rPr>
                <w:rFonts w:ascii="Arial" w:cs="Arial" w:eastAsia="Arial" w:hAnsi="Arial"/>
                <w:sz w:val="14"/>
                <w:szCs w:val="14"/>
                <w:color w:val="auto"/>
              </w:rPr>
              <w:t>Stock compensation expense</w:t>
            </w:r>
            <w:r>
              <w:rPr>
                <w:rFonts w:ascii="Arial" w:cs="Arial" w:eastAsia="Arial" w:hAnsi="Arial"/>
                <w:sz w:val="9"/>
                <w:szCs w:val="9"/>
                <w:color w:val="auto"/>
              </w:rPr>
              <w:t>(1)</w:t>
            </w:r>
          </w:p>
        </w:tc>
        <w:tc>
          <w:tcPr>
            <w:tcW w:w="1740" w:type="dxa"/>
            <w:vAlign w:val="bottom"/>
          </w:tcPr>
          <w:p>
            <w:pPr>
              <w:spacing w:after="0"/>
              <w:rPr>
                <w:sz w:val="24"/>
                <w:szCs w:val="24"/>
                <w:color w:val="auto"/>
              </w:rPr>
            </w:pPr>
          </w:p>
        </w:tc>
        <w:tc>
          <w:tcPr>
            <w:tcW w:w="1000" w:type="dxa"/>
            <w:vAlign w:val="bottom"/>
          </w:tcPr>
          <w:p>
            <w:pPr>
              <w:jc w:val="right"/>
              <w:ind w:right="308"/>
              <w:spacing w:after="0"/>
              <w:rPr>
                <w:sz w:val="20"/>
                <w:szCs w:val="20"/>
                <w:color w:val="auto"/>
              </w:rPr>
            </w:pPr>
            <w:r>
              <w:rPr>
                <w:rFonts w:ascii="Arial" w:cs="Arial" w:eastAsia="Arial" w:hAnsi="Arial"/>
                <w:sz w:val="14"/>
                <w:szCs w:val="14"/>
                <w:color w:val="auto"/>
              </w:rPr>
              <w:t>217</w:t>
            </w:r>
          </w:p>
        </w:tc>
        <w:tc>
          <w:tcPr>
            <w:tcW w:w="360" w:type="dxa"/>
            <w:vAlign w:val="bottom"/>
          </w:tcPr>
          <w:p>
            <w:pPr>
              <w:spacing w:after="0"/>
              <w:rPr>
                <w:sz w:val="24"/>
                <w:szCs w:val="24"/>
                <w:color w:val="auto"/>
              </w:rPr>
            </w:pPr>
          </w:p>
        </w:tc>
        <w:tc>
          <w:tcPr>
            <w:tcW w:w="960" w:type="dxa"/>
            <w:vAlign w:val="bottom"/>
          </w:tcPr>
          <w:p>
            <w:pPr>
              <w:jc w:val="right"/>
              <w:ind w:right="268"/>
              <w:spacing w:after="0"/>
              <w:rPr>
                <w:sz w:val="20"/>
                <w:szCs w:val="20"/>
                <w:color w:val="auto"/>
              </w:rPr>
            </w:pPr>
            <w:r>
              <w:rPr>
                <w:rFonts w:ascii="Arial" w:cs="Arial" w:eastAsia="Arial" w:hAnsi="Arial"/>
                <w:sz w:val="14"/>
                <w:szCs w:val="14"/>
                <w:color w:val="auto"/>
              </w:rPr>
              <w:t>188</w:t>
            </w:r>
          </w:p>
        </w:tc>
        <w:tc>
          <w:tcPr>
            <w:tcW w:w="340" w:type="dxa"/>
            <w:vAlign w:val="bottom"/>
          </w:tcPr>
          <w:p>
            <w:pPr>
              <w:spacing w:after="0"/>
              <w:rPr>
                <w:sz w:val="24"/>
                <w:szCs w:val="24"/>
                <w:color w:val="auto"/>
              </w:rPr>
            </w:pPr>
          </w:p>
        </w:tc>
        <w:tc>
          <w:tcPr>
            <w:tcW w:w="960" w:type="dxa"/>
            <w:vAlign w:val="bottom"/>
          </w:tcPr>
          <w:p>
            <w:pPr>
              <w:jc w:val="right"/>
              <w:ind w:right="268"/>
              <w:spacing w:after="0"/>
              <w:rPr>
                <w:sz w:val="20"/>
                <w:szCs w:val="20"/>
                <w:color w:val="auto"/>
              </w:rPr>
            </w:pPr>
            <w:r>
              <w:rPr>
                <w:rFonts w:ascii="Arial" w:cs="Arial" w:eastAsia="Arial" w:hAnsi="Arial"/>
                <w:sz w:val="14"/>
                <w:szCs w:val="14"/>
                <w:color w:val="auto"/>
              </w:rPr>
              <w:t>202</w:t>
            </w:r>
          </w:p>
        </w:tc>
        <w:tc>
          <w:tcPr>
            <w:tcW w:w="340" w:type="dxa"/>
            <w:vAlign w:val="bottom"/>
          </w:tcPr>
          <w:p>
            <w:pPr>
              <w:spacing w:after="0"/>
              <w:rPr>
                <w:sz w:val="24"/>
                <w:szCs w:val="24"/>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194</w:t>
            </w:r>
          </w:p>
        </w:tc>
      </w:tr>
      <w:tr>
        <w:trPr>
          <w:trHeight w:val="129"/>
        </w:trPr>
        <w:tc>
          <w:tcPr>
            <w:tcW w:w="4680" w:type="dxa"/>
            <w:vAlign w:val="bottom"/>
            <w:tcBorders>
              <w:bottom w:val="single" w:sz="8" w:color="939598"/>
            </w:tcBorders>
          </w:tcPr>
          <w:p>
            <w:pPr>
              <w:spacing w:after="0"/>
              <w:rPr>
                <w:sz w:val="11"/>
                <w:szCs w:val="11"/>
                <w:color w:val="auto"/>
              </w:rPr>
            </w:pPr>
          </w:p>
        </w:tc>
        <w:tc>
          <w:tcPr>
            <w:tcW w:w="1740" w:type="dxa"/>
            <w:vAlign w:val="bottom"/>
            <w:tcBorders>
              <w:bottom w:val="single" w:sz="8" w:color="939598"/>
            </w:tcBorders>
          </w:tcPr>
          <w:p>
            <w:pPr>
              <w:spacing w:after="0"/>
              <w:rPr>
                <w:sz w:val="11"/>
                <w:szCs w:val="11"/>
                <w:color w:val="auto"/>
              </w:rPr>
            </w:pPr>
          </w:p>
        </w:tc>
        <w:tc>
          <w:tcPr>
            <w:tcW w:w="1000" w:type="dxa"/>
            <w:vAlign w:val="bottom"/>
            <w:tcBorders>
              <w:bottom w:val="single" w:sz="8" w:color="939598"/>
            </w:tcBorders>
          </w:tcPr>
          <w:p>
            <w:pPr>
              <w:spacing w:after="0"/>
              <w:rPr>
                <w:sz w:val="11"/>
                <w:szCs w:val="11"/>
                <w:color w:val="auto"/>
              </w:rPr>
            </w:pPr>
          </w:p>
        </w:tc>
        <w:tc>
          <w:tcPr>
            <w:tcW w:w="360" w:type="dxa"/>
            <w:vAlign w:val="bottom"/>
            <w:tcBorders>
              <w:bottom w:val="single" w:sz="8" w:color="939598"/>
            </w:tcBorders>
          </w:tcPr>
          <w:p>
            <w:pPr>
              <w:spacing w:after="0"/>
              <w:rPr>
                <w:sz w:val="11"/>
                <w:szCs w:val="11"/>
                <w:color w:val="auto"/>
              </w:rPr>
            </w:pPr>
          </w:p>
        </w:tc>
        <w:tc>
          <w:tcPr>
            <w:tcW w:w="960" w:type="dxa"/>
            <w:vAlign w:val="bottom"/>
            <w:tcBorders>
              <w:bottom w:val="single" w:sz="8" w:color="939598"/>
            </w:tcBorders>
          </w:tcPr>
          <w:p>
            <w:pPr>
              <w:spacing w:after="0"/>
              <w:rPr>
                <w:sz w:val="11"/>
                <w:szCs w:val="11"/>
                <w:color w:val="auto"/>
              </w:rPr>
            </w:pPr>
          </w:p>
        </w:tc>
        <w:tc>
          <w:tcPr>
            <w:tcW w:w="340" w:type="dxa"/>
            <w:vAlign w:val="bottom"/>
            <w:tcBorders>
              <w:bottom w:val="single" w:sz="8" w:color="939598"/>
            </w:tcBorders>
          </w:tcPr>
          <w:p>
            <w:pPr>
              <w:spacing w:after="0"/>
              <w:rPr>
                <w:sz w:val="11"/>
                <w:szCs w:val="11"/>
                <w:color w:val="auto"/>
              </w:rPr>
            </w:pPr>
          </w:p>
        </w:tc>
        <w:tc>
          <w:tcPr>
            <w:tcW w:w="960" w:type="dxa"/>
            <w:vAlign w:val="bottom"/>
            <w:tcBorders>
              <w:bottom w:val="single" w:sz="8" w:color="939598"/>
            </w:tcBorders>
          </w:tcPr>
          <w:p>
            <w:pPr>
              <w:spacing w:after="0"/>
              <w:rPr>
                <w:sz w:val="11"/>
                <w:szCs w:val="11"/>
                <w:color w:val="auto"/>
              </w:rPr>
            </w:pPr>
          </w:p>
        </w:tc>
        <w:tc>
          <w:tcPr>
            <w:tcW w:w="340" w:type="dxa"/>
            <w:vAlign w:val="bottom"/>
            <w:tcBorders>
              <w:bottom w:val="single" w:sz="8" w:color="939598"/>
            </w:tcBorders>
          </w:tcPr>
          <w:p>
            <w:pPr>
              <w:spacing w:after="0"/>
              <w:rPr>
                <w:sz w:val="11"/>
                <w:szCs w:val="11"/>
                <w:color w:val="auto"/>
              </w:rPr>
            </w:pPr>
          </w:p>
        </w:tc>
        <w:tc>
          <w:tcPr>
            <w:tcW w:w="840" w:type="dxa"/>
            <w:vAlign w:val="bottom"/>
            <w:tcBorders>
              <w:bottom w:val="single" w:sz="8" w:color="939598"/>
            </w:tcBorders>
          </w:tcPr>
          <w:p>
            <w:pPr>
              <w:spacing w:after="0"/>
              <w:rPr>
                <w:sz w:val="11"/>
                <w:szCs w:val="11"/>
                <w:color w:val="auto"/>
              </w:rPr>
            </w:pPr>
          </w:p>
        </w:tc>
      </w:tr>
      <w:tr>
        <w:trPr>
          <w:trHeight w:val="296"/>
        </w:trPr>
        <w:tc>
          <w:tcPr>
            <w:tcW w:w="4680" w:type="dxa"/>
            <w:vAlign w:val="bottom"/>
          </w:tcPr>
          <w:p>
            <w:pPr>
              <w:ind w:left="20"/>
              <w:spacing w:after="0"/>
              <w:rPr>
                <w:sz w:val="20"/>
                <w:szCs w:val="20"/>
                <w:color w:val="auto"/>
              </w:rPr>
            </w:pPr>
            <w:r>
              <w:rPr>
                <w:rFonts w:ascii="Arial" w:cs="Arial" w:eastAsia="Arial" w:hAnsi="Arial"/>
                <w:sz w:val="14"/>
                <w:szCs w:val="14"/>
                <w:color w:val="auto"/>
              </w:rPr>
              <w:t>Repositioning, Other</w:t>
            </w:r>
            <w:r>
              <w:rPr>
                <w:rFonts w:ascii="Arial" w:cs="Arial" w:eastAsia="Arial" w:hAnsi="Arial"/>
                <w:sz w:val="9"/>
                <w:szCs w:val="9"/>
                <w:color w:val="auto"/>
              </w:rPr>
              <w:t>(2,3)</w:t>
            </w:r>
          </w:p>
        </w:tc>
        <w:tc>
          <w:tcPr>
            <w:tcW w:w="1740" w:type="dxa"/>
            <w:vAlign w:val="bottom"/>
          </w:tcPr>
          <w:p>
            <w:pPr>
              <w:spacing w:after="0"/>
              <w:rPr>
                <w:sz w:val="24"/>
                <w:szCs w:val="24"/>
                <w:color w:val="auto"/>
              </w:rPr>
            </w:pPr>
          </w:p>
        </w:tc>
        <w:tc>
          <w:tcPr>
            <w:tcW w:w="1000" w:type="dxa"/>
            <w:vAlign w:val="bottom"/>
          </w:tcPr>
          <w:p>
            <w:pPr>
              <w:jc w:val="right"/>
              <w:ind w:right="308"/>
              <w:spacing w:after="0"/>
              <w:rPr>
                <w:sz w:val="20"/>
                <w:szCs w:val="20"/>
                <w:color w:val="auto"/>
              </w:rPr>
            </w:pPr>
            <w:r>
              <w:rPr>
                <w:rFonts w:ascii="Arial" w:cs="Arial" w:eastAsia="Arial" w:hAnsi="Arial"/>
                <w:sz w:val="14"/>
                <w:szCs w:val="14"/>
                <w:color w:val="auto"/>
              </w:rPr>
              <w:t>636</w:t>
            </w:r>
          </w:p>
        </w:tc>
        <w:tc>
          <w:tcPr>
            <w:tcW w:w="360" w:type="dxa"/>
            <w:vAlign w:val="bottom"/>
          </w:tcPr>
          <w:p>
            <w:pPr>
              <w:spacing w:after="0"/>
              <w:rPr>
                <w:sz w:val="24"/>
                <w:szCs w:val="24"/>
                <w:color w:val="auto"/>
              </w:rPr>
            </w:pPr>
          </w:p>
        </w:tc>
        <w:tc>
          <w:tcPr>
            <w:tcW w:w="960" w:type="dxa"/>
            <w:vAlign w:val="bottom"/>
          </w:tcPr>
          <w:p>
            <w:pPr>
              <w:jc w:val="right"/>
              <w:ind w:right="268"/>
              <w:spacing w:after="0"/>
              <w:rPr>
                <w:sz w:val="20"/>
                <w:szCs w:val="20"/>
                <w:color w:val="auto"/>
              </w:rPr>
            </w:pPr>
            <w:r>
              <w:rPr>
                <w:rFonts w:ascii="Arial" w:cs="Arial" w:eastAsia="Arial" w:hAnsi="Arial"/>
                <w:sz w:val="14"/>
                <w:szCs w:val="14"/>
                <w:color w:val="auto"/>
              </w:rPr>
              <w:t>942</w:t>
            </w:r>
          </w:p>
        </w:tc>
        <w:tc>
          <w:tcPr>
            <w:tcW w:w="340" w:type="dxa"/>
            <w:vAlign w:val="bottom"/>
          </w:tcPr>
          <w:p>
            <w:pPr>
              <w:spacing w:after="0"/>
              <w:rPr>
                <w:sz w:val="24"/>
                <w:szCs w:val="24"/>
                <w:color w:val="auto"/>
              </w:rPr>
            </w:pPr>
          </w:p>
        </w:tc>
        <w:tc>
          <w:tcPr>
            <w:tcW w:w="960" w:type="dxa"/>
            <w:vAlign w:val="bottom"/>
          </w:tcPr>
          <w:p>
            <w:pPr>
              <w:jc w:val="right"/>
              <w:ind w:right="268"/>
              <w:spacing w:after="0"/>
              <w:rPr>
                <w:sz w:val="20"/>
                <w:szCs w:val="20"/>
                <w:color w:val="auto"/>
              </w:rPr>
            </w:pPr>
            <w:r>
              <w:rPr>
                <w:rFonts w:ascii="Arial" w:cs="Arial" w:eastAsia="Arial" w:hAnsi="Arial"/>
                <w:sz w:val="14"/>
                <w:szCs w:val="14"/>
                <w:color w:val="auto"/>
              </w:rPr>
              <w:t>952</w:t>
            </w:r>
          </w:p>
        </w:tc>
        <w:tc>
          <w:tcPr>
            <w:tcW w:w="340" w:type="dxa"/>
            <w:vAlign w:val="bottom"/>
          </w:tcPr>
          <w:p>
            <w:pPr>
              <w:spacing w:after="0"/>
              <w:rPr>
                <w:sz w:val="24"/>
                <w:szCs w:val="24"/>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292</w:t>
            </w:r>
          </w:p>
        </w:tc>
      </w:tr>
      <w:tr>
        <w:trPr>
          <w:trHeight w:val="130"/>
        </w:trPr>
        <w:tc>
          <w:tcPr>
            <w:tcW w:w="4680" w:type="dxa"/>
            <w:vAlign w:val="bottom"/>
            <w:tcBorders>
              <w:bottom w:val="single" w:sz="8" w:color="939598"/>
            </w:tcBorders>
          </w:tcPr>
          <w:p>
            <w:pPr>
              <w:spacing w:after="0"/>
              <w:rPr>
                <w:sz w:val="11"/>
                <w:szCs w:val="11"/>
                <w:color w:val="auto"/>
              </w:rPr>
            </w:pPr>
          </w:p>
        </w:tc>
        <w:tc>
          <w:tcPr>
            <w:tcW w:w="1740" w:type="dxa"/>
            <w:vAlign w:val="bottom"/>
            <w:tcBorders>
              <w:bottom w:val="single" w:sz="8" w:color="939598"/>
            </w:tcBorders>
          </w:tcPr>
          <w:p>
            <w:pPr>
              <w:spacing w:after="0"/>
              <w:rPr>
                <w:sz w:val="11"/>
                <w:szCs w:val="11"/>
                <w:color w:val="auto"/>
              </w:rPr>
            </w:pPr>
          </w:p>
        </w:tc>
        <w:tc>
          <w:tcPr>
            <w:tcW w:w="1000" w:type="dxa"/>
            <w:vAlign w:val="bottom"/>
            <w:tcBorders>
              <w:bottom w:val="single" w:sz="8" w:color="939598"/>
            </w:tcBorders>
          </w:tcPr>
          <w:p>
            <w:pPr>
              <w:spacing w:after="0"/>
              <w:rPr>
                <w:sz w:val="11"/>
                <w:szCs w:val="11"/>
                <w:color w:val="auto"/>
              </w:rPr>
            </w:pPr>
          </w:p>
        </w:tc>
        <w:tc>
          <w:tcPr>
            <w:tcW w:w="360" w:type="dxa"/>
            <w:vAlign w:val="bottom"/>
            <w:tcBorders>
              <w:bottom w:val="single" w:sz="8" w:color="939598"/>
            </w:tcBorders>
          </w:tcPr>
          <w:p>
            <w:pPr>
              <w:spacing w:after="0"/>
              <w:rPr>
                <w:sz w:val="11"/>
                <w:szCs w:val="11"/>
                <w:color w:val="auto"/>
              </w:rPr>
            </w:pPr>
          </w:p>
        </w:tc>
        <w:tc>
          <w:tcPr>
            <w:tcW w:w="960" w:type="dxa"/>
            <w:vAlign w:val="bottom"/>
            <w:tcBorders>
              <w:bottom w:val="single" w:sz="8" w:color="939598"/>
            </w:tcBorders>
          </w:tcPr>
          <w:p>
            <w:pPr>
              <w:spacing w:after="0"/>
              <w:rPr>
                <w:sz w:val="11"/>
                <w:szCs w:val="11"/>
                <w:color w:val="auto"/>
              </w:rPr>
            </w:pPr>
          </w:p>
        </w:tc>
        <w:tc>
          <w:tcPr>
            <w:tcW w:w="340" w:type="dxa"/>
            <w:vAlign w:val="bottom"/>
            <w:tcBorders>
              <w:bottom w:val="single" w:sz="8" w:color="939598"/>
            </w:tcBorders>
          </w:tcPr>
          <w:p>
            <w:pPr>
              <w:spacing w:after="0"/>
              <w:rPr>
                <w:sz w:val="11"/>
                <w:szCs w:val="11"/>
                <w:color w:val="auto"/>
              </w:rPr>
            </w:pPr>
          </w:p>
        </w:tc>
        <w:tc>
          <w:tcPr>
            <w:tcW w:w="960" w:type="dxa"/>
            <w:vAlign w:val="bottom"/>
            <w:tcBorders>
              <w:bottom w:val="single" w:sz="8" w:color="939598"/>
            </w:tcBorders>
          </w:tcPr>
          <w:p>
            <w:pPr>
              <w:spacing w:after="0"/>
              <w:rPr>
                <w:sz w:val="11"/>
                <w:szCs w:val="11"/>
                <w:color w:val="auto"/>
              </w:rPr>
            </w:pPr>
          </w:p>
        </w:tc>
        <w:tc>
          <w:tcPr>
            <w:tcW w:w="340" w:type="dxa"/>
            <w:vAlign w:val="bottom"/>
            <w:tcBorders>
              <w:bottom w:val="single" w:sz="8" w:color="939598"/>
            </w:tcBorders>
          </w:tcPr>
          <w:p>
            <w:pPr>
              <w:spacing w:after="0"/>
              <w:rPr>
                <w:sz w:val="11"/>
                <w:szCs w:val="11"/>
                <w:color w:val="auto"/>
              </w:rPr>
            </w:pPr>
          </w:p>
        </w:tc>
        <w:tc>
          <w:tcPr>
            <w:tcW w:w="840" w:type="dxa"/>
            <w:vAlign w:val="bottom"/>
            <w:tcBorders>
              <w:bottom w:val="single" w:sz="8" w:color="939598"/>
            </w:tcBorders>
          </w:tcPr>
          <w:p>
            <w:pPr>
              <w:spacing w:after="0"/>
              <w:rPr>
                <w:sz w:val="11"/>
                <w:szCs w:val="11"/>
                <w:color w:val="auto"/>
              </w:rPr>
            </w:pPr>
          </w:p>
        </w:tc>
      </w:tr>
      <w:tr>
        <w:trPr>
          <w:trHeight w:val="296"/>
        </w:trPr>
        <w:tc>
          <w:tcPr>
            <w:tcW w:w="4680" w:type="dxa"/>
            <w:vAlign w:val="bottom"/>
          </w:tcPr>
          <w:p>
            <w:pPr>
              <w:ind w:left="20"/>
              <w:spacing w:after="0"/>
              <w:rPr>
                <w:sz w:val="20"/>
                <w:szCs w:val="20"/>
                <w:color w:val="auto"/>
              </w:rPr>
            </w:pPr>
            <w:r>
              <w:rPr>
                <w:rFonts w:ascii="Arial" w:cs="Arial" w:eastAsia="Arial" w:hAnsi="Arial"/>
                <w:sz w:val="14"/>
                <w:szCs w:val="14"/>
                <w:color w:val="auto"/>
              </w:rPr>
              <w:t>Pension and other postretirement service costs</w:t>
            </w:r>
            <w:r>
              <w:rPr>
                <w:rFonts w:ascii="Arial" w:cs="Arial" w:eastAsia="Arial" w:hAnsi="Arial"/>
                <w:sz w:val="9"/>
                <w:szCs w:val="9"/>
                <w:color w:val="auto"/>
              </w:rPr>
              <w:t>(4)</w:t>
            </w:r>
          </w:p>
        </w:tc>
        <w:tc>
          <w:tcPr>
            <w:tcW w:w="1740" w:type="dxa"/>
            <w:vAlign w:val="bottom"/>
          </w:tcPr>
          <w:p>
            <w:pPr>
              <w:spacing w:after="0"/>
              <w:rPr>
                <w:sz w:val="24"/>
                <w:szCs w:val="24"/>
                <w:color w:val="auto"/>
              </w:rPr>
            </w:pPr>
          </w:p>
        </w:tc>
        <w:tc>
          <w:tcPr>
            <w:tcW w:w="1000" w:type="dxa"/>
            <w:vAlign w:val="bottom"/>
          </w:tcPr>
          <w:p>
            <w:pPr>
              <w:jc w:val="right"/>
              <w:ind w:right="308"/>
              <w:spacing w:after="0"/>
              <w:rPr>
                <w:sz w:val="20"/>
                <w:szCs w:val="20"/>
                <w:color w:val="auto"/>
              </w:rPr>
            </w:pPr>
            <w:r>
              <w:rPr>
                <w:rFonts w:ascii="Arial" w:cs="Arial" w:eastAsia="Arial" w:hAnsi="Arial"/>
                <w:sz w:val="14"/>
                <w:szCs w:val="14"/>
                <w:color w:val="auto"/>
              </w:rPr>
              <w:t>159</w:t>
            </w:r>
          </w:p>
        </w:tc>
        <w:tc>
          <w:tcPr>
            <w:tcW w:w="360" w:type="dxa"/>
            <w:vAlign w:val="bottom"/>
          </w:tcPr>
          <w:p>
            <w:pPr>
              <w:spacing w:after="0"/>
              <w:rPr>
                <w:sz w:val="24"/>
                <w:szCs w:val="24"/>
                <w:color w:val="auto"/>
              </w:rPr>
            </w:pPr>
          </w:p>
        </w:tc>
        <w:tc>
          <w:tcPr>
            <w:tcW w:w="960" w:type="dxa"/>
            <w:vAlign w:val="bottom"/>
          </w:tcPr>
          <w:p>
            <w:pPr>
              <w:jc w:val="right"/>
              <w:ind w:right="268"/>
              <w:spacing w:after="0"/>
              <w:rPr>
                <w:sz w:val="20"/>
                <w:szCs w:val="20"/>
                <w:color w:val="auto"/>
              </w:rPr>
            </w:pPr>
            <w:r>
              <w:rPr>
                <w:rFonts w:ascii="Arial" w:cs="Arial" w:eastAsia="Arial" w:hAnsi="Arial"/>
                <w:sz w:val="14"/>
                <w:szCs w:val="14"/>
                <w:color w:val="auto"/>
              </w:rPr>
              <w:t>132</w:t>
            </w:r>
          </w:p>
        </w:tc>
        <w:tc>
          <w:tcPr>
            <w:tcW w:w="340" w:type="dxa"/>
            <w:vAlign w:val="bottom"/>
          </w:tcPr>
          <w:p>
            <w:pPr>
              <w:spacing w:after="0"/>
              <w:rPr>
                <w:sz w:val="24"/>
                <w:szCs w:val="24"/>
                <w:color w:val="auto"/>
              </w:rPr>
            </w:pPr>
          </w:p>
        </w:tc>
        <w:tc>
          <w:tcPr>
            <w:tcW w:w="960" w:type="dxa"/>
            <w:vAlign w:val="bottom"/>
          </w:tcPr>
          <w:p>
            <w:pPr>
              <w:jc w:val="right"/>
              <w:ind w:right="268"/>
              <w:spacing w:after="0"/>
              <w:rPr>
                <w:sz w:val="20"/>
                <w:szCs w:val="20"/>
                <w:color w:val="auto"/>
              </w:rPr>
            </w:pPr>
            <w:r>
              <w:rPr>
                <w:rFonts w:ascii="Arial" w:cs="Arial" w:eastAsia="Arial" w:hAnsi="Arial"/>
                <w:sz w:val="14"/>
                <w:szCs w:val="14"/>
                <w:color w:val="auto"/>
              </w:rPr>
              <w:t>66</w:t>
            </w:r>
          </w:p>
        </w:tc>
        <w:tc>
          <w:tcPr>
            <w:tcW w:w="340" w:type="dxa"/>
            <w:vAlign w:val="bottom"/>
          </w:tcPr>
          <w:p>
            <w:pPr>
              <w:spacing w:after="0"/>
              <w:rPr>
                <w:sz w:val="24"/>
                <w:szCs w:val="24"/>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65</w:t>
            </w:r>
          </w:p>
        </w:tc>
      </w:tr>
      <w:tr>
        <w:trPr>
          <w:trHeight w:val="130"/>
        </w:trPr>
        <w:tc>
          <w:tcPr>
            <w:tcW w:w="4680" w:type="dxa"/>
            <w:vAlign w:val="bottom"/>
            <w:tcBorders>
              <w:bottom w:val="single" w:sz="8" w:color="939598"/>
            </w:tcBorders>
          </w:tcPr>
          <w:p>
            <w:pPr>
              <w:spacing w:after="0"/>
              <w:rPr>
                <w:sz w:val="11"/>
                <w:szCs w:val="11"/>
                <w:color w:val="auto"/>
              </w:rPr>
            </w:pPr>
          </w:p>
        </w:tc>
        <w:tc>
          <w:tcPr>
            <w:tcW w:w="1740" w:type="dxa"/>
            <w:vAlign w:val="bottom"/>
            <w:tcBorders>
              <w:bottom w:val="single" w:sz="8" w:color="939598"/>
            </w:tcBorders>
          </w:tcPr>
          <w:p>
            <w:pPr>
              <w:spacing w:after="0"/>
              <w:rPr>
                <w:sz w:val="11"/>
                <w:szCs w:val="11"/>
                <w:color w:val="auto"/>
              </w:rPr>
            </w:pPr>
          </w:p>
        </w:tc>
        <w:tc>
          <w:tcPr>
            <w:tcW w:w="1000" w:type="dxa"/>
            <w:vAlign w:val="bottom"/>
            <w:tcBorders>
              <w:bottom w:val="single" w:sz="8" w:color="939598"/>
            </w:tcBorders>
          </w:tcPr>
          <w:p>
            <w:pPr>
              <w:spacing w:after="0"/>
              <w:rPr>
                <w:sz w:val="11"/>
                <w:szCs w:val="11"/>
                <w:color w:val="auto"/>
              </w:rPr>
            </w:pPr>
          </w:p>
        </w:tc>
        <w:tc>
          <w:tcPr>
            <w:tcW w:w="360" w:type="dxa"/>
            <w:vAlign w:val="bottom"/>
            <w:tcBorders>
              <w:bottom w:val="single" w:sz="8" w:color="939598"/>
            </w:tcBorders>
          </w:tcPr>
          <w:p>
            <w:pPr>
              <w:spacing w:after="0"/>
              <w:rPr>
                <w:sz w:val="11"/>
                <w:szCs w:val="11"/>
                <w:color w:val="auto"/>
              </w:rPr>
            </w:pPr>
          </w:p>
        </w:tc>
        <w:tc>
          <w:tcPr>
            <w:tcW w:w="960" w:type="dxa"/>
            <w:vAlign w:val="bottom"/>
            <w:tcBorders>
              <w:bottom w:val="single" w:sz="8" w:color="939598"/>
            </w:tcBorders>
          </w:tcPr>
          <w:p>
            <w:pPr>
              <w:spacing w:after="0"/>
              <w:rPr>
                <w:sz w:val="11"/>
                <w:szCs w:val="11"/>
                <w:color w:val="auto"/>
              </w:rPr>
            </w:pPr>
          </w:p>
        </w:tc>
        <w:tc>
          <w:tcPr>
            <w:tcW w:w="340" w:type="dxa"/>
            <w:vAlign w:val="bottom"/>
            <w:tcBorders>
              <w:bottom w:val="single" w:sz="8" w:color="939598"/>
            </w:tcBorders>
          </w:tcPr>
          <w:p>
            <w:pPr>
              <w:spacing w:after="0"/>
              <w:rPr>
                <w:sz w:val="11"/>
                <w:szCs w:val="11"/>
                <w:color w:val="auto"/>
              </w:rPr>
            </w:pPr>
          </w:p>
        </w:tc>
        <w:tc>
          <w:tcPr>
            <w:tcW w:w="960" w:type="dxa"/>
            <w:vAlign w:val="bottom"/>
            <w:tcBorders>
              <w:bottom w:val="single" w:sz="8" w:color="939598"/>
            </w:tcBorders>
          </w:tcPr>
          <w:p>
            <w:pPr>
              <w:spacing w:after="0"/>
              <w:rPr>
                <w:sz w:val="11"/>
                <w:szCs w:val="11"/>
                <w:color w:val="auto"/>
              </w:rPr>
            </w:pPr>
          </w:p>
        </w:tc>
        <w:tc>
          <w:tcPr>
            <w:tcW w:w="340" w:type="dxa"/>
            <w:vAlign w:val="bottom"/>
            <w:tcBorders>
              <w:bottom w:val="single" w:sz="8" w:color="939598"/>
            </w:tcBorders>
          </w:tcPr>
          <w:p>
            <w:pPr>
              <w:spacing w:after="0"/>
              <w:rPr>
                <w:sz w:val="11"/>
                <w:szCs w:val="11"/>
                <w:color w:val="auto"/>
              </w:rPr>
            </w:pPr>
          </w:p>
        </w:tc>
        <w:tc>
          <w:tcPr>
            <w:tcW w:w="840" w:type="dxa"/>
            <w:vAlign w:val="bottom"/>
            <w:tcBorders>
              <w:bottom w:val="single" w:sz="8" w:color="939598"/>
            </w:tcBorders>
          </w:tcPr>
          <w:p>
            <w:pPr>
              <w:spacing w:after="0"/>
              <w:rPr>
                <w:sz w:val="11"/>
                <w:szCs w:val="11"/>
                <w:color w:val="auto"/>
              </w:rPr>
            </w:pPr>
          </w:p>
        </w:tc>
      </w:tr>
      <w:tr>
        <w:trPr>
          <w:trHeight w:val="296"/>
        </w:trPr>
        <w:tc>
          <w:tcPr>
            <w:tcW w:w="4680" w:type="dxa"/>
            <w:vAlign w:val="bottom"/>
          </w:tcPr>
          <w:p>
            <w:pPr>
              <w:ind w:left="20"/>
              <w:spacing w:after="0"/>
              <w:rPr>
                <w:sz w:val="20"/>
                <w:szCs w:val="20"/>
                <w:color w:val="auto"/>
              </w:rPr>
            </w:pPr>
            <w:r>
              <w:rPr>
                <w:rFonts w:ascii="Arial" w:cs="Arial" w:eastAsia="Arial" w:hAnsi="Arial"/>
                <w:sz w:val="14"/>
                <w:szCs w:val="14"/>
                <w:color w:val="auto"/>
              </w:rPr>
              <w:t>Amortization of acquisition-related intangibles</w:t>
            </w:r>
            <w:r>
              <w:rPr>
                <w:rFonts w:ascii="Arial" w:cs="Arial" w:eastAsia="Arial" w:hAnsi="Arial"/>
                <w:sz w:val="9"/>
                <w:szCs w:val="9"/>
                <w:color w:val="auto"/>
              </w:rPr>
              <w:t>(5)</w:t>
            </w:r>
          </w:p>
        </w:tc>
        <w:tc>
          <w:tcPr>
            <w:tcW w:w="1740" w:type="dxa"/>
            <w:vAlign w:val="bottom"/>
          </w:tcPr>
          <w:p>
            <w:pPr>
              <w:spacing w:after="0"/>
              <w:rPr>
                <w:sz w:val="24"/>
                <w:szCs w:val="24"/>
                <w:color w:val="auto"/>
              </w:rPr>
            </w:pPr>
          </w:p>
        </w:tc>
        <w:tc>
          <w:tcPr>
            <w:tcW w:w="1000" w:type="dxa"/>
            <w:vAlign w:val="bottom"/>
          </w:tcPr>
          <w:p>
            <w:pPr>
              <w:jc w:val="right"/>
              <w:ind w:right="308"/>
              <w:spacing w:after="0"/>
              <w:rPr>
                <w:sz w:val="20"/>
                <w:szCs w:val="20"/>
                <w:color w:val="auto"/>
              </w:rPr>
            </w:pPr>
            <w:r>
              <w:rPr>
                <w:rFonts w:ascii="Arial" w:cs="Arial" w:eastAsia="Arial" w:hAnsi="Arial"/>
                <w:sz w:val="14"/>
                <w:szCs w:val="14"/>
                <w:color w:val="auto"/>
              </w:rPr>
              <w:t>465</w:t>
            </w:r>
          </w:p>
        </w:tc>
        <w:tc>
          <w:tcPr>
            <w:tcW w:w="360" w:type="dxa"/>
            <w:vAlign w:val="bottom"/>
          </w:tcPr>
          <w:p>
            <w:pPr>
              <w:spacing w:after="0"/>
              <w:rPr>
                <w:sz w:val="24"/>
                <w:szCs w:val="24"/>
                <w:color w:val="auto"/>
              </w:rPr>
            </w:pPr>
          </w:p>
        </w:tc>
        <w:tc>
          <w:tcPr>
            <w:tcW w:w="960" w:type="dxa"/>
            <w:vAlign w:val="bottom"/>
          </w:tcPr>
          <w:p>
            <w:pPr>
              <w:jc w:val="right"/>
              <w:ind w:right="268"/>
              <w:spacing w:after="0"/>
              <w:rPr>
                <w:sz w:val="20"/>
                <w:szCs w:val="20"/>
                <w:color w:val="auto"/>
              </w:rPr>
            </w:pPr>
            <w:r>
              <w:rPr>
                <w:rFonts w:ascii="Arial" w:cs="Arial" w:eastAsia="Arial" w:hAnsi="Arial"/>
                <w:sz w:val="14"/>
                <w:szCs w:val="14"/>
                <w:color w:val="auto"/>
              </w:rPr>
              <w:t>333</w:t>
            </w:r>
          </w:p>
        </w:tc>
        <w:tc>
          <w:tcPr>
            <w:tcW w:w="340" w:type="dxa"/>
            <w:vAlign w:val="bottom"/>
          </w:tcPr>
          <w:p>
            <w:pPr>
              <w:spacing w:after="0"/>
              <w:rPr>
                <w:sz w:val="24"/>
                <w:szCs w:val="24"/>
                <w:color w:val="auto"/>
              </w:rPr>
            </w:pPr>
          </w:p>
        </w:tc>
        <w:tc>
          <w:tcPr>
            <w:tcW w:w="960" w:type="dxa"/>
            <w:vAlign w:val="bottom"/>
          </w:tcPr>
          <w:p>
            <w:pPr>
              <w:jc w:val="right"/>
              <w:ind w:right="268"/>
              <w:spacing w:after="0"/>
              <w:rPr>
                <w:sz w:val="20"/>
                <w:szCs w:val="20"/>
                <w:color w:val="auto"/>
              </w:rPr>
            </w:pPr>
            <w:r>
              <w:rPr>
                <w:rFonts w:ascii="Arial" w:cs="Arial" w:eastAsia="Arial" w:hAnsi="Arial"/>
                <w:sz w:val="14"/>
                <w:szCs w:val="14"/>
                <w:color w:val="auto"/>
              </w:rPr>
              <w:t>292</w:t>
            </w:r>
          </w:p>
        </w:tc>
        <w:tc>
          <w:tcPr>
            <w:tcW w:w="340" w:type="dxa"/>
            <w:vAlign w:val="bottom"/>
          </w:tcPr>
          <w:p>
            <w:pPr>
              <w:spacing w:after="0"/>
              <w:rPr>
                <w:sz w:val="24"/>
                <w:szCs w:val="24"/>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415</w:t>
            </w:r>
          </w:p>
        </w:tc>
      </w:tr>
      <w:tr>
        <w:trPr>
          <w:trHeight w:val="129"/>
        </w:trPr>
        <w:tc>
          <w:tcPr>
            <w:tcW w:w="4680" w:type="dxa"/>
            <w:vAlign w:val="bottom"/>
            <w:tcBorders>
              <w:bottom w:val="single" w:sz="8" w:color="939598"/>
            </w:tcBorders>
          </w:tcPr>
          <w:p>
            <w:pPr>
              <w:spacing w:after="0"/>
              <w:rPr>
                <w:sz w:val="11"/>
                <w:szCs w:val="11"/>
                <w:color w:val="auto"/>
              </w:rPr>
            </w:pPr>
          </w:p>
        </w:tc>
        <w:tc>
          <w:tcPr>
            <w:tcW w:w="1740" w:type="dxa"/>
            <w:vAlign w:val="bottom"/>
            <w:tcBorders>
              <w:bottom w:val="single" w:sz="8" w:color="939598"/>
            </w:tcBorders>
          </w:tcPr>
          <w:p>
            <w:pPr>
              <w:spacing w:after="0"/>
              <w:rPr>
                <w:sz w:val="11"/>
                <w:szCs w:val="11"/>
                <w:color w:val="auto"/>
              </w:rPr>
            </w:pPr>
          </w:p>
        </w:tc>
        <w:tc>
          <w:tcPr>
            <w:tcW w:w="1000" w:type="dxa"/>
            <w:vAlign w:val="bottom"/>
            <w:tcBorders>
              <w:bottom w:val="single" w:sz="8" w:color="939598"/>
            </w:tcBorders>
          </w:tcPr>
          <w:p>
            <w:pPr>
              <w:spacing w:after="0"/>
              <w:rPr>
                <w:sz w:val="11"/>
                <w:szCs w:val="11"/>
                <w:color w:val="auto"/>
              </w:rPr>
            </w:pPr>
          </w:p>
        </w:tc>
        <w:tc>
          <w:tcPr>
            <w:tcW w:w="360" w:type="dxa"/>
            <w:vAlign w:val="bottom"/>
            <w:tcBorders>
              <w:bottom w:val="single" w:sz="8" w:color="939598"/>
            </w:tcBorders>
          </w:tcPr>
          <w:p>
            <w:pPr>
              <w:spacing w:after="0"/>
              <w:rPr>
                <w:sz w:val="11"/>
                <w:szCs w:val="11"/>
                <w:color w:val="auto"/>
              </w:rPr>
            </w:pPr>
          </w:p>
        </w:tc>
        <w:tc>
          <w:tcPr>
            <w:tcW w:w="960" w:type="dxa"/>
            <w:vAlign w:val="bottom"/>
            <w:tcBorders>
              <w:bottom w:val="single" w:sz="8" w:color="939598"/>
            </w:tcBorders>
          </w:tcPr>
          <w:p>
            <w:pPr>
              <w:spacing w:after="0"/>
              <w:rPr>
                <w:sz w:val="11"/>
                <w:szCs w:val="11"/>
                <w:color w:val="auto"/>
              </w:rPr>
            </w:pPr>
          </w:p>
        </w:tc>
        <w:tc>
          <w:tcPr>
            <w:tcW w:w="340" w:type="dxa"/>
            <w:vAlign w:val="bottom"/>
            <w:tcBorders>
              <w:bottom w:val="single" w:sz="8" w:color="939598"/>
            </w:tcBorders>
          </w:tcPr>
          <w:p>
            <w:pPr>
              <w:spacing w:after="0"/>
              <w:rPr>
                <w:sz w:val="11"/>
                <w:szCs w:val="11"/>
                <w:color w:val="auto"/>
              </w:rPr>
            </w:pPr>
          </w:p>
        </w:tc>
        <w:tc>
          <w:tcPr>
            <w:tcW w:w="960" w:type="dxa"/>
            <w:vAlign w:val="bottom"/>
            <w:tcBorders>
              <w:bottom w:val="single" w:sz="8" w:color="939598"/>
            </w:tcBorders>
          </w:tcPr>
          <w:p>
            <w:pPr>
              <w:spacing w:after="0"/>
              <w:rPr>
                <w:sz w:val="11"/>
                <w:szCs w:val="11"/>
                <w:color w:val="auto"/>
              </w:rPr>
            </w:pPr>
          </w:p>
        </w:tc>
        <w:tc>
          <w:tcPr>
            <w:tcW w:w="340" w:type="dxa"/>
            <w:vAlign w:val="bottom"/>
            <w:tcBorders>
              <w:bottom w:val="single" w:sz="8" w:color="939598"/>
            </w:tcBorders>
          </w:tcPr>
          <w:p>
            <w:pPr>
              <w:spacing w:after="0"/>
              <w:rPr>
                <w:sz w:val="11"/>
                <w:szCs w:val="11"/>
                <w:color w:val="auto"/>
              </w:rPr>
            </w:pPr>
          </w:p>
        </w:tc>
        <w:tc>
          <w:tcPr>
            <w:tcW w:w="840" w:type="dxa"/>
            <w:vAlign w:val="bottom"/>
            <w:tcBorders>
              <w:bottom w:val="single" w:sz="8" w:color="939598"/>
            </w:tcBorders>
          </w:tcPr>
          <w:p>
            <w:pPr>
              <w:spacing w:after="0"/>
              <w:rPr>
                <w:sz w:val="11"/>
                <w:szCs w:val="11"/>
                <w:color w:val="auto"/>
              </w:rPr>
            </w:pPr>
          </w:p>
        </w:tc>
      </w:tr>
      <w:tr>
        <w:trPr>
          <w:trHeight w:val="296"/>
        </w:trPr>
        <w:tc>
          <w:tcPr>
            <w:tcW w:w="4680" w:type="dxa"/>
            <w:vAlign w:val="bottom"/>
          </w:tcPr>
          <w:p>
            <w:pPr>
              <w:ind w:left="20"/>
              <w:spacing w:after="0"/>
              <w:rPr>
                <w:sz w:val="20"/>
                <w:szCs w:val="20"/>
                <w:color w:val="auto"/>
              </w:rPr>
            </w:pPr>
            <w:r>
              <w:rPr>
                <w:rFonts w:ascii="Arial" w:cs="Arial" w:eastAsia="Arial" w:hAnsi="Arial"/>
                <w:sz w:val="14"/>
                <w:szCs w:val="14"/>
                <w:color w:val="auto"/>
              </w:rPr>
              <w:t>Acquisition-related costs</w:t>
            </w:r>
            <w:r>
              <w:rPr>
                <w:rFonts w:ascii="Arial" w:cs="Arial" w:eastAsia="Arial" w:hAnsi="Arial"/>
                <w:sz w:val="9"/>
                <w:szCs w:val="9"/>
                <w:color w:val="auto"/>
              </w:rPr>
              <w:t>(6)</w:t>
            </w:r>
          </w:p>
        </w:tc>
        <w:tc>
          <w:tcPr>
            <w:tcW w:w="1740" w:type="dxa"/>
            <w:vAlign w:val="bottom"/>
          </w:tcPr>
          <w:p>
            <w:pPr>
              <w:spacing w:after="0"/>
              <w:rPr>
                <w:sz w:val="24"/>
                <w:szCs w:val="24"/>
                <w:color w:val="auto"/>
              </w:rPr>
            </w:pPr>
          </w:p>
        </w:tc>
        <w:tc>
          <w:tcPr>
            <w:tcW w:w="10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9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960" w:type="dxa"/>
            <w:vAlign w:val="bottom"/>
          </w:tcPr>
          <w:p>
            <w:pPr>
              <w:jc w:val="right"/>
              <w:ind w:right="268"/>
              <w:spacing w:after="0"/>
              <w:rPr>
                <w:sz w:val="20"/>
                <w:szCs w:val="20"/>
                <w:color w:val="auto"/>
              </w:rPr>
            </w:pPr>
            <w:r>
              <w:rPr>
                <w:rFonts w:ascii="Arial" w:cs="Arial" w:eastAsia="Arial" w:hAnsi="Arial"/>
                <w:sz w:val="14"/>
                <w:szCs w:val="14"/>
                <w:color w:val="auto"/>
              </w:rPr>
              <w:t>2</w:t>
            </w:r>
          </w:p>
        </w:tc>
        <w:tc>
          <w:tcPr>
            <w:tcW w:w="340" w:type="dxa"/>
            <w:vAlign w:val="bottom"/>
          </w:tcPr>
          <w:p>
            <w:pPr>
              <w:spacing w:after="0"/>
              <w:rPr>
                <w:sz w:val="24"/>
                <w:szCs w:val="24"/>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25</w:t>
            </w:r>
          </w:p>
        </w:tc>
      </w:tr>
      <w:tr>
        <w:trPr>
          <w:trHeight w:val="130"/>
        </w:trPr>
        <w:tc>
          <w:tcPr>
            <w:tcW w:w="4680" w:type="dxa"/>
            <w:vAlign w:val="bottom"/>
            <w:tcBorders>
              <w:bottom w:val="single" w:sz="8" w:color="939598"/>
            </w:tcBorders>
          </w:tcPr>
          <w:p>
            <w:pPr>
              <w:spacing w:after="0"/>
              <w:rPr>
                <w:sz w:val="11"/>
                <w:szCs w:val="11"/>
                <w:color w:val="auto"/>
              </w:rPr>
            </w:pPr>
          </w:p>
        </w:tc>
        <w:tc>
          <w:tcPr>
            <w:tcW w:w="1740" w:type="dxa"/>
            <w:vAlign w:val="bottom"/>
            <w:tcBorders>
              <w:bottom w:val="single" w:sz="8" w:color="939598"/>
            </w:tcBorders>
          </w:tcPr>
          <w:p>
            <w:pPr>
              <w:spacing w:after="0"/>
              <w:rPr>
                <w:sz w:val="11"/>
                <w:szCs w:val="11"/>
                <w:color w:val="auto"/>
              </w:rPr>
            </w:pPr>
          </w:p>
        </w:tc>
        <w:tc>
          <w:tcPr>
            <w:tcW w:w="1000" w:type="dxa"/>
            <w:vAlign w:val="bottom"/>
            <w:tcBorders>
              <w:bottom w:val="single" w:sz="8" w:color="939598"/>
            </w:tcBorders>
          </w:tcPr>
          <w:p>
            <w:pPr>
              <w:spacing w:after="0"/>
              <w:rPr>
                <w:sz w:val="11"/>
                <w:szCs w:val="11"/>
                <w:color w:val="auto"/>
              </w:rPr>
            </w:pPr>
          </w:p>
        </w:tc>
        <w:tc>
          <w:tcPr>
            <w:tcW w:w="360" w:type="dxa"/>
            <w:vAlign w:val="bottom"/>
            <w:tcBorders>
              <w:bottom w:val="single" w:sz="8" w:color="939598"/>
            </w:tcBorders>
          </w:tcPr>
          <w:p>
            <w:pPr>
              <w:spacing w:after="0"/>
              <w:rPr>
                <w:sz w:val="11"/>
                <w:szCs w:val="11"/>
                <w:color w:val="auto"/>
              </w:rPr>
            </w:pPr>
          </w:p>
        </w:tc>
        <w:tc>
          <w:tcPr>
            <w:tcW w:w="960" w:type="dxa"/>
            <w:vAlign w:val="bottom"/>
            <w:tcBorders>
              <w:bottom w:val="single" w:sz="8" w:color="939598"/>
            </w:tcBorders>
          </w:tcPr>
          <w:p>
            <w:pPr>
              <w:spacing w:after="0"/>
              <w:rPr>
                <w:sz w:val="11"/>
                <w:szCs w:val="11"/>
                <w:color w:val="auto"/>
              </w:rPr>
            </w:pPr>
          </w:p>
        </w:tc>
        <w:tc>
          <w:tcPr>
            <w:tcW w:w="340" w:type="dxa"/>
            <w:vAlign w:val="bottom"/>
            <w:tcBorders>
              <w:bottom w:val="single" w:sz="8" w:color="939598"/>
            </w:tcBorders>
          </w:tcPr>
          <w:p>
            <w:pPr>
              <w:spacing w:after="0"/>
              <w:rPr>
                <w:sz w:val="11"/>
                <w:szCs w:val="11"/>
                <w:color w:val="auto"/>
              </w:rPr>
            </w:pPr>
          </w:p>
        </w:tc>
        <w:tc>
          <w:tcPr>
            <w:tcW w:w="960" w:type="dxa"/>
            <w:vAlign w:val="bottom"/>
            <w:tcBorders>
              <w:bottom w:val="single" w:sz="8" w:color="939598"/>
            </w:tcBorders>
          </w:tcPr>
          <w:p>
            <w:pPr>
              <w:spacing w:after="0"/>
              <w:rPr>
                <w:sz w:val="11"/>
                <w:szCs w:val="11"/>
                <w:color w:val="auto"/>
              </w:rPr>
            </w:pPr>
          </w:p>
        </w:tc>
        <w:tc>
          <w:tcPr>
            <w:tcW w:w="340" w:type="dxa"/>
            <w:vAlign w:val="bottom"/>
            <w:tcBorders>
              <w:bottom w:val="single" w:sz="8" w:color="939598"/>
            </w:tcBorders>
          </w:tcPr>
          <w:p>
            <w:pPr>
              <w:spacing w:after="0"/>
              <w:rPr>
                <w:sz w:val="11"/>
                <w:szCs w:val="11"/>
                <w:color w:val="auto"/>
              </w:rPr>
            </w:pPr>
          </w:p>
        </w:tc>
        <w:tc>
          <w:tcPr>
            <w:tcW w:w="840" w:type="dxa"/>
            <w:vAlign w:val="bottom"/>
            <w:tcBorders>
              <w:bottom w:val="single" w:sz="8" w:color="939598"/>
            </w:tcBorders>
          </w:tcPr>
          <w:p>
            <w:pPr>
              <w:spacing w:after="0"/>
              <w:rPr>
                <w:sz w:val="11"/>
                <w:szCs w:val="11"/>
                <w:color w:val="auto"/>
              </w:rPr>
            </w:pPr>
          </w:p>
        </w:tc>
      </w:tr>
      <w:tr>
        <w:trPr>
          <w:trHeight w:val="296"/>
        </w:trPr>
        <w:tc>
          <w:tcPr>
            <w:tcW w:w="4680" w:type="dxa"/>
            <w:vAlign w:val="bottom"/>
          </w:tcPr>
          <w:p>
            <w:pPr>
              <w:ind w:left="20"/>
              <w:spacing w:after="0"/>
              <w:rPr>
                <w:sz w:val="20"/>
                <w:szCs w:val="20"/>
                <w:color w:val="auto"/>
              </w:rPr>
            </w:pPr>
            <w:r>
              <w:rPr>
                <w:rFonts w:ascii="Arial" w:cs="Arial" w:eastAsia="Arial" w:hAnsi="Arial"/>
                <w:sz w:val="14"/>
                <w:szCs w:val="14"/>
                <w:color w:val="auto"/>
              </w:rPr>
              <w:t>Indefinite-lived intangible asset impairment</w:t>
            </w:r>
            <w:r>
              <w:rPr>
                <w:rFonts w:ascii="Arial" w:cs="Arial" w:eastAsia="Arial" w:hAnsi="Arial"/>
                <w:sz w:val="9"/>
                <w:szCs w:val="9"/>
                <w:color w:val="auto"/>
              </w:rPr>
              <w:t>(1)</w:t>
            </w:r>
          </w:p>
        </w:tc>
        <w:tc>
          <w:tcPr>
            <w:tcW w:w="1740" w:type="dxa"/>
            <w:vAlign w:val="bottom"/>
          </w:tcPr>
          <w:p>
            <w:pPr>
              <w:spacing w:after="0"/>
              <w:rPr>
                <w:sz w:val="24"/>
                <w:szCs w:val="24"/>
                <w:color w:val="auto"/>
              </w:rPr>
            </w:pPr>
          </w:p>
        </w:tc>
        <w:tc>
          <w:tcPr>
            <w:tcW w:w="10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9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9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48</w:t>
            </w:r>
          </w:p>
        </w:tc>
      </w:tr>
      <w:tr>
        <w:trPr>
          <w:trHeight w:val="129"/>
        </w:trPr>
        <w:tc>
          <w:tcPr>
            <w:tcW w:w="4680" w:type="dxa"/>
            <w:vAlign w:val="bottom"/>
            <w:tcBorders>
              <w:bottom w:val="single" w:sz="8" w:color="939598"/>
            </w:tcBorders>
          </w:tcPr>
          <w:p>
            <w:pPr>
              <w:spacing w:after="0"/>
              <w:rPr>
                <w:sz w:val="11"/>
                <w:szCs w:val="11"/>
                <w:color w:val="auto"/>
              </w:rPr>
            </w:pPr>
          </w:p>
        </w:tc>
        <w:tc>
          <w:tcPr>
            <w:tcW w:w="1740" w:type="dxa"/>
            <w:vAlign w:val="bottom"/>
            <w:tcBorders>
              <w:bottom w:val="single" w:sz="8" w:color="939598"/>
            </w:tcBorders>
          </w:tcPr>
          <w:p>
            <w:pPr>
              <w:spacing w:after="0"/>
              <w:rPr>
                <w:sz w:val="11"/>
                <w:szCs w:val="11"/>
                <w:color w:val="auto"/>
              </w:rPr>
            </w:pPr>
          </w:p>
        </w:tc>
        <w:tc>
          <w:tcPr>
            <w:tcW w:w="1000" w:type="dxa"/>
            <w:vAlign w:val="bottom"/>
            <w:tcBorders>
              <w:bottom w:val="single" w:sz="8" w:color="939598"/>
            </w:tcBorders>
          </w:tcPr>
          <w:p>
            <w:pPr>
              <w:spacing w:after="0"/>
              <w:rPr>
                <w:sz w:val="11"/>
                <w:szCs w:val="11"/>
                <w:color w:val="auto"/>
              </w:rPr>
            </w:pPr>
          </w:p>
        </w:tc>
        <w:tc>
          <w:tcPr>
            <w:tcW w:w="360" w:type="dxa"/>
            <w:vAlign w:val="bottom"/>
            <w:tcBorders>
              <w:bottom w:val="single" w:sz="8" w:color="939598"/>
            </w:tcBorders>
          </w:tcPr>
          <w:p>
            <w:pPr>
              <w:spacing w:after="0"/>
              <w:rPr>
                <w:sz w:val="11"/>
                <w:szCs w:val="11"/>
                <w:color w:val="auto"/>
              </w:rPr>
            </w:pPr>
          </w:p>
        </w:tc>
        <w:tc>
          <w:tcPr>
            <w:tcW w:w="960" w:type="dxa"/>
            <w:vAlign w:val="bottom"/>
            <w:tcBorders>
              <w:bottom w:val="single" w:sz="8" w:color="939598"/>
            </w:tcBorders>
          </w:tcPr>
          <w:p>
            <w:pPr>
              <w:spacing w:after="0"/>
              <w:rPr>
                <w:sz w:val="11"/>
                <w:szCs w:val="11"/>
                <w:color w:val="auto"/>
              </w:rPr>
            </w:pPr>
          </w:p>
        </w:tc>
        <w:tc>
          <w:tcPr>
            <w:tcW w:w="340" w:type="dxa"/>
            <w:vAlign w:val="bottom"/>
            <w:tcBorders>
              <w:bottom w:val="single" w:sz="8" w:color="939598"/>
            </w:tcBorders>
          </w:tcPr>
          <w:p>
            <w:pPr>
              <w:spacing w:after="0"/>
              <w:rPr>
                <w:sz w:val="11"/>
                <w:szCs w:val="11"/>
                <w:color w:val="auto"/>
              </w:rPr>
            </w:pPr>
          </w:p>
        </w:tc>
        <w:tc>
          <w:tcPr>
            <w:tcW w:w="960" w:type="dxa"/>
            <w:vAlign w:val="bottom"/>
            <w:tcBorders>
              <w:bottom w:val="single" w:sz="8" w:color="939598"/>
            </w:tcBorders>
          </w:tcPr>
          <w:p>
            <w:pPr>
              <w:spacing w:after="0"/>
              <w:rPr>
                <w:sz w:val="11"/>
                <w:szCs w:val="11"/>
                <w:color w:val="auto"/>
              </w:rPr>
            </w:pPr>
          </w:p>
        </w:tc>
        <w:tc>
          <w:tcPr>
            <w:tcW w:w="340" w:type="dxa"/>
            <w:vAlign w:val="bottom"/>
            <w:tcBorders>
              <w:bottom w:val="single" w:sz="8" w:color="939598"/>
            </w:tcBorders>
          </w:tcPr>
          <w:p>
            <w:pPr>
              <w:spacing w:after="0"/>
              <w:rPr>
                <w:sz w:val="11"/>
                <w:szCs w:val="11"/>
                <w:color w:val="auto"/>
              </w:rPr>
            </w:pPr>
          </w:p>
        </w:tc>
        <w:tc>
          <w:tcPr>
            <w:tcW w:w="840" w:type="dxa"/>
            <w:vAlign w:val="bottom"/>
            <w:tcBorders>
              <w:bottom w:val="single" w:sz="8" w:color="939598"/>
            </w:tcBorders>
          </w:tcPr>
          <w:p>
            <w:pPr>
              <w:spacing w:after="0"/>
              <w:rPr>
                <w:sz w:val="11"/>
                <w:szCs w:val="11"/>
                <w:color w:val="auto"/>
              </w:rPr>
            </w:pPr>
          </w:p>
        </w:tc>
      </w:tr>
      <w:tr>
        <w:trPr>
          <w:trHeight w:val="296"/>
        </w:trPr>
        <w:tc>
          <w:tcPr>
            <w:tcW w:w="4680" w:type="dxa"/>
            <w:vAlign w:val="bottom"/>
          </w:tcPr>
          <w:p>
            <w:pPr>
              <w:ind w:left="20"/>
              <w:spacing w:after="0"/>
              <w:rPr>
                <w:sz w:val="20"/>
                <w:szCs w:val="20"/>
                <w:color w:val="auto"/>
              </w:rPr>
            </w:pPr>
            <w:r>
              <w:rPr>
                <w:rFonts w:ascii="Arial" w:cs="Arial" w:eastAsia="Arial" w:hAnsi="Arial"/>
                <w:sz w:val="14"/>
                <w:szCs w:val="14"/>
                <w:color w:val="auto"/>
              </w:rPr>
              <w:t>Impairment of assets held for sale</w:t>
            </w:r>
          </w:p>
        </w:tc>
        <w:tc>
          <w:tcPr>
            <w:tcW w:w="1740" w:type="dxa"/>
            <w:vAlign w:val="bottom"/>
          </w:tcPr>
          <w:p>
            <w:pPr>
              <w:spacing w:after="0"/>
              <w:rPr>
                <w:sz w:val="24"/>
                <w:szCs w:val="24"/>
                <w:color w:val="auto"/>
              </w:rPr>
            </w:pPr>
          </w:p>
        </w:tc>
        <w:tc>
          <w:tcPr>
            <w:tcW w:w="10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9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9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219</w:t>
            </w:r>
          </w:p>
        </w:tc>
      </w:tr>
      <w:tr>
        <w:trPr>
          <w:trHeight w:val="130"/>
        </w:trPr>
        <w:tc>
          <w:tcPr>
            <w:tcW w:w="4680" w:type="dxa"/>
            <w:vAlign w:val="bottom"/>
            <w:tcBorders>
              <w:bottom w:val="single" w:sz="8" w:color="D7282F"/>
            </w:tcBorders>
          </w:tcPr>
          <w:p>
            <w:pPr>
              <w:spacing w:after="0"/>
              <w:rPr>
                <w:sz w:val="11"/>
                <w:szCs w:val="11"/>
                <w:color w:val="auto"/>
              </w:rPr>
            </w:pPr>
          </w:p>
        </w:tc>
        <w:tc>
          <w:tcPr>
            <w:tcW w:w="1740" w:type="dxa"/>
            <w:vAlign w:val="bottom"/>
            <w:tcBorders>
              <w:bottom w:val="single" w:sz="8" w:color="D7282F"/>
            </w:tcBorders>
          </w:tcPr>
          <w:p>
            <w:pPr>
              <w:spacing w:after="0"/>
              <w:rPr>
                <w:sz w:val="11"/>
                <w:szCs w:val="11"/>
                <w:color w:val="auto"/>
              </w:rPr>
            </w:pPr>
          </w:p>
        </w:tc>
        <w:tc>
          <w:tcPr>
            <w:tcW w:w="1000" w:type="dxa"/>
            <w:vAlign w:val="bottom"/>
            <w:tcBorders>
              <w:bottom w:val="single" w:sz="8" w:color="D7282F"/>
            </w:tcBorders>
          </w:tcPr>
          <w:p>
            <w:pPr>
              <w:spacing w:after="0"/>
              <w:rPr>
                <w:sz w:val="11"/>
                <w:szCs w:val="11"/>
                <w:color w:val="auto"/>
              </w:rPr>
            </w:pPr>
          </w:p>
        </w:tc>
        <w:tc>
          <w:tcPr>
            <w:tcW w:w="360" w:type="dxa"/>
            <w:vAlign w:val="bottom"/>
            <w:tcBorders>
              <w:bottom w:val="single" w:sz="8" w:color="D7282F"/>
            </w:tcBorders>
          </w:tcPr>
          <w:p>
            <w:pPr>
              <w:spacing w:after="0"/>
              <w:rPr>
                <w:sz w:val="11"/>
                <w:szCs w:val="11"/>
                <w:color w:val="auto"/>
              </w:rPr>
            </w:pPr>
          </w:p>
        </w:tc>
        <w:tc>
          <w:tcPr>
            <w:tcW w:w="960" w:type="dxa"/>
            <w:vAlign w:val="bottom"/>
            <w:tcBorders>
              <w:bottom w:val="single" w:sz="8" w:color="D7282F"/>
            </w:tcBorders>
          </w:tcPr>
          <w:p>
            <w:pPr>
              <w:spacing w:after="0"/>
              <w:rPr>
                <w:sz w:val="11"/>
                <w:szCs w:val="11"/>
                <w:color w:val="auto"/>
              </w:rPr>
            </w:pPr>
          </w:p>
        </w:tc>
        <w:tc>
          <w:tcPr>
            <w:tcW w:w="340" w:type="dxa"/>
            <w:vAlign w:val="bottom"/>
            <w:tcBorders>
              <w:bottom w:val="single" w:sz="8" w:color="D7282F"/>
            </w:tcBorders>
          </w:tcPr>
          <w:p>
            <w:pPr>
              <w:spacing w:after="0"/>
              <w:rPr>
                <w:sz w:val="11"/>
                <w:szCs w:val="11"/>
                <w:color w:val="auto"/>
              </w:rPr>
            </w:pPr>
          </w:p>
        </w:tc>
        <w:tc>
          <w:tcPr>
            <w:tcW w:w="960" w:type="dxa"/>
            <w:vAlign w:val="bottom"/>
            <w:tcBorders>
              <w:bottom w:val="single" w:sz="8" w:color="D7282F"/>
            </w:tcBorders>
          </w:tcPr>
          <w:p>
            <w:pPr>
              <w:spacing w:after="0"/>
              <w:rPr>
                <w:sz w:val="11"/>
                <w:szCs w:val="11"/>
                <w:color w:val="auto"/>
              </w:rPr>
            </w:pPr>
          </w:p>
        </w:tc>
        <w:tc>
          <w:tcPr>
            <w:tcW w:w="340" w:type="dxa"/>
            <w:vAlign w:val="bottom"/>
            <w:tcBorders>
              <w:bottom w:val="single" w:sz="8" w:color="D7282F"/>
            </w:tcBorders>
          </w:tcPr>
          <w:p>
            <w:pPr>
              <w:spacing w:after="0"/>
              <w:rPr>
                <w:sz w:val="11"/>
                <w:szCs w:val="11"/>
                <w:color w:val="auto"/>
              </w:rPr>
            </w:pPr>
          </w:p>
        </w:tc>
        <w:tc>
          <w:tcPr>
            <w:tcW w:w="840" w:type="dxa"/>
            <w:vAlign w:val="bottom"/>
            <w:tcBorders>
              <w:bottom w:val="single" w:sz="8" w:color="D7282F"/>
            </w:tcBorders>
          </w:tcPr>
          <w:p>
            <w:pPr>
              <w:spacing w:after="0"/>
              <w:rPr>
                <w:sz w:val="11"/>
                <w:szCs w:val="11"/>
                <w:color w:val="auto"/>
              </w:rPr>
            </w:pPr>
          </w:p>
        </w:tc>
      </w:tr>
      <w:tr>
        <w:trPr>
          <w:trHeight w:val="302"/>
        </w:trPr>
        <w:tc>
          <w:tcPr>
            <w:tcW w:w="4680" w:type="dxa"/>
            <w:vAlign w:val="bottom"/>
          </w:tcPr>
          <w:p>
            <w:pPr>
              <w:ind w:left="20"/>
              <w:spacing w:after="0"/>
              <w:rPr>
                <w:sz w:val="20"/>
                <w:szCs w:val="20"/>
                <w:color w:val="auto"/>
              </w:rPr>
            </w:pPr>
            <w:r>
              <w:rPr>
                <w:rFonts w:ascii="Arial" w:cs="Arial" w:eastAsia="Arial" w:hAnsi="Arial"/>
                <w:sz w:val="14"/>
                <w:szCs w:val="14"/>
                <w:b w:val="1"/>
                <w:bCs w:val="1"/>
                <w:color w:val="auto"/>
              </w:rPr>
              <w:t>Segment profit</w:t>
            </w:r>
          </w:p>
        </w:tc>
        <w:tc>
          <w:tcPr>
            <w:tcW w:w="1740" w:type="dxa"/>
            <w:vAlign w:val="bottom"/>
          </w:tcPr>
          <w:p>
            <w:pPr>
              <w:spacing w:after="0"/>
              <w:rPr>
                <w:sz w:val="24"/>
                <w:szCs w:val="24"/>
                <w:color w:val="auto"/>
              </w:rPr>
            </w:pPr>
          </w:p>
        </w:tc>
        <w:tc>
          <w:tcPr>
            <w:tcW w:w="1000" w:type="dxa"/>
            <w:vAlign w:val="bottom"/>
          </w:tcPr>
          <w:p>
            <w:pPr>
              <w:jc w:val="right"/>
              <w:ind w:right="308"/>
              <w:spacing w:after="0"/>
              <w:rPr>
                <w:sz w:val="20"/>
                <w:szCs w:val="20"/>
                <w:color w:val="auto"/>
              </w:rPr>
            </w:pPr>
            <w:r>
              <w:rPr>
                <w:rFonts w:ascii="Arial" w:cs="Arial" w:eastAsia="Arial" w:hAnsi="Arial"/>
                <w:sz w:val="14"/>
                <w:szCs w:val="14"/>
                <w:b w:val="1"/>
                <w:bCs w:val="1"/>
                <w:color w:val="auto"/>
              </w:rPr>
              <w:t>7,677</w:t>
            </w:r>
          </w:p>
        </w:tc>
        <w:tc>
          <w:tcPr>
            <w:tcW w:w="360" w:type="dxa"/>
            <w:vAlign w:val="bottom"/>
          </w:tcPr>
          <w:p>
            <w:pPr>
              <w:spacing w:after="0"/>
              <w:rPr>
                <w:sz w:val="24"/>
                <w:szCs w:val="24"/>
                <w:color w:val="auto"/>
              </w:rPr>
            </w:pPr>
          </w:p>
        </w:tc>
        <w:tc>
          <w:tcPr>
            <w:tcW w:w="960" w:type="dxa"/>
            <w:vAlign w:val="bottom"/>
          </w:tcPr>
          <w:p>
            <w:pPr>
              <w:jc w:val="right"/>
              <w:ind w:right="268"/>
              <w:spacing w:after="0"/>
              <w:rPr>
                <w:sz w:val="20"/>
                <w:szCs w:val="20"/>
                <w:color w:val="auto"/>
              </w:rPr>
            </w:pPr>
            <w:r>
              <w:rPr>
                <w:rFonts w:ascii="Arial" w:cs="Arial" w:eastAsia="Arial" w:hAnsi="Arial"/>
                <w:sz w:val="14"/>
                <w:szCs w:val="14"/>
                <w:b w:val="1"/>
                <w:bCs w:val="1"/>
                <w:color w:val="auto"/>
              </w:rPr>
              <w:t>8,022</w:t>
            </w:r>
          </w:p>
        </w:tc>
        <w:tc>
          <w:tcPr>
            <w:tcW w:w="340" w:type="dxa"/>
            <w:vAlign w:val="bottom"/>
          </w:tcPr>
          <w:p>
            <w:pPr>
              <w:spacing w:after="0"/>
              <w:rPr>
                <w:sz w:val="24"/>
                <w:szCs w:val="24"/>
                <w:color w:val="auto"/>
              </w:rPr>
            </w:pPr>
          </w:p>
        </w:tc>
        <w:tc>
          <w:tcPr>
            <w:tcW w:w="960" w:type="dxa"/>
            <w:vAlign w:val="bottom"/>
          </w:tcPr>
          <w:p>
            <w:pPr>
              <w:jc w:val="right"/>
              <w:ind w:right="268"/>
              <w:spacing w:after="0"/>
              <w:rPr>
                <w:sz w:val="20"/>
                <w:szCs w:val="20"/>
                <w:color w:val="auto"/>
              </w:rPr>
            </w:pPr>
            <w:r>
              <w:rPr>
                <w:rFonts w:ascii="Arial" w:cs="Arial" w:eastAsia="Arial" w:hAnsi="Arial"/>
                <w:sz w:val="14"/>
                <w:szCs w:val="14"/>
                <w:b w:val="1"/>
                <w:bCs w:val="1"/>
                <w:color w:val="auto"/>
              </w:rPr>
              <w:t>8,598</w:t>
            </w:r>
          </w:p>
        </w:tc>
        <w:tc>
          <w:tcPr>
            <w:tcW w:w="340" w:type="dxa"/>
            <w:vAlign w:val="bottom"/>
          </w:tcPr>
          <w:p>
            <w:pPr>
              <w:spacing w:after="0"/>
              <w:rPr>
                <w:sz w:val="24"/>
                <w:szCs w:val="24"/>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b w:val="1"/>
                <w:bCs w:val="1"/>
                <w:color w:val="auto"/>
              </w:rPr>
              <w:t>8,699</w:t>
            </w:r>
          </w:p>
        </w:tc>
      </w:tr>
      <w:tr>
        <w:trPr>
          <w:trHeight w:val="123"/>
        </w:trPr>
        <w:tc>
          <w:tcPr>
            <w:tcW w:w="4680" w:type="dxa"/>
            <w:vAlign w:val="bottom"/>
            <w:tcBorders>
              <w:bottom w:val="single" w:sz="8" w:color="D7282F"/>
            </w:tcBorders>
          </w:tcPr>
          <w:p>
            <w:pPr>
              <w:spacing w:after="0"/>
              <w:rPr>
                <w:sz w:val="10"/>
                <w:szCs w:val="10"/>
                <w:color w:val="auto"/>
              </w:rPr>
            </w:pPr>
          </w:p>
        </w:tc>
        <w:tc>
          <w:tcPr>
            <w:tcW w:w="1740" w:type="dxa"/>
            <w:vAlign w:val="bottom"/>
            <w:tcBorders>
              <w:bottom w:val="single" w:sz="8" w:color="D7282F"/>
            </w:tcBorders>
          </w:tcPr>
          <w:p>
            <w:pPr>
              <w:spacing w:after="0"/>
              <w:rPr>
                <w:sz w:val="10"/>
                <w:szCs w:val="10"/>
                <w:color w:val="auto"/>
              </w:rPr>
            </w:pPr>
          </w:p>
        </w:tc>
        <w:tc>
          <w:tcPr>
            <w:tcW w:w="1000" w:type="dxa"/>
            <w:vAlign w:val="bottom"/>
            <w:tcBorders>
              <w:bottom w:val="single" w:sz="8" w:color="D7282F"/>
            </w:tcBorders>
          </w:tcPr>
          <w:p>
            <w:pPr>
              <w:spacing w:after="0"/>
              <w:rPr>
                <w:sz w:val="10"/>
                <w:szCs w:val="10"/>
                <w:color w:val="auto"/>
              </w:rPr>
            </w:pPr>
          </w:p>
        </w:tc>
        <w:tc>
          <w:tcPr>
            <w:tcW w:w="360" w:type="dxa"/>
            <w:vAlign w:val="bottom"/>
            <w:tcBorders>
              <w:bottom w:val="single" w:sz="8" w:color="D7282F"/>
            </w:tcBorders>
          </w:tcPr>
          <w:p>
            <w:pPr>
              <w:spacing w:after="0"/>
              <w:rPr>
                <w:sz w:val="10"/>
                <w:szCs w:val="10"/>
                <w:color w:val="auto"/>
              </w:rPr>
            </w:pPr>
          </w:p>
        </w:tc>
        <w:tc>
          <w:tcPr>
            <w:tcW w:w="960" w:type="dxa"/>
            <w:vAlign w:val="bottom"/>
            <w:tcBorders>
              <w:bottom w:val="single" w:sz="8" w:color="D7282F"/>
            </w:tcBorders>
          </w:tcPr>
          <w:p>
            <w:pPr>
              <w:spacing w:after="0"/>
              <w:rPr>
                <w:sz w:val="10"/>
                <w:szCs w:val="10"/>
                <w:color w:val="auto"/>
              </w:rPr>
            </w:pPr>
          </w:p>
        </w:tc>
        <w:tc>
          <w:tcPr>
            <w:tcW w:w="340" w:type="dxa"/>
            <w:vAlign w:val="bottom"/>
            <w:tcBorders>
              <w:bottom w:val="single" w:sz="8" w:color="D7282F"/>
            </w:tcBorders>
          </w:tcPr>
          <w:p>
            <w:pPr>
              <w:spacing w:after="0"/>
              <w:rPr>
                <w:sz w:val="10"/>
                <w:szCs w:val="10"/>
                <w:color w:val="auto"/>
              </w:rPr>
            </w:pPr>
          </w:p>
        </w:tc>
        <w:tc>
          <w:tcPr>
            <w:tcW w:w="960" w:type="dxa"/>
            <w:vAlign w:val="bottom"/>
            <w:tcBorders>
              <w:bottom w:val="single" w:sz="8" w:color="D7282F"/>
            </w:tcBorders>
          </w:tcPr>
          <w:p>
            <w:pPr>
              <w:spacing w:after="0"/>
              <w:rPr>
                <w:sz w:val="10"/>
                <w:szCs w:val="10"/>
                <w:color w:val="auto"/>
              </w:rPr>
            </w:pPr>
          </w:p>
        </w:tc>
        <w:tc>
          <w:tcPr>
            <w:tcW w:w="340" w:type="dxa"/>
            <w:vAlign w:val="bottom"/>
            <w:tcBorders>
              <w:bottom w:val="single" w:sz="8" w:color="D7282F"/>
            </w:tcBorders>
          </w:tcPr>
          <w:p>
            <w:pPr>
              <w:spacing w:after="0"/>
              <w:rPr>
                <w:sz w:val="10"/>
                <w:szCs w:val="10"/>
                <w:color w:val="auto"/>
              </w:rPr>
            </w:pPr>
          </w:p>
        </w:tc>
        <w:tc>
          <w:tcPr>
            <w:tcW w:w="840" w:type="dxa"/>
            <w:vAlign w:val="bottom"/>
            <w:tcBorders>
              <w:bottom w:val="single" w:sz="8" w:color="D7282F"/>
            </w:tcBorders>
          </w:tcPr>
          <w:p>
            <w:pPr>
              <w:spacing w:after="0"/>
              <w:rPr>
                <w:sz w:val="10"/>
                <w:szCs w:val="10"/>
                <w:color w:val="auto"/>
              </w:rPr>
            </w:pPr>
          </w:p>
        </w:tc>
      </w:tr>
      <w:tr>
        <w:trPr>
          <w:trHeight w:val="296"/>
        </w:trPr>
        <w:tc>
          <w:tcPr>
            <w:tcW w:w="468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1740" w:type="dxa"/>
            <w:vAlign w:val="bottom"/>
          </w:tcPr>
          <w:p>
            <w:pPr>
              <w:spacing w:after="0"/>
              <w:rPr>
                <w:sz w:val="24"/>
                <w:szCs w:val="24"/>
                <w:color w:val="auto"/>
              </w:rPr>
            </w:pPr>
          </w:p>
        </w:tc>
        <w:tc>
          <w:tcPr>
            <w:tcW w:w="1000" w:type="dxa"/>
            <w:vAlign w:val="bottom"/>
          </w:tcPr>
          <w:p>
            <w:pPr>
              <w:jc w:val="right"/>
              <w:ind w:right="308"/>
              <w:spacing w:after="0"/>
              <w:rPr>
                <w:sz w:val="20"/>
                <w:szCs w:val="20"/>
                <w:color w:val="auto"/>
              </w:rPr>
            </w:pPr>
            <w:r>
              <w:rPr>
                <w:rFonts w:ascii="Arial" w:cs="Arial" w:eastAsia="Arial" w:hAnsi="Arial"/>
                <w:sz w:val="14"/>
                <w:szCs w:val="14"/>
                <w:color w:val="auto"/>
              </w:rPr>
              <w:t>6,200</w:t>
            </w:r>
          </w:p>
        </w:tc>
        <w:tc>
          <w:tcPr>
            <w:tcW w:w="360" w:type="dxa"/>
            <w:vAlign w:val="bottom"/>
          </w:tcPr>
          <w:p>
            <w:pPr>
              <w:spacing w:after="0"/>
              <w:rPr>
                <w:sz w:val="24"/>
                <w:szCs w:val="24"/>
                <w:color w:val="auto"/>
              </w:rPr>
            </w:pPr>
          </w:p>
        </w:tc>
        <w:tc>
          <w:tcPr>
            <w:tcW w:w="960" w:type="dxa"/>
            <w:vAlign w:val="bottom"/>
          </w:tcPr>
          <w:p>
            <w:pPr>
              <w:jc w:val="right"/>
              <w:ind w:right="268"/>
              <w:spacing w:after="0"/>
              <w:rPr>
                <w:sz w:val="20"/>
                <w:szCs w:val="20"/>
                <w:color w:val="auto"/>
              </w:rPr>
            </w:pPr>
            <w:r>
              <w:rPr>
                <w:rFonts w:ascii="Arial" w:cs="Arial" w:eastAsia="Arial" w:hAnsi="Arial"/>
                <w:sz w:val="14"/>
                <w:szCs w:val="14"/>
                <w:color w:val="auto"/>
              </w:rPr>
              <w:t>6,427</w:t>
            </w:r>
          </w:p>
        </w:tc>
        <w:tc>
          <w:tcPr>
            <w:tcW w:w="340" w:type="dxa"/>
            <w:vAlign w:val="bottom"/>
          </w:tcPr>
          <w:p>
            <w:pPr>
              <w:spacing w:after="0"/>
              <w:rPr>
                <w:sz w:val="24"/>
                <w:szCs w:val="24"/>
                <w:color w:val="auto"/>
              </w:rPr>
            </w:pPr>
          </w:p>
        </w:tc>
        <w:tc>
          <w:tcPr>
            <w:tcW w:w="960" w:type="dxa"/>
            <w:vAlign w:val="bottom"/>
          </w:tcPr>
          <w:p>
            <w:pPr>
              <w:jc w:val="right"/>
              <w:ind w:right="268"/>
              <w:spacing w:after="0"/>
              <w:rPr>
                <w:sz w:val="20"/>
                <w:szCs w:val="20"/>
                <w:color w:val="auto"/>
              </w:rPr>
            </w:pPr>
            <w:r>
              <w:rPr>
                <w:rFonts w:ascii="Arial" w:cs="Arial" w:eastAsia="Arial" w:hAnsi="Arial"/>
                <w:sz w:val="14"/>
                <w:szCs w:val="14"/>
                <w:color w:val="auto"/>
              </w:rPr>
              <w:t>7,084</w:t>
            </w:r>
          </w:p>
        </w:tc>
        <w:tc>
          <w:tcPr>
            <w:tcW w:w="340" w:type="dxa"/>
            <w:vAlign w:val="bottom"/>
          </w:tcPr>
          <w:p>
            <w:pPr>
              <w:spacing w:after="0"/>
              <w:rPr>
                <w:sz w:val="24"/>
                <w:szCs w:val="24"/>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7,441</w:t>
            </w:r>
          </w:p>
        </w:tc>
      </w:tr>
      <w:tr>
        <w:trPr>
          <w:trHeight w:val="130"/>
        </w:trPr>
        <w:tc>
          <w:tcPr>
            <w:tcW w:w="4680" w:type="dxa"/>
            <w:vAlign w:val="bottom"/>
            <w:tcBorders>
              <w:bottom w:val="single" w:sz="8" w:color="939598"/>
            </w:tcBorders>
          </w:tcPr>
          <w:p>
            <w:pPr>
              <w:spacing w:after="0"/>
              <w:rPr>
                <w:sz w:val="11"/>
                <w:szCs w:val="11"/>
                <w:color w:val="auto"/>
              </w:rPr>
            </w:pPr>
          </w:p>
        </w:tc>
        <w:tc>
          <w:tcPr>
            <w:tcW w:w="1740" w:type="dxa"/>
            <w:vAlign w:val="bottom"/>
            <w:tcBorders>
              <w:bottom w:val="single" w:sz="8" w:color="939598"/>
            </w:tcBorders>
          </w:tcPr>
          <w:p>
            <w:pPr>
              <w:spacing w:after="0"/>
              <w:rPr>
                <w:sz w:val="11"/>
                <w:szCs w:val="11"/>
                <w:color w:val="auto"/>
              </w:rPr>
            </w:pPr>
          </w:p>
        </w:tc>
        <w:tc>
          <w:tcPr>
            <w:tcW w:w="1000" w:type="dxa"/>
            <w:vAlign w:val="bottom"/>
            <w:tcBorders>
              <w:bottom w:val="single" w:sz="8" w:color="939598"/>
            </w:tcBorders>
          </w:tcPr>
          <w:p>
            <w:pPr>
              <w:spacing w:after="0"/>
              <w:rPr>
                <w:sz w:val="11"/>
                <w:szCs w:val="11"/>
                <w:color w:val="auto"/>
              </w:rPr>
            </w:pPr>
          </w:p>
        </w:tc>
        <w:tc>
          <w:tcPr>
            <w:tcW w:w="360" w:type="dxa"/>
            <w:vAlign w:val="bottom"/>
            <w:tcBorders>
              <w:bottom w:val="single" w:sz="8" w:color="939598"/>
            </w:tcBorders>
          </w:tcPr>
          <w:p>
            <w:pPr>
              <w:spacing w:after="0"/>
              <w:rPr>
                <w:sz w:val="11"/>
                <w:szCs w:val="11"/>
                <w:color w:val="auto"/>
              </w:rPr>
            </w:pPr>
          </w:p>
        </w:tc>
        <w:tc>
          <w:tcPr>
            <w:tcW w:w="960" w:type="dxa"/>
            <w:vAlign w:val="bottom"/>
            <w:tcBorders>
              <w:bottom w:val="single" w:sz="8" w:color="939598"/>
            </w:tcBorders>
          </w:tcPr>
          <w:p>
            <w:pPr>
              <w:spacing w:after="0"/>
              <w:rPr>
                <w:sz w:val="11"/>
                <w:szCs w:val="11"/>
                <w:color w:val="auto"/>
              </w:rPr>
            </w:pPr>
          </w:p>
        </w:tc>
        <w:tc>
          <w:tcPr>
            <w:tcW w:w="340" w:type="dxa"/>
            <w:vAlign w:val="bottom"/>
            <w:tcBorders>
              <w:bottom w:val="single" w:sz="8" w:color="939598"/>
            </w:tcBorders>
          </w:tcPr>
          <w:p>
            <w:pPr>
              <w:spacing w:after="0"/>
              <w:rPr>
                <w:sz w:val="11"/>
                <w:szCs w:val="11"/>
                <w:color w:val="auto"/>
              </w:rPr>
            </w:pPr>
          </w:p>
        </w:tc>
        <w:tc>
          <w:tcPr>
            <w:tcW w:w="960" w:type="dxa"/>
            <w:vAlign w:val="bottom"/>
            <w:tcBorders>
              <w:bottom w:val="single" w:sz="8" w:color="939598"/>
            </w:tcBorders>
          </w:tcPr>
          <w:p>
            <w:pPr>
              <w:spacing w:after="0"/>
              <w:rPr>
                <w:sz w:val="11"/>
                <w:szCs w:val="11"/>
                <w:color w:val="auto"/>
              </w:rPr>
            </w:pPr>
          </w:p>
        </w:tc>
        <w:tc>
          <w:tcPr>
            <w:tcW w:w="340" w:type="dxa"/>
            <w:vAlign w:val="bottom"/>
            <w:tcBorders>
              <w:bottom w:val="single" w:sz="8" w:color="939598"/>
            </w:tcBorders>
          </w:tcPr>
          <w:p>
            <w:pPr>
              <w:spacing w:after="0"/>
              <w:rPr>
                <w:sz w:val="11"/>
                <w:szCs w:val="11"/>
                <w:color w:val="auto"/>
              </w:rPr>
            </w:pPr>
          </w:p>
        </w:tc>
        <w:tc>
          <w:tcPr>
            <w:tcW w:w="840" w:type="dxa"/>
            <w:vAlign w:val="bottom"/>
            <w:tcBorders>
              <w:bottom w:val="single" w:sz="8" w:color="939598"/>
            </w:tcBorders>
          </w:tcPr>
          <w:p>
            <w:pPr>
              <w:spacing w:after="0"/>
              <w:rPr>
                <w:sz w:val="11"/>
                <w:szCs w:val="11"/>
                <w:color w:val="auto"/>
              </w:rPr>
            </w:pPr>
          </w:p>
        </w:tc>
      </w:tr>
      <w:tr>
        <w:trPr>
          <w:trHeight w:val="296"/>
        </w:trPr>
        <w:tc>
          <w:tcPr>
            <w:tcW w:w="4680" w:type="dxa"/>
            <w:vAlign w:val="bottom"/>
          </w:tcPr>
          <w:p>
            <w:pPr>
              <w:ind w:left="20"/>
              <w:spacing w:after="0"/>
              <w:rPr>
                <w:sz w:val="20"/>
                <w:szCs w:val="20"/>
                <w:color w:val="auto"/>
              </w:rPr>
            </w:pPr>
            <w:r>
              <w:rPr>
                <w:rFonts w:ascii="Arial" w:cs="Arial" w:eastAsia="Arial" w:hAnsi="Arial"/>
                <w:sz w:val="14"/>
                <w:szCs w:val="14"/>
                <w:color w:val="auto"/>
              </w:rPr>
              <w:t>÷ Net sales</w:t>
            </w:r>
          </w:p>
        </w:tc>
        <w:tc>
          <w:tcPr>
            <w:tcW w:w="1740" w:type="dxa"/>
            <w:vAlign w:val="bottom"/>
          </w:tcPr>
          <w:p>
            <w:pPr>
              <w:spacing w:after="0"/>
              <w:rPr>
                <w:sz w:val="24"/>
                <w:szCs w:val="24"/>
                <w:color w:val="auto"/>
              </w:rPr>
            </w:pPr>
          </w:p>
        </w:tc>
        <w:tc>
          <w:tcPr>
            <w:tcW w:w="1000" w:type="dxa"/>
            <w:vAlign w:val="bottom"/>
          </w:tcPr>
          <w:p>
            <w:pPr>
              <w:jc w:val="right"/>
              <w:ind w:right="308"/>
              <w:spacing w:after="0"/>
              <w:rPr>
                <w:sz w:val="20"/>
                <w:szCs w:val="20"/>
                <w:color w:val="auto"/>
              </w:rPr>
            </w:pPr>
            <w:r>
              <w:rPr>
                <w:rFonts w:ascii="Arial" w:cs="Arial" w:eastAsia="Arial" w:hAnsi="Arial"/>
                <w:sz w:val="14"/>
                <w:szCs w:val="14"/>
                <w:color w:val="auto"/>
              </w:rPr>
              <w:t>34,392</w:t>
            </w:r>
          </w:p>
        </w:tc>
        <w:tc>
          <w:tcPr>
            <w:tcW w:w="360" w:type="dxa"/>
            <w:vAlign w:val="bottom"/>
          </w:tcPr>
          <w:p>
            <w:pPr>
              <w:spacing w:after="0"/>
              <w:rPr>
                <w:sz w:val="24"/>
                <w:szCs w:val="24"/>
                <w:color w:val="auto"/>
              </w:rPr>
            </w:pPr>
          </w:p>
        </w:tc>
        <w:tc>
          <w:tcPr>
            <w:tcW w:w="960" w:type="dxa"/>
            <w:vAlign w:val="bottom"/>
          </w:tcPr>
          <w:p>
            <w:pPr>
              <w:jc w:val="right"/>
              <w:ind w:right="268"/>
              <w:spacing w:after="0"/>
              <w:rPr>
                <w:sz w:val="20"/>
                <w:szCs w:val="20"/>
                <w:color w:val="auto"/>
              </w:rPr>
            </w:pPr>
            <w:r>
              <w:rPr>
                <w:rFonts w:ascii="Arial" w:cs="Arial" w:eastAsia="Arial" w:hAnsi="Arial"/>
                <w:sz w:val="14"/>
                <w:szCs w:val="14"/>
                <w:color w:val="auto"/>
              </w:rPr>
              <w:t>35,466</w:t>
            </w:r>
          </w:p>
        </w:tc>
        <w:tc>
          <w:tcPr>
            <w:tcW w:w="340" w:type="dxa"/>
            <w:vAlign w:val="bottom"/>
          </w:tcPr>
          <w:p>
            <w:pPr>
              <w:spacing w:after="0"/>
              <w:rPr>
                <w:sz w:val="24"/>
                <w:szCs w:val="24"/>
                <w:color w:val="auto"/>
              </w:rPr>
            </w:pPr>
          </w:p>
        </w:tc>
        <w:tc>
          <w:tcPr>
            <w:tcW w:w="960" w:type="dxa"/>
            <w:vAlign w:val="bottom"/>
          </w:tcPr>
          <w:p>
            <w:pPr>
              <w:jc w:val="right"/>
              <w:ind w:right="268"/>
              <w:spacing w:after="0"/>
              <w:rPr>
                <w:sz w:val="20"/>
                <w:szCs w:val="20"/>
                <w:color w:val="auto"/>
              </w:rPr>
            </w:pPr>
            <w:r>
              <w:rPr>
                <w:rFonts w:ascii="Arial" w:cs="Arial" w:eastAsia="Arial" w:hAnsi="Arial"/>
                <w:sz w:val="14"/>
                <w:szCs w:val="14"/>
                <w:color w:val="auto"/>
              </w:rPr>
              <w:t>36,662</w:t>
            </w:r>
          </w:p>
        </w:tc>
        <w:tc>
          <w:tcPr>
            <w:tcW w:w="340" w:type="dxa"/>
            <w:vAlign w:val="bottom"/>
          </w:tcPr>
          <w:p>
            <w:pPr>
              <w:spacing w:after="0"/>
              <w:rPr>
                <w:sz w:val="24"/>
                <w:szCs w:val="24"/>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38,498</w:t>
            </w:r>
          </w:p>
        </w:tc>
      </w:tr>
      <w:tr>
        <w:trPr>
          <w:trHeight w:val="130"/>
        </w:trPr>
        <w:tc>
          <w:tcPr>
            <w:tcW w:w="4680" w:type="dxa"/>
            <w:vAlign w:val="bottom"/>
            <w:tcBorders>
              <w:bottom w:val="single" w:sz="8" w:color="D7282F"/>
            </w:tcBorders>
          </w:tcPr>
          <w:p>
            <w:pPr>
              <w:spacing w:after="0"/>
              <w:rPr>
                <w:sz w:val="11"/>
                <w:szCs w:val="11"/>
                <w:color w:val="auto"/>
              </w:rPr>
            </w:pPr>
          </w:p>
        </w:tc>
        <w:tc>
          <w:tcPr>
            <w:tcW w:w="1740" w:type="dxa"/>
            <w:vAlign w:val="bottom"/>
            <w:tcBorders>
              <w:bottom w:val="single" w:sz="8" w:color="D7282F"/>
            </w:tcBorders>
          </w:tcPr>
          <w:p>
            <w:pPr>
              <w:spacing w:after="0"/>
              <w:rPr>
                <w:sz w:val="11"/>
                <w:szCs w:val="11"/>
                <w:color w:val="auto"/>
              </w:rPr>
            </w:pPr>
          </w:p>
        </w:tc>
        <w:tc>
          <w:tcPr>
            <w:tcW w:w="1000" w:type="dxa"/>
            <w:vAlign w:val="bottom"/>
            <w:tcBorders>
              <w:bottom w:val="single" w:sz="8" w:color="D7282F"/>
            </w:tcBorders>
          </w:tcPr>
          <w:p>
            <w:pPr>
              <w:spacing w:after="0"/>
              <w:rPr>
                <w:sz w:val="11"/>
                <w:szCs w:val="11"/>
                <w:color w:val="auto"/>
              </w:rPr>
            </w:pPr>
          </w:p>
        </w:tc>
        <w:tc>
          <w:tcPr>
            <w:tcW w:w="360" w:type="dxa"/>
            <w:vAlign w:val="bottom"/>
            <w:tcBorders>
              <w:bottom w:val="single" w:sz="8" w:color="D7282F"/>
            </w:tcBorders>
          </w:tcPr>
          <w:p>
            <w:pPr>
              <w:spacing w:after="0"/>
              <w:rPr>
                <w:sz w:val="11"/>
                <w:szCs w:val="11"/>
                <w:color w:val="auto"/>
              </w:rPr>
            </w:pPr>
          </w:p>
        </w:tc>
        <w:tc>
          <w:tcPr>
            <w:tcW w:w="960" w:type="dxa"/>
            <w:vAlign w:val="bottom"/>
            <w:tcBorders>
              <w:bottom w:val="single" w:sz="8" w:color="D7282F"/>
            </w:tcBorders>
          </w:tcPr>
          <w:p>
            <w:pPr>
              <w:spacing w:after="0"/>
              <w:rPr>
                <w:sz w:val="11"/>
                <w:szCs w:val="11"/>
                <w:color w:val="auto"/>
              </w:rPr>
            </w:pPr>
          </w:p>
        </w:tc>
        <w:tc>
          <w:tcPr>
            <w:tcW w:w="340" w:type="dxa"/>
            <w:vAlign w:val="bottom"/>
            <w:tcBorders>
              <w:bottom w:val="single" w:sz="8" w:color="D7282F"/>
            </w:tcBorders>
          </w:tcPr>
          <w:p>
            <w:pPr>
              <w:spacing w:after="0"/>
              <w:rPr>
                <w:sz w:val="11"/>
                <w:szCs w:val="11"/>
                <w:color w:val="auto"/>
              </w:rPr>
            </w:pPr>
          </w:p>
        </w:tc>
        <w:tc>
          <w:tcPr>
            <w:tcW w:w="960" w:type="dxa"/>
            <w:vAlign w:val="bottom"/>
            <w:tcBorders>
              <w:bottom w:val="single" w:sz="8" w:color="D7282F"/>
            </w:tcBorders>
          </w:tcPr>
          <w:p>
            <w:pPr>
              <w:spacing w:after="0"/>
              <w:rPr>
                <w:sz w:val="11"/>
                <w:szCs w:val="11"/>
                <w:color w:val="auto"/>
              </w:rPr>
            </w:pPr>
          </w:p>
        </w:tc>
        <w:tc>
          <w:tcPr>
            <w:tcW w:w="340" w:type="dxa"/>
            <w:vAlign w:val="bottom"/>
            <w:tcBorders>
              <w:bottom w:val="single" w:sz="8" w:color="D7282F"/>
            </w:tcBorders>
          </w:tcPr>
          <w:p>
            <w:pPr>
              <w:spacing w:after="0"/>
              <w:rPr>
                <w:sz w:val="11"/>
                <w:szCs w:val="11"/>
                <w:color w:val="auto"/>
              </w:rPr>
            </w:pPr>
          </w:p>
        </w:tc>
        <w:tc>
          <w:tcPr>
            <w:tcW w:w="840" w:type="dxa"/>
            <w:vAlign w:val="bottom"/>
            <w:tcBorders>
              <w:bottom w:val="single" w:sz="8" w:color="D7282F"/>
            </w:tcBorders>
          </w:tcPr>
          <w:p>
            <w:pPr>
              <w:spacing w:after="0"/>
              <w:rPr>
                <w:sz w:val="11"/>
                <w:szCs w:val="11"/>
                <w:color w:val="auto"/>
              </w:rPr>
            </w:pPr>
          </w:p>
        </w:tc>
      </w:tr>
      <w:tr>
        <w:trPr>
          <w:trHeight w:val="302"/>
        </w:trPr>
        <w:tc>
          <w:tcPr>
            <w:tcW w:w="4680" w:type="dxa"/>
            <w:vAlign w:val="bottom"/>
          </w:tcPr>
          <w:p>
            <w:pPr>
              <w:ind w:left="20"/>
              <w:spacing w:after="0"/>
              <w:rPr>
                <w:sz w:val="20"/>
                <w:szCs w:val="20"/>
                <w:color w:val="auto"/>
              </w:rPr>
            </w:pPr>
            <w:r>
              <w:rPr>
                <w:rFonts w:ascii="Arial" w:cs="Arial" w:eastAsia="Arial" w:hAnsi="Arial"/>
                <w:sz w:val="14"/>
                <w:szCs w:val="14"/>
                <w:b w:val="1"/>
                <w:bCs w:val="1"/>
                <w:color w:val="auto"/>
              </w:rPr>
              <w:t>Operating income margin %</w:t>
            </w:r>
          </w:p>
        </w:tc>
        <w:tc>
          <w:tcPr>
            <w:tcW w:w="1740" w:type="dxa"/>
            <w:vAlign w:val="bottom"/>
          </w:tcPr>
          <w:p>
            <w:pPr>
              <w:spacing w:after="0"/>
              <w:rPr>
                <w:sz w:val="24"/>
                <w:szCs w:val="2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rPr>
              <w:t>18.0%</w:t>
            </w:r>
          </w:p>
        </w:tc>
        <w:tc>
          <w:tcPr>
            <w:tcW w:w="360" w:type="dxa"/>
            <w:vAlign w:val="bottom"/>
          </w:tcPr>
          <w:p>
            <w:pPr>
              <w:spacing w:after="0"/>
              <w:rPr>
                <w:sz w:val="24"/>
                <w:szCs w:val="24"/>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18.1%</w:t>
            </w:r>
          </w:p>
        </w:tc>
        <w:tc>
          <w:tcPr>
            <w:tcW w:w="340" w:type="dxa"/>
            <w:vAlign w:val="bottom"/>
          </w:tcPr>
          <w:p>
            <w:pPr>
              <w:spacing w:after="0"/>
              <w:rPr>
                <w:sz w:val="24"/>
                <w:szCs w:val="24"/>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19.3%</w:t>
            </w:r>
          </w:p>
        </w:tc>
        <w:tc>
          <w:tcPr>
            <w:tcW w:w="3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19.3%</w:t>
            </w:r>
          </w:p>
        </w:tc>
      </w:tr>
      <w:tr>
        <w:trPr>
          <w:trHeight w:val="123"/>
        </w:trPr>
        <w:tc>
          <w:tcPr>
            <w:tcW w:w="4680" w:type="dxa"/>
            <w:vAlign w:val="bottom"/>
            <w:tcBorders>
              <w:bottom w:val="single" w:sz="8" w:color="D7282F"/>
            </w:tcBorders>
          </w:tcPr>
          <w:p>
            <w:pPr>
              <w:spacing w:after="0"/>
              <w:rPr>
                <w:sz w:val="10"/>
                <w:szCs w:val="10"/>
                <w:color w:val="auto"/>
              </w:rPr>
            </w:pPr>
          </w:p>
        </w:tc>
        <w:tc>
          <w:tcPr>
            <w:tcW w:w="1740" w:type="dxa"/>
            <w:vAlign w:val="bottom"/>
            <w:tcBorders>
              <w:bottom w:val="single" w:sz="8" w:color="D7282F"/>
            </w:tcBorders>
          </w:tcPr>
          <w:p>
            <w:pPr>
              <w:spacing w:after="0"/>
              <w:rPr>
                <w:sz w:val="10"/>
                <w:szCs w:val="10"/>
                <w:color w:val="auto"/>
              </w:rPr>
            </w:pPr>
          </w:p>
        </w:tc>
        <w:tc>
          <w:tcPr>
            <w:tcW w:w="1000" w:type="dxa"/>
            <w:vAlign w:val="bottom"/>
            <w:tcBorders>
              <w:bottom w:val="single" w:sz="8" w:color="D7282F"/>
            </w:tcBorders>
          </w:tcPr>
          <w:p>
            <w:pPr>
              <w:spacing w:after="0"/>
              <w:rPr>
                <w:sz w:val="10"/>
                <w:szCs w:val="10"/>
                <w:color w:val="auto"/>
              </w:rPr>
            </w:pPr>
          </w:p>
        </w:tc>
        <w:tc>
          <w:tcPr>
            <w:tcW w:w="360" w:type="dxa"/>
            <w:vAlign w:val="bottom"/>
            <w:tcBorders>
              <w:bottom w:val="single" w:sz="8" w:color="D7282F"/>
            </w:tcBorders>
          </w:tcPr>
          <w:p>
            <w:pPr>
              <w:spacing w:after="0"/>
              <w:rPr>
                <w:sz w:val="10"/>
                <w:szCs w:val="10"/>
                <w:color w:val="auto"/>
              </w:rPr>
            </w:pPr>
          </w:p>
        </w:tc>
        <w:tc>
          <w:tcPr>
            <w:tcW w:w="960" w:type="dxa"/>
            <w:vAlign w:val="bottom"/>
            <w:tcBorders>
              <w:bottom w:val="single" w:sz="8" w:color="D7282F"/>
            </w:tcBorders>
          </w:tcPr>
          <w:p>
            <w:pPr>
              <w:spacing w:after="0"/>
              <w:rPr>
                <w:sz w:val="10"/>
                <w:szCs w:val="10"/>
                <w:color w:val="auto"/>
              </w:rPr>
            </w:pPr>
          </w:p>
        </w:tc>
        <w:tc>
          <w:tcPr>
            <w:tcW w:w="340" w:type="dxa"/>
            <w:vAlign w:val="bottom"/>
            <w:tcBorders>
              <w:bottom w:val="single" w:sz="8" w:color="D7282F"/>
            </w:tcBorders>
          </w:tcPr>
          <w:p>
            <w:pPr>
              <w:spacing w:after="0"/>
              <w:rPr>
                <w:sz w:val="10"/>
                <w:szCs w:val="10"/>
                <w:color w:val="auto"/>
              </w:rPr>
            </w:pPr>
          </w:p>
        </w:tc>
        <w:tc>
          <w:tcPr>
            <w:tcW w:w="960" w:type="dxa"/>
            <w:vAlign w:val="bottom"/>
            <w:tcBorders>
              <w:bottom w:val="single" w:sz="8" w:color="D7282F"/>
            </w:tcBorders>
          </w:tcPr>
          <w:p>
            <w:pPr>
              <w:spacing w:after="0"/>
              <w:rPr>
                <w:sz w:val="10"/>
                <w:szCs w:val="10"/>
                <w:color w:val="auto"/>
              </w:rPr>
            </w:pPr>
          </w:p>
        </w:tc>
        <w:tc>
          <w:tcPr>
            <w:tcW w:w="340" w:type="dxa"/>
            <w:vAlign w:val="bottom"/>
            <w:tcBorders>
              <w:bottom w:val="single" w:sz="8" w:color="D7282F"/>
            </w:tcBorders>
          </w:tcPr>
          <w:p>
            <w:pPr>
              <w:spacing w:after="0"/>
              <w:rPr>
                <w:sz w:val="10"/>
                <w:szCs w:val="10"/>
                <w:color w:val="auto"/>
              </w:rPr>
            </w:pPr>
          </w:p>
        </w:tc>
        <w:tc>
          <w:tcPr>
            <w:tcW w:w="840" w:type="dxa"/>
            <w:vAlign w:val="bottom"/>
            <w:tcBorders>
              <w:bottom w:val="single" w:sz="8" w:color="D7282F"/>
            </w:tcBorders>
          </w:tcPr>
          <w:p>
            <w:pPr>
              <w:spacing w:after="0"/>
              <w:rPr>
                <w:sz w:val="10"/>
                <w:szCs w:val="10"/>
                <w:color w:val="auto"/>
              </w:rPr>
            </w:pPr>
          </w:p>
        </w:tc>
      </w:tr>
      <w:tr>
        <w:trPr>
          <w:trHeight w:val="296"/>
        </w:trPr>
        <w:tc>
          <w:tcPr>
            <w:tcW w:w="4680" w:type="dxa"/>
            <w:vAlign w:val="bottom"/>
          </w:tcPr>
          <w:p>
            <w:pPr>
              <w:ind w:left="20"/>
              <w:spacing w:after="0"/>
              <w:rPr>
                <w:sz w:val="20"/>
                <w:szCs w:val="20"/>
                <w:color w:val="auto"/>
              </w:rPr>
            </w:pPr>
            <w:r>
              <w:rPr>
                <w:rFonts w:ascii="Arial" w:cs="Arial" w:eastAsia="Arial" w:hAnsi="Arial"/>
                <w:sz w:val="14"/>
                <w:szCs w:val="14"/>
                <w:color w:val="auto"/>
              </w:rPr>
              <w:t>Segment profit</w:t>
            </w:r>
          </w:p>
        </w:tc>
        <w:tc>
          <w:tcPr>
            <w:tcW w:w="1740" w:type="dxa"/>
            <w:vAlign w:val="bottom"/>
          </w:tcPr>
          <w:p>
            <w:pPr>
              <w:spacing w:after="0"/>
              <w:rPr>
                <w:sz w:val="24"/>
                <w:szCs w:val="24"/>
                <w:color w:val="auto"/>
              </w:rPr>
            </w:pPr>
          </w:p>
        </w:tc>
        <w:tc>
          <w:tcPr>
            <w:tcW w:w="1000" w:type="dxa"/>
            <w:vAlign w:val="bottom"/>
          </w:tcPr>
          <w:p>
            <w:pPr>
              <w:jc w:val="right"/>
              <w:ind w:right="308"/>
              <w:spacing w:after="0"/>
              <w:rPr>
                <w:sz w:val="20"/>
                <w:szCs w:val="20"/>
                <w:color w:val="auto"/>
              </w:rPr>
            </w:pPr>
            <w:r>
              <w:rPr>
                <w:rFonts w:ascii="Arial" w:cs="Arial" w:eastAsia="Arial" w:hAnsi="Arial"/>
                <w:sz w:val="14"/>
                <w:szCs w:val="14"/>
                <w:color w:val="auto"/>
              </w:rPr>
              <w:t>7,677</w:t>
            </w:r>
          </w:p>
        </w:tc>
        <w:tc>
          <w:tcPr>
            <w:tcW w:w="360" w:type="dxa"/>
            <w:vAlign w:val="bottom"/>
          </w:tcPr>
          <w:p>
            <w:pPr>
              <w:spacing w:after="0"/>
              <w:rPr>
                <w:sz w:val="24"/>
                <w:szCs w:val="24"/>
                <w:color w:val="auto"/>
              </w:rPr>
            </w:pPr>
          </w:p>
        </w:tc>
        <w:tc>
          <w:tcPr>
            <w:tcW w:w="960" w:type="dxa"/>
            <w:vAlign w:val="bottom"/>
          </w:tcPr>
          <w:p>
            <w:pPr>
              <w:jc w:val="right"/>
              <w:ind w:right="268"/>
              <w:spacing w:after="0"/>
              <w:rPr>
                <w:sz w:val="20"/>
                <w:szCs w:val="20"/>
                <w:color w:val="auto"/>
              </w:rPr>
            </w:pPr>
            <w:r>
              <w:rPr>
                <w:rFonts w:ascii="Arial" w:cs="Arial" w:eastAsia="Arial" w:hAnsi="Arial"/>
                <w:sz w:val="14"/>
                <w:szCs w:val="14"/>
                <w:color w:val="auto"/>
              </w:rPr>
              <w:t>8,022</w:t>
            </w:r>
          </w:p>
        </w:tc>
        <w:tc>
          <w:tcPr>
            <w:tcW w:w="340" w:type="dxa"/>
            <w:vAlign w:val="bottom"/>
          </w:tcPr>
          <w:p>
            <w:pPr>
              <w:spacing w:after="0"/>
              <w:rPr>
                <w:sz w:val="24"/>
                <w:szCs w:val="24"/>
                <w:color w:val="auto"/>
              </w:rPr>
            </w:pPr>
          </w:p>
        </w:tc>
        <w:tc>
          <w:tcPr>
            <w:tcW w:w="960" w:type="dxa"/>
            <w:vAlign w:val="bottom"/>
          </w:tcPr>
          <w:p>
            <w:pPr>
              <w:jc w:val="right"/>
              <w:ind w:right="268"/>
              <w:spacing w:after="0"/>
              <w:rPr>
                <w:sz w:val="20"/>
                <w:szCs w:val="20"/>
                <w:color w:val="auto"/>
              </w:rPr>
            </w:pPr>
            <w:r>
              <w:rPr>
                <w:rFonts w:ascii="Arial" w:cs="Arial" w:eastAsia="Arial" w:hAnsi="Arial"/>
                <w:sz w:val="14"/>
                <w:szCs w:val="14"/>
                <w:color w:val="auto"/>
              </w:rPr>
              <w:t>8,598</w:t>
            </w:r>
          </w:p>
        </w:tc>
        <w:tc>
          <w:tcPr>
            <w:tcW w:w="340" w:type="dxa"/>
            <w:vAlign w:val="bottom"/>
          </w:tcPr>
          <w:p>
            <w:pPr>
              <w:spacing w:after="0"/>
              <w:rPr>
                <w:sz w:val="24"/>
                <w:szCs w:val="24"/>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8,699</w:t>
            </w:r>
          </w:p>
        </w:tc>
      </w:tr>
      <w:tr>
        <w:trPr>
          <w:trHeight w:val="130"/>
        </w:trPr>
        <w:tc>
          <w:tcPr>
            <w:tcW w:w="4680" w:type="dxa"/>
            <w:vAlign w:val="bottom"/>
            <w:tcBorders>
              <w:bottom w:val="single" w:sz="8" w:color="939598"/>
            </w:tcBorders>
          </w:tcPr>
          <w:p>
            <w:pPr>
              <w:spacing w:after="0"/>
              <w:rPr>
                <w:sz w:val="11"/>
                <w:szCs w:val="11"/>
                <w:color w:val="auto"/>
              </w:rPr>
            </w:pPr>
          </w:p>
        </w:tc>
        <w:tc>
          <w:tcPr>
            <w:tcW w:w="1740" w:type="dxa"/>
            <w:vAlign w:val="bottom"/>
            <w:tcBorders>
              <w:bottom w:val="single" w:sz="8" w:color="939598"/>
            </w:tcBorders>
          </w:tcPr>
          <w:p>
            <w:pPr>
              <w:spacing w:after="0"/>
              <w:rPr>
                <w:sz w:val="11"/>
                <w:szCs w:val="11"/>
                <w:color w:val="auto"/>
              </w:rPr>
            </w:pPr>
          </w:p>
        </w:tc>
        <w:tc>
          <w:tcPr>
            <w:tcW w:w="1000" w:type="dxa"/>
            <w:vAlign w:val="bottom"/>
            <w:tcBorders>
              <w:bottom w:val="single" w:sz="8" w:color="939598"/>
            </w:tcBorders>
          </w:tcPr>
          <w:p>
            <w:pPr>
              <w:spacing w:after="0"/>
              <w:rPr>
                <w:sz w:val="11"/>
                <w:szCs w:val="11"/>
                <w:color w:val="auto"/>
              </w:rPr>
            </w:pPr>
          </w:p>
        </w:tc>
        <w:tc>
          <w:tcPr>
            <w:tcW w:w="360" w:type="dxa"/>
            <w:vAlign w:val="bottom"/>
            <w:tcBorders>
              <w:bottom w:val="single" w:sz="8" w:color="939598"/>
            </w:tcBorders>
          </w:tcPr>
          <w:p>
            <w:pPr>
              <w:spacing w:after="0"/>
              <w:rPr>
                <w:sz w:val="11"/>
                <w:szCs w:val="11"/>
                <w:color w:val="auto"/>
              </w:rPr>
            </w:pPr>
          </w:p>
        </w:tc>
        <w:tc>
          <w:tcPr>
            <w:tcW w:w="960" w:type="dxa"/>
            <w:vAlign w:val="bottom"/>
            <w:tcBorders>
              <w:bottom w:val="single" w:sz="8" w:color="939598"/>
            </w:tcBorders>
          </w:tcPr>
          <w:p>
            <w:pPr>
              <w:spacing w:after="0"/>
              <w:rPr>
                <w:sz w:val="11"/>
                <w:szCs w:val="11"/>
                <w:color w:val="auto"/>
              </w:rPr>
            </w:pPr>
          </w:p>
        </w:tc>
        <w:tc>
          <w:tcPr>
            <w:tcW w:w="340" w:type="dxa"/>
            <w:vAlign w:val="bottom"/>
            <w:tcBorders>
              <w:bottom w:val="single" w:sz="8" w:color="939598"/>
            </w:tcBorders>
          </w:tcPr>
          <w:p>
            <w:pPr>
              <w:spacing w:after="0"/>
              <w:rPr>
                <w:sz w:val="11"/>
                <w:szCs w:val="11"/>
                <w:color w:val="auto"/>
              </w:rPr>
            </w:pPr>
          </w:p>
        </w:tc>
        <w:tc>
          <w:tcPr>
            <w:tcW w:w="960" w:type="dxa"/>
            <w:vAlign w:val="bottom"/>
            <w:tcBorders>
              <w:bottom w:val="single" w:sz="8" w:color="939598"/>
            </w:tcBorders>
          </w:tcPr>
          <w:p>
            <w:pPr>
              <w:spacing w:after="0"/>
              <w:rPr>
                <w:sz w:val="11"/>
                <w:szCs w:val="11"/>
                <w:color w:val="auto"/>
              </w:rPr>
            </w:pPr>
          </w:p>
        </w:tc>
        <w:tc>
          <w:tcPr>
            <w:tcW w:w="340" w:type="dxa"/>
            <w:vAlign w:val="bottom"/>
            <w:tcBorders>
              <w:bottom w:val="single" w:sz="8" w:color="939598"/>
            </w:tcBorders>
          </w:tcPr>
          <w:p>
            <w:pPr>
              <w:spacing w:after="0"/>
              <w:rPr>
                <w:sz w:val="11"/>
                <w:szCs w:val="11"/>
                <w:color w:val="auto"/>
              </w:rPr>
            </w:pPr>
          </w:p>
        </w:tc>
        <w:tc>
          <w:tcPr>
            <w:tcW w:w="840" w:type="dxa"/>
            <w:vAlign w:val="bottom"/>
            <w:tcBorders>
              <w:bottom w:val="single" w:sz="8" w:color="939598"/>
            </w:tcBorders>
          </w:tcPr>
          <w:p>
            <w:pPr>
              <w:spacing w:after="0"/>
              <w:rPr>
                <w:sz w:val="11"/>
                <w:szCs w:val="11"/>
                <w:color w:val="auto"/>
              </w:rPr>
            </w:pPr>
          </w:p>
        </w:tc>
      </w:tr>
      <w:tr>
        <w:trPr>
          <w:trHeight w:val="296"/>
        </w:trPr>
        <w:tc>
          <w:tcPr>
            <w:tcW w:w="4680" w:type="dxa"/>
            <w:vAlign w:val="bottom"/>
          </w:tcPr>
          <w:p>
            <w:pPr>
              <w:ind w:left="20"/>
              <w:spacing w:after="0"/>
              <w:rPr>
                <w:sz w:val="20"/>
                <w:szCs w:val="20"/>
                <w:color w:val="auto"/>
              </w:rPr>
            </w:pPr>
            <w:r>
              <w:rPr>
                <w:rFonts w:ascii="Arial" w:cs="Arial" w:eastAsia="Arial" w:hAnsi="Arial"/>
                <w:sz w:val="14"/>
                <w:szCs w:val="14"/>
                <w:color w:val="auto"/>
              </w:rPr>
              <w:t>÷ Net sales</w:t>
            </w:r>
          </w:p>
        </w:tc>
        <w:tc>
          <w:tcPr>
            <w:tcW w:w="1740" w:type="dxa"/>
            <w:vAlign w:val="bottom"/>
          </w:tcPr>
          <w:p>
            <w:pPr>
              <w:spacing w:after="0"/>
              <w:rPr>
                <w:sz w:val="24"/>
                <w:szCs w:val="24"/>
                <w:color w:val="auto"/>
              </w:rPr>
            </w:pPr>
          </w:p>
        </w:tc>
        <w:tc>
          <w:tcPr>
            <w:tcW w:w="1000" w:type="dxa"/>
            <w:vAlign w:val="bottom"/>
          </w:tcPr>
          <w:p>
            <w:pPr>
              <w:jc w:val="right"/>
              <w:ind w:right="308"/>
              <w:spacing w:after="0"/>
              <w:rPr>
                <w:sz w:val="20"/>
                <w:szCs w:val="20"/>
                <w:color w:val="auto"/>
              </w:rPr>
            </w:pPr>
            <w:r>
              <w:rPr>
                <w:rFonts w:ascii="Arial" w:cs="Arial" w:eastAsia="Arial" w:hAnsi="Arial"/>
                <w:sz w:val="14"/>
                <w:szCs w:val="14"/>
                <w:color w:val="auto"/>
              </w:rPr>
              <w:t>34,392</w:t>
            </w:r>
          </w:p>
        </w:tc>
        <w:tc>
          <w:tcPr>
            <w:tcW w:w="360" w:type="dxa"/>
            <w:vAlign w:val="bottom"/>
          </w:tcPr>
          <w:p>
            <w:pPr>
              <w:spacing w:after="0"/>
              <w:rPr>
                <w:sz w:val="24"/>
                <w:szCs w:val="24"/>
                <w:color w:val="auto"/>
              </w:rPr>
            </w:pPr>
          </w:p>
        </w:tc>
        <w:tc>
          <w:tcPr>
            <w:tcW w:w="960" w:type="dxa"/>
            <w:vAlign w:val="bottom"/>
          </w:tcPr>
          <w:p>
            <w:pPr>
              <w:jc w:val="right"/>
              <w:ind w:right="268"/>
              <w:spacing w:after="0"/>
              <w:rPr>
                <w:sz w:val="20"/>
                <w:szCs w:val="20"/>
                <w:color w:val="auto"/>
              </w:rPr>
            </w:pPr>
            <w:r>
              <w:rPr>
                <w:rFonts w:ascii="Arial" w:cs="Arial" w:eastAsia="Arial" w:hAnsi="Arial"/>
                <w:sz w:val="14"/>
                <w:szCs w:val="14"/>
                <w:color w:val="auto"/>
              </w:rPr>
              <w:t>35,466</w:t>
            </w:r>
          </w:p>
        </w:tc>
        <w:tc>
          <w:tcPr>
            <w:tcW w:w="340" w:type="dxa"/>
            <w:vAlign w:val="bottom"/>
          </w:tcPr>
          <w:p>
            <w:pPr>
              <w:spacing w:after="0"/>
              <w:rPr>
                <w:sz w:val="24"/>
                <w:szCs w:val="24"/>
                <w:color w:val="auto"/>
              </w:rPr>
            </w:pPr>
          </w:p>
        </w:tc>
        <w:tc>
          <w:tcPr>
            <w:tcW w:w="960" w:type="dxa"/>
            <w:vAlign w:val="bottom"/>
          </w:tcPr>
          <w:p>
            <w:pPr>
              <w:jc w:val="right"/>
              <w:ind w:right="268"/>
              <w:spacing w:after="0"/>
              <w:rPr>
                <w:sz w:val="20"/>
                <w:szCs w:val="20"/>
                <w:color w:val="auto"/>
              </w:rPr>
            </w:pPr>
            <w:r>
              <w:rPr>
                <w:rFonts w:ascii="Arial" w:cs="Arial" w:eastAsia="Arial" w:hAnsi="Arial"/>
                <w:sz w:val="14"/>
                <w:szCs w:val="14"/>
                <w:color w:val="auto"/>
              </w:rPr>
              <w:t>36,662</w:t>
            </w:r>
          </w:p>
        </w:tc>
        <w:tc>
          <w:tcPr>
            <w:tcW w:w="340" w:type="dxa"/>
            <w:vAlign w:val="bottom"/>
          </w:tcPr>
          <w:p>
            <w:pPr>
              <w:spacing w:after="0"/>
              <w:rPr>
                <w:sz w:val="24"/>
                <w:szCs w:val="24"/>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38,498</w:t>
            </w:r>
          </w:p>
        </w:tc>
      </w:tr>
      <w:tr>
        <w:trPr>
          <w:trHeight w:val="130"/>
        </w:trPr>
        <w:tc>
          <w:tcPr>
            <w:tcW w:w="4680" w:type="dxa"/>
            <w:vAlign w:val="bottom"/>
            <w:tcBorders>
              <w:bottom w:val="single" w:sz="8" w:color="D7282F"/>
            </w:tcBorders>
          </w:tcPr>
          <w:p>
            <w:pPr>
              <w:spacing w:after="0"/>
              <w:rPr>
                <w:sz w:val="11"/>
                <w:szCs w:val="11"/>
                <w:color w:val="auto"/>
              </w:rPr>
            </w:pPr>
          </w:p>
        </w:tc>
        <w:tc>
          <w:tcPr>
            <w:tcW w:w="1740" w:type="dxa"/>
            <w:vAlign w:val="bottom"/>
            <w:tcBorders>
              <w:bottom w:val="single" w:sz="8" w:color="D7282F"/>
            </w:tcBorders>
          </w:tcPr>
          <w:p>
            <w:pPr>
              <w:spacing w:after="0"/>
              <w:rPr>
                <w:sz w:val="11"/>
                <w:szCs w:val="11"/>
                <w:color w:val="auto"/>
              </w:rPr>
            </w:pPr>
          </w:p>
        </w:tc>
        <w:tc>
          <w:tcPr>
            <w:tcW w:w="1000" w:type="dxa"/>
            <w:vAlign w:val="bottom"/>
            <w:tcBorders>
              <w:bottom w:val="single" w:sz="8" w:color="D7282F"/>
            </w:tcBorders>
          </w:tcPr>
          <w:p>
            <w:pPr>
              <w:spacing w:after="0"/>
              <w:rPr>
                <w:sz w:val="11"/>
                <w:szCs w:val="11"/>
                <w:color w:val="auto"/>
              </w:rPr>
            </w:pPr>
          </w:p>
        </w:tc>
        <w:tc>
          <w:tcPr>
            <w:tcW w:w="360" w:type="dxa"/>
            <w:vAlign w:val="bottom"/>
            <w:tcBorders>
              <w:bottom w:val="single" w:sz="8" w:color="D7282F"/>
            </w:tcBorders>
          </w:tcPr>
          <w:p>
            <w:pPr>
              <w:spacing w:after="0"/>
              <w:rPr>
                <w:sz w:val="11"/>
                <w:szCs w:val="11"/>
                <w:color w:val="auto"/>
              </w:rPr>
            </w:pPr>
          </w:p>
        </w:tc>
        <w:tc>
          <w:tcPr>
            <w:tcW w:w="960" w:type="dxa"/>
            <w:vAlign w:val="bottom"/>
            <w:tcBorders>
              <w:bottom w:val="single" w:sz="8" w:color="D7282F"/>
            </w:tcBorders>
          </w:tcPr>
          <w:p>
            <w:pPr>
              <w:spacing w:after="0"/>
              <w:rPr>
                <w:sz w:val="11"/>
                <w:szCs w:val="11"/>
                <w:color w:val="auto"/>
              </w:rPr>
            </w:pPr>
          </w:p>
        </w:tc>
        <w:tc>
          <w:tcPr>
            <w:tcW w:w="340" w:type="dxa"/>
            <w:vAlign w:val="bottom"/>
            <w:tcBorders>
              <w:bottom w:val="single" w:sz="8" w:color="D7282F"/>
            </w:tcBorders>
          </w:tcPr>
          <w:p>
            <w:pPr>
              <w:spacing w:after="0"/>
              <w:rPr>
                <w:sz w:val="11"/>
                <w:szCs w:val="11"/>
                <w:color w:val="auto"/>
              </w:rPr>
            </w:pPr>
          </w:p>
        </w:tc>
        <w:tc>
          <w:tcPr>
            <w:tcW w:w="960" w:type="dxa"/>
            <w:vAlign w:val="bottom"/>
            <w:tcBorders>
              <w:bottom w:val="single" w:sz="8" w:color="D7282F"/>
            </w:tcBorders>
          </w:tcPr>
          <w:p>
            <w:pPr>
              <w:spacing w:after="0"/>
              <w:rPr>
                <w:sz w:val="11"/>
                <w:szCs w:val="11"/>
                <w:color w:val="auto"/>
              </w:rPr>
            </w:pPr>
          </w:p>
        </w:tc>
        <w:tc>
          <w:tcPr>
            <w:tcW w:w="340" w:type="dxa"/>
            <w:vAlign w:val="bottom"/>
            <w:tcBorders>
              <w:bottom w:val="single" w:sz="8" w:color="D7282F"/>
            </w:tcBorders>
          </w:tcPr>
          <w:p>
            <w:pPr>
              <w:spacing w:after="0"/>
              <w:rPr>
                <w:sz w:val="11"/>
                <w:szCs w:val="11"/>
                <w:color w:val="auto"/>
              </w:rPr>
            </w:pPr>
          </w:p>
        </w:tc>
        <w:tc>
          <w:tcPr>
            <w:tcW w:w="840" w:type="dxa"/>
            <w:vAlign w:val="bottom"/>
            <w:tcBorders>
              <w:bottom w:val="single" w:sz="8" w:color="D7282F"/>
            </w:tcBorders>
          </w:tcPr>
          <w:p>
            <w:pPr>
              <w:spacing w:after="0"/>
              <w:rPr>
                <w:sz w:val="11"/>
                <w:szCs w:val="11"/>
                <w:color w:val="auto"/>
              </w:rPr>
            </w:pPr>
          </w:p>
        </w:tc>
      </w:tr>
      <w:tr>
        <w:trPr>
          <w:trHeight w:val="302"/>
        </w:trPr>
        <w:tc>
          <w:tcPr>
            <w:tcW w:w="4680" w:type="dxa"/>
            <w:vAlign w:val="bottom"/>
          </w:tcPr>
          <w:p>
            <w:pPr>
              <w:ind w:left="20"/>
              <w:spacing w:after="0"/>
              <w:rPr>
                <w:sz w:val="20"/>
                <w:szCs w:val="20"/>
                <w:color w:val="auto"/>
              </w:rPr>
            </w:pPr>
            <w:r>
              <w:rPr>
                <w:rFonts w:ascii="Arial" w:cs="Arial" w:eastAsia="Arial" w:hAnsi="Arial"/>
                <w:sz w:val="14"/>
                <w:szCs w:val="14"/>
                <w:b w:val="1"/>
                <w:bCs w:val="1"/>
                <w:color w:val="auto"/>
              </w:rPr>
              <w:t>Segment profit margin %</w:t>
            </w:r>
          </w:p>
        </w:tc>
        <w:tc>
          <w:tcPr>
            <w:tcW w:w="1740" w:type="dxa"/>
            <w:vAlign w:val="bottom"/>
          </w:tcPr>
          <w:p>
            <w:pPr>
              <w:spacing w:after="0"/>
              <w:rPr>
                <w:sz w:val="24"/>
                <w:szCs w:val="2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rPr>
              <w:t>22.3%</w:t>
            </w:r>
          </w:p>
        </w:tc>
        <w:tc>
          <w:tcPr>
            <w:tcW w:w="360" w:type="dxa"/>
            <w:vAlign w:val="bottom"/>
          </w:tcPr>
          <w:p>
            <w:pPr>
              <w:spacing w:after="0"/>
              <w:rPr>
                <w:sz w:val="24"/>
                <w:szCs w:val="24"/>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22.6%</w:t>
            </w:r>
          </w:p>
        </w:tc>
        <w:tc>
          <w:tcPr>
            <w:tcW w:w="340" w:type="dxa"/>
            <w:vAlign w:val="bottom"/>
          </w:tcPr>
          <w:p>
            <w:pPr>
              <w:spacing w:after="0"/>
              <w:rPr>
                <w:sz w:val="24"/>
                <w:szCs w:val="24"/>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23.5%</w:t>
            </w:r>
          </w:p>
        </w:tc>
        <w:tc>
          <w:tcPr>
            <w:tcW w:w="3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2343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43" w:lineRule="exact"/>
        <w:rPr>
          <w:sz w:val="20"/>
          <w:szCs w:val="20"/>
          <w:color w:val="auto"/>
        </w:rPr>
      </w:pPr>
    </w:p>
    <w:p>
      <w:pPr>
        <w:ind w:left="200" w:hanging="192"/>
        <w:spacing w:after="0"/>
        <w:tabs>
          <w:tab w:leader="none" w:pos="200" w:val="left"/>
        </w:tabs>
        <w:numPr>
          <w:ilvl w:val="0"/>
          <w:numId w:val="230"/>
        </w:numPr>
        <w:rPr>
          <w:rFonts w:ascii="Arial" w:cs="Arial" w:eastAsia="Arial" w:hAnsi="Arial"/>
          <w:sz w:val="16"/>
          <w:szCs w:val="16"/>
          <w:color w:val="auto"/>
          <w:vertAlign w:val="superscript"/>
        </w:rPr>
      </w:pPr>
      <w:r>
        <w:rPr>
          <w:rFonts w:ascii="Arial" w:cs="Arial" w:eastAsia="Arial" w:hAnsi="Arial"/>
          <w:sz w:val="13"/>
          <w:szCs w:val="13"/>
          <w:color w:val="auto"/>
        </w:rPr>
        <w:t>Included in Selling, general, and administrative expenses.</w:t>
      </w:r>
    </w:p>
    <w:p>
      <w:pPr>
        <w:spacing w:after="0" w:line="63" w:lineRule="exact"/>
        <w:rPr>
          <w:rFonts w:ascii="Arial" w:cs="Arial" w:eastAsia="Arial" w:hAnsi="Arial"/>
          <w:sz w:val="16"/>
          <w:szCs w:val="16"/>
          <w:color w:val="auto"/>
          <w:vertAlign w:val="superscript"/>
        </w:rPr>
      </w:pPr>
    </w:p>
    <w:p>
      <w:pPr>
        <w:ind w:left="200" w:hanging="192"/>
        <w:spacing w:after="0" w:line="237" w:lineRule="auto"/>
        <w:tabs>
          <w:tab w:leader="none" w:pos="200" w:val="left"/>
        </w:tabs>
        <w:numPr>
          <w:ilvl w:val="0"/>
          <w:numId w:val="230"/>
        </w:numPr>
        <w:rPr>
          <w:rFonts w:ascii="Arial" w:cs="Arial" w:eastAsia="Arial" w:hAnsi="Arial"/>
          <w:sz w:val="16"/>
          <w:szCs w:val="16"/>
          <w:color w:val="auto"/>
          <w:vertAlign w:val="superscript"/>
        </w:rPr>
      </w:pPr>
      <w:r>
        <w:rPr>
          <w:rFonts w:ascii="Arial" w:cs="Arial" w:eastAsia="Arial" w:hAnsi="Arial"/>
          <w:sz w:val="13"/>
          <w:szCs w:val="13"/>
          <w:color w:val="auto"/>
        </w:rPr>
        <w:t>Includes repositioning, asbestos, environmental expenses, equity income adjustment, and other charges. For the twelve months ended December 31, 2022, other charges include an expense of $250 million related to reserves against outstanding accounts receivables, contract assets, and inventory, as well as the write-down of other assets and employee severance related to the initial suspension and wind-down of our businesses and operations in Russia. For the twelve months ended December 31, 2022, and 2021, other charges include $41 million and $105 million, respectively, of incremental long-term contract labor cost inefficiencies due to severe supply chain disruptions (attributable to the COVID-19 pandemic) related to the warehouse automation business within the Safety and Productivity Solutions segment. These costs include incurred amounts and provisions for anticipated losses recognized when total estimated costs at completion for certain of the business’ long-term contracts exceeded total estimated revenue. These certain costs represent unproductive labor costs due to unexpected supplier delays and the resulting downstream installation issues, demobilization, and remobilization of contract workers, and resolution of contractor disputes.</w:t>
      </w:r>
    </w:p>
    <w:p>
      <w:pPr>
        <w:spacing w:after="0" w:line="48" w:lineRule="exact"/>
        <w:rPr>
          <w:rFonts w:ascii="Arial" w:cs="Arial" w:eastAsia="Arial" w:hAnsi="Arial"/>
          <w:sz w:val="16"/>
          <w:szCs w:val="16"/>
          <w:color w:val="auto"/>
          <w:vertAlign w:val="superscript"/>
        </w:rPr>
      </w:pPr>
    </w:p>
    <w:p>
      <w:pPr>
        <w:ind w:left="200" w:hanging="192"/>
        <w:spacing w:after="0"/>
        <w:tabs>
          <w:tab w:leader="none" w:pos="200" w:val="left"/>
        </w:tabs>
        <w:numPr>
          <w:ilvl w:val="0"/>
          <w:numId w:val="230"/>
        </w:numPr>
        <w:rPr>
          <w:rFonts w:ascii="Arial" w:cs="Arial" w:eastAsia="Arial" w:hAnsi="Arial"/>
          <w:sz w:val="16"/>
          <w:szCs w:val="16"/>
          <w:color w:val="auto"/>
          <w:vertAlign w:val="superscript"/>
        </w:rPr>
      </w:pPr>
      <w:r>
        <w:rPr>
          <w:rFonts w:ascii="Arial" w:cs="Arial" w:eastAsia="Arial" w:hAnsi="Arial"/>
          <w:sz w:val="13"/>
          <w:szCs w:val="13"/>
          <w:color w:val="auto"/>
        </w:rPr>
        <w:t>Included in Cost of products and services sold and Selling, general, and administrative expenses.</w:t>
      </w:r>
    </w:p>
    <w:p>
      <w:pPr>
        <w:spacing w:after="0" w:line="43" w:lineRule="exact"/>
        <w:rPr>
          <w:rFonts w:ascii="Arial" w:cs="Arial" w:eastAsia="Arial" w:hAnsi="Arial"/>
          <w:sz w:val="16"/>
          <w:szCs w:val="16"/>
          <w:color w:val="auto"/>
          <w:vertAlign w:val="superscript"/>
        </w:rPr>
      </w:pPr>
    </w:p>
    <w:p>
      <w:pPr>
        <w:ind w:left="200" w:hanging="192"/>
        <w:spacing w:after="0" w:line="225" w:lineRule="auto"/>
        <w:tabs>
          <w:tab w:leader="none" w:pos="200" w:val="left"/>
        </w:tabs>
        <w:numPr>
          <w:ilvl w:val="0"/>
          <w:numId w:val="230"/>
        </w:numPr>
        <w:rPr>
          <w:rFonts w:ascii="Arial" w:cs="Arial" w:eastAsia="Arial" w:hAnsi="Arial"/>
          <w:sz w:val="16"/>
          <w:szCs w:val="16"/>
          <w:color w:val="auto"/>
          <w:vertAlign w:val="superscript"/>
        </w:rPr>
      </w:pPr>
      <w:r>
        <w:rPr>
          <w:rFonts w:ascii="Arial" w:cs="Arial" w:eastAsia="Arial" w:hAnsi="Arial"/>
          <w:sz w:val="13"/>
          <w:szCs w:val="13"/>
          <w:color w:val="auto"/>
        </w:rPr>
        <w:t>Included in Cost of products and services sold, Research and development expenses, and Selling, general and administrative expenses.</w:t>
      </w:r>
    </w:p>
    <w:p>
      <w:pPr>
        <w:spacing w:after="0" w:line="57" w:lineRule="exact"/>
        <w:rPr>
          <w:rFonts w:ascii="Arial" w:cs="Arial" w:eastAsia="Arial" w:hAnsi="Arial"/>
          <w:sz w:val="16"/>
          <w:szCs w:val="16"/>
          <w:color w:val="auto"/>
          <w:vertAlign w:val="superscript"/>
        </w:rPr>
      </w:pPr>
    </w:p>
    <w:p>
      <w:pPr>
        <w:ind w:left="200" w:hanging="192"/>
        <w:spacing w:after="0" w:line="225" w:lineRule="auto"/>
        <w:tabs>
          <w:tab w:leader="none" w:pos="200" w:val="left"/>
        </w:tabs>
        <w:numPr>
          <w:ilvl w:val="0"/>
          <w:numId w:val="230"/>
        </w:numPr>
        <w:rPr>
          <w:rFonts w:ascii="Arial" w:cs="Arial" w:eastAsia="Arial" w:hAnsi="Arial"/>
          <w:sz w:val="16"/>
          <w:szCs w:val="16"/>
          <w:color w:val="auto"/>
          <w:vertAlign w:val="superscript"/>
        </w:rPr>
      </w:pPr>
      <w:r>
        <w:rPr>
          <w:rFonts w:ascii="Arial" w:cs="Arial" w:eastAsia="Arial" w:hAnsi="Arial"/>
          <w:sz w:val="13"/>
          <w:szCs w:val="13"/>
          <w:color w:val="auto"/>
        </w:rPr>
        <w:t>Included in Cost of products and services sold.</w:t>
      </w:r>
    </w:p>
    <w:p>
      <w:pPr>
        <w:spacing w:after="0" w:line="43" w:lineRule="exact"/>
        <w:rPr>
          <w:rFonts w:ascii="Arial" w:cs="Arial" w:eastAsia="Arial" w:hAnsi="Arial"/>
          <w:sz w:val="16"/>
          <w:szCs w:val="16"/>
          <w:color w:val="auto"/>
          <w:vertAlign w:val="superscript"/>
        </w:rPr>
      </w:pPr>
    </w:p>
    <w:p>
      <w:pPr>
        <w:ind w:left="200" w:hanging="192"/>
        <w:spacing w:after="0" w:line="225" w:lineRule="auto"/>
        <w:tabs>
          <w:tab w:leader="none" w:pos="200" w:val="left"/>
        </w:tabs>
        <w:numPr>
          <w:ilvl w:val="0"/>
          <w:numId w:val="230"/>
        </w:numPr>
        <w:rPr>
          <w:rFonts w:ascii="Arial" w:cs="Arial" w:eastAsia="Arial" w:hAnsi="Arial"/>
          <w:sz w:val="16"/>
          <w:szCs w:val="16"/>
          <w:color w:val="auto"/>
          <w:vertAlign w:val="superscript"/>
        </w:rPr>
      </w:pPr>
      <w:r>
        <w:rPr>
          <w:rFonts w:ascii="Arial" w:cs="Arial" w:eastAsia="Arial" w:hAnsi="Arial"/>
          <w:sz w:val="13"/>
          <w:szCs w:val="13"/>
          <w:color w:val="auto"/>
        </w:rPr>
        <w:t>Included in Other (income) expense. Includes acquisition-related fair value adjustments to inventory and third-party transaction and integration costs.</w:t>
      </w:r>
    </w:p>
    <w:p>
      <w:pPr>
        <w:spacing w:after="0" w:line="95"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We define operating income as net sales less total cost of products and services sold, research and development expenses, selling, general and administrative expenses, impairment of goodwill, and impairment of assets held for sale. We define segment profit, on an overall Honeywell basis, as operating income, excluding stock compensation expense, pension and other postretirement service costs, amortization of acquisition-related intangibles, certain acquisition- and divestiture-related costs and impairments, and repositioning and other charges. We define adjusted segment profit, on an overall Honeywell basis, as segment profit excluding the segment profit impact of the Flexjet-related litigation matters. We define segment profit margin, on an overall Honeywell basis, as segment profit divided by net sales. We define adjusted segment profit margin, on an overall Honeywell basis, as adjusted segment profit divided by adjusted net sales. We believe these measures are useful to investors and management in understanding our ongoing operations and in analysis of ongoing operating trends.</w:t>
      </w:r>
    </w:p>
    <w:p>
      <w:pPr>
        <w:spacing w:after="0" w:line="72"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Acquisition amortization and acquisition- and divestiture-related costs are significantly impacted by the timing, size, and number of acquisitions or divestitures we complete and are not on a predictable cycle, and we make no comment as to when or whether any future acquisitions or divestitures may occur. We believe excluding these costs provides investors with a more meaningful comparison of operating performance over time and with both acquisitive and other peer companies.</w:t>
      </w:r>
    </w:p>
    <w:p>
      <w:pPr>
        <w:spacing w:after="0" w:line="217" w:lineRule="exact"/>
        <w:rPr>
          <w:sz w:val="20"/>
          <w:szCs w:val="20"/>
          <w:color w:val="auto"/>
        </w:rPr>
      </w:pPr>
    </w:p>
    <w:p>
      <w:pPr>
        <w:ind w:left="20"/>
        <w:spacing w:after="0"/>
        <w:tabs>
          <w:tab w:leader="none" w:pos="1860" w:val="left"/>
        </w:tabs>
        <w:rPr>
          <w:sz w:val="20"/>
          <w:szCs w:val="20"/>
          <w:color w:val="auto"/>
        </w:rPr>
      </w:pPr>
      <w:r>
        <w:rPr>
          <w:rFonts w:ascii="Arial" w:cs="Arial" w:eastAsia="Arial" w:hAnsi="Arial"/>
          <w:sz w:val="18"/>
          <w:szCs w:val="18"/>
          <w:b w:val="1"/>
          <w:bCs w:val="1"/>
          <w:color w:val="auto"/>
        </w:rPr>
        <w:t xml:space="preserve">132  </w:t>
      </w:r>
      <w:r>
        <w:rPr>
          <w:sz w:val="1"/>
          <w:szCs w:val="1"/>
          <w:color w:val="auto"/>
        </w:rPr>
        <w:drawing>
          <wp:inline distT="0" distB="0" distL="0" distR="0">
            <wp:extent cx="548640" cy="102870"/>
            <wp:effectExtent l="0" t="0" r="0" b="0"/>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2026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157720" cy="4254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50" w:name="page151"/>
    <w:bookmarkEnd w:id="150"/>
    <w:p>
      <w:pPr>
        <w:jc w:val="right"/>
        <w:spacing w:after="0"/>
        <w:rPr>
          <w:sz w:val="20"/>
          <w:szCs w:val="20"/>
          <w:color w:val="auto"/>
        </w:rPr>
      </w:pPr>
      <w:r>
        <w:rPr>
          <w:rFonts w:ascii="Arial" w:cs="Arial" w:eastAsia="Arial" w:hAnsi="Arial"/>
          <w:sz w:val="13"/>
          <w:szCs w:val="13"/>
          <w:b w:val="1"/>
          <w:bCs w:val="1"/>
          <w:color w:val="6D6E71"/>
        </w:rPr>
        <w:t>APPENDIX A: RECONCILIATION OF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60" w:right="220" w:hanging="252"/>
        <w:spacing w:after="0" w:line="296" w:lineRule="auto"/>
        <w:tabs>
          <w:tab w:leader="none" w:pos="212" w:val="left"/>
        </w:tabs>
        <w:numPr>
          <w:ilvl w:val="0"/>
          <w:numId w:val="231"/>
        </w:numPr>
        <w:rPr>
          <w:rFonts w:ascii="Arial" w:cs="Arial" w:eastAsia="Arial" w:hAnsi="Arial"/>
          <w:sz w:val="16"/>
          <w:szCs w:val="16"/>
          <w:b w:val="1"/>
          <w:bCs w:val="1"/>
          <w:color w:val="6D6E71"/>
        </w:rPr>
      </w:pPr>
      <w:r>
        <w:rPr>
          <w:rFonts w:ascii="Arial" w:cs="Arial" w:eastAsia="Arial" w:hAnsi="Arial"/>
          <w:sz w:val="16"/>
          <w:szCs w:val="16"/>
          <w:b w:val="1"/>
          <w:bCs w:val="1"/>
          <w:color w:val="6D6E71"/>
        </w:rPr>
        <w:t>RECONCILIATION OF AEROSPACE TECHNOLOGIES' SEGMENT PROFIT TO ADJUSTED SEGMENT PROFIT, CALCULATION OF AEROSPACE TECHNOLOGIES' SEGMENT PROFIT MARGIN AND ADJUSTED SEGMENT PROFIT MARGIN</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560" w:type="dxa"/>
            <w:vAlign w:val="bottom"/>
            <w:tcBorders>
              <w:bottom w:val="single" w:sz="8" w:color="D7282F"/>
            </w:tcBorders>
          </w:tcPr>
          <w:p>
            <w:pPr>
              <w:spacing w:after="0"/>
              <w:rPr>
                <w:sz w:val="17"/>
                <w:szCs w:val="17"/>
                <w:color w:val="auto"/>
              </w:rPr>
            </w:pPr>
          </w:p>
        </w:tc>
        <w:tc>
          <w:tcPr>
            <w:tcW w:w="4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2025</w:t>
            </w:r>
          </w:p>
        </w:tc>
      </w:tr>
      <w:tr>
        <w:trPr>
          <w:trHeight w:val="322"/>
        </w:trPr>
        <w:tc>
          <w:tcPr>
            <w:tcW w:w="6560" w:type="dxa"/>
            <w:vAlign w:val="bottom"/>
          </w:tcPr>
          <w:p>
            <w:pPr>
              <w:ind w:left="20"/>
              <w:spacing w:after="0"/>
              <w:rPr>
                <w:sz w:val="20"/>
                <w:szCs w:val="20"/>
                <w:color w:val="auto"/>
              </w:rPr>
            </w:pPr>
            <w:r>
              <w:rPr>
                <w:rFonts w:ascii="Arial" w:cs="Arial" w:eastAsia="Arial" w:hAnsi="Arial"/>
                <w:sz w:val="14"/>
                <w:szCs w:val="14"/>
                <w:b w:val="1"/>
                <w:bCs w:val="1"/>
                <w:color w:val="auto"/>
              </w:rPr>
              <w:t>Aerospace Technologies</w:t>
            </w:r>
          </w:p>
        </w:tc>
        <w:tc>
          <w:tcPr>
            <w:tcW w:w="4660" w:type="dxa"/>
            <w:vAlign w:val="bottom"/>
          </w:tcPr>
          <w:p>
            <w:pPr>
              <w:spacing w:after="0"/>
              <w:rPr>
                <w:sz w:val="24"/>
                <w:szCs w:val="24"/>
                <w:color w:val="auto"/>
              </w:rPr>
            </w:pPr>
          </w:p>
        </w:tc>
      </w:tr>
      <w:tr>
        <w:trPr>
          <w:trHeight w:val="123"/>
        </w:trPr>
        <w:tc>
          <w:tcPr>
            <w:tcW w:w="6560" w:type="dxa"/>
            <w:vAlign w:val="bottom"/>
            <w:tcBorders>
              <w:bottom w:val="single" w:sz="8" w:color="939598"/>
            </w:tcBorders>
          </w:tcPr>
          <w:p>
            <w:pPr>
              <w:spacing w:after="0"/>
              <w:rPr>
                <w:sz w:val="10"/>
                <w:szCs w:val="10"/>
                <w:color w:val="auto"/>
              </w:rPr>
            </w:pPr>
          </w:p>
        </w:tc>
        <w:tc>
          <w:tcPr>
            <w:tcW w:w="4660" w:type="dxa"/>
            <w:vAlign w:val="bottom"/>
            <w:tcBorders>
              <w:bottom w:val="single" w:sz="8" w:color="939598"/>
            </w:tcBorders>
          </w:tcPr>
          <w:p>
            <w:pPr>
              <w:spacing w:after="0"/>
              <w:rPr>
                <w:sz w:val="10"/>
                <w:szCs w:val="10"/>
                <w:color w:val="auto"/>
              </w:rPr>
            </w:pPr>
          </w:p>
        </w:tc>
      </w:tr>
      <w:tr>
        <w:trPr>
          <w:trHeight w:val="309"/>
        </w:trPr>
        <w:tc>
          <w:tcPr>
            <w:tcW w:w="6560" w:type="dxa"/>
            <w:vAlign w:val="bottom"/>
          </w:tcPr>
          <w:p>
            <w:pPr>
              <w:ind w:left="140"/>
              <w:spacing w:after="0"/>
              <w:rPr>
                <w:sz w:val="20"/>
                <w:szCs w:val="20"/>
                <w:color w:val="auto"/>
              </w:rPr>
            </w:pPr>
            <w:r>
              <w:rPr>
                <w:rFonts w:ascii="Arial" w:cs="Arial" w:eastAsia="Arial" w:hAnsi="Arial"/>
                <w:sz w:val="14"/>
                <w:szCs w:val="14"/>
                <w:color w:val="auto"/>
              </w:rPr>
              <w:t>Segment Profit</w:t>
            </w:r>
          </w:p>
        </w:tc>
        <w:tc>
          <w:tcPr>
            <w:tcW w:w="4660" w:type="dxa"/>
            <w:vAlign w:val="bottom"/>
          </w:tcPr>
          <w:p>
            <w:pPr>
              <w:jc w:val="right"/>
              <w:ind w:right="108"/>
              <w:spacing w:after="0"/>
              <w:rPr>
                <w:sz w:val="20"/>
                <w:szCs w:val="20"/>
                <w:color w:val="auto"/>
              </w:rPr>
            </w:pPr>
            <w:r>
              <w:rPr>
                <w:rFonts w:ascii="Arial" w:cs="Arial" w:eastAsia="Arial" w:hAnsi="Arial"/>
                <w:sz w:val="14"/>
                <w:szCs w:val="14"/>
                <w:color w:val="auto"/>
              </w:rPr>
              <w:t>4,284</w:t>
            </w:r>
          </w:p>
        </w:tc>
      </w:tr>
      <w:tr>
        <w:trPr>
          <w:trHeight w:val="130"/>
        </w:trPr>
        <w:tc>
          <w:tcPr>
            <w:tcW w:w="6560" w:type="dxa"/>
            <w:vAlign w:val="bottom"/>
            <w:tcBorders>
              <w:bottom w:val="single" w:sz="8" w:color="939598"/>
            </w:tcBorders>
          </w:tcPr>
          <w:p>
            <w:pPr>
              <w:spacing w:after="0"/>
              <w:rPr>
                <w:sz w:val="11"/>
                <w:szCs w:val="11"/>
                <w:color w:val="auto"/>
              </w:rPr>
            </w:pPr>
          </w:p>
        </w:tc>
        <w:tc>
          <w:tcPr>
            <w:tcW w:w="4660" w:type="dxa"/>
            <w:vAlign w:val="bottom"/>
            <w:tcBorders>
              <w:bottom w:val="single" w:sz="8" w:color="939598"/>
            </w:tcBorders>
          </w:tcPr>
          <w:p>
            <w:pPr>
              <w:spacing w:after="0"/>
              <w:rPr>
                <w:sz w:val="11"/>
                <w:szCs w:val="11"/>
                <w:color w:val="auto"/>
              </w:rPr>
            </w:pPr>
          </w:p>
        </w:tc>
      </w:tr>
      <w:tr>
        <w:trPr>
          <w:trHeight w:val="309"/>
        </w:trPr>
        <w:tc>
          <w:tcPr>
            <w:tcW w:w="6560" w:type="dxa"/>
            <w:vAlign w:val="bottom"/>
          </w:tcPr>
          <w:p>
            <w:pPr>
              <w:ind w:left="20"/>
              <w:spacing w:after="0"/>
              <w:rPr>
                <w:sz w:val="20"/>
                <w:szCs w:val="20"/>
                <w:color w:val="auto"/>
              </w:rPr>
            </w:pPr>
            <w:r>
              <w:rPr>
                <w:rFonts w:ascii="Arial" w:cs="Arial" w:eastAsia="Arial" w:hAnsi="Arial"/>
                <w:sz w:val="14"/>
                <w:szCs w:val="14"/>
                <w:color w:val="auto"/>
              </w:rPr>
              <w:t>÷ Net sales</w:t>
            </w:r>
          </w:p>
        </w:tc>
        <w:tc>
          <w:tcPr>
            <w:tcW w:w="4660" w:type="dxa"/>
            <w:vAlign w:val="bottom"/>
          </w:tcPr>
          <w:p>
            <w:pPr>
              <w:jc w:val="right"/>
              <w:ind w:right="108"/>
              <w:spacing w:after="0"/>
              <w:rPr>
                <w:sz w:val="20"/>
                <w:szCs w:val="20"/>
                <w:color w:val="auto"/>
              </w:rPr>
            </w:pPr>
            <w:r>
              <w:rPr>
                <w:rFonts w:ascii="Arial" w:cs="Arial" w:eastAsia="Arial" w:hAnsi="Arial"/>
                <w:sz w:val="14"/>
                <w:szCs w:val="14"/>
                <w:color w:val="auto"/>
              </w:rPr>
              <w:t>17,510</w:t>
            </w:r>
          </w:p>
        </w:tc>
      </w:tr>
      <w:tr>
        <w:trPr>
          <w:trHeight w:val="130"/>
        </w:trPr>
        <w:tc>
          <w:tcPr>
            <w:tcW w:w="6560" w:type="dxa"/>
            <w:vAlign w:val="bottom"/>
            <w:tcBorders>
              <w:bottom w:val="single" w:sz="8" w:color="D7282F"/>
            </w:tcBorders>
          </w:tcPr>
          <w:p>
            <w:pPr>
              <w:spacing w:after="0"/>
              <w:rPr>
                <w:sz w:val="11"/>
                <w:szCs w:val="11"/>
                <w:color w:val="auto"/>
              </w:rPr>
            </w:pPr>
          </w:p>
        </w:tc>
        <w:tc>
          <w:tcPr>
            <w:tcW w:w="4660" w:type="dxa"/>
            <w:vAlign w:val="bottom"/>
            <w:tcBorders>
              <w:bottom w:val="single" w:sz="8" w:color="D7282F"/>
            </w:tcBorders>
          </w:tcPr>
          <w:p>
            <w:pPr>
              <w:spacing w:after="0"/>
              <w:rPr>
                <w:sz w:val="11"/>
                <w:szCs w:val="11"/>
                <w:color w:val="auto"/>
              </w:rPr>
            </w:pPr>
          </w:p>
        </w:tc>
      </w:tr>
      <w:tr>
        <w:trPr>
          <w:trHeight w:val="315"/>
        </w:trPr>
        <w:tc>
          <w:tcPr>
            <w:tcW w:w="6560" w:type="dxa"/>
            <w:vAlign w:val="bottom"/>
          </w:tcPr>
          <w:p>
            <w:pPr>
              <w:ind w:left="140"/>
              <w:spacing w:after="0"/>
              <w:rPr>
                <w:sz w:val="20"/>
                <w:szCs w:val="20"/>
                <w:color w:val="auto"/>
              </w:rPr>
            </w:pPr>
            <w:r>
              <w:rPr>
                <w:rFonts w:ascii="Arial" w:cs="Arial" w:eastAsia="Arial" w:hAnsi="Arial"/>
                <w:sz w:val="14"/>
                <w:szCs w:val="14"/>
                <w:b w:val="1"/>
                <w:bCs w:val="1"/>
                <w:color w:val="auto"/>
              </w:rPr>
              <w:t>Segment Profit Margin</w:t>
            </w:r>
          </w:p>
        </w:tc>
        <w:tc>
          <w:tcPr>
            <w:tcW w:w="4660" w:type="dxa"/>
            <w:vAlign w:val="bottom"/>
          </w:tcPr>
          <w:p>
            <w:pPr>
              <w:jc w:val="right"/>
              <w:spacing w:after="0"/>
              <w:rPr>
                <w:sz w:val="20"/>
                <w:szCs w:val="20"/>
                <w:color w:val="auto"/>
              </w:rPr>
            </w:pPr>
            <w:r>
              <w:rPr>
                <w:rFonts w:ascii="Arial" w:cs="Arial" w:eastAsia="Arial" w:hAnsi="Arial"/>
                <w:sz w:val="14"/>
                <w:szCs w:val="14"/>
                <w:b w:val="1"/>
                <w:bCs w:val="1"/>
                <w:color w:val="auto"/>
              </w:rPr>
              <w:t>24.5%</w:t>
            </w:r>
          </w:p>
        </w:tc>
      </w:tr>
      <w:tr>
        <w:trPr>
          <w:trHeight w:val="124"/>
        </w:trPr>
        <w:tc>
          <w:tcPr>
            <w:tcW w:w="6560" w:type="dxa"/>
            <w:vAlign w:val="bottom"/>
            <w:tcBorders>
              <w:bottom w:val="single" w:sz="8" w:color="D7282F"/>
            </w:tcBorders>
          </w:tcPr>
          <w:p>
            <w:pPr>
              <w:spacing w:after="0"/>
              <w:rPr>
                <w:sz w:val="10"/>
                <w:szCs w:val="10"/>
                <w:color w:val="auto"/>
              </w:rPr>
            </w:pPr>
          </w:p>
        </w:tc>
        <w:tc>
          <w:tcPr>
            <w:tcW w:w="4660" w:type="dxa"/>
            <w:vAlign w:val="bottom"/>
            <w:tcBorders>
              <w:bottom w:val="single" w:sz="8" w:color="D7282F"/>
            </w:tcBorders>
          </w:tcPr>
          <w:p>
            <w:pPr>
              <w:spacing w:after="0"/>
              <w:rPr>
                <w:sz w:val="10"/>
                <w:szCs w:val="10"/>
                <w:color w:val="auto"/>
              </w:rPr>
            </w:pPr>
          </w:p>
        </w:tc>
      </w:tr>
      <w:tr>
        <w:trPr>
          <w:trHeight w:val="309"/>
        </w:trPr>
        <w:tc>
          <w:tcPr>
            <w:tcW w:w="6560" w:type="dxa"/>
            <w:vAlign w:val="bottom"/>
          </w:tcPr>
          <w:p>
            <w:pPr>
              <w:ind w:left="140"/>
              <w:spacing w:after="0"/>
              <w:rPr>
                <w:sz w:val="20"/>
                <w:szCs w:val="20"/>
                <w:color w:val="auto"/>
              </w:rPr>
            </w:pPr>
            <w:r>
              <w:rPr>
                <w:rFonts w:ascii="Arial" w:cs="Arial" w:eastAsia="Arial" w:hAnsi="Arial"/>
                <w:sz w:val="14"/>
                <w:szCs w:val="14"/>
                <w:color w:val="auto"/>
              </w:rPr>
              <w:t>Segment Profit</w:t>
            </w:r>
          </w:p>
        </w:tc>
        <w:tc>
          <w:tcPr>
            <w:tcW w:w="4660" w:type="dxa"/>
            <w:vAlign w:val="bottom"/>
          </w:tcPr>
          <w:p>
            <w:pPr>
              <w:jc w:val="right"/>
              <w:ind w:right="108"/>
              <w:spacing w:after="0"/>
              <w:rPr>
                <w:sz w:val="20"/>
                <w:szCs w:val="20"/>
                <w:color w:val="auto"/>
              </w:rPr>
            </w:pPr>
            <w:r>
              <w:rPr>
                <w:rFonts w:ascii="Arial" w:cs="Arial" w:eastAsia="Arial" w:hAnsi="Arial"/>
                <w:sz w:val="14"/>
                <w:szCs w:val="14"/>
                <w:color w:val="auto"/>
              </w:rPr>
              <w:t>4,284</w:t>
            </w:r>
          </w:p>
        </w:tc>
      </w:tr>
      <w:tr>
        <w:trPr>
          <w:trHeight w:val="129"/>
        </w:trPr>
        <w:tc>
          <w:tcPr>
            <w:tcW w:w="6560" w:type="dxa"/>
            <w:vAlign w:val="bottom"/>
            <w:tcBorders>
              <w:bottom w:val="single" w:sz="8" w:color="939598"/>
            </w:tcBorders>
          </w:tcPr>
          <w:p>
            <w:pPr>
              <w:spacing w:after="0"/>
              <w:rPr>
                <w:sz w:val="11"/>
                <w:szCs w:val="11"/>
                <w:color w:val="auto"/>
              </w:rPr>
            </w:pPr>
          </w:p>
        </w:tc>
        <w:tc>
          <w:tcPr>
            <w:tcW w:w="4660" w:type="dxa"/>
            <w:vAlign w:val="bottom"/>
            <w:tcBorders>
              <w:bottom w:val="single" w:sz="8" w:color="939598"/>
            </w:tcBorders>
          </w:tcPr>
          <w:p>
            <w:pPr>
              <w:spacing w:after="0"/>
              <w:rPr>
                <w:sz w:val="11"/>
                <w:szCs w:val="11"/>
                <w:color w:val="auto"/>
              </w:rPr>
            </w:pPr>
          </w:p>
        </w:tc>
      </w:tr>
      <w:tr>
        <w:trPr>
          <w:trHeight w:val="367"/>
        </w:trPr>
        <w:tc>
          <w:tcPr>
            <w:tcW w:w="6560" w:type="dxa"/>
            <w:vAlign w:val="bottom"/>
          </w:tcPr>
          <w:p>
            <w:pPr>
              <w:ind w:left="140"/>
              <w:spacing w:after="0"/>
              <w:rPr>
                <w:sz w:val="20"/>
                <w:szCs w:val="20"/>
                <w:color w:val="auto"/>
              </w:rPr>
            </w:pPr>
            <w:r>
              <w:rPr>
                <w:rFonts w:ascii="Arial" w:cs="Arial" w:eastAsia="Arial" w:hAnsi="Arial"/>
                <w:sz w:val="14"/>
                <w:szCs w:val="14"/>
                <w:color w:val="auto"/>
              </w:rPr>
              <w:t>Add: Flexjet-related litigation matters</w:t>
            </w:r>
            <w:r>
              <w:rPr>
                <w:rFonts w:ascii="Arial" w:cs="Arial" w:eastAsia="Arial" w:hAnsi="Arial"/>
                <w:sz w:val="18"/>
                <w:szCs w:val="18"/>
                <w:color w:val="auto"/>
                <w:vertAlign w:val="superscript"/>
              </w:rPr>
              <w:t>1</w:t>
            </w:r>
          </w:p>
        </w:tc>
        <w:tc>
          <w:tcPr>
            <w:tcW w:w="4660" w:type="dxa"/>
            <w:vAlign w:val="bottom"/>
          </w:tcPr>
          <w:p>
            <w:pPr>
              <w:jc w:val="right"/>
              <w:ind w:right="108"/>
              <w:spacing w:after="0"/>
              <w:rPr>
                <w:sz w:val="20"/>
                <w:szCs w:val="20"/>
                <w:color w:val="auto"/>
              </w:rPr>
            </w:pPr>
            <w:r>
              <w:rPr>
                <w:rFonts w:ascii="Arial" w:cs="Arial" w:eastAsia="Arial" w:hAnsi="Arial"/>
                <w:sz w:val="14"/>
                <w:szCs w:val="14"/>
                <w:color w:val="auto"/>
              </w:rPr>
              <w:t>373</w:t>
            </w:r>
          </w:p>
        </w:tc>
      </w:tr>
      <w:tr>
        <w:trPr>
          <w:trHeight w:val="72"/>
        </w:trPr>
        <w:tc>
          <w:tcPr>
            <w:tcW w:w="6560" w:type="dxa"/>
            <w:vAlign w:val="bottom"/>
            <w:tcBorders>
              <w:bottom w:val="single" w:sz="8" w:color="D7282F"/>
            </w:tcBorders>
          </w:tcPr>
          <w:p>
            <w:pPr>
              <w:spacing w:after="0"/>
              <w:rPr>
                <w:sz w:val="6"/>
                <w:szCs w:val="6"/>
                <w:color w:val="auto"/>
              </w:rPr>
            </w:pPr>
          </w:p>
        </w:tc>
        <w:tc>
          <w:tcPr>
            <w:tcW w:w="4660" w:type="dxa"/>
            <w:vAlign w:val="bottom"/>
            <w:tcBorders>
              <w:bottom w:val="single" w:sz="8" w:color="D7282F"/>
            </w:tcBorders>
          </w:tcPr>
          <w:p>
            <w:pPr>
              <w:spacing w:after="0"/>
              <w:rPr>
                <w:sz w:val="6"/>
                <w:szCs w:val="6"/>
                <w:color w:val="auto"/>
              </w:rPr>
            </w:pPr>
          </w:p>
        </w:tc>
      </w:tr>
      <w:tr>
        <w:trPr>
          <w:trHeight w:val="315"/>
        </w:trPr>
        <w:tc>
          <w:tcPr>
            <w:tcW w:w="6560" w:type="dxa"/>
            <w:vAlign w:val="bottom"/>
          </w:tcPr>
          <w:p>
            <w:pPr>
              <w:ind w:left="140"/>
              <w:spacing w:after="0"/>
              <w:rPr>
                <w:sz w:val="20"/>
                <w:szCs w:val="20"/>
                <w:color w:val="auto"/>
              </w:rPr>
            </w:pPr>
            <w:r>
              <w:rPr>
                <w:rFonts w:ascii="Arial" w:cs="Arial" w:eastAsia="Arial" w:hAnsi="Arial"/>
                <w:sz w:val="14"/>
                <w:szCs w:val="14"/>
                <w:b w:val="1"/>
                <w:bCs w:val="1"/>
                <w:color w:val="auto"/>
              </w:rPr>
              <w:t>Adjusted segment profit</w:t>
            </w:r>
          </w:p>
        </w:tc>
        <w:tc>
          <w:tcPr>
            <w:tcW w:w="4660" w:type="dxa"/>
            <w:vAlign w:val="bottom"/>
          </w:tcPr>
          <w:p>
            <w:pPr>
              <w:jc w:val="right"/>
              <w:ind w:right="108"/>
              <w:spacing w:after="0"/>
              <w:rPr>
                <w:sz w:val="20"/>
                <w:szCs w:val="20"/>
                <w:color w:val="auto"/>
              </w:rPr>
            </w:pPr>
            <w:r>
              <w:rPr>
                <w:rFonts w:ascii="Arial" w:cs="Arial" w:eastAsia="Arial" w:hAnsi="Arial"/>
                <w:sz w:val="14"/>
                <w:szCs w:val="14"/>
                <w:b w:val="1"/>
                <w:bCs w:val="1"/>
                <w:color w:val="auto"/>
              </w:rPr>
              <w:t>4,657</w:t>
            </w:r>
          </w:p>
        </w:tc>
      </w:tr>
      <w:tr>
        <w:trPr>
          <w:trHeight w:val="124"/>
        </w:trPr>
        <w:tc>
          <w:tcPr>
            <w:tcW w:w="6560" w:type="dxa"/>
            <w:vAlign w:val="bottom"/>
            <w:tcBorders>
              <w:bottom w:val="single" w:sz="8" w:color="D7282F"/>
            </w:tcBorders>
          </w:tcPr>
          <w:p>
            <w:pPr>
              <w:spacing w:after="0"/>
              <w:rPr>
                <w:sz w:val="10"/>
                <w:szCs w:val="10"/>
                <w:color w:val="auto"/>
              </w:rPr>
            </w:pPr>
          </w:p>
        </w:tc>
        <w:tc>
          <w:tcPr>
            <w:tcW w:w="4660" w:type="dxa"/>
            <w:vAlign w:val="bottom"/>
            <w:tcBorders>
              <w:bottom w:val="single" w:sz="8" w:color="D7282F"/>
            </w:tcBorders>
          </w:tcPr>
          <w:p>
            <w:pPr>
              <w:spacing w:after="0"/>
              <w:rPr>
                <w:sz w:val="10"/>
                <w:szCs w:val="10"/>
                <w:color w:val="auto"/>
              </w:rPr>
            </w:pPr>
          </w:p>
        </w:tc>
      </w:tr>
      <w:tr>
        <w:trPr>
          <w:trHeight w:val="309"/>
        </w:trPr>
        <w:tc>
          <w:tcPr>
            <w:tcW w:w="6560" w:type="dxa"/>
            <w:vAlign w:val="bottom"/>
          </w:tcPr>
          <w:p>
            <w:pPr>
              <w:ind w:left="140"/>
              <w:spacing w:after="0"/>
              <w:rPr>
                <w:sz w:val="20"/>
                <w:szCs w:val="20"/>
                <w:color w:val="auto"/>
              </w:rPr>
            </w:pPr>
            <w:r>
              <w:rPr>
                <w:rFonts w:ascii="Arial" w:cs="Arial" w:eastAsia="Arial" w:hAnsi="Arial"/>
                <w:sz w:val="14"/>
                <w:szCs w:val="14"/>
                <w:color w:val="auto"/>
              </w:rPr>
              <w:t>Net Sales</w:t>
            </w:r>
          </w:p>
        </w:tc>
        <w:tc>
          <w:tcPr>
            <w:tcW w:w="4660" w:type="dxa"/>
            <w:vAlign w:val="bottom"/>
          </w:tcPr>
          <w:p>
            <w:pPr>
              <w:jc w:val="right"/>
              <w:ind w:right="108"/>
              <w:spacing w:after="0"/>
              <w:rPr>
                <w:sz w:val="20"/>
                <w:szCs w:val="20"/>
                <w:color w:val="auto"/>
              </w:rPr>
            </w:pPr>
            <w:r>
              <w:rPr>
                <w:rFonts w:ascii="Arial" w:cs="Arial" w:eastAsia="Arial" w:hAnsi="Arial"/>
                <w:sz w:val="14"/>
                <w:szCs w:val="14"/>
                <w:color w:val="auto"/>
              </w:rPr>
              <w:t>17,510</w:t>
            </w:r>
          </w:p>
        </w:tc>
      </w:tr>
      <w:tr>
        <w:trPr>
          <w:trHeight w:val="130"/>
        </w:trPr>
        <w:tc>
          <w:tcPr>
            <w:tcW w:w="6560" w:type="dxa"/>
            <w:vAlign w:val="bottom"/>
            <w:tcBorders>
              <w:bottom w:val="single" w:sz="8" w:color="939598"/>
            </w:tcBorders>
          </w:tcPr>
          <w:p>
            <w:pPr>
              <w:spacing w:after="0"/>
              <w:rPr>
                <w:sz w:val="11"/>
                <w:szCs w:val="11"/>
                <w:color w:val="auto"/>
              </w:rPr>
            </w:pPr>
          </w:p>
        </w:tc>
        <w:tc>
          <w:tcPr>
            <w:tcW w:w="4660" w:type="dxa"/>
            <w:vAlign w:val="bottom"/>
            <w:tcBorders>
              <w:bottom w:val="single" w:sz="8" w:color="939598"/>
            </w:tcBorders>
          </w:tcPr>
          <w:p>
            <w:pPr>
              <w:spacing w:after="0"/>
              <w:rPr>
                <w:sz w:val="11"/>
                <w:szCs w:val="11"/>
                <w:color w:val="auto"/>
              </w:rPr>
            </w:pPr>
          </w:p>
        </w:tc>
      </w:tr>
      <w:tr>
        <w:trPr>
          <w:trHeight w:val="367"/>
        </w:trPr>
        <w:tc>
          <w:tcPr>
            <w:tcW w:w="6560" w:type="dxa"/>
            <w:vAlign w:val="bottom"/>
          </w:tcPr>
          <w:p>
            <w:pPr>
              <w:ind w:left="140"/>
              <w:spacing w:after="0"/>
              <w:rPr>
                <w:sz w:val="20"/>
                <w:szCs w:val="20"/>
                <w:color w:val="auto"/>
              </w:rPr>
            </w:pPr>
            <w:r>
              <w:rPr>
                <w:rFonts w:ascii="Arial" w:cs="Arial" w:eastAsia="Arial" w:hAnsi="Arial"/>
                <w:sz w:val="14"/>
                <w:szCs w:val="14"/>
                <w:color w:val="auto"/>
              </w:rPr>
              <w:t>Add: Flexjet-related litigation matters</w:t>
            </w:r>
            <w:r>
              <w:rPr>
                <w:rFonts w:ascii="Arial" w:cs="Arial" w:eastAsia="Arial" w:hAnsi="Arial"/>
                <w:sz w:val="18"/>
                <w:szCs w:val="18"/>
                <w:color w:val="auto"/>
                <w:vertAlign w:val="superscript"/>
              </w:rPr>
              <w:t>1</w:t>
            </w:r>
          </w:p>
        </w:tc>
        <w:tc>
          <w:tcPr>
            <w:tcW w:w="4660" w:type="dxa"/>
            <w:vAlign w:val="bottom"/>
          </w:tcPr>
          <w:p>
            <w:pPr>
              <w:jc w:val="right"/>
              <w:ind w:right="108"/>
              <w:spacing w:after="0"/>
              <w:rPr>
                <w:sz w:val="20"/>
                <w:szCs w:val="20"/>
                <w:color w:val="auto"/>
              </w:rPr>
            </w:pPr>
            <w:r>
              <w:rPr>
                <w:rFonts w:ascii="Arial" w:cs="Arial" w:eastAsia="Arial" w:hAnsi="Arial"/>
                <w:sz w:val="14"/>
                <w:szCs w:val="14"/>
                <w:color w:val="auto"/>
              </w:rPr>
              <w:t>312</w:t>
            </w:r>
          </w:p>
        </w:tc>
      </w:tr>
      <w:tr>
        <w:trPr>
          <w:trHeight w:val="72"/>
        </w:trPr>
        <w:tc>
          <w:tcPr>
            <w:tcW w:w="6560" w:type="dxa"/>
            <w:vAlign w:val="bottom"/>
            <w:tcBorders>
              <w:bottom w:val="single" w:sz="8" w:color="D7282F"/>
            </w:tcBorders>
          </w:tcPr>
          <w:p>
            <w:pPr>
              <w:spacing w:after="0"/>
              <w:rPr>
                <w:sz w:val="6"/>
                <w:szCs w:val="6"/>
                <w:color w:val="auto"/>
              </w:rPr>
            </w:pPr>
          </w:p>
        </w:tc>
        <w:tc>
          <w:tcPr>
            <w:tcW w:w="4660" w:type="dxa"/>
            <w:vAlign w:val="bottom"/>
            <w:tcBorders>
              <w:bottom w:val="single" w:sz="8" w:color="D7282F"/>
            </w:tcBorders>
          </w:tcPr>
          <w:p>
            <w:pPr>
              <w:spacing w:after="0"/>
              <w:rPr>
                <w:sz w:val="6"/>
                <w:szCs w:val="6"/>
                <w:color w:val="auto"/>
              </w:rPr>
            </w:pPr>
          </w:p>
        </w:tc>
      </w:tr>
      <w:tr>
        <w:trPr>
          <w:trHeight w:val="316"/>
        </w:trPr>
        <w:tc>
          <w:tcPr>
            <w:tcW w:w="6560" w:type="dxa"/>
            <w:vAlign w:val="bottom"/>
          </w:tcPr>
          <w:p>
            <w:pPr>
              <w:ind w:left="140"/>
              <w:spacing w:after="0"/>
              <w:rPr>
                <w:sz w:val="20"/>
                <w:szCs w:val="20"/>
                <w:color w:val="auto"/>
              </w:rPr>
            </w:pPr>
            <w:r>
              <w:rPr>
                <w:rFonts w:ascii="Arial" w:cs="Arial" w:eastAsia="Arial" w:hAnsi="Arial"/>
                <w:sz w:val="14"/>
                <w:szCs w:val="14"/>
                <w:b w:val="1"/>
                <w:bCs w:val="1"/>
                <w:color w:val="auto"/>
              </w:rPr>
              <w:t>Adjusted net sales</w:t>
            </w:r>
          </w:p>
        </w:tc>
        <w:tc>
          <w:tcPr>
            <w:tcW w:w="4660" w:type="dxa"/>
            <w:vAlign w:val="bottom"/>
          </w:tcPr>
          <w:p>
            <w:pPr>
              <w:jc w:val="right"/>
              <w:ind w:right="108"/>
              <w:spacing w:after="0"/>
              <w:rPr>
                <w:sz w:val="20"/>
                <w:szCs w:val="20"/>
                <w:color w:val="auto"/>
              </w:rPr>
            </w:pPr>
            <w:r>
              <w:rPr>
                <w:rFonts w:ascii="Arial" w:cs="Arial" w:eastAsia="Arial" w:hAnsi="Arial"/>
                <w:sz w:val="14"/>
                <w:szCs w:val="14"/>
                <w:b w:val="1"/>
                <w:bCs w:val="1"/>
                <w:color w:val="auto"/>
              </w:rPr>
              <w:t>17,822</w:t>
            </w:r>
          </w:p>
        </w:tc>
      </w:tr>
      <w:tr>
        <w:trPr>
          <w:trHeight w:val="123"/>
        </w:trPr>
        <w:tc>
          <w:tcPr>
            <w:tcW w:w="6560" w:type="dxa"/>
            <w:vAlign w:val="bottom"/>
            <w:tcBorders>
              <w:bottom w:val="single" w:sz="8" w:color="D7282F"/>
            </w:tcBorders>
          </w:tcPr>
          <w:p>
            <w:pPr>
              <w:spacing w:after="0"/>
              <w:rPr>
                <w:sz w:val="10"/>
                <w:szCs w:val="10"/>
                <w:color w:val="auto"/>
              </w:rPr>
            </w:pPr>
          </w:p>
        </w:tc>
        <w:tc>
          <w:tcPr>
            <w:tcW w:w="4660" w:type="dxa"/>
            <w:vAlign w:val="bottom"/>
            <w:tcBorders>
              <w:bottom w:val="single" w:sz="8" w:color="D7282F"/>
            </w:tcBorders>
          </w:tcPr>
          <w:p>
            <w:pPr>
              <w:spacing w:after="0"/>
              <w:rPr>
                <w:sz w:val="10"/>
                <w:szCs w:val="10"/>
                <w:color w:val="auto"/>
              </w:rPr>
            </w:pPr>
          </w:p>
        </w:tc>
      </w:tr>
      <w:tr>
        <w:trPr>
          <w:trHeight w:val="316"/>
        </w:trPr>
        <w:tc>
          <w:tcPr>
            <w:tcW w:w="6560" w:type="dxa"/>
            <w:vAlign w:val="bottom"/>
          </w:tcPr>
          <w:p>
            <w:pPr>
              <w:ind w:left="140"/>
              <w:spacing w:after="0"/>
              <w:rPr>
                <w:sz w:val="20"/>
                <w:szCs w:val="20"/>
                <w:color w:val="auto"/>
              </w:rPr>
            </w:pPr>
            <w:r>
              <w:rPr>
                <w:rFonts w:ascii="Arial" w:cs="Arial" w:eastAsia="Arial" w:hAnsi="Arial"/>
                <w:sz w:val="14"/>
                <w:szCs w:val="14"/>
                <w:b w:val="1"/>
                <w:bCs w:val="1"/>
                <w:color w:val="auto"/>
              </w:rPr>
              <w:t>Adjusted segment profit margin</w:t>
            </w:r>
          </w:p>
        </w:tc>
        <w:tc>
          <w:tcPr>
            <w:tcW w:w="4660" w:type="dxa"/>
            <w:vAlign w:val="bottom"/>
          </w:tcPr>
          <w:p>
            <w:pPr>
              <w:jc w:val="right"/>
              <w:spacing w:after="0"/>
              <w:rPr>
                <w:sz w:val="20"/>
                <w:szCs w:val="20"/>
                <w:color w:val="auto"/>
              </w:rPr>
            </w:pPr>
            <w:r>
              <w:rPr>
                <w:rFonts w:ascii="Arial" w:cs="Arial" w:eastAsia="Arial" w:hAnsi="Arial"/>
                <w:sz w:val="14"/>
                <w:szCs w:val="14"/>
                <w:b w:val="1"/>
                <w:bCs w:val="1"/>
                <w:color w:val="auto"/>
              </w:rPr>
              <w:t>26.1%</w:t>
            </w:r>
          </w:p>
        </w:tc>
      </w:tr>
      <w:tr>
        <w:trPr>
          <w:trHeight w:val="123"/>
        </w:trPr>
        <w:tc>
          <w:tcPr>
            <w:tcW w:w="6560" w:type="dxa"/>
            <w:vAlign w:val="bottom"/>
            <w:tcBorders>
              <w:bottom w:val="single" w:sz="8" w:color="D7282F"/>
            </w:tcBorders>
          </w:tcPr>
          <w:p>
            <w:pPr>
              <w:spacing w:after="0"/>
              <w:rPr>
                <w:sz w:val="10"/>
                <w:szCs w:val="10"/>
                <w:color w:val="auto"/>
              </w:rPr>
            </w:pPr>
          </w:p>
        </w:tc>
        <w:tc>
          <w:tcPr>
            <w:tcW w:w="4660" w:type="dxa"/>
            <w:vAlign w:val="bottom"/>
            <w:tcBorders>
              <w:bottom w:val="single" w:sz="8" w:color="D7282F"/>
            </w:tcBorders>
          </w:tcPr>
          <w:p>
            <w:pPr>
              <w:spacing w:after="0"/>
              <w:rPr>
                <w:sz w:val="10"/>
                <w:szCs w:val="10"/>
                <w:color w:val="auto"/>
              </w:rPr>
            </w:pPr>
          </w:p>
        </w:tc>
      </w:tr>
    </w:tbl>
    <w:p>
      <w:pPr>
        <w:spacing w:after="0" w:line="158" w:lineRule="exact"/>
        <w:rPr>
          <w:sz w:val="20"/>
          <w:szCs w:val="20"/>
          <w:color w:val="auto"/>
        </w:rPr>
      </w:pPr>
    </w:p>
    <w:p>
      <w:pPr>
        <w:ind w:left="200" w:right="40" w:hanging="192"/>
        <w:spacing w:after="0" w:line="236" w:lineRule="auto"/>
        <w:tabs>
          <w:tab w:leader="none" w:pos="200" w:val="left"/>
        </w:tabs>
        <w:numPr>
          <w:ilvl w:val="0"/>
          <w:numId w:val="232"/>
        </w:numPr>
        <w:rPr>
          <w:rFonts w:ascii="Arial" w:cs="Arial" w:eastAsia="Arial" w:hAnsi="Arial"/>
          <w:sz w:val="16"/>
          <w:szCs w:val="16"/>
          <w:color w:val="auto"/>
          <w:vertAlign w:val="superscript"/>
        </w:rPr>
      </w:pPr>
      <w:r>
        <w:rPr>
          <w:rFonts w:ascii="Arial" w:cs="Arial" w:eastAsia="Arial" w:hAnsi="Arial"/>
          <w:sz w:val="13"/>
          <w:szCs w:val="13"/>
          <w:color w:val="auto"/>
        </w:rPr>
        <w:t>For the twelve months ended December 31, 2025, reflects a $312 million impact to sales due to contra revenue accounting and a $373 million impact to segment profit as a result of the settlement of the Flexjet-related litigation matters.</w:t>
      </w:r>
    </w:p>
    <w:p>
      <w:pPr>
        <w:spacing w:after="0" w:line="94"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We define adjusted segment profit as segment profit excluding the segment profit impact associated with the Flexjet-related litigation matters. We define adjusted net sales as sales from continuing operations less the sales impact of the Flexjet-related litigation matters. We define adjusted segment profit margin as adjusted segment profit divided by adjusted net sales. We believe these measures are useful to investors and management in understanding our ongoing operations and in analysis of ongoing operating trends.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6D6E71"/>
        </w:rPr>
        <w:t>(5)RECONCILIATION OF ORGANIC SALES PERCENT CHANGE</w:t>
      </w:r>
    </w:p>
    <w:p>
      <w:pPr>
        <w:sectPr>
          <w:pgSz w:w="11900" w:h="16838" w:orient="portrait"/>
          <w:cols w:equalWidth="0" w:num="1">
            <w:col w:w="11240"/>
          </w:cols>
          <w:pgMar w:left="320" w:top="229" w:right="33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205"/>
        </w:trPr>
        <w:tc>
          <w:tcPr>
            <w:tcW w:w="7260" w:type="dxa"/>
            <w:vAlign w:val="bottom"/>
            <w:tcBorders>
              <w:bottom w:val="single" w:sz="8" w:color="D7282F"/>
            </w:tcBorders>
          </w:tcPr>
          <w:p>
            <w:pPr>
              <w:spacing w:after="0"/>
              <w:rPr>
                <w:sz w:val="17"/>
                <w:szCs w:val="17"/>
                <w:color w:val="auto"/>
              </w:rPr>
            </w:pPr>
          </w:p>
        </w:tc>
        <w:tc>
          <w:tcPr>
            <w:tcW w:w="328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2024</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2025</w:t>
            </w:r>
          </w:p>
        </w:tc>
      </w:tr>
      <w:tr>
        <w:trPr>
          <w:trHeight w:val="322"/>
        </w:trPr>
        <w:tc>
          <w:tcPr>
            <w:tcW w:w="7260" w:type="dxa"/>
            <w:vAlign w:val="bottom"/>
          </w:tcPr>
          <w:p>
            <w:pPr>
              <w:ind w:left="20"/>
              <w:spacing w:after="0"/>
              <w:rPr>
                <w:sz w:val="20"/>
                <w:szCs w:val="20"/>
                <w:color w:val="auto"/>
              </w:rPr>
            </w:pPr>
            <w:r>
              <w:rPr>
                <w:rFonts w:ascii="Arial" w:cs="Arial" w:eastAsia="Arial" w:hAnsi="Arial"/>
                <w:sz w:val="14"/>
                <w:szCs w:val="14"/>
                <w:b w:val="1"/>
                <w:bCs w:val="1"/>
                <w:color w:val="auto"/>
              </w:rPr>
              <w:t>Honeywell</w:t>
            </w:r>
          </w:p>
        </w:tc>
        <w:tc>
          <w:tcPr>
            <w:tcW w:w="32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24"/>
        </w:trPr>
        <w:tc>
          <w:tcPr>
            <w:tcW w:w="7260" w:type="dxa"/>
            <w:vAlign w:val="bottom"/>
            <w:tcBorders>
              <w:bottom w:val="single" w:sz="8" w:color="939598"/>
            </w:tcBorders>
          </w:tcPr>
          <w:p>
            <w:pPr>
              <w:spacing w:after="0"/>
              <w:rPr>
                <w:sz w:val="10"/>
                <w:szCs w:val="10"/>
                <w:color w:val="auto"/>
              </w:rPr>
            </w:pPr>
          </w:p>
        </w:tc>
        <w:tc>
          <w:tcPr>
            <w:tcW w:w="3280" w:type="dxa"/>
            <w:vAlign w:val="bottom"/>
            <w:tcBorders>
              <w:bottom w:val="single" w:sz="8" w:color="939598"/>
            </w:tcBorders>
          </w:tcPr>
          <w:p>
            <w:pPr>
              <w:spacing w:after="0"/>
              <w:rPr>
                <w:sz w:val="10"/>
                <w:szCs w:val="10"/>
                <w:color w:val="auto"/>
              </w:rPr>
            </w:pPr>
          </w:p>
        </w:tc>
        <w:tc>
          <w:tcPr>
            <w:tcW w:w="680" w:type="dxa"/>
            <w:vAlign w:val="bottom"/>
            <w:tcBorders>
              <w:bottom w:val="single" w:sz="8" w:color="939598"/>
            </w:tcBorders>
          </w:tcPr>
          <w:p>
            <w:pPr>
              <w:spacing w:after="0"/>
              <w:rPr>
                <w:sz w:val="10"/>
                <w:szCs w:val="10"/>
                <w:color w:val="auto"/>
              </w:rPr>
            </w:pPr>
          </w:p>
        </w:tc>
      </w:tr>
      <w:tr>
        <w:trPr>
          <w:trHeight w:val="315"/>
        </w:trPr>
        <w:tc>
          <w:tcPr>
            <w:tcW w:w="7260" w:type="dxa"/>
            <w:vAlign w:val="bottom"/>
          </w:tcPr>
          <w:p>
            <w:pPr>
              <w:ind w:left="140"/>
              <w:spacing w:after="0"/>
              <w:rPr>
                <w:sz w:val="20"/>
                <w:szCs w:val="20"/>
                <w:color w:val="auto"/>
              </w:rPr>
            </w:pPr>
            <w:r>
              <w:rPr>
                <w:rFonts w:ascii="Arial" w:cs="Arial" w:eastAsia="Arial" w:hAnsi="Arial"/>
                <w:sz w:val="14"/>
                <w:szCs w:val="14"/>
                <w:b w:val="1"/>
                <w:bCs w:val="1"/>
                <w:color w:val="auto"/>
              </w:rPr>
              <w:t>Reported sales percent change</w:t>
            </w:r>
          </w:p>
        </w:tc>
        <w:tc>
          <w:tcPr>
            <w:tcW w:w="3280" w:type="dxa"/>
            <w:vAlign w:val="bottom"/>
          </w:tcPr>
          <w:p>
            <w:pPr>
              <w:jc w:val="right"/>
              <w:ind w:right="308"/>
              <w:spacing w:after="0"/>
              <w:rPr>
                <w:sz w:val="20"/>
                <w:szCs w:val="20"/>
                <w:color w:val="auto"/>
              </w:rPr>
            </w:pPr>
            <w:r>
              <w:rPr>
                <w:rFonts w:ascii="Arial" w:cs="Arial" w:eastAsia="Arial" w:hAnsi="Arial"/>
                <w:sz w:val="14"/>
                <w:szCs w:val="14"/>
                <w:b w:val="1"/>
                <w:bCs w:val="1"/>
                <w:color w:val="auto"/>
              </w:rPr>
              <w:t>5 %</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8 %</w:t>
            </w:r>
          </w:p>
        </w:tc>
      </w:tr>
      <w:tr>
        <w:trPr>
          <w:trHeight w:val="123"/>
        </w:trPr>
        <w:tc>
          <w:tcPr>
            <w:tcW w:w="7260" w:type="dxa"/>
            <w:vAlign w:val="bottom"/>
            <w:tcBorders>
              <w:bottom w:val="single" w:sz="8" w:color="939598"/>
            </w:tcBorders>
          </w:tcPr>
          <w:p>
            <w:pPr>
              <w:spacing w:after="0"/>
              <w:rPr>
                <w:sz w:val="10"/>
                <w:szCs w:val="10"/>
                <w:color w:val="auto"/>
              </w:rPr>
            </w:pPr>
          </w:p>
        </w:tc>
        <w:tc>
          <w:tcPr>
            <w:tcW w:w="3280" w:type="dxa"/>
            <w:vAlign w:val="bottom"/>
            <w:tcBorders>
              <w:bottom w:val="single" w:sz="8" w:color="939598"/>
            </w:tcBorders>
          </w:tcPr>
          <w:p>
            <w:pPr>
              <w:spacing w:after="0"/>
              <w:rPr>
                <w:sz w:val="10"/>
                <w:szCs w:val="10"/>
                <w:color w:val="auto"/>
              </w:rPr>
            </w:pPr>
          </w:p>
        </w:tc>
        <w:tc>
          <w:tcPr>
            <w:tcW w:w="680" w:type="dxa"/>
            <w:vAlign w:val="bottom"/>
            <w:tcBorders>
              <w:bottom w:val="single" w:sz="8" w:color="939598"/>
            </w:tcBorders>
          </w:tcPr>
          <w:p>
            <w:pPr>
              <w:spacing w:after="0"/>
              <w:rPr>
                <w:sz w:val="10"/>
                <w:szCs w:val="10"/>
                <w:color w:val="auto"/>
              </w:rPr>
            </w:pPr>
          </w:p>
        </w:tc>
      </w:tr>
      <w:tr>
        <w:trPr>
          <w:trHeight w:val="309"/>
        </w:trPr>
        <w:tc>
          <w:tcPr>
            <w:tcW w:w="7260" w:type="dxa"/>
            <w:vAlign w:val="bottom"/>
          </w:tcPr>
          <w:p>
            <w:pPr>
              <w:ind w:left="140"/>
              <w:spacing w:after="0"/>
              <w:rPr>
                <w:sz w:val="20"/>
                <w:szCs w:val="20"/>
                <w:color w:val="auto"/>
              </w:rPr>
            </w:pPr>
            <w:r>
              <w:rPr>
                <w:rFonts w:ascii="Arial" w:cs="Arial" w:eastAsia="Arial" w:hAnsi="Arial"/>
                <w:sz w:val="14"/>
                <w:szCs w:val="14"/>
                <w:color w:val="auto"/>
              </w:rPr>
              <w:t>Less: Impact of divestitures to the prior period</w:t>
            </w:r>
          </w:p>
        </w:tc>
        <w:tc>
          <w:tcPr>
            <w:tcW w:w="3280" w:type="dxa"/>
            <w:vAlign w:val="bottom"/>
          </w:tcPr>
          <w:p>
            <w:pPr>
              <w:jc w:val="right"/>
              <w:ind w:right="308"/>
              <w:spacing w:after="0"/>
              <w:rPr>
                <w:sz w:val="20"/>
                <w:szCs w:val="20"/>
                <w:color w:val="auto"/>
              </w:rPr>
            </w:pPr>
            <w:r>
              <w:rPr>
                <w:rFonts w:ascii="Arial" w:cs="Arial" w:eastAsia="Arial" w:hAnsi="Arial"/>
                <w:sz w:val="14"/>
                <w:szCs w:val="14"/>
                <w:color w:val="auto"/>
              </w:rPr>
              <w:t>— %</w:t>
            </w:r>
          </w:p>
        </w:tc>
        <w:tc>
          <w:tcPr>
            <w:tcW w:w="68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30"/>
        </w:trPr>
        <w:tc>
          <w:tcPr>
            <w:tcW w:w="7260" w:type="dxa"/>
            <w:vAlign w:val="bottom"/>
            <w:tcBorders>
              <w:bottom w:val="single" w:sz="8" w:color="D7282F"/>
            </w:tcBorders>
          </w:tcPr>
          <w:p>
            <w:pPr>
              <w:spacing w:after="0"/>
              <w:rPr>
                <w:sz w:val="11"/>
                <w:szCs w:val="11"/>
                <w:color w:val="auto"/>
              </w:rPr>
            </w:pPr>
          </w:p>
        </w:tc>
        <w:tc>
          <w:tcPr>
            <w:tcW w:w="3280" w:type="dxa"/>
            <w:vAlign w:val="bottom"/>
            <w:tcBorders>
              <w:bottom w:val="single" w:sz="8" w:color="D7282F"/>
            </w:tcBorders>
          </w:tcPr>
          <w:p>
            <w:pPr>
              <w:spacing w:after="0"/>
              <w:rPr>
                <w:sz w:val="11"/>
                <w:szCs w:val="11"/>
                <w:color w:val="auto"/>
              </w:rPr>
            </w:pPr>
          </w:p>
        </w:tc>
        <w:tc>
          <w:tcPr>
            <w:tcW w:w="680" w:type="dxa"/>
            <w:vAlign w:val="bottom"/>
            <w:tcBorders>
              <w:bottom w:val="single" w:sz="8" w:color="D7282F"/>
            </w:tcBorders>
          </w:tcPr>
          <w:p>
            <w:pPr>
              <w:spacing w:after="0"/>
              <w:rPr>
                <w:sz w:val="11"/>
                <w:szCs w:val="11"/>
                <w:color w:val="auto"/>
              </w:rPr>
            </w:pPr>
          </w:p>
        </w:tc>
      </w:tr>
      <w:tr>
        <w:trPr>
          <w:trHeight w:val="315"/>
        </w:trPr>
        <w:tc>
          <w:tcPr>
            <w:tcW w:w="7260" w:type="dxa"/>
            <w:vAlign w:val="bottom"/>
          </w:tcPr>
          <w:p>
            <w:pPr>
              <w:ind w:left="140"/>
              <w:spacing w:after="0"/>
              <w:rPr>
                <w:sz w:val="20"/>
                <w:szCs w:val="20"/>
                <w:color w:val="auto"/>
              </w:rPr>
            </w:pPr>
            <w:r>
              <w:rPr>
                <w:rFonts w:ascii="Arial" w:cs="Arial" w:eastAsia="Arial" w:hAnsi="Arial"/>
                <w:sz w:val="14"/>
                <w:szCs w:val="14"/>
                <w:b w:val="1"/>
                <w:bCs w:val="1"/>
                <w:color w:val="auto"/>
              </w:rPr>
              <w:t>Reported sales percent change, adjusted for impact of divestitures</w:t>
            </w:r>
          </w:p>
        </w:tc>
        <w:tc>
          <w:tcPr>
            <w:tcW w:w="3280" w:type="dxa"/>
            <w:vAlign w:val="bottom"/>
          </w:tcPr>
          <w:p>
            <w:pPr>
              <w:jc w:val="right"/>
              <w:ind w:right="308"/>
              <w:spacing w:after="0"/>
              <w:rPr>
                <w:sz w:val="20"/>
                <w:szCs w:val="20"/>
                <w:color w:val="auto"/>
              </w:rPr>
            </w:pPr>
            <w:r>
              <w:rPr>
                <w:rFonts w:ascii="Arial" w:cs="Arial" w:eastAsia="Arial" w:hAnsi="Arial"/>
                <w:sz w:val="14"/>
                <w:szCs w:val="14"/>
                <w:b w:val="1"/>
                <w:bCs w:val="1"/>
                <w:color w:val="auto"/>
              </w:rPr>
              <w:t>5 %</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10 %</w:t>
            </w:r>
          </w:p>
        </w:tc>
      </w:tr>
      <w:tr>
        <w:trPr>
          <w:trHeight w:val="124"/>
        </w:trPr>
        <w:tc>
          <w:tcPr>
            <w:tcW w:w="7260" w:type="dxa"/>
            <w:vAlign w:val="bottom"/>
            <w:tcBorders>
              <w:bottom w:val="single" w:sz="8" w:color="D7282F"/>
            </w:tcBorders>
          </w:tcPr>
          <w:p>
            <w:pPr>
              <w:spacing w:after="0"/>
              <w:rPr>
                <w:sz w:val="10"/>
                <w:szCs w:val="10"/>
                <w:color w:val="auto"/>
              </w:rPr>
            </w:pPr>
          </w:p>
        </w:tc>
        <w:tc>
          <w:tcPr>
            <w:tcW w:w="328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spacing w:after="0"/>
              <w:rPr>
                <w:sz w:val="10"/>
                <w:szCs w:val="10"/>
                <w:color w:val="auto"/>
              </w:rPr>
            </w:pPr>
          </w:p>
        </w:tc>
      </w:tr>
      <w:tr>
        <w:trPr>
          <w:trHeight w:val="309"/>
        </w:trPr>
        <w:tc>
          <w:tcPr>
            <w:tcW w:w="7260" w:type="dxa"/>
            <w:vAlign w:val="bottom"/>
          </w:tcPr>
          <w:p>
            <w:pPr>
              <w:ind w:left="240"/>
              <w:spacing w:after="0"/>
              <w:rPr>
                <w:sz w:val="20"/>
                <w:szCs w:val="20"/>
                <w:color w:val="auto"/>
              </w:rPr>
            </w:pPr>
            <w:r>
              <w:rPr>
                <w:rFonts w:ascii="Arial" w:cs="Arial" w:eastAsia="Arial" w:hAnsi="Arial"/>
                <w:sz w:val="14"/>
                <w:szCs w:val="14"/>
                <w:color w:val="auto"/>
              </w:rPr>
              <w:t>Less: Foreign currency translation</w:t>
            </w:r>
          </w:p>
        </w:tc>
        <w:tc>
          <w:tcPr>
            <w:tcW w:w="3280" w:type="dxa"/>
            <w:vAlign w:val="bottom"/>
          </w:tcPr>
          <w:p>
            <w:pPr>
              <w:jc w:val="right"/>
              <w:ind w:right="308"/>
              <w:spacing w:after="0"/>
              <w:rPr>
                <w:sz w:val="20"/>
                <w:szCs w:val="20"/>
                <w:color w:val="auto"/>
              </w:rPr>
            </w:pPr>
            <w:r>
              <w:rPr>
                <w:rFonts w:ascii="Arial" w:cs="Arial" w:eastAsia="Arial" w:hAnsi="Arial"/>
                <w:sz w:val="14"/>
                <w:szCs w:val="14"/>
                <w:color w:val="auto"/>
              </w:rPr>
              <w:t>(1%)</w:t>
            </w:r>
          </w:p>
        </w:tc>
        <w:tc>
          <w:tcPr>
            <w:tcW w:w="68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130"/>
        </w:trPr>
        <w:tc>
          <w:tcPr>
            <w:tcW w:w="7260" w:type="dxa"/>
            <w:vAlign w:val="bottom"/>
            <w:tcBorders>
              <w:bottom w:val="single" w:sz="8" w:color="939598"/>
            </w:tcBorders>
          </w:tcPr>
          <w:p>
            <w:pPr>
              <w:spacing w:after="0"/>
              <w:rPr>
                <w:sz w:val="11"/>
                <w:szCs w:val="11"/>
                <w:color w:val="auto"/>
              </w:rPr>
            </w:pPr>
          </w:p>
        </w:tc>
        <w:tc>
          <w:tcPr>
            <w:tcW w:w="3280" w:type="dxa"/>
            <w:vAlign w:val="bottom"/>
            <w:tcBorders>
              <w:bottom w:val="single" w:sz="8" w:color="939598"/>
            </w:tcBorders>
          </w:tcPr>
          <w:p>
            <w:pPr>
              <w:spacing w:after="0"/>
              <w:rPr>
                <w:sz w:val="11"/>
                <w:szCs w:val="11"/>
                <w:color w:val="auto"/>
              </w:rPr>
            </w:pPr>
          </w:p>
        </w:tc>
        <w:tc>
          <w:tcPr>
            <w:tcW w:w="680" w:type="dxa"/>
            <w:vAlign w:val="bottom"/>
            <w:tcBorders>
              <w:bottom w:val="single" w:sz="8" w:color="939598"/>
            </w:tcBorders>
          </w:tcPr>
          <w:p>
            <w:pPr>
              <w:spacing w:after="0"/>
              <w:rPr>
                <w:sz w:val="11"/>
                <w:szCs w:val="11"/>
                <w:color w:val="auto"/>
              </w:rPr>
            </w:pPr>
          </w:p>
        </w:tc>
      </w:tr>
      <w:tr>
        <w:trPr>
          <w:trHeight w:val="309"/>
        </w:trPr>
        <w:tc>
          <w:tcPr>
            <w:tcW w:w="7260" w:type="dxa"/>
            <w:vAlign w:val="bottom"/>
          </w:tcPr>
          <w:p>
            <w:pPr>
              <w:ind w:left="240"/>
              <w:spacing w:after="0"/>
              <w:rPr>
                <w:sz w:val="20"/>
                <w:szCs w:val="20"/>
                <w:color w:val="auto"/>
              </w:rPr>
            </w:pPr>
            <w:r>
              <w:rPr>
                <w:rFonts w:ascii="Arial" w:cs="Arial" w:eastAsia="Arial" w:hAnsi="Arial"/>
                <w:sz w:val="14"/>
                <w:szCs w:val="14"/>
                <w:color w:val="auto"/>
              </w:rPr>
              <w:t>Less: Acquisitions</w:t>
            </w:r>
          </w:p>
        </w:tc>
        <w:tc>
          <w:tcPr>
            <w:tcW w:w="3280" w:type="dxa"/>
            <w:vAlign w:val="bottom"/>
          </w:tcPr>
          <w:p>
            <w:pPr>
              <w:jc w:val="right"/>
              <w:ind w:right="308"/>
              <w:spacing w:after="0"/>
              <w:rPr>
                <w:sz w:val="20"/>
                <w:szCs w:val="20"/>
                <w:color w:val="auto"/>
              </w:rPr>
            </w:pPr>
            <w:r>
              <w:rPr>
                <w:rFonts w:ascii="Arial" w:cs="Arial" w:eastAsia="Arial" w:hAnsi="Arial"/>
                <w:sz w:val="14"/>
                <w:szCs w:val="14"/>
                <w:color w:val="auto"/>
              </w:rPr>
              <w:t>3 %</w:t>
            </w:r>
          </w:p>
        </w:tc>
        <w:tc>
          <w:tcPr>
            <w:tcW w:w="680" w:type="dxa"/>
            <w:vAlign w:val="bottom"/>
          </w:tcPr>
          <w:p>
            <w:pPr>
              <w:jc w:val="right"/>
              <w:spacing w:after="0"/>
              <w:rPr>
                <w:sz w:val="20"/>
                <w:szCs w:val="20"/>
                <w:color w:val="auto"/>
              </w:rPr>
            </w:pPr>
            <w:r>
              <w:rPr>
                <w:rFonts w:ascii="Arial" w:cs="Arial" w:eastAsia="Arial" w:hAnsi="Arial"/>
                <w:sz w:val="14"/>
                <w:szCs w:val="14"/>
                <w:color w:val="auto"/>
              </w:rPr>
              <w:t>4 %</w:t>
            </w:r>
          </w:p>
        </w:tc>
      </w:tr>
      <w:tr>
        <w:trPr>
          <w:trHeight w:val="129"/>
        </w:trPr>
        <w:tc>
          <w:tcPr>
            <w:tcW w:w="7260" w:type="dxa"/>
            <w:vAlign w:val="bottom"/>
            <w:tcBorders>
              <w:bottom w:val="single" w:sz="8" w:color="939598"/>
            </w:tcBorders>
          </w:tcPr>
          <w:p>
            <w:pPr>
              <w:spacing w:after="0"/>
              <w:rPr>
                <w:sz w:val="11"/>
                <w:szCs w:val="11"/>
                <w:color w:val="auto"/>
              </w:rPr>
            </w:pPr>
          </w:p>
        </w:tc>
        <w:tc>
          <w:tcPr>
            <w:tcW w:w="3280" w:type="dxa"/>
            <w:vAlign w:val="bottom"/>
            <w:tcBorders>
              <w:bottom w:val="single" w:sz="8" w:color="939598"/>
            </w:tcBorders>
          </w:tcPr>
          <w:p>
            <w:pPr>
              <w:spacing w:after="0"/>
              <w:rPr>
                <w:sz w:val="11"/>
                <w:szCs w:val="11"/>
                <w:color w:val="auto"/>
              </w:rPr>
            </w:pPr>
          </w:p>
        </w:tc>
        <w:tc>
          <w:tcPr>
            <w:tcW w:w="680" w:type="dxa"/>
            <w:vAlign w:val="bottom"/>
            <w:tcBorders>
              <w:bottom w:val="single" w:sz="8" w:color="939598"/>
            </w:tcBorders>
          </w:tcPr>
          <w:p>
            <w:pPr>
              <w:spacing w:after="0"/>
              <w:rPr>
                <w:sz w:val="11"/>
                <w:szCs w:val="11"/>
                <w:color w:val="auto"/>
              </w:rPr>
            </w:pPr>
          </w:p>
        </w:tc>
      </w:tr>
      <w:tr>
        <w:trPr>
          <w:trHeight w:val="367"/>
        </w:trPr>
        <w:tc>
          <w:tcPr>
            <w:tcW w:w="7260" w:type="dxa"/>
            <w:vAlign w:val="bottom"/>
          </w:tcPr>
          <w:p>
            <w:pPr>
              <w:ind w:left="140"/>
              <w:spacing w:after="0"/>
              <w:rPr>
                <w:sz w:val="20"/>
                <w:szCs w:val="20"/>
                <w:color w:val="auto"/>
              </w:rPr>
            </w:pPr>
            <w:r>
              <w:rPr>
                <w:rFonts w:ascii="Arial" w:cs="Arial" w:eastAsia="Arial" w:hAnsi="Arial"/>
                <w:sz w:val="14"/>
                <w:szCs w:val="14"/>
                <w:color w:val="auto"/>
              </w:rPr>
              <w:t>Less: Other</w:t>
            </w:r>
            <w:r>
              <w:rPr>
                <w:rFonts w:ascii="Arial" w:cs="Arial" w:eastAsia="Arial" w:hAnsi="Arial"/>
                <w:sz w:val="18"/>
                <w:szCs w:val="18"/>
                <w:color w:val="auto"/>
                <w:vertAlign w:val="superscript"/>
              </w:rPr>
              <w:t>1</w:t>
            </w:r>
          </w:p>
        </w:tc>
        <w:tc>
          <w:tcPr>
            <w:tcW w:w="3280" w:type="dxa"/>
            <w:vAlign w:val="bottom"/>
          </w:tcPr>
          <w:p>
            <w:pPr>
              <w:jc w:val="right"/>
              <w:ind w:right="308"/>
              <w:spacing w:after="0"/>
              <w:rPr>
                <w:sz w:val="20"/>
                <w:szCs w:val="20"/>
                <w:color w:val="auto"/>
              </w:rPr>
            </w:pPr>
            <w:r>
              <w:rPr>
                <w:rFonts w:ascii="Arial" w:cs="Arial" w:eastAsia="Arial" w:hAnsi="Arial"/>
                <w:sz w:val="14"/>
                <w:szCs w:val="14"/>
                <w:color w:val="auto"/>
              </w:rPr>
              <w:t>— %</w:t>
            </w: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72"/>
        </w:trPr>
        <w:tc>
          <w:tcPr>
            <w:tcW w:w="7260" w:type="dxa"/>
            <w:vAlign w:val="bottom"/>
            <w:tcBorders>
              <w:bottom w:val="single" w:sz="8" w:color="D7282F"/>
            </w:tcBorders>
          </w:tcPr>
          <w:p>
            <w:pPr>
              <w:spacing w:after="0"/>
              <w:rPr>
                <w:sz w:val="6"/>
                <w:szCs w:val="6"/>
                <w:color w:val="auto"/>
              </w:rPr>
            </w:pPr>
          </w:p>
        </w:tc>
        <w:tc>
          <w:tcPr>
            <w:tcW w:w="3280" w:type="dxa"/>
            <w:vAlign w:val="bottom"/>
            <w:tcBorders>
              <w:bottom w:val="single" w:sz="8" w:color="D7282F"/>
            </w:tcBorders>
          </w:tcPr>
          <w:p>
            <w:pPr>
              <w:spacing w:after="0"/>
              <w:rPr>
                <w:sz w:val="6"/>
                <w:szCs w:val="6"/>
                <w:color w:val="auto"/>
              </w:rPr>
            </w:pPr>
          </w:p>
        </w:tc>
        <w:tc>
          <w:tcPr>
            <w:tcW w:w="680" w:type="dxa"/>
            <w:vAlign w:val="bottom"/>
            <w:tcBorders>
              <w:bottom w:val="single" w:sz="8" w:color="D7282F"/>
            </w:tcBorders>
          </w:tcPr>
          <w:p>
            <w:pPr>
              <w:spacing w:after="0"/>
              <w:rPr>
                <w:sz w:val="6"/>
                <w:szCs w:val="6"/>
                <w:color w:val="auto"/>
              </w:rPr>
            </w:pPr>
          </w:p>
        </w:tc>
      </w:tr>
      <w:tr>
        <w:trPr>
          <w:trHeight w:val="315"/>
        </w:trPr>
        <w:tc>
          <w:tcPr>
            <w:tcW w:w="7260" w:type="dxa"/>
            <w:vAlign w:val="bottom"/>
          </w:tcPr>
          <w:p>
            <w:pPr>
              <w:ind w:left="140"/>
              <w:spacing w:after="0"/>
              <w:rPr>
                <w:sz w:val="20"/>
                <w:szCs w:val="20"/>
                <w:color w:val="auto"/>
              </w:rPr>
            </w:pPr>
            <w:r>
              <w:rPr>
                <w:rFonts w:ascii="Arial" w:cs="Arial" w:eastAsia="Arial" w:hAnsi="Arial"/>
                <w:sz w:val="14"/>
                <w:szCs w:val="14"/>
                <w:b w:val="1"/>
                <w:bCs w:val="1"/>
                <w:color w:val="auto"/>
              </w:rPr>
              <w:t>Organic sales percent change</w:t>
            </w:r>
          </w:p>
        </w:tc>
        <w:tc>
          <w:tcPr>
            <w:tcW w:w="3280" w:type="dxa"/>
            <w:vAlign w:val="bottom"/>
          </w:tcPr>
          <w:p>
            <w:pPr>
              <w:jc w:val="right"/>
              <w:ind w:right="308"/>
              <w:spacing w:after="0"/>
              <w:rPr>
                <w:sz w:val="20"/>
                <w:szCs w:val="20"/>
                <w:color w:val="auto"/>
              </w:rPr>
            </w:pPr>
            <w:r>
              <w:rPr>
                <w:rFonts w:ascii="Arial" w:cs="Arial" w:eastAsia="Arial" w:hAnsi="Arial"/>
                <w:sz w:val="14"/>
                <w:szCs w:val="14"/>
                <w:b w:val="1"/>
                <w:bCs w:val="1"/>
                <w:color w:val="auto"/>
              </w:rPr>
              <w:t>3 %</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7 %</w:t>
            </w:r>
          </w:p>
        </w:tc>
      </w:tr>
      <w:tr>
        <w:trPr>
          <w:trHeight w:val="124"/>
        </w:trPr>
        <w:tc>
          <w:tcPr>
            <w:tcW w:w="7260" w:type="dxa"/>
            <w:vAlign w:val="bottom"/>
            <w:tcBorders>
              <w:bottom w:val="single" w:sz="8" w:color="D7282F"/>
            </w:tcBorders>
          </w:tcPr>
          <w:p>
            <w:pPr>
              <w:spacing w:after="0"/>
              <w:rPr>
                <w:sz w:val="10"/>
                <w:szCs w:val="10"/>
                <w:color w:val="auto"/>
              </w:rPr>
            </w:pPr>
          </w:p>
        </w:tc>
        <w:tc>
          <w:tcPr>
            <w:tcW w:w="328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spacing w:after="0"/>
              <w:rPr>
                <w:sz w:val="10"/>
                <w:szCs w:val="10"/>
                <w:color w:val="auto"/>
              </w:rPr>
            </w:pPr>
          </w:p>
        </w:tc>
      </w:tr>
      <w:tr>
        <w:trPr>
          <w:trHeight w:val="423"/>
        </w:trPr>
        <w:tc>
          <w:tcPr>
            <w:tcW w:w="7260" w:type="dxa"/>
            <w:vAlign w:val="bottom"/>
          </w:tcPr>
          <w:p>
            <w:pPr>
              <w:ind w:left="20"/>
              <w:spacing w:after="0"/>
              <w:rPr>
                <w:sz w:val="20"/>
                <w:szCs w:val="20"/>
                <w:color w:val="auto"/>
              </w:rPr>
            </w:pPr>
            <w:r>
              <w:rPr>
                <w:rFonts w:ascii="Arial" w:cs="Arial" w:eastAsia="Arial" w:hAnsi="Arial"/>
                <w:sz w:val="14"/>
                <w:szCs w:val="14"/>
                <w:b w:val="1"/>
                <w:bCs w:val="1"/>
                <w:color w:val="auto"/>
              </w:rPr>
              <w:t>Aerospace Technologies</w:t>
            </w:r>
          </w:p>
        </w:tc>
        <w:tc>
          <w:tcPr>
            <w:tcW w:w="32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23"/>
        </w:trPr>
        <w:tc>
          <w:tcPr>
            <w:tcW w:w="7260" w:type="dxa"/>
            <w:vAlign w:val="bottom"/>
            <w:tcBorders>
              <w:bottom w:val="single" w:sz="8" w:color="939598"/>
            </w:tcBorders>
          </w:tcPr>
          <w:p>
            <w:pPr>
              <w:spacing w:after="0"/>
              <w:rPr>
                <w:sz w:val="10"/>
                <w:szCs w:val="10"/>
                <w:color w:val="auto"/>
              </w:rPr>
            </w:pPr>
          </w:p>
        </w:tc>
        <w:tc>
          <w:tcPr>
            <w:tcW w:w="3280" w:type="dxa"/>
            <w:vAlign w:val="bottom"/>
            <w:tcBorders>
              <w:bottom w:val="single" w:sz="8" w:color="939598"/>
            </w:tcBorders>
          </w:tcPr>
          <w:p>
            <w:pPr>
              <w:spacing w:after="0"/>
              <w:rPr>
                <w:sz w:val="10"/>
                <w:szCs w:val="10"/>
                <w:color w:val="auto"/>
              </w:rPr>
            </w:pPr>
          </w:p>
        </w:tc>
        <w:tc>
          <w:tcPr>
            <w:tcW w:w="680" w:type="dxa"/>
            <w:vAlign w:val="bottom"/>
            <w:tcBorders>
              <w:bottom w:val="single" w:sz="8" w:color="939598"/>
            </w:tcBorders>
          </w:tcPr>
          <w:p>
            <w:pPr>
              <w:spacing w:after="0"/>
              <w:rPr>
                <w:sz w:val="10"/>
                <w:szCs w:val="10"/>
                <w:color w:val="auto"/>
              </w:rPr>
            </w:pPr>
          </w:p>
        </w:tc>
      </w:tr>
      <w:tr>
        <w:trPr>
          <w:trHeight w:val="315"/>
        </w:trPr>
        <w:tc>
          <w:tcPr>
            <w:tcW w:w="7260" w:type="dxa"/>
            <w:vAlign w:val="bottom"/>
          </w:tcPr>
          <w:p>
            <w:pPr>
              <w:ind w:left="140"/>
              <w:spacing w:after="0"/>
              <w:rPr>
                <w:sz w:val="20"/>
                <w:szCs w:val="20"/>
                <w:color w:val="auto"/>
              </w:rPr>
            </w:pPr>
            <w:r>
              <w:rPr>
                <w:rFonts w:ascii="Arial" w:cs="Arial" w:eastAsia="Arial" w:hAnsi="Arial"/>
                <w:sz w:val="14"/>
                <w:szCs w:val="14"/>
                <w:b w:val="1"/>
                <w:bCs w:val="1"/>
                <w:color w:val="auto"/>
              </w:rPr>
              <w:t>Reported sales percent change</w:t>
            </w:r>
          </w:p>
        </w:tc>
        <w:tc>
          <w:tcPr>
            <w:tcW w:w="3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13 %</w:t>
            </w:r>
          </w:p>
        </w:tc>
      </w:tr>
      <w:tr>
        <w:trPr>
          <w:trHeight w:val="124"/>
        </w:trPr>
        <w:tc>
          <w:tcPr>
            <w:tcW w:w="7260" w:type="dxa"/>
            <w:vAlign w:val="bottom"/>
            <w:tcBorders>
              <w:bottom w:val="single" w:sz="8" w:color="939598"/>
            </w:tcBorders>
          </w:tcPr>
          <w:p>
            <w:pPr>
              <w:spacing w:after="0"/>
              <w:rPr>
                <w:sz w:val="10"/>
                <w:szCs w:val="10"/>
                <w:color w:val="auto"/>
              </w:rPr>
            </w:pPr>
          </w:p>
        </w:tc>
        <w:tc>
          <w:tcPr>
            <w:tcW w:w="3280" w:type="dxa"/>
            <w:vAlign w:val="bottom"/>
            <w:tcBorders>
              <w:bottom w:val="single" w:sz="8" w:color="939598"/>
            </w:tcBorders>
          </w:tcPr>
          <w:p>
            <w:pPr>
              <w:spacing w:after="0"/>
              <w:rPr>
                <w:sz w:val="10"/>
                <w:szCs w:val="10"/>
                <w:color w:val="auto"/>
              </w:rPr>
            </w:pPr>
          </w:p>
        </w:tc>
        <w:tc>
          <w:tcPr>
            <w:tcW w:w="680" w:type="dxa"/>
            <w:vAlign w:val="bottom"/>
            <w:tcBorders>
              <w:bottom w:val="single" w:sz="8" w:color="939598"/>
            </w:tcBorders>
          </w:tcPr>
          <w:p>
            <w:pPr>
              <w:spacing w:after="0"/>
              <w:rPr>
                <w:sz w:val="10"/>
                <w:szCs w:val="10"/>
                <w:color w:val="auto"/>
              </w:rPr>
            </w:pPr>
          </w:p>
        </w:tc>
      </w:tr>
      <w:tr>
        <w:trPr>
          <w:trHeight w:val="309"/>
        </w:trPr>
        <w:tc>
          <w:tcPr>
            <w:tcW w:w="7260" w:type="dxa"/>
            <w:vAlign w:val="bottom"/>
          </w:tcPr>
          <w:p>
            <w:pPr>
              <w:ind w:left="140"/>
              <w:spacing w:after="0"/>
              <w:rPr>
                <w:sz w:val="20"/>
                <w:szCs w:val="20"/>
                <w:color w:val="auto"/>
              </w:rPr>
            </w:pPr>
            <w:r>
              <w:rPr>
                <w:rFonts w:ascii="Arial" w:cs="Arial" w:eastAsia="Arial" w:hAnsi="Arial"/>
                <w:sz w:val="14"/>
                <w:szCs w:val="14"/>
                <w:color w:val="auto"/>
              </w:rPr>
              <w:t>Less: Impact of divestitures to the prior period</w:t>
            </w:r>
          </w:p>
        </w:tc>
        <w:tc>
          <w:tcPr>
            <w:tcW w:w="3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130"/>
        </w:trPr>
        <w:tc>
          <w:tcPr>
            <w:tcW w:w="7260" w:type="dxa"/>
            <w:vAlign w:val="bottom"/>
            <w:tcBorders>
              <w:bottom w:val="single" w:sz="8" w:color="D7282F"/>
            </w:tcBorders>
          </w:tcPr>
          <w:p>
            <w:pPr>
              <w:spacing w:after="0"/>
              <w:rPr>
                <w:sz w:val="11"/>
                <w:szCs w:val="11"/>
                <w:color w:val="auto"/>
              </w:rPr>
            </w:pPr>
          </w:p>
        </w:tc>
        <w:tc>
          <w:tcPr>
            <w:tcW w:w="3280" w:type="dxa"/>
            <w:vAlign w:val="bottom"/>
            <w:tcBorders>
              <w:bottom w:val="single" w:sz="8" w:color="D7282F"/>
            </w:tcBorders>
          </w:tcPr>
          <w:p>
            <w:pPr>
              <w:spacing w:after="0"/>
              <w:rPr>
                <w:sz w:val="11"/>
                <w:szCs w:val="11"/>
                <w:color w:val="auto"/>
              </w:rPr>
            </w:pPr>
          </w:p>
        </w:tc>
        <w:tc>
          <w:tcPr>
            <w:tcW w:w="680" w:type="dxa"/>
            <w:vAlign w:val="bottom"/>
            <w:tcBorders>
              <w:bottom w:val="single" w:sz="8" w:color="D7282F"/>
            </w:tcBorders>
          </w:tcPr>
          <w:p>
            <w:pPr>
              <w:spacing w:after="0"/>
              <w:rPr>
                <w:sz w:val="11"/>
                <w:szCs w:val="11"/>
                <w:color w:val="auto"/>
              </w:rPr>
            </w:pPr>
          </w:p>
        </w:tc>
      </w:tr>
      <w:tr>
        <w:trPr>
          <w:trHeight w:val="315"/>
        </w:trPr>
        <w:tc>
          <w:tcPr>
            <w:tcW w:w="7260" w:type="dxa"/>
            <w:vAlign w:val="bottom"/>
          </w:tcPr>
          <w:p>
            <w:pPr>
              <w:ind w:left="140"/>
              <w:spacing w:after="0"/>
              <w:rPr>
                <w:sz w:val="20"/>
                <w:szCs w:val="20"/>
                <w:color w:val="auto"/>
              </w:rPr>
            </w:pPr>
            <w:r>
              <w:rPr>
                <w:rFonts w:ascii="Arial" w:cs="Arial" w:eastAsia="Arial" w:hAnsi="Arial"/>
                <w:sz w:val="14"/>
                <w:szCs w:val="14"/>
                <w:b w:val="1"/>
                <w:bCs w:val="1"/>
                <w:color w:val="auto"/>
              </w:rPr>
              <w:t>Reported sales percent change, adjusted for impact of divestitures</w:t>
            </w:r>
          </w:p>
        </w:tc>
        <w:tc>
          <w:tcPr>
            <w:tcW w:w="3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13 %</w:t>
            </w:r>
          </w:p>
        </w:tc>
      </w:tr>
      <w:tr>
        <w:trPr>
          <w:trHeight w:val="123"/>
        </w:trPr>
        <w:tc>
          <w:tcPr>
            <w:tcW w:w="7260" w:type="dxa"/>
            <w:vAlign w:val="bottom"/>
            <w:tcBorders>
              <w:bottom w:val="single" w:sz="8" w:color="D7282F"/>
            </w:tcBorders>
          </w:tcPr>
          <w:p>
            <w:pPr>
              <w:spacing w:after="0"/>
              <w:rPr>
                <w:sz w:val="10"/>
                <w:szCs w:val="10"/>
                <w:color w:val="auto"/>
              </w:rPr>
            </w:pPr>
          </w:p>
        </w:tc>
        <w:tc>
          <w:tcPr>
            <w:tcW w:w="328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spacing w:after="0"/>
              <w:rPr>
                <w:sz w:val="10"/>
                <w:szCs w:val="10"/>
                <w:color w:val="auto"/>
              </w:rPr>
            </w:pPr>
          </w:p>
        </w:tc>
      </w:tr>
      <w:tr>
        <w:trPr>
          <w:trHeight w:val="310"/>
        </w:trPr>
        <w:tc>
          <w:tcPr>
            <w:tcW w:w="7260" w:type="dxa"/>
            <w:vAlign w:val="bottom"/>
          </w:tcPr>
          <w:p>
            <w:pPr>
              <w:ind w:left="240"/>
              <w:spacing w:after="0"/>
              <w:rPr>
                <w:sz w:val="20"/>
                <w:szCs w:val="20"/>
                <w:color w:val="auto"/>
              </w:rPr>
            </w:pPr>
            <w:r>
              <w:rPr>
                <w:rFonts w:ascii="Arial" w:cs="Arial" w:eastAsia="Arial" w:hAnsi="Arial"/>
                <w:sz w:val="14"/>
                <w:szCs w:val="14"/>
                <w:color w:val="auto"/>
              </w:rPr>
              <w:t>Less: Foreign currency translation</w:t>
            </w:r>
          </w:p>
        </w:tc>
        <w:tc>
          <w:tcPr>
            <w:tcW w:w="3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129"/>
        </w:trPr>
        <w:tc>
          <w:tcPr>
            <w:tcW w:w="7260" w:type="dxa"/>
            <w:vAlign w:val="bottom"/>
            <w:tcBorders>
              <w:bottom w:val="single" w:sz="8" w:color="939598"/>
            </w:tcBorders>
          </w:tcPr>
          <w:p>
            <w:pPr>
              <w:spacing w:after="0"/>
              <w:rPr>
                <w:sz w:val="11"/>
                <w:szCs w:val="11"/>
                <w:color w:val="auto"/>
              </w:rPr>
            </w:pPr>
          </w:p>
        </w:tc>
        <w:tc>
          <w:tcPr>
            <w:tcW w:w="3280" w:type="dxa"/>
            <w:vAlign w:val="bottom"/>
            <w:tcBorders>
              <w:bottom w:val="single" w:sz="8" w:color="939598"/>
            </w:tcBorders>
          </w:tcPr>
          <w:p>
            <w:pPr>
              <w:spacing w:after="0"/>
              <w:rPr>
                <w:sz w:val="11"/>
                <w:szCs w:val="11"/>
                <w:color w:val="auto"/>
              </w:rPr>
            </w:pPr>
          </w:p>
        </w:tc>
        <w:tc>
          <w:tcPr>
            <w:tcW w:w="680" w:type="dxa"/>
            <w:vAlign w:val="bottom"/>
            <w:tcBorders>
              <w:bottom w:val="single" w:sz="8" w:color="939598"/>
            </w:tcBorders>
          </w:tcPr>
          <w:p>
            <w:pPr>
              <w:spacing w:after="0"/>
              <w:rPr>
                <w:sz w:val="11"/>
                <w:szCs w:val="11"/>
                <w:color w:val="auto"/>
              </w:rPr>
            </w:pPr>
          </w:p>
        </w:tc>
      </w:tr>
      <w:tr>
        <w:trPr>
          <w:trHeight w:val="310"/>
        </w:trPr>
        <w:tc>
          <w:tcPr>
            <w:tcW w:w="7260" w:type="dxa"/>
            <w:vAlign w:val="bottom"/>
          </w:tcPr>
          <w:p>
            <w:pPr>
              <w:ind w:left="240"/>
              <w:spacing w:after="0"/>
              <w:rPr>
                <w:sz w:val="20"/>
                <w:szCs w:val="20"/>
                <w:color w:val="auto"/>
              </w:rPr>
            </w:pPr>
            <w:r>
              <w:rPr>
                <w:rFonts w:ascii="Arial" w:cs="Arial" w:eastAsia="Arial" w:hAnsi="Arial"/>
                <w:sz w:val="14"/>
                <w:szCs w:val="14"/>
                <w:color w:val="auto"/>
              </w:rPr>
              <w:t>Less: Acquisitions</w:t>
            </w:r>
          </w:p>
        </w:tc>
        <w:tc>
          <w:tcPr>
            <w:tcW w:w="3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3 %</w:t>
            </w:r>
          </w:p>
        </w:tc>
      </w:tr>
      <w:tr>
        <w:trPr>
          <w:trHeight w:val="130"/>
        </w:trPr>
        <w:tc>
          <w:tcPr>
            <w:tcW w:w="7260" w:type="dxa"/>
            <w:vAlign w:val="bottom"/>
            <w:tcBorders>
              <w:bottom w:val="single" w:sz="8" w:color="939598"/>
            </w:tcBorders>
          </w:tcPr>
          <w:p>
            <w:pPr>
              <w:spacing w:after="0"/>
              <w:rPr>
                <w:sz w:val="11"/>
                <w:szCs w:val="11"/>
                <w:color w:val="auto"/>
              </w:rPr>
            </w:pPr>
          </w:p>
        </w:tc>
        <w:tc>
          <w:tcPr>
            <w:tcW w:w="3280" w:type="dxa"/>
            <w:vAlign w:val="bottom"/>
            <w:tcBorders>
              <w:bottom w:val="single" w:sz="8" w:color="939598"/>
            </w:tcBorders>
          </w:tcPr>
          <w:p>
            <w:pPr>
              <w:spacing w:after="0"/>
              <w:rPr>
                <w:sz w:val="11"/>
                <w:szCs w:val="11"/>
                <w:color w:val="auto"/>
              </w:rPr>
            </w:pPr>
          </w:p>
        </w:tc>
        <w:tc>
          <w:tcPr>
            <w:tcW w:w="680" w:type="dxa"/>
            <w:vAlign w:val="bottom"/>
            <w:tcBorders>
              <w:bottom w:val="single" w:sz="8" w:color="939598"/>
            </w:tcBorders>
          </w:tcPr>
          <w:p>
            <w:pPr>
              <w:spacing w:after="0"/>
              <w:rPr>
                <w:sz w:val="11"/>
                <w:szCs w:val="11"/>
                <w:color w:val="auto"/>
              </w:rPr>
            </w:pPr>
          </w:p>
        </w:tc>
      </w:tr>
      <w:tr>
        <w:trPr>
          <w:trHeight w:val="367"/>
        </w:trPr>
        <w:tc>
          <w:tcPr>
            <w:tcW w:w="7260" w:type="dxa"/>
            <w:vAlign w:val="bottom"/>
          </w:tcPr>
          <w:p>
            <w:pPr>
              <w:ind w:left="140"/>
              <w:spacing w:after="0"/>
              <w:rPr>
                <w:sz w:val="20"/>
                <w:szCs w:val="20"/>
                <w:color w:val="auto"/>
              </w:rPr>
            </w:pPr>
            <w:r>
              <w:rPr>
                <w:rFonts w:ascii="Arial" w:cs="Arial" w:eastAsia="Arial" w:hAnsi="Arial"/>
                <w:sz w:val="14"/>
                <w:szCs w:val="14"/>
                <w:color w:val="auto"/>
              </w:rPr>
              <w:t>Less: Other</w:t>
            </w:r>
            <w:r>
              <w:rPr>
                <w:rFonts w:ascii="Arial" w:cs="Arial" w:eastAsia="Arial" w:hAnsi="Arial"/>
                <w:sz w:val="18"/>
                <w:szCs w:val="18"/>
                <w:color w:val="auto"/>
                <w:vertAlign w:val="superscript"/>
              </w:rPr>
              <w:t>1</w:t>
            </w:r>
          </w:p>
        </w:tc>
        <w:tc>
          <w:tcPr>
            <w:tcW w:w="3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72"/>
        </w:trPr>
        <w:tc>
          <w:tcPr>
            <w:tcW w:w="7260" w:type="dxa"/>
            <w:vAlign w:val="bottom"/>
            <w:tcBorders>
              <w:bottom w:val="single" w:sz="8" w:color="D7282F"/>
            </w:tcBorders>
          </w:tcPr>
          <w:p>
            <w:pPr>
              <w:spacing w:after="0"/>
              <w:rPr>
                <w:sz w:val="6"/>
                <w:szCs w:val="6"/>
                <w:color w:val="auto"/>
              </w:rPr>
            </w:pPr>
          </w:p>
        </w:tc>
        <w:tc>
          <w:tcPr>
            <w:tcW w:w="3280" w:type="dxa"/>
            <w:vAlign w:val="bottom"/>
            <w:tcBorders>
              <w:bottom w:val="single" w:sz="8" w:color="D7282F"/>
            </w:tcBorders>
          </w:tcPr>
          <w:p>
            <w:pPr>
              <w:spacing w:after="0"/>
              <w:rPr>
                <w:sz w:val="6"/>
                <w:szCs w:val="6"/>
                <w:color w:val="auto"/>
              </w:rPr>
            </w:pPr>
          </w:p>
        </w:tc>
        <w:tc>
          <w:tcPr>
            <w:tcW w:w="680" w:type="dxa"/>
            <w:vAlign w:val="bottom"/>
            <w:tcBorders>
              <w:bottom w:val="single" w:sz="8" w:color="D7282F"/>
            </w:tcBorders>
          </w:tcPr>
          <w:p>
            <w:pPr>
              <w:spacing w:after="0"/>
              <w:rPr>
                <w:sz w:val="6"/>
                <w:szCs w:val="6"/>
                <w:color w:val="auto"/>
              </w:rPr>
            </w:pPr>
          </w:p>
        </w:tc>
      </w:tr>
      <w:tr>
        <w:trPr>
          <w:trHeight w:val="316"/>
        </w:trPr>
        <w:tc>
          <w:tcPr>
            <w:tcW w:w="7260" w:type="dxa"/>
            <w:vAlign w:val="bottom"/>
          </w:tcPr>
          <w:p>
            <w:pPr>
              <w:ind w:left="140"/>
              <w:spacing w:after="0"/>
              <w:rPr>
                <w:sz w:val="20"/>
                <w:szCs w:val="20"/>
                <w:color w:val="auto"/>
              </w:rPr>
            </w:pPr>
            <w:r>
              <w:rPr>
                <w:rFonts w:ascii="Arial" w:cs="Arial" w:eastAsia="Arial" w:hAnsi="Arial"/>
                <w:sz w:val="14"/>
                <w:szCs w:val="14"/>
                <w:b w:val="1"/>
                <w:bCs w:val="1"/>
                <w:color w:val="auto"/>
              </w:rPr>
              <w:t>Organic sales percent change</w:t>
            </w:r>
          </w:p>
        </w:tc>
        <w:tc>
          <w:tcPr>
            <w:tcW w:w="3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12 %</w:t>
            </w:r>
          </w:p>
        </w:tc>
      </w:tr>
      <w:tr>
        <w:trPr>
          <w:trHeight w:val="123"/>
        </w:trPr>
        <w:tc>
          <w:tcPr>
            <w:tcW w:w="7260" w:type="dxa"/>
            <w:vAlign w:val="bottom"/>
            <w:tcBorders>
              <w:bottom w:val="single" w:sz="8" w:color="D7282F"/>
            </w:tcBorders>
          </w:tcPr>
          <w:p>
            <w:pPr>
              <w:spacing w:after="0"/>
              <w:rPr>
                <w:sz w:val="10"/>
                <w:szCs w:val="10"/>
                <w:color w:val="auto"/>
              </w:rPr>
            </w:pPr>
          </w:p>
        </w:tc>
        <w:tc>
          <w:tcPr>
            <w:tcW w:w="328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spacing w:after="0"/>
              <w:rPr>
                <w:sz w:val="10"/>
                <w:szCs w:val="10"/>
                <w:color w:val="auto"/>
              </w:rPr>
            </w:pPr>
          </w:p>
        </w:tc>
      </w:tr>
      <w:tr>
        <w:trPr>
          <w:trHeight w:val="423"/>
        </w:trPr>
        <w:tc>
          <w:tcPr>
            <w:tcW w:w="7260" w:type="dxa"/>
            <w:vAlign w:val="bottom"/>
          </w:tcPr>
          <w:p>
            <w:pPr>
              <w:ind w:left="20"/>
              <w:spacing w:after="0"/>
              <w:rPr>
                <w:sz w:val="20"/>
                <w:szCs w:val="20"/>
                <w:color w:val="auto"/>
              </w:rPr>
            </w:pPr>
            <w:r>
              <w:rPr>
                <w:rFonts w:ascii="Arial" w:cs="Arial" w:eastAsia="Arial" w:hAnsi="Arial"/>
                <w:sz w:val="14"/>
                <w:szCs w:val="14"/>
                <w:b w:val="1"/>
                <w:bCs w:val="1"/>
                <w:color w:val="auto"/>
              </w:rPr>
              <w:t>Building Automation</w:t>
            </w:r>
          </w:p>
        </w:tc>
        <w:tc>
          <w:tcPr>
            <w:tcW w:w="32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24"/>
        </w:trPr>
        <w:tc>
          <w:tcPr>
            <w:tcW w:w="7260" w:type="dxa"/>
            <w:vAlign w:val="bottom"/>
            <w:tcBorders>
              <w:bottom w:val="single" w:sz="8" w:color="939598"/>
            </w:tcBorders>
          </w:tcPr>
          <w:p>
            <w:pPr>
              <w:spacing w:after="0"/>
              <w:rPr>
                <w:sz w:val="10"/>
                <w:szCs w:val="10"/>
                <w:color w:val="auto"/>
              </w:rPr>
            </w:pPr>
          </w:p>
        </w:tc>
        <w:tc>
          <w:tcPr>
            <w:tcW w:w="3280" w:type="dxa"/>
            <w:vAlign w:val="bottom"/>
            <w:tcBorders>
              <w:bottom w:val="single" w:sz="8" w:color="939598"/>
            </w:tcBorders>
          </w:tcPr>
          <w:p>
            <w:pPr>
              <w:spacing w:after="0"/>
              <w:rPr>
                <w:sz w:val="10"/>
                <w:szCs w:val="10"/>
                <w:color w:val="auto"/>
              </w:rPr>
            </w:pPr>
          </w:p>
        </w:tc>
        <w:tc>
          <w:tcPr>
            <w:tcW w:w="680" w:type="dxa"/>
            <w:vAlign w:val="bottom"/>
            <w:tcBorders>
              <w:bottom w:val="single" w:sz="8" w:color="939598"/>
            </w:tcBorders>
          </w:tcPr>
          <w:p>
            <w:pPr>
              <w:spacing w:after="0"/>
              <w:rPr>
                <w:sz w:val="10"/>
                <w:szCs w:val="10"/>
                <w:color w:val="auto"/>
              </w:rPr>
            </w:pPr>
          </w:p>
        </w:tc>
      </w:tr>
      <w:tr>
        <w:trPr>
          <w:trHeight w:val="315"/>
        </w:trPr>
        <w:tc>
          <w:tcPr>
            <w:tcW w:w="7260" w:type="dxa"/>
            <w:vAlign w:val="bottom"/>
          </w:tcPr>
          <w:p>
            <w:pPr>
              <w:ind w:left="140"/>
              <w:spacing w:after="0"/>
              <w:rPr>
                <w:sz w:val="20"/>
                <w:szCs w:val="20"/>
                <w:color w:val="auto"/>
              </w:rPr>
            </w:pPr>
            <w:r>
              <w:rPr>
                <w:rFonts w:ascii="Arial" w:cs="Arial" w:eastAsia="Arial" w:hAnsi="Arial"/>
                <w:sz w:val="14"/>
                <w:szCs w:val="14"/>
                <w:b w:val="1"/>
                <w:bCs w:val="1"/>
                <w:color w:val="auto"/>
              </w:rPr>
              <w:t>Reported sales percent change</w:t>
            </w:r>
          </w:p>
        </w:tc>
        <w:tc>
          <w:tcPr>
            <w:tcW w:w="3280" w:type="dxa"/>
            <w:vAlign w:val="bottom"/>
          </w:tcPr>
          <w:p>
            <w:pPr>
              <w:jc w:val="right"/>
              <w:ind w:right="268"/>
              <w:spacing w:after="0"/>
              <w:rPr>
                <w:sz w:val="20"/>
                <w:szCs w:val="20"/>
                <w:color w:val="auto"/>
              </w:rPr>
            </w:pPr>
            <w:r>
              <w:rPr>
                <w:rFonts w:ascii="Arial" w:cs="Arial" w:eastAsia="Arial" w:hAnsi="Arial"/>
                <w:sz w:val="14"/>
                <w:szCs w:val="14"/>
                <w:b w:val="1"/>
                <w:bCs w:val="1"/>
                <w:color w:val="auto"/>
              </w:rPr>
              <w:t>8 %</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13%</w:t>
            </w:r>
          </w:p>
        </w:tc>
      </w:tr>
      <w:tr>
        <w:trPr>
          <w:trHeight w:val="123"/>
        </w:trPr>
        <w:tc>
          <w:tcPr>
            <w:tcW w:w="7260" w:type="dxa"/>
            <w:vAlign w:val="bottom"/>
            <w:tcBorders>
              <w:bottom w:val="single" w:sz="8" w:color="939598"/>
            </w:tcBorders>
          </w:tcPr>
          <w:p>
            <w:pPr>
              <w:spacing w:after="0"/>
              <w:rPr>
                <w:sz w:val="10"/>
                <w:szCs w:val="10"/>
                <w:color w:val="auto"/>
              </w:rPr>
            </w:pPr>
          </w:p>
        </w:tc>
        <w:tc>
          <w:tcPr>
            <w:tcW w:w="3280" w:type="dxa"/>
            <w:vAlign w:val="bottom"/>
            <w:tcBorders>
              <w:bottom w:val="single" w:sz="8" w:color="939598"/>
            </w:tcBorders>
          </w:tcPr>
          <w:p>
            <w:pPr>
              <w:spacing w:after="0"/>
              <w:rPr>
                <w:sz w:val="10"/>
                <w:szCs w:val="10"/>
                <w:color w:val="auto"/>
              </w:rPr>
            </w:pPr>
          </w:p>
        </w:tc>
        <w:tc>
          <w:tcPr>
            <w:tcW w:w="680" w:type="dxa"/>
            <w:vAlign w:val="bottom"/>
            <w:tcBorders>
              <w:bottom w:val="single" w:sz="8" w:color="939598"/>
            </w:tcBorders>
          </w:tcPr>
          <w:p>
            <w:pPr>
              <w:spacing w:after="0"/>
              <w:rPr>
                <w:sz w:val="10"/>
                <w:szCs w:val="10"/>
                <w:color w:val="auto"/>
              </w:rPr>
            </w:pPr>
          </w:p>
        </w:tc>
      </w:tr>
      <w:tr>
        <w:trPr>
          <w:trHeight w:val="309"/>
        </w:trPr>
        <w:tc>
          <w:tcPr>
            <w:tcW w:w="7260" w:type="dxa"/>
            <w:vAlign w:val="bottom"/>
          </w:tcPr>
          <w:p>
            <w:pPr>
              <w:ind w:left="140"/>
              <w:spacing w:after="0"/>
              <w:rPr>
                <w:sz w:val="20"/>
                <w:szCs w:val="20"/>
                <w:color w:val="auto"/>
              </w:rPr>
            </w:pPr>
            <w:r>
              <w:rPr>
                <w:rFonts w:ascii="Arial" w:cs="Arial" w:eastAsia="Arial" w:hAnsi="Arial"/>
                <w:sz w:val="14"/>
                <w:szCs w:val="14"/>
                <w:color w:val="auto"/>
              </w:rPr>
              <w:t>Less: Impact of divestitures to the prior period</w:t>
            </w:r>
          </w:p>
        </w:tc>
        <w:tc>
          <w:tcPr>
            <w:tcW w:w="3280" w:type="dxa"/>
            <w:vAlign w:val="bottom"/>
          </w:tcPr>
          <w:p>
            <w:pPr>
              <w:jc w:val="right"/>
              <w:ind w:right="268"/>
              <w:spacing w:after="0"/>
              <w:rPr>
                <w:sz w:val="20"/>
                <w:szCs w:val="20"/>
                <w:color w:val="auto"/>
              </w:rPr>
            </w:pPr>
            <w:r>
              <w:rPr>
                <w:rFonts w:ascii="Arial" w:cs="Arial" w:eastAsia="Arial" w:hAnsi="Arial"/>
                <w:sz w:val="14"/>
                <w:szCs w:val="14"/>
                <w:color w:val="auto"/>
              </w:rPr>
              <w:t>— %</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7260" w:type="dxa"/>
            <w:vAlign w:val="bottom"/>
            <w:tcBorders>
              <w:bottom w:val="single" w:sz="8" w:color="D7282F"/>
            </w:tcBorders>
          </w:tcPr>
          <w:p>
            <w:pPr>
              <w:spacing w:after="0"/>
              <w:rPr>
                <w:sz w:val="11"/>
                <w:szCs w:val="11"/>
                <w:color w:val="auto"/>
              </w:rPr>
            </w:pPr>
          </w:p>
        </w:tc>
        <w:tc>
          <w:tcPr>
            <w:tcW w:w="3280" w:type="dxa"/>
            <w:vAlign w:val="bottom"/>
            <w:tcBorders>
              <w:bottom w:val="single" w:sz="8" w:color="D7282F"/>
            </w:tcBorders>
          </w:tcPr>
          <w:p>
            <w:pPr>
              <w:spacing w:after="0"/>
              <w:rPr>
                <w:sz w:val="11"/>
                <w:szCs w:val="11"/>
                <w:color w:val="auto"/>
              </w:rPr>
            </w:pPr>
          </w:p>
        </w:tc>
        <w:tc>
          <w:tcPr>
            <w:tcW w:w="680" w:type="dxa"/>
            <w:vAlign w:val="bottom"/>
            <w:tcBorders>
              <w:bottom w:val="single" w:sz="8" w:color="D7282F"/>
            </w:tcBorders>
          </w:tcPr>
          <w:p>
            <w:pPr>
              <w:spacing w:after="0"/>
              <w:rPr>
                <w:sz w:val="11"/>
                <w:szCs w:val="11"/>
                <w:color w:val="auto"/>
              </w:rPr>
            </w:pPr>
          </w:p>
        </w:tc>
      </w:tr>
      <w:tr>
        <w:trPr>
          <w:trHeight w:val="315"/>
        </w:trPr>
        <w:tc>
          <w:tcPr>
            <w:tcW w:w="7260" w:type="dxa"/>
            <w:vAlign w:val="bottom"/>
          </w:tcPr>
          <w:p>
            <w:pPr>
              <w:ind w:left="140"/>
              <w:spacing w:after="0"/>
              <w:rPr>
                <w:sz w:val="20"/>
                <w:szCs w:val="20"/>
                <w:color w:val="auto"/>
              </w:rPr>
            </w:pPr>
            <w:r>
              <w:rPr>
                <w:rFonts w:ascii="Arial" w:cs="Arial" w:eastAsia="Arial" w:hAnsi="Arial"/>
                <w:sz w:val="14"/>
                <w:szCs w:val="14"/>
                <w:b w:val="1"/>
                <w:bCs w:val="1"/>
                <w:color w:val="auto"/>
              </w:rPr>
              <w:t>Reported sales percent change, adjusted for impact of divestitures</w:t>
            </w:r>
          </w:p>
        </w:tc>
        <w:tc>
          <w:tcPr>
            <w:tcW w:w="3280" w:type="dxa"/>
            <w:vAlign w:val="bottom"/>
          </w:tcPr>
          <w:p>
            <w:pPr>
              <w:jc w:val="right"/>
              <w:ind w:right="268"/>
              <w:spacing w:after="0"/>
              <w:rPr>
                <w:sz w:val="20"/>
                <w:szCs w:val="20"/>
                <w:color w:val="auto"/>
              </w:rPr>
            </w:pPr>
            <w:r>
              <w:rPr>
                <w:rFonts w:ascii="Arial" w:cs="Arial" w:eastAsia="Arial" w:hAnsi="Arial"/>
                <w:sz w:val="14"/>
                <w:szCs w:val="14"/>
                <w:b w:val="1"/>
                <w:bCs w:val="1"/>
                <w:color w:val="auto"/>
              </w:rPr>
              <w:t>8 %</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13%</w:t>
            </w:r>
          </w:p>
        </w:tc>
      </w:tr>
      <w:tr>
        <w:trPr>
          <w:trHeight w:val="123"/>
        </w:trPr>
        <w:tc>
          <w:tcPr>
            <w:tcW w:w="7260" w:type="dxa"/>
            <w:vAlign w:val="bottom"/>
            <w:tcBorders>
              <w:bottom w:val="single" w:sz="8" w:color="D7282F"/>
            </w:tcBorders>
          </w:tcPr>
          <w:p>
            <w:pPr>
              <w:spacing w:after="0"/>
              <w:rPr>
                <w:sz w:val="10"/>
                <w:szCs w:val="10"/>
                <w:color w:val="auto"/>
              </w:rPr>
            </w:pPr>
          </w:p>
        </w:tc>
        <w:tc>
          <w:tcPr>
            <w:tcW w:w="328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spacing w:after="0"/>
              <w:rPr>
                <w:sz w:val="10"/>
                <w:szCs w:val="10"/>
                <w:color w:val="auto"/>
              </w:rPr>
            </w:pPr>
          </w:p>
        </w:tc>
      </w:tr>
      <w:tr>
        <w:trPr>
          <w:trHeight w:val="309"/>
        </w:trPr>
        <w:tc>
          <w:tcPr>
            <w:tcW w:w="7260" w:type="dxa"/>
            <w:vAlign w:val="bottom"/>
          </w:tcPr>
          <w:p>
            <w:pPr>
              <w:ind w:left="240"/>
              <w:spacing w:after="0"/>
              <w:rPr>
                <w:sz w:val="20"/>
                <w:szCs w:val="20"/>
                <w:color w:val="auto"/>
              </w:rPr>
            </w:pPr>
            <w:r>
              <w:rPr>
                <w:rFonts w:ascii="Arial" w:cs="Arial" w:eastAsia="Arial" w:hAnsi="Arial"/>
                <w:sz w:val="14"/>
                <w:szCs w:val="14"/>
                <w:color w:val="auto"/>
              </w:rPr>
              <w:t>Less: Foreign currency translation</w:t>
            </w:r>
          </w:p>
        </w:tc>
        <w:tc>
          <w:tcPr>
            <w:tcW w:w="3280" w:type="dxa"/>
            <w:vAlign w:val="bottom"/>
          </w:tcPr>
          <w:p>
            <w:pPr>
              <w:jc w:val="right"/>
              <w:ind w:right="268"/>
              <w:spacing w:after="0"/>
              <w:rPr>
                <w:sz w:val="20"/>
                <w:szCs w:val="20"/>
                <w:color w:val="auto"/>
              </w:rPr>
            </w:pPr>
            <w:r>
              <w:rPr>
                <w:rFonts w:ascii="Arial" w:cs="Arial" w:eastAsia="Arial" w:hAnsi="Arial"/>
                <w:sz w:val="14"/>
                <w:szCs w:val="14"/>
                <w:color w:val="auto"/>
              </w:rPr>
              <w:t>(1%)</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7260" w:type="dxa"/>
            <w:vAlign w:val="bottom"/>
            <w:tcBorders>
              <w:bottom w:val="single" w:sz="8" w:color="939598"/>
            </w:tcBorders>
          </w:tcPr>
          <w:p>
            <w:pPr>
              <w:spacing w:after="0"/>
              <w:rPr>
                <w:sz w:val="11"/>
                <w:szCs w:val="11"/>
                <w:color w:val="auto"/>
              </w:rPr>
            </w:pPr>
          </w:p>
        </w:tc>
        <w:tc>
          <w:tcPr>
            <w:tcW w:w="3280" w:type="dxa"/>
            <w:vAlign w:val="bottom"/>
            <w:tcBorders>
              <w:bottom w:val="single" w:sz="8" w:color="939598"/>
            </w:tcBorders>
          </w:tcPr>
          <w:p>
            <w:pPr>
              <w:spacing w:after="0"/>
              <w:rPr>
                <w:sz w:val="11"/>
                <w:szCs w:val="11"/>
                <w:color w:val="auto"/>
              </w:rPr>
            </w:pPr>
          </w:p>
        </w:tc>
        <w:tc>
          <w:tcPr>
            <w:tcW w:w="680" w:type="dxa"/>
            <w:vAlign w:val="bottom"/>
            <w:tcBorders>
              <w:bottom w:val="single" w:sz="8" w:color="939598"/>
            </w:tcBorders>
          </w:tcPr>
          <w:p>
            <w:pPr>
              <w:spacing w:after="0"/>
              <w:rPr>
                <w:sz w:val="11"/>
                <w:szCs w:val="11"/>
                <w:color w:val="auto"/>
              </w:rPr>
            </w:pPr>
          </w:p>
        </w:tc>
      </w:tr>
      <w:tr>
        <w:trPr>
          <w:trHeight w:val="309"/>
        </w:trPr>
        <w:tc>
          <w:tcPr>
            <w:tcW w:w="7260" w:type="dxa"/>
            <w:vAlign w:val="bottom"/>
          </w:tcPr>
          <w:p>
            <w:pPr>
              <w:ind w:left="240"/>
              <w:spacing w:after="0"/>
              <w:rPr>
                <w:sz w:val="20"/>
                <w:szCs w:val="20"/>
                <w:color w:val="auto"/>
              </w:rPr>
            </w:pPr>
            <w:r>
              <w:rPr>
                <w:rFonts w:ascii="Arial" w:cs="Arial" w:eastAsia="Arial" w:hAnsi="Arial"/>
                <w:sz w:val="14"/>
                <w:szCs w:val="14"/>
                <w:color w:val="auto"/>
              </w:rPr>
              <w:t>Less: Acquisitions</w:t>
            </w:r>
          </w:p>
        </w:tc>
        <w:tc>
          <w:tcPr>
            <w:tcW w:w="3280" w:type="dxa"/>
            <w:vAlign w:val="bottom"/>
          </w:tcPr>
          <w:p>
            <w:pPr>
              <w:jc w:val="right"/>
              <w:ind w:right="268"/>
              <w:spacing w:after="0"/>
              <w:rPr>
                <w:sz w:val="20"/>
                <w:szCs w:val="20"/>
                <w:color w:val="auto"/>
              </w:rPr>
            </w:pPr>
            <w:r>
              <w:rPr>
                <w:rFonts w:ascii="Arial" w:cs="Arial" w:eastAsia="Arial" w:hAnsi="Arial"/>
                <w:sz w:val="14"/>
                <w:szCs w:val="14"/>
                <w:color w:val="auto"/>
              </w:rPr>
              <w:t>7 %</w:t>
            </w:r>
          </w:p>
        </w:tc>
        <w:tc>
          <w:tcPr>
            <w:tcW w:w="68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130"/>
        </w:trPr>
        <w:tc>
          <w:tcPr>
            <w:tcW w:w="7260" w:type="dxa"/>
            <w:vAlign w:val="bottom"/>
            <w:tcBorders>
              <w:bottom w:val="single" w:sz="8" w:color="939598"/>
            </w:tcBorders>
          </w:tcPr>
          <w:p>
            <w:pPr>
              <w:spacing w:after="0"/>
              <w:rPr>
                <w:sz w:val="11"/>
                <w:szCs w:val="11"/>
                <w:color w:val="auto"/>
              </w:rPr>
            </w:pPr>
          </w:p>
        </w:tc>
        <w:tc>
          <w:tcPr>
            <w:tcW w:w="3280" w:type="dxa"/>
            <w:vAlign w:val="bottom"/>
            <w:tcBorders>
              <w:bottom w:val="single" w:sz="8" w:color="939598"/>
            </w:tcBorders>
          </w:tcPr>
          <w:p>
            <w:pPr>
              <w:spacing w:after="0"/>
              <w:rPr>
                <w:sz w:val="11"/>
                <w:szCs w:val="11"/>
                <w:color w:val="auto"/>
              </w:rPr>
            </w:pPr>
          </w:p>
        </w:tc>
        <w:tc>
          <w:tcPr>
            <w:tcW w:w="680" w:type="dxa"/>
            <w:vAlign w:val="bottom"/>
            <w:tcBorders>
              <w:bottom w:val="single" w:sz="8" w:color="939598"/>
            </w:tcBorders>
          </w:tcPr>
          <w:p>
            <w:pPr>
              <w:spacing w:after="0"/>
              <w:rPr>
                <w:sz w:val="11"/>
                <w:szCs w:val="11"/>
                <w:color w:val="auto"/>
              </w:rPr>
            </w:pPr>
          </w:p>
        </w:tc>
      </w:tr>
      <w:tr>
        <w:trPr>
          <w:trHeight w:val="310"/>
        </w:trPr>
        <w:tc>
          <w:tcPr>
            <w:tcW w:w="7260" w:type="dxa"/>
            <w:vAlign w:val="bottom"/>
          </w:tcPr>
          <w:p>
            <w:pPr>
              <w:ind w:left="240"/>
              <w:spacing w:after="0"/>
              <w:rPr>
                <w:sz w:val="20"/>
                <w:szCs w:val="20"/>
                <w:color w:val="auto"/>
              </w:rPr>
            </w:pPr>
            <w:r>
              <w:rPr>
                <w:rFonts w:ascii="Arial" w:cs="Arial" w:eastAsia="Arial" w:hAnsi="Arial"/>
                <w:sz w:val="14"/>
                <w:szCs w:val="14"/>
                <w:color w:val="auto"/>
              </w:rPr>
              <w:t>Less: Other</w:t>
            </w:r>
          </w:p>
        </w:tc>
        <w:tc>
          <w:tcPr>
            <w:tcW w:w="3280" w:type="dxa"/>
            <w:vAlign w:val="bottom"/>
          </w:tcPr>
          <w:p>
            <w:pPr>
              <w:jc w:val="right"/>
              <w:ind w:right="268"/>
              <w:spacing w:after="0"/>
              <w:rPr>
                <w:sz w:val="20"/>
                <w:szCs w:val="20"/>
                <w:color w:val="auto"/>
              </w:rPr>
            </w:pPr>
            <w:r>
              <w:rPr>
                <w:rFonts w:ascii="Arial" w:cs="Arial" w:eastAsia="Arial" w:hAnsi="Arial"/>
                <w:sz w:val="14"/>
                <w:szCs w:val="14"/>
                <w:color w:val="auto"/>
              </w:rPr>
              <w:t>— %</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7260" w:type="dxa"/>
            <w:vAlign w:val="bottom"/>
            <w:tcBorders>
              <w:bottom w:val="single" w:sz="8" w:color="D7282F"/>
            </w:tcBorders>
          </w:tcPr>
          <w:p>
            <w:pPr>
              <w:spacing w:after="0"/>
              <w:rPr>
                <w:sz w:val="11"/>
                <w:szCs w:val="11"/>
                <w:color w:val="auto"/>
              </w:rPr>
            </w:pPr>
          </w:p>
        </w:tc>
        <w:tc>
          <w:tcPr>
            <w:tcW w:w="3280" w:type="dxa"/>
            <w:vAlign w:val="bottom"/>
            <w:tcBorders>
              <w:bottom w:val="single" w:sz="8" w:color="D7282F"/>
            </w:tcBorders>
          </w:tcPr>
          <w:p>
            <w:pPr>
              <w:spacing w:after="0"/>
              <w:rPr>
                <w:sz w:val="11"/>
                <w:szCs w:val="11"/>
                <w:color w:val="auto"/>
              </w:rPr>
            </w:pPr>
          </w:p>
        </w:tc>
        <w:tc>
          <w:tcPr>
            <w:tcW w:w="680" w:type="dxa"/>
            <w:vAlign w:val="bottom"/>
            <w:tcBorders>
              <w:bottom w:val="single" w:sz="8" w:color="D7282F"/>
            </w:tcBorders>
          </w:tcPr>
          <w:p>
            <w:pPr>
              <w:spacing w:after="0"/>
              <w:rPr>
                <w:sz w:val="11"/>
                <w:szCs w:val="11"/>
                <w:color w:val="auto"/>
              </w:rPr>
            </w:pPr>
          </w:p>
        </w:tc>
      </w:tr>
      <w:tr>
        <w:trPr>
          <w:trHeight w:val="315"/>
        </w:trPr>
        <w:tc>
          <w:tcPr>
            <w:tcW w:w="7260" w:type="dxa"/>
            <w:vAlign w:val="bottom"/>
          </w:tcPr>
          <w:p>
            <w:pPr>
              <w:ind w:left="140"/>
              <w:spacing w:after="0"/>
              <w:rPr>
                <w:sz w:val="20"/>
                <w:szCs w:val="20"/>
                <w:color w:val="auto"/>
              </w:rPr>
            </w:pPr>
            <w:r>
              <w:rPr>
                <w:rFonts w:ascii="Arial" w:cs="Arial" w:eastAsia="Arial" w:hAnsi="Arial"/>
                <w:sz w:val="14"/>
                <w:szCs w:val="14"/>
                <w:b w:val="1"/>
                <w:bCs w:val="1"/>
                <w:color w:val="auto"/>
              </w:rPr>
              <w:t>Organic sales percent change</w:t>
            </w:r>
          </w:p>
        </w:tc>
        <w:tc>
          <w:tcPr>
            <w:tcW w:w="3280" w:type="dxa"/>
            <w:vAlign w:val="bottom"/>
          </w:tcPr>
          <w:p>
            <w:pPr>
              <w:jc w:val="right"/>
              <w:ind w:right="268"/>
              <w:spacing w:after="0"/>
              <w:rPr>
                <w:sz w:val="20"/>
                <w:szCs w:val="20"/>
                <w:color w:val="auto"/>
              </w:rPr>
            </w:pPr>
            <w:r>
              <w:rPr>
                <w:rFonts w:ascii="Arial" w:cs="Arial" w:eastAsia="Arial" w:hAnsi="Arial"/>
                <w:sz w:val="14"/>
                <w:szCs w:val="14"/>
                <w:b w:val="1"/>
                <w:bCs w:val="1"/>
                <w:color w:val="auto"/>
              </w:rPr>
              <w:t>2 %</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2343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43" w:lineRule="exact"/>
        <w:rPr>
          <w:sz w:val="20"/>
          <w:szCs w:val="20"/>
          <w:color w:val="auto"/>
        </w:rPr>
      </w:pPr>
    </w:p>
    <w:p>
      <w:pPr>
        <w:ind w:left="200" w:hanging="192"/>
        <w:spacing w:after="0"/>
        <w:tabs>
          <w:tab w:leader="none" w:pos="200" w:val="left"/>
        </w:tabs>
        <w:numPr>
          <w:ilvl w:val="0"/>
          <w:numId w:val="233"/>
        </w:numPr>
        <w:rPr>
          <w:rFonts w:ascii="Arial" w:cs="Arial" w:eastAsia="Arial" w:hAnsi="Arial"/>
          <w:sz w:val="16"/>
          <w:szCs w:val="16"/>
          <w:color w:val="auto"/>
          <w:vertAlign w:val="superscript"/>
        </w:rPr>
      </w:pPr>
      <w:r>
        <w:rPr>
          <w:rFonts w:ascii="Arial" w:cs="Arial" w:eastAsia="Arial" w:hAnsi="Arial"/>
          <w:sz w:val="13"/>
          <w:szCs w:val="13"/>
          <w:color w:val="auto"/>
        </w:rPr>
        <w:t>Includes Flexjet-related litigation matters of $312 million, which are considered to be unusual and not indicative of the Company's ongoing performance.</w:t>
      </w:r>
    </w:p>
    <w:p>
      <w:pPr>
        <w:spacing w:after="0" w:line="9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define organic sales percentage as the year-over-year change in reported sales relative to the comparable period, adjusted for the impact of divestitures to the prior period, and excluding the impact on sales from foreign currency translation, acquisitions for the first 12 months following the transaction date, and certain other items that are unusual or non-recurring in nature. We believe this measure is useful to investors and management in understanding our ongoing operations and in analysis of ongoing operating trends.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260" w:type="dxa"/>
            <w:vAlign w:val="bottom"/>
          </w:tcPr>
          <w:p>
            <w:pPr>
              <w:ind w:left="6840"/>
              <w:spacing w:after="0"/>
              <w:rPr>
                <w:sz w:val="20"/>
                <w:szCs w:val="20"/>
                <w:color w:val="auto"/>
              </w:rPr>
            </w:pPr>
            <w:r>
              <w:rPr>
                <w:rFonts w:ascii="Arial" w:cs="Arial" w:eastAsia="Arial" w:hAnsi="Arial"/>
                <w:sz w:val="13"/>
                <w:szCs w:val="13"/>
                <w:b w:val="1"/>
                <w:bCs w:val="1"/>
                <w:color w:val="6D6E71"/>
              </w:rPr>
              <w:t>2026 NOTICE AND PROXY STATEMENT   |</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133</w:t>
            </w:r>
          </w:p>
        </w:tc>
      </w:tr>
      <w:tr>
        <w:trPr>
          <w:trHeight w:val="373"/>
        </w:trPr>
        <w:tc>
          <w:tcPr>
            <w:tcW w:w="10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52" w:name="page153"/>
    <w:bookmarkEnd w:id="152"/>
    <w:p>
      <w:pPr>
        <w:spacing w:after="0"/>
        <w:rPr>
          <w:sz w:val="20"/>
          <w:szCs w:val="20"/>
          <w:color w:val="auto"/>
        </w:rPr>
      </w:pPr>
      <w:r>
        <w:rPr>
          <w:rFonts w:ascii="Arial" w:cs="Arial" w:eastAsia="Arial" w:hAnsi="Arial"/>
          <w:sz w:val="13"/>
          <w:szCs w:val="13"/>
          <w:b w:val="1"/>
          <w:bCs w:val="1"/>
          <w:color w:val="6D6E71"/>
        </w:rPr>
        <w:t>APPENDIX A: RECONCILIATION OF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60" w:right="780" w:hanging="252"/>
        <w:spacing w:after="0" w:line="296" w:lineRule="auto"/>
        <w:tabs>
          <w:tab w:leader="none" w:pos="212" w:val="left"/>
        </w:tabs>
        <w:numPr>
          <w:ilvl w:val="0"/>
          <w:numId w:val="234"/>
        </w:numPr>
        <w:rPr>
          <w:rFonts w:ascii="Arial" w:cs="Arial" w:eastAsia="Arial" w:hAnsi="Arial"/>
          <w:sz w:val="16"/>
          <w:szCs w:val="16"/>
          <w:b w:val="1"/>
          <w:bCs w:val="1"/>
          <w:color w:val="6D6E71"/>
        </w:rPr>
      </w:pPr>
      <w:r>
        <w:rPr>
          <w:rFonts w:ascii="Arial" w:cs="Arial" w:eastAsia="Arial" w:hAnsi="Arial"/>
          <w:sz w:val="16"/>
          <w:szCs w:val="16"/>
          <w:b w:val="1"/>
          <w:bCs w:val="1"/>
          <w:color w:val="6D6E71"/>
        </w:rPr>
        <w:t>RECONCILIATION OF CASH PROVIDED BY OPERATING ACTIVITIES TO FREE CASH FLOW AND ADJUSTED FREE CASH FLOW AND CALCULATION OF FREE CASH FLOW MARGIN</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1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($M)</w:t>
            </w:r>
          </w:p>
        </w:tc>
        <w:tc>
          <w:tcPr>
            <w:tcW w:w="150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D7282F"/>
            </w:tcBorders>
          </w:tcPr>
          <w:p>
            <w:pPr>
              <w:spacing w:after="0"/>
              <w:rPr>
                <w:sz w:val="17"/>
                <w:szCs w:val="17"/>
                <w:color w:val="auto"/>
              </w:rPr>
            </w:pPr>
          </w:p>
        </w:tc>
        <w:tc>
          <w:tcPr>
            <w:tcW w:w="9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2025</w:t>
            </w:r>
          </w:p>
        </w:tc>
      </w:tr>
      <w:tr>
        <w:trPr>
          <w:trHeight w:val="322"/>
        </w:trPr>
        <w:tc>
          <w:tcPr>
            <w:tcW w:w="6140" w:type="dxa"/>
            <w:vAlign w:val="bottom"/>
          </w:tcPr>
          <w:p>
            <w:pPr>
              <w:ind w:left="20"/>
              <w:spacing w:after="0"/>
              <w:rPr>
                <w:sz w:val="20"/>
                <w:szCs w:val="20"/>
                <w:color w:val="auto"/>
              </w:rPr>
            </w:pPr>
            <w:r>
              <w:rPr>
                <w:rFonts w:ascii="Arial" w:cs="Arial" w:eastAsia="Arial" w:hAnsi="Arial"/>
                <w:sz w:val="14"/>
                <w:szCs w:val="14"/>
                <w:b w:val="1"/>
                <w:bCs w:val="1"/>
                <w:color w:val="auto"/>
              </w:rPr>
              <w:t>Cash provided by operating activities</w:t>
            </w:r>
          </w:p>
        </w:tc>
        <w:tc>
          <w:tcPr>
            <w:tcW w:w="150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308"/>
              <w:spacing w:after="0"/>
              <w:rPr>
                <w:sz w:val="20"/>
                <w:szCs w:val="20"/>
                <w:color w:val="auto"/>
              </w:rPr>
            </w:pPr>
            <w:r>
              <w:rPr>
                <w:rFonts w:ascii="Arial" w:cs="Arial" w:eastAsia="Arial" w:hAnsi="Arial"/>
                <w:sz w:val="14"/>
                <w:szCs w:val="14"/>
                <w:b w:val="1"/>
                <w:bCs w:val="1"/>
                <w:color w:val="auto"/>
              </w:rPr>
              <w:t>4,459</w:t>
            </w:r>
          </w:p>
        </w:tc>
        <w:tc>
          <w:tcPr>
            <w:tcW w:w="40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288"/>
              <w:spacing w:after="0"/>
              <w:rPr>
                <w:sz w:val="20"/>
                <w:szCs w:val="20"/>
                <w:color w:val="auto"/>
              </w:rPr>
            </w:pPr>
            <w:r>
              <w:rPr>
                <w:rFonts w:ascii="Arial" w:cs="Arial" w:eastAsia="Arial" w:hAnsi="Arial"/>
                <w:sz w:val="14"/>
                <w:szCs w:val="14"/>
                <w:b w:val="1"/>
                <w:bCs w:val="1"/>
                <w:color w:val="auto"/>
              </w:rPr>
              <w:t>5,112</w:t>
            </w:r>
          </w:p>
        </w:tc>
        <w:tc>
          <w:tcPr>
            <w:tcW w:w="40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148"/>
              <w:spacing w:after="0"/>
              <w:rPr>
                <w:sz w:val="20"/>
                <w:szCs w:val="20"/>
                <w:color w:val="auto"/>
              </w:rPr>
            </w:pPr>
            <w:r>
              <w:rPr>
                <w:rFonts w:ascii="Arial" w:cs="Arial" w:eastAsia="Arial" w:hAnsi="Arial"/>
                <w:sz w:val="14"/>
                <w:szCs w:val="14"/>
                <w:b w:val="1"/>
                <w:bCs w:val="1"/>
                <w:color w:val="auto"/>
              </w:rPr>
              <w:t>6,075</w:t>
            </w:r>
          </w:p>
        </w:tc>
      </w:tr>
      <w:tr>
        <w:trPr>
          <w:trHeight w:val="123"/>
        </w:trPr>
        <w:tc>
          <w:tcPr>
            <w:tcW w:w="6140" w:type="dxa"/>
            <w:vAlign w:val="bottom"/>
            <w:tcBorders>
              <w:bottom w:val="single" w:sz="8" w:color="939598"/>
            </w:tcBorders>
          </w:tcPr>
          <w:p>
            <w:pPr>
              <w:spacing w:after="0"/>
              <w:rPr>
                <w:sz w:val="10"/>
                <w:szCs w:val="10"/>
                <w:color w:val="auto"/>
              </w:rPr>
            </w:pPr>
          </w:p>
        </w:tc>
        <w:tc>
          <w:tcPr>
            <w:tcW w:w="1500" w:type="dxa"/>
            <w:vAlign w:val="bottom"/>
            <w:tcBorders>
              <w:bottom w:val="single" w:sz="8" w:color="939598"/>
            </w:tcBorders>
          </w:tcPr>
          <w:p>
            <w:pPr>
              <w:spacing w:after="0"/>
              <w:rPr>
                <w:sz w:val="10"/>
                <w:szCs w:val="10"/>
                <w:color w:val="auto"/>
              </w:rPr>
            </w:pPr>
          </w:p>
        </w:tc>
        <w:tc>
          <w:tcPr>
            <w:tcW w:w="98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spacing w:after="0"/>
              <w:rPr>
                <w:sz w:val="10"/>
                <w:szCs w:val="10"/>
                <w:color w:val="auto"/>
              </w:rPr>
            </w:pPr>
          </w:p>
        </w:tc>
        <w:tc>
          <w:tcPr>
            <w:tcW w:w="96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spacing w:after="0"/>
              <w:rPr>
                <w:sz w:val="10"/>
                <w:szCs w:val="10"/>
                <w:color w:val="auto"/>
              </w:rPr>
            </w:pPr>
          </w:p>
        </w:tc>
        <w:tc>
          <w:tcPr>
            <w:tcW w:w="840" w:type="dxa"/>
            <w:vAlign w:val="bottom"/>
            <w:tcBorders>
              <w:bottom w:val="single" w:sz="8" w:color="939598"/>
            </w:tcBorders>
          </w:tcPr>
          <w:p>
            <w:pPr>
              <w:spacing w:after="0"/>
              <w:rPr>
                <w:sz w:val="10"/>
                <w:szCs w:val="10"/>
                <w:color w:val="auto"/>
              </w:rPr>
            </w:pPr>
          </w:p>
        </w:tc>
      </w:tr>
      <w:tr>
        <w:trPr>
          <w:trHeight w:val="309"/>
        </w:trPr>
        <w:tc>
          <w:tcPr>
            <w:tcW w:w="6140" w:type="dxa"/>
            <w:vAlign w:val="bottom"/>
          </w:tcPr>
          <w:p>
            <w:pPr>
              <w:ind w:left="20"/>
              <w:spacing w:after="0"/>
              <w:rPr>
                <w:sz w:val="20"/>
                <w:szCs w:val="20"/>
                <w:color w:val="auto"/>
              </w:rPr>
            </w:pPr>
            <w:r>
              <w:rPr>
                <w:rFonts w:ascii="Arial" w:cs="Arial" w:eastAsia="Arial" w:hAnsi="Arial"/>
                <w:sz w:val="14"/>
                <w:szCs w:val="14"/>
                <w:color w:val="auto"/>
              </w:rPr>
              <w:t>Capital expenditures</w:t>
            </w:r>
          </w:p>
        </w:tc>
        <w:tc>
          <w:tcPr>
            <w:tcW w:w="1500" w:type="dxa"/>
            <w:vAlign w:val="bottom"/>
          </w:tcPr>
          <w:p>
            <w:pPr>
              <w:spacing w:after="0"/>
              <w:rPr>
                <w:sz w:val="24"/>
                <w:szCs w:val="24"/>
                <w:color w:val="auto"/>
              </w:rPr>
            </w:pPr>
          </w:p>
        </w:tc>
        <w:tc>
          <w:tcPr>
            <w:tcW w:w="980" w:type="dxa"/>
            <w:vAlign w:val="bottom"/>
          </w:tcPr>
          <w:p>
            <w:pPr>
              <w:jc w:val="right"/>
              <w:ind w:right="308"/>
              <w:spacing w:after="0"/>
              <w:rPr>
                <w:sz w:val="20"/>
                <w:szCs w:val="20"/>
                <w:color w:val="auto"/>
              </w:rPr>
            </w:pPr>
            <w:r>
              <w:rPr>
                <w:rFonts w:ascii="Arial" w:cs="Arial" w:eastAsia="Arial" w:hAnsi="Arial"/>
                <w:sz w:val="14"/>
                <w:szCs w:val="14"/>
                <w:color w:val="auto"/>
              </w:rPr>
              <w:t>(741)</w:t>
            </w:r>
          </w:p>
        </w:tc>
        <w:tc>
          <w:tcPr>
            <w:tcW w:w="400" w:type="dxa"/>
            <w:vAlign w:val="bottom"/>
          </w:tcPr>
          <w:p>
            <w:pPr>
              <w:spacing w:after="0"/>
              <w:rPr>
                <w:sz w:val="24"/>
                <w:szCs w:val="24"/>
                <w:color w:val="auto"/>
              </w:rPr>
            </w:pPr>
          </w:p>
        </w:tc>
        <w:tc>
          <w:tcPr>
            <w:tcW w:w="960" w:type="dxa"/>
            <w:vAlign w:val="bottom"/>
          </w:tcPr>
          <w:p>
            <w:pPr>
              <w:jc w:val="right"/>
              <w:ind w:right="288"/>
              <w:spacing w:after="0"/>
              <w:rPr>
                <w:sz w:val="20"/>
                <w:szCs w:val="20"/>
                <w:color w:val="auto"/>
              </w:rPr>
            </w:pPr>
            <w:r>
              <w:rPr>
                <w:rFonts w:ascii="Arial" w:cs="Arial" w:eastAsia="Arial" w:hAnsi="Arial"/>
                <w:sz w:val="14"/>
                <w:szCs w:val="14"/>
                <w:color w:val="auto"/>
              </w:rPr>
              <w:t>(871)</w:t>
            </w:r>
          </w:p>
        </w:tc>
        <w:tc>
          <w:tcPr>
            <w:tcW w:w="400" w:type="dxa"/>
            <w:vAlign w:val="bottom"/>
          </w:tcPr>
          <w:p>
            <w:pPr>
              <w:spacing w:after="0"/>
              <w:rPr>
                <w:sz w:val="24"/>
                <w:szCs w:val="24"/>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(986)</w:t>
            </w:r>
          </w:p>
        </w:tc>
      </w:tr>
      <w:tr>
        <w:trPr>
          <w:trHeight w:val="130"/>
        </w:trPr>
        <w:tc>
          <w:tcPr>
            <w:tcW w:w="6140" w:type="dxa"/>
            <w:vAlign w:val="bottom"/>
            <w:tcBorders>
              <w:bottom w:val="single" w:sz="8" w:color="939598"/>
            </w:tcBorders>
          </w:tcPr>
          <w:p>
            <w:pPr>
              <w:spacing w:after="0"/>
              <w:rPr>
                <w:sz w:val="11"/>
                <w:szCs w:val="11"/>
                <w:color w:val="auto"/>
              </w:rPr>
            </w:pPr>
          </w:p>
        </w:tc>
        <w:tc>
          <w:tcPr>
            <w:tcW w:w="1500" w:type="dxa"/>
            <w:vAlign w:val="bottom"/>
            <w:tcBorders>
              <w:bottom w:val="single" w:sz="8" w:color="939598"/>
            </w:tcBorders>
          </w:tcPr>
          <w:p>
            <w:pPr>
              <w:spacing w:after="0"/>
              <w:rPr>
                <w:sz w:val="11"/>
                <w:szCs w:val="11"/>
                <w:color w:val="auto"/>
              </w:rPr>
            </w:pPr>
          </w:p>
        </w:tc>
        <w:tc>
          <w:tcPr>
            <w:tcW w:w="980" w:type="dxa"/>
            <w:vAlign w:val="bottom"/>
            <w:tcBorders>
              <w:bottom w:val="single" w:sz="8" w:color="939598"/>
            </w:tcBorders>
          </w:tcPr>
          <w:p>
            <w:pPr>
              <w:spacing w:after="0"/>
              <w:rPr>
                <w:sz w:val="11"/>
                <w:szCs w:val="11"/>
                <w:color w:val="auto"/>
              </w:rPr>
            </w:pPr>
          </w:p>
        </w:tc>
        <w:tc>
          <w:tcPr>
            <w:tcW w:w="400" w:type="dxa"/>
            <w:vAlign w:val="bottom"/>
            <w:tcBorders>
              <w:bottom w:val="single" w:sz="8" w:color="939598"/>
            </w:tcBorders>
          </w:tcPr>
          <w:p>
            <w:pPr>
              <w:spacing w:after="0"/>
              <w:rPr>
                <w:sz w:val="11"/>
                <w:szCs w:val="11"/>
                <w:color w:val="auto"/>
              </w:rPr>
            </w:pPr>
          </w:p>
        </w:tc>
        <w:tc>
          <w:tcPr>
            <w:tcW w:w="960" w:type="dxa"/>
            <w:vAlign w:val="bottom"/>
            <w:tcBorders>
              <w:bottom w:val="single" w:sz="8" w:color="939598"/>
            </w:tcBorders>
          </w:tcPr>
          <w:p>
            <w:pPr>
              <w:spacing w:after="0"/>
              <w:rPr>
                <w:sz w:val="11"/>
                <w:szCs w:val="11"/>
                <w:color w:val="auto"/>
              </w:rPr>
            </w:pPr>
          </w:p>
        </w:tc>
        <w:tc>
          <w:tcPr>
            <w:tcW w:w="400" w:type="dxa"/>
            <w:vAlign w:val="bottom"/>
            <w:tcBorders>
              <w:bottom w:val="single" w:sz="8" w:color="939598"/>
            </w:tcBorders>
          </w:tcPr>
          <w:p>
            <w:pPr>
              <w:spacing w:after="0"/>
              <w:rPr>
                <w:sz w:val="11"/>
                <w:szCs w:val="11"/>
                <w:color w:val="auto"/>
              </w:rPr>
            </w:pPr>
          </w:p>
        </w:tc>
        <w:tc>
          <w:tcPr>
            <w:tcW w:w="840" w:type="dxa"/>
            <w:vAlign w:val="bottom"/>
            <w:tcBorders>
              <w:bottom w:val="single" w:sz="8" w:color="939598"/>
            </w:tcBorders>
          </w:tcPr>
          <w:p>
            <w:pPr>
              <w:spacing w:after="0"/>
              <w:rPr>
                <w:sz w:val="11"/>
                <w:szCs w:val="11"/>
                <w:color w:val="auto"/>
              </w:rPr>
            </w:pPr>
          </w:p>
        </w:tc>
      </w:tr>
      <w:tr>
        <w:trPr>
          <w:trHeight w:val="315"/>
        </w:trPr>
        <w:tc>
          <w:tcPr>
            <w:tcW w:w="6140" w:type="dxa"/>
            <w:vAlign w:val="bottom"/>
          </w:tcPr>
          <w:p>
            <w:pPr>
              <w:ind w:left="20"/>
              <w:spacing w:after="0"/>
              <w:rPr>
                <w:sz w:val="20"/>
                <w:szCs w:val="20"/>
                <w:color w:val="auto"/>
              </w:rPr>
            </w:pPr>
            <w:r>
              <w:rPr>
                <w:rFonts w:ascii="Arial" w:cs="Arial" w:eastAsia="Arial" w:hAnsi="Arial"/>
                <w:sz w:val="14"/>
                <w:szCs w:val="14"/>
                <w:color w:val="auto"/>
              </w:rPr>
              <w:t>Spin-off and separation-related cost payments</w:t>
            </w:r>
          </w:p>
        </w:tc>
        <w:tc>
          <w:tcPr>
            <w:tcW w:w="1500" w:type="dxa"/>
            <w:vAlign w:val="bottom"/>
          </w:tcPr>
          <w:p>
            <w:pPr>
              <w:spacing w:after="0"/>
              <w:rPr>
                <w:sz w:val="24"/>
                <w:szCs w:val="24"/>
                <w:color w:val="auto"/>
              </w:rPr>
            </w:pPr>
          </w:p>
        </w:tc>
        <w:tc>
          <w:tcPr>
            <w:tcW w:w="98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24"/>
                <w:szCs w:val="24"/>
                <w:color w:val="auto"/>
              </w:rPr>
            </w:pPr>
          </w:p>
        </w:tc>
        <w:tc>
          <w:tcPr>
            <w:tcW w:w="960" w:type="dxa"/>
            <w:vAlign w:val="bottom"/>
          </w:tcPr>
          <w:p>
            <w:pPr>
              <w:jc w:val="right"/>
              <w:ind w:right="288"/>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24"/>
                <w:szCs w:val="24"/>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116</w:t>
            </w:r>
          </w:p>
        </w:tc>
      </w:tr>
      <w:tr>
        <w:trPr>
          <w:trHeight w:val="124"/>
        </w:trPr>
        <w:tc>
          <w:tcPr>
            <w:tcW w:w="6140" w:type="dxa"/>
            <w:vAlign w:val="bottom"/>
            <w:tcBorders>
              <w:bottom w:val="single" w:sz="8" w:color="939598"/>
            </w:tcBorders>
          </w:tcPr>
          <w:p>
            <w:pPr>
              <w:spacing w:after="0"/>
              <w:rPr>
                <w:sz w:val="10"/>
                <w:szCs w:val="10"/>
                <w:color w:val="auto"/>
              </w:rPr>
            </w:pPr>
          </w:p>
        </w:tc>
        <w:tc>
          <w:tcPr>
            <w:tcW w:w="1500" w:type="dxa"/>
            <w:vAlign w:val="bottom"/>
            <w:tcBorders>
              <w:bottom w:val="single" w:sz="8" w:color="939598"/>
            </w:tcBorders>
          </w:tcPr>
          <w:p>
            <w:pPr>
              <w:spacing w:after="0"/>
              <w:rPr>
                <w:sz w:val="10"/>
                <w:szCs w:val="10"/>
                <w:color w:val="auto"/>
              </w:rPr>
            </w:pPr>
          </w:p>
        </w:tc>
        <w:tc>
          <w:tcPr>
            <w:tcW w:w="98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spacing w:after="0"/>
              <w:rPr>
                <w:sz w:val="10"/>
                <w:szCs w:val="10"/>
                <w:color w:val="auto"/>
              </w:rPr>
            </w:pPr>
          </w:p>
        </w:tc>
        <w:tc>
          <w:tcPr>
            <w:tcW w:w="96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spacing w:after="0"/>
              <w:rPr>
                <w:sz w:val="10"/>
                <w:szCs w:val="10"/>
                <w:color w:val="auto"/>
              </w:rPr>
            </w:pPr>
          </w:p>
        </w:tc>
        <w:tc>
          <w:tcPr>
            <w:tcW w:w="840" w:type="dxa"/>
            <w:vAlign w:val="bottom"/>
            <w:tcBorders>
              <w:bottom w:val="single" w:sz="8" w:color="939598"/>
            </w:tcBorders>
          </w:tcPr>
          <w:p>
            <w:pPr>
              <w:spacing w:after="0"/>
              <w:rPr>
                <w:sz w:val="10"/>
                <w:szCs w:val="10"/>
                <w:color w:val="auto"/>
              </w:rPr>
            </w:pPr>
          </w:p>
        </w:tc>
      </w:tr>
      <w:tr>
        <w:trPr>
          <w:trHeight w:val="315"/>
        </w:trPr>
        <w:tc>
          <w:tcPr>
            <w:tcW w:w="6140" w:type="dxa"/>
            <w:vAlign w:val="bottom"/>
          </w:tcPr>
          <w:p>
            <w:pPr>
              <w:ind w:left="20"/>
              <w:spacing w:after="0"/>
              <w:rPr>
                <w:sz w:val="20"/>
                <w:szCs w:val="20"/>
                <w:color w:val="auto"/>
              </w:rPr>
            </w:pPr>
            <w:r>
              <w:rPr>
                <w:rFonts w:ascii="Arial" w:cs="Arial" w:eastAsia="Arial" w:hAnsi="Arial"/>
                <w:sz w:val="14"/>
                <w:szCs w:val="14"/>
                <w:color w:val="auto"/>
              </w:rPr>
              <w:t>Resideo indemnification and reimbursement agreement termination payment</w:t>
            </w:r>
          </w:p>
        </w:tc>
        <w:tc>
          <w:tcPr>
            <w:tcW w:w="1500" w:type="dxa"/>
            <w:vAlign w:val="bottom"/>
          </w:tcPr>
          <w:p>
            <w:pPr>
              <w:spacing w:after="0"/>
              <w:rPr>
                <w:sz w:val="24"/>
                <w:szCs w:val="24"/>
                <w:color w:val="auto"/>
              </w:rPr>
            </w:pPr>
          </w:p>
        </w:tc>
        <w:tc>
          <w:tcPr>
            <w:tcW w:w="98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24"/>
                <w:szCs w:val="24"/>
                <w:color w:val="auto"/>
              </w:rPr>
            </w:pPr>
          </w:p>
        </w:tc>
        <w:tc>
          <w:tcPr>
            <w:tcW w:w="960" w:type="dxa"/>
            <w:vAlign w:val="bottom"/>
          </w:tcPr>
          <w:p>
            <w:pPr>
              <w:jc w:val="right"/>
              <w:ind w:right="288"/>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24"/>
                <w:szCs w:val="24"/>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(1,590)</w:t>
            </w:r>
          </w:p>
        </w:tc>
      </w:tr>
      <w:tr>
        <w:trPr>
          <w:trHeight w:val="123"/>
        </w:trPr>
        <w:tc>
          <w:tcPr>
            <w:tcW w:w="6140" w:type="dxa"/>
            <w:vAlign w:val="bottom"/>
            <w:tcBorders>
              <w:bottom w:val="single" w:sz="8" w:color="939598"/>
            </w:tcBorders>
          </w:tcPr>
          <w:p>
            <w:pPr>
              <w:spacing w:after="0"/>
              <w:rPr>
                <w:sz w:val="10"/>
                <w:szCs w:val="10"/>
                <w:color w:val="auto"/>
              </w:rPr>
            </w:pPr>
          </w:p>
        </w:tc>
        <w:tc>
          <w:tcPr>
            <w:tcW w:w="1500" w:type="dxa"/>
            <w:vAlign w:val="bottom"/>
            <w:tcBorders>
              <w:bottom w:val="single" w:sz="8" w:color="939598"/>
            </w:tcBorders>
          </w:tcPr>
          <w:p>
            <w:pPr>
              <w:spacing w:after="0"/>
              <w:rPr>
                <w:sz w:val="10"/>
                <w:szCs w:val="10"/>
                <w:color w:val="auto"/>
              </w:rPr>
            </w:pPr>
          </w:p>
        </w:tc>
        <w:tc>
          <w:tcPr>
            <w:tcW w:w="98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spacing w:after="0"/>
              <w:rPr>
                <w:sz w:val="10"/>
                <w:szCs w:val="10"/>
                <w:color w:val="auto"/>
              </w:rPr>
            </w:pPr>
          </w:p>
        </w:tc>
        <w:tc>
          <w:tcPr>
            <w:tcW w:w="96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spacing w:after="0"/>
              <w:rPr>
                <w:sz w:val="10"/>
                <w:szCs w:val="10"/>
                <w:color w:val="auto"/>
              </w:rPr>
            </w:pPr>
          </w:p>
        </w:tc>
        <w:tc>
          <w:tcPr>
            <w:tcW w:w="840" w:type="dxa"/>
            <w:vAlign w:val="bottom"/>
            <w:tcBorders>
              <w:bottom w:val="single" w:sz="8" w:color="939598"/>
            </w:tcBorders>
          </w:tcPr>
          <w:p>
            <w:pPr>
              <w:spacing w:after="0"/>
              <w:rPr>
                <w:sz w:val="10"/>
                <w:szCs w:val="10"/>
                <w:color w:val="auto"/>
              </w:rPr>
            </w:pPr>
          </w:p>
        </w:tc>
      </w:tr>
      <w:tr>
        <w:trPr>
          <w:trHeight w:val="316"/>
        </w:trPr>
        <w:tc>
          <w:tcPr>
            <w:tcW w:w="6140" w:type="dxa"/>
            <w:vAlign w:val="bottom"/>
          </w:tcPr>
          <w:p>
            <w:pPr>
              <w:ind w:left="20"/>
              <w:spacing w:after="0"/>
              <w:rPr>
                <w:sz w:val="20"/>
                <w:szCs w:val="20"/>
                <w:color w:val="auto"/>
              </w:rPr>
            </w:pPr>
            <w:r>
              <w:rPr>
                <w:rFonts w:ascii="Arial" w:cs="Arial" w:eastAsia="Arial" w:hAnsi="Arial"/>
                <w:sz w:val="14"/>
                <w:szCs w:val="14"/>
                <w:color w:val="auto"/>
              </w:rPr>
              <w:t>Settlement of divestiture of asbestos liabilities</w:t>
            </w:r>
          </w:p>
        </w:tc>
        <w:tc>
          <w:tcPr>
            <w:tcW w:w="1500" w:type="dxa"/>
            <w:vAlign w:val="bottom"/>
          </w:tcPr>
          <w:p>
            <w:pPr>
              <w:spacing w:after="0"/>
              <w:rPr>
                <w:sz w:val="24"/>
                <w:szCs w:val="24"/>
                <w:color w:val="auto"/>
              </w:rPr>
            </w:pPr>
          </w:p>
        </w:tc>
        <w:tc>
          <w:tcPr>
            <w:tcW w:w="98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24"/>
                <w:szCs w:val="24"/>
                <w:color w:val="auto"/>
              </w:rPr>
            </w:pPr>
          </w:p>
        </w:tc>
        <w:tc>
          <w:tcPr>
            <w:tcW w:w="960" w:type="dxa"/>
            <w:vAlign w:val="bottom"/>
          </w:tcPr>
          <w:p>
            <w:pPr>
              <w:jc w:val="right"/>
              <w:ind w:right="288"/>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24"/>
                <w:szCs w:val="24"/>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1,428</w:t>
            </w:r>
          </w:p>
        </w:tc>
      </w:tr>
      <w:tr>
        <w:trPr>
          <w:trHeight w:val="123"/>
        </w:trPr>
        <w:tc>
          <w:tcPr>
            <w:tcW w:w="6140" w:type="dxa"/>
            <w:vAlign w:val="bottom"/>
            <w:tcBorders>
              <w:bottom w:val="single" w:sz="8" w:color="939598"/>
            </w:tcBorders>
          </w:tcPr>
          <w:p>
            <w:pPr>
              <w:spacing w:after="0"/>
              <w:rPr>
                <w:sz w:val="10"/>
                <w:szCs w:val="10"/>
                <w:color w:val="auto"/>
              </w:rPr>
            </w:pPr>
          </w:p>
        </w:tc>
        <w:tc>
          <w:tcPr>
            <w:tcW w:w="1500" w:type="dxa"/>
            <w:vAlign w:val="bottom"/>
            <w:tcBorders>
              <w:bottom w:val="single" w:sz="8" w:color="939598"/>
            </w:tcBorders>
          </w:tcPr>
          <w:p>
            <w:pPr>
              <w:spacing w:after="0"/>
              <w:rPr>
                <w:sz w:val="10"/>
                <w:szCs w:val="10"/>
                <w:color w:val="auto"/>
              </w:rPr>
            </w:pPr>
          </w:p>
        </w:tc>
        <w:tc>
          <w:tcPr>
            <w:tcW w:w="98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spacing w:after="0"/>
              <w:rPr>
                <w:sz w:val="10"/>
                <w:szCs w:val="10"/>
                <w:color w:val="auto"/>
              </w:rPr>
            </w:pPr>
          </w:p>
        </w:tc>
        <w:tc>
          <w:tcPr>
            <w:tcW w:w="96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spacing w:after="0"/>
              <w:rPr>
                <w:sz w:val="10"/>
                <w:szCs w:val="10"/>
                <w:color w:val="auto"/>
              </w:rPr>
            </w:pPr>
          </w:p>
        </w:tc>
        <w:tc>
          <w:tcPr>
            <w:tcW w:w="840" w:type="dxa"/>
            <w:vAlign w:val="bottom"/>
            <w:tcBorders>
              <w:bottom w:val="single" w:sz="8" w:color="939598"/>
            </w:tcBorders>
          </w:tcPr>
          <w:p>
            <w:pPr>
              <w:spacing w:after="0"/>
              <w:rPr>
                <w:sz w:val="10"/>
                <w:szCs w:val="10"/>
                <w:color w:val="auto"/>
              </w:rPr>
            </w:pPr>
          </w:p>
        </w:tc>
      </w:tr>
      <w:tr>
        <w:trPr>
          <w:trHeight w:val="309"/>
        </w:trPr>
        <w:tc>
          <w:tcPr>
            <w:tcW w:w="6140" w:type="dxa"/>
            <w:vAlign w:val="bottom"/>
          </w:tcPr>
          <w:p>
            <w:pPr>
              <w:ind w:left="20"/>
              <w:spacing w:after="0"/>
              <w:rPr>
                <w:sz w:val="20"/>
                <w:szCs w:val="20"/>
                <w:color w:val="auto"/>
              </w:rPr>
            </w:pPr>
            <w:r>
              <w:rPr>
                <w:rFonts w:ascii="Arial" w:cs="Arial" w:eastAsia="Arial" w:hAnsi="Arial"/>
                <w:sz w:val="14"/>
                <w:szCs w:val="14"/>
                <w:color w:val="auto"/>
              </w:rPr>
              <w:t>Settlement of Flexjet-related litigation matters</w:t>
            </w:r>
          </w:p>
        </w:tc>
        <w:tc>
          <w:tcPr>
            <w:tcW w:w="1500" w:type="dxa"/>
            <w:vAlign w:val="bottom"/>
          </w:tcPr>
          <w:p>
            <w:pPr>
              <w:spacing w:after="0"/>
              <w:rPr>
                <w:sz w:val="24"/>
                <w:szCs w:val="24"/>
                <w:color w:val="auto"/>
              </w:rPr>
            </w:pPr>
          </w:p>
        </w:tc>
        <w:tc>
          <w:tcPr>
            <w:tcW w:w="9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9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59</w:t>
            </w:r>
          </w:p>
        </w:tc>
      </w:tr>
      <w:tr>
        <w:trPr>
          <w:trHeight w:val="130"/>
        </w:trPr>
        <w:tc>
          <w:tcPr>
            <w:tcW w:w="6140" w:type="dxa"/>
            <w:vAlign w:val="bottom"/>
            <w:tcBorders>
              <w:bottom w:val="single" w:sz="8" w:color="D7282F"/>
            </w:tcBorders>
          </w:tcPr>
          <w:p>
            <w:pPr>
              <w:spacing w:after="0"/>
              <w:rPr>
                <w:sz w:val="11"/>
                <w:szCs w:val="11"/>
                <w:color w:val="auto"/>
              </w:rPr>
            </w:pPr>
          </w:p>
        </w:tc>
        <w:tc>
          <w:tcPr>
            <w:tcW w:w="1500" w:type="dxa"/>
            <w:vAlign w:val="bottom"/>
            <w:tcBorders>
              <w:bottom w:val="single" w:sz="8" w:color="D7282F"/>
            </w:tcBorders>
          </w:tcPr>
          <w:p>
            <w:pPr>
              <w:spacing w:after="0"/>
              <w:rPr>
                <w:sz w:val="11"/>
                <w:szCs w:val="11"/>
                <w:color w:val="auto"/>
              </w:rPr>
            </w:pPr>
          </w:p>
        </w:tc>
        <w:tc>
          <w:tcPr>
            <w:tcW w:w="980" w:type="dxa"/>
            <w:vAlign w:val="bottom"/>
            <w:tcBorders>
              <w:bottom w:val="single" w:sz="8" w:color="D7282F"/>
            </w:tcBorders>
          </w:tcPr>
          <w:p>
            <w:pPr>
              <w:spacing w:after="0"/>
              <w:rPr>
                <w:sz w:val="11"/>
                <w:szCs w:val="11"/>
                <w:color w:val="auto"/>
              </w:rPr>
            </w:pPr>
          </w:p>
        </w:tc>
        <w:tc>
          <w:tcPr>
            <w:tcW w:w="400" w:type="dxa"/>
            <w:vAlign w:val="bottom"/>
            <w:tcBorders>
              <w:bottom w:val="single" w:sz="8" w:color="D7282F"/>
            </w:tcBorders>
          </w:tcPr>
          <w:p>
            <w:pPr>
              <w:spacing w:after="0"/>
              <w:rPr>
                <w:sz w:val="11"/>
                <w:szCs w:val="11"/>
                <w:color w:val="auto"/>
              </w:rPr>
            </w:pPr>
          </w:p>
        </w:tc>
        <w:tc>
          <w:tcPr>
            <w:tcW w:w="960" w:type="dxa"/>
            <w:vAlign w:val="bottom"/>
            <w:tcBorders>
              <w:bottom w:val="single" w:sz="8" w:color="D7282F"/>
            </w:tcBorders>
          </w:tcPr>
          <w:p>
            <w:pPr>
              <w:spacing w:after="0"/>
              <w:rPr>
                <w:sz w:val="11"/>
                <w:szCs w:val="11"/>
                <w:color w:val="auto"/>
              </w:rPr>
            </w:pPr>
          </w:p>
        </w:tc>
        <w:tc>
          <w:tcPr>
            <w:tcW w:w="400" w:type="dxa"/>
            <w:vAlign w:val="bottom"/>
            <w:tcBorders>
              <w:bottom w:val="single" w:sz="8" w:color="D7282F"/>
            </w:tcBorders>
          </w:tcPr>
          <w:p>
            <w:pPr>
              <w:spacing w:after="0"/>
              <w:rPr>
                <w:sz w:val="11"/>
                <w:szCs w:val="11"/>
                <w:color w:val="auto"/>
              </w:rPr>
            </w:pPr>
          </w:p>
        </w:tc>
        <w:tc>
          <w:tcPr>
            <w:tcW w:w="840" w:type="dxa"/>
            <w:vAlign w:val="bottom"/>
            <w:tcBorders>
              <w:bottom w:val="single" w:sz="8" w:color="D7282F"/>
            </w:tcBorders>
          </w:tcPr>
          <w:p>
            <w:pPr>
              <w:spacing w:after="0"/>
              <w:rPr>
                <w:sz w:val="11"/>
                <w:szCs w:val="11"/>
                <w:color w:val="auto"/>
              </w:rPr>
            </w:pPr>
          </w:p>
        </w:tc>
      </w:tr>
      <w:tr>
        <w:trPr>
          <w:trHeight w:val="315"/>
        </w:trPr>
        <w:tc>
          <w:tcPr>
            <w:tcW w:w="6140" w:type="dxa"/>
            <w:vAlign w:val="bottom"/>
          </w:tcPr>
          <w:p>
            <w:pPr>
              <w:ind w:left="20"/>
              <w:spacing w:after="0"/>
              <w:rPr>
                <w:sz w:val="20"/>
                <w:szCs w:val="20"/>
                <w:color w:val="auto"/>
              </w:rPr>
            </w:pPr>
            <w:r>
              <w:rPr>
                <w:rFonts w:ascii="Arial" w:cs="Arial" w:eastAsia="Arial" w:hAnsi="Arial"/>
                <w:sz w:val="14"/>
                <w:szCs w:val="14"/>
                <w:b w:val="1"/>
                <w:bCs w:val="1"/>
                <w:color w:val="auto"/>
              </w:rPr>
              <w:t>Free cash flow</w:t>
            </w:r>
          </w:p>
        </w:tc>
        <w:tc>
          <w:tcPr>
            <w:tcW w:w="1500" w:type="dxa"/>
            <w:vAlign w:val="bottom"/>
          </w:tcPr>
          <w:p>
            <w:pPr>
              <w:spacing w:after="0"/>
              <w:rPr>
                <w:sz w:val="24"/>
                <w:szCs w:val="24"/>
                <w:color w:val="auto"/>
              </w:rPr>
            </w:pPr>
          </w:p>
        </w:tc>
        <w:tc>
          <w:tcPr>
            <w:tcW w:w="980" w:type="dxa"/>
            <w:vAlign w:val="bottom"/>
          </w:tcPr>
          <w:p>
            <w:pPr>
              <w:jc w:val="right"/>
              <w:ind w:right="308"/>
              <w:spacing w:after="0"/>
              <w:rPr>
                <w:sz w:val="20"/>
                <w:szCs w:val="20"/>
                <w:color w:val="auto"/>
              </w:rPr>
            </w:pPr>
            <w:r>
              <w:rPr>
                <w:rFonts w:ascii="Arial" w:cs="Arial" w:eastAsia="Arial" w:hAnsi="Arial"/>
                <w:sz w:val="14"/>
                <w:szCs w:val="14"/>
                <w:b w:val="1"/>
                <w:bCs w:val="1"/>
                <w:color w:val="auto"/>
              </w:rPr>
              <w:t>3,718</w:t>
            </w:r>
          </w:p>
        </w:tc>
        <w:tc>
          <w:tcPr>
            <w:tcW w:w="400" w:type="dxa"/>
            <w:vAlign w:val="bottom"/>
          </w:tcPr>
          <w:p>
            <w:pPr>
              <w:spacing w:after="0"/>
              <w:rPr>
                <w:sz w:val="24"/>
                <w:szCs w:val="24"/>
                <w:color w:val="auto"/>
              </w:rPr>
            </w:pPr>
          </w:p>
        </w:tc>
        <w:tc>
          <w:tcPr>
            <w:tcW w:w="960" w:type="dxa"/>
            <w:vAlign w:val="bottom"/>
          </w:tcPr>
          <w:p>
            <w:pPr>
              <w:jc w:val="right"/>
              <w:ind w:right="288"/>
              <w:spacing w:after="0"/>
              <w:rPr>
                <w:sz w:val="20"/>
                <w:szCs w:val="20"/>
                <w:color w:val="auto"/>
              </w:rPr>
            </w:pPr>
            <w:r>
              <w:rPr>
                <w:rFonts w:ascii="Arial" w:cs="Arial" w:eastAsia="Arial" w:hAnsi="Arial"/>
                <w:sz w:val="14"/>
                <w:szCs w:val="14"/>
                <w:b w:val="1"/>
                <w:bCs w:val="1"/>
                <w:color w:val="auto"/>
              </w:rPr>
              <w:t>4,241</w:t>
            </w:r>
          </w:p>
        </w:tc>
        <w:tc>
          <w:tcPr>
            <w:tcW w:w="400" w:type="dxa"/>
            <w:vAlign w:val="bottom"/>
          </w:tcPr>
          <w:p>
            <w:pPr>
              <w:spacing w:after="0"/>
              <w:rPr>
                <w:sz w:val="24"/>
                <w:szCs w:val="24"/>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b w:val="1"/>
                <w:bCs w:val="1"/>
                <w:color w:val="auto"/>
              </w:rPr>
              <w:t>5,102</w:t>
            </w:r>
          </w:p>
        </w:tc>
      </w:tr>
      <w:tr>
        <w:trPr>
          <w:trHeight w:val="124"/>
        </w:trPr>
        <w:tc>
          <w:tcPr>
            <w:tcW w:w="6140" w:type="dxa"/>
            <w:vAlign w:val="bottom"/>
            <w:tcBorders>
              <w:bottom w:val="single" w:sz="8" w:color="D7282F"/>
            </w:tcBorders>
          </w:tcPr>
          <w:p>
            <w:pPr>
              <w:spacing w:after="0"/>
              <w:rPr>
                <w:sz w:val="10"/>
                <w:szCs w:val="10"/>
                <w:color w:val="auto"/>
              </w:rPr>
            </w:pPr>
          </w:p>
        </w:tc>
        <w:tc>
          <w:tcPr>
            <w:tcW w:w="1500" w:type="dxa"/>
            <w:vAlign w:val="bottom"/>
            <w:tcBorders>
              <w:bottom w:val="single" w:sz="8" w:color="D7282F"/>
            </w:tcBorders>
          </w:tcPr>
          <w:p>
            <w:pPr>
              <w:spacing w:after="0"/>
              <w:rPr>
                <w:sz w:val="10"/>
                <w:szCs w:val="10"/>
                <w:color w:val="auto"/>
              </w:rPr>
            </w:pPr>
          </w:p>
        </w:tc>
        <w:tc>
          <w:tcPr>
            <w:tcW w:w="980" w:type="dxa"/>
            <w:vAlign w:val="bottom"/>
            <w:tcBorders>
              <w:bottom w:val="single" w:sz="8" w:color="D7282F"/>
            </w:tcBorders>
          </w:tcPr>
          <w:p>
            <w:pPr>
              <w:spacing w:after="0"/>
              <w:rPr>
                <w:sz w:val="10"/>
                <w:szCs w:val="10"/>
                <w:color w:val="auto"/>
              </w:rPr>
            </w:pPr>
          </w:p>
        </w:tc>
        <w:tc>
          <w:tcPr>
            <w:tcW w:w="400" w:type="dxa"/>
            <w:vAlign w:val="bottom"/>
            <w:tcBorders>
              <w:bottom w:val="single" w:sz="8" w:color="D7282F"/>
            </w:tcBorders>
          </w:tcPr>
          <w:p>
            <w:pPr>
              <w:spacing w:after="0"/>
              <w:rPr>
                <w:sz w:val="10"/>
                <w:szCs w:val="10"/>
                <w:color w:val="auto"/>
              </w:rPr>
            </w:pPr>
          </w:p>
        </w:tc>
        <w:tc>
          <w:tcPr>
            <w:tcW w:w="960" w:type="dxa"/>
            <w:vAlign w:val="bottom"/>
            <w:tcBorders>
              <w:bottom w:val="single" w:sz="8" w:color="D7282F"/>
            </w:tcBorders>
          </w:tcPr>
          <w:p>
            <w:pPr>
              <w:spacing w:after="0"/>
              <w:rPr>
                <w:sz w:val="10"/>
                <w:szCs w:val="10"/>
                <w:color w:val="auto"/>
              </w:rPr>
            </w:pPr>
          </w:p>
        </w:tc>
        <w:tc>
          <w:tcPr>
            <w:tcW w:w="400" w:type="dxa"/>
            <w:vAlign w:val="bottom"/>
            <w:tcBorders>
              <w:bottom w:val="single" w:sz="8" w:color="D7282F"/>
            </w:tcBorders>
          </w:tcPr>
          <w:p>
            <w:pPr>
              <w:spacing w:after="0"/>
              <w:rPr>
                <w:sz w:val="10"/>
                <w:szCs w:val="10"/>
                <w:color w:val="auto"/>
              </w:rPr>
            </w:pPr>
          </w:p>
        </w:tc>
        <w:tc>
          <w:tcPr>
            <w:tcW w:w="840" w:type="dxa"/>
            <w:vAlign w:val="bottom"/>
            <w:tcBorders>
              <w:bottom w:val="single" w:sz="8" w:color="D7282F"/>
            </w:tcBorders>
          </w:tcPr>
          <w:p>
            <w:pPr>
              <w:spacing w:after="0"/>
              <w:rPr>
                <w:sz w:val="10"/>
                <w:szCs w:val="10"/>
                <w:color w:val="auto"/>
              </w:rPr>
            </w:pPr>
          </w:p>
        </w:tc>
      </w:tr>
      <w:tr>
        <w:trPr>
          <w:trHeight w:val="367"/>
        </w:trPr>
        <w:tc>
          <w:tcPr>
            <w:tcW w:w="6140" w:type="dxa"/>
            <w:vAlign w:val="bottom"/>
          </w:tcPr>
          <w:p>
            <w:pPr>
              <w:ind w:left="20"/>
              <w:spacing w:after="0"/>
              <w:rPr>
                <w:sz w:val="20"/>
                <w:szCs w:val="20"/>
                <w:color w:val="auto"/>
              </w:rPr>
            </w:pPr>
            <w:r>
              <w:rPr>
                <w:rFonts w:ascii="Arial" w:cs="Arial" w:eastAsia="Arial" w:hAnsi="Arial"/>
                <w:sz w:val="14"/>
                <w:szCs w:val="14"/>
                <w:color w:val="auto"/>
              </w:rPr>
              <w:t>Impact of settlements</w:t>
            </w:r>
            <w:r>
              <w:rPr>
                <w:rFonts w:ascii="Arial" w:cs="Arial" w:eastAsia="Arial" w:hAnsi="Arial"/>
                <w:sz w:val="18"/>
                <w:szCs w:val="18"/>
                <w:color w:val="auto"/>
                <w:vertAlign w:val="superscript"/>
              </w:rPr>
              <w:t>(1)</w:t>
            </w:r>
          </w:p>
        </w:tc>
        <w:tc>
          <w:tcPr>
            <w:tcW w:w="1500" w:type="dxa"/>
            <w:vAlign w:val="bottom"/>
          </w:tcPr>
          <w:p>
            <w:pPr>
              <w:spacing w:after="0"/>
              <w:rPr>
                <w:sz w:val="24"/>
                <w:szCs w:val="24"/>
                <w:color w:val="auto"/>
              </w:rPr>
            </w:pPr>
          </w:p>
        </w:tc>
        <w:tc>
          <w:tcPr>
            <w:tcW w:w="980" w:type="dxa"/>
            <w:vAlign w:val="bottom"/>
          </w:tcPr>
          <w:p>
            <w:pPr>
              <w:jc w:val="right"/>
              <w:ind w:right="308"/>
              <w:spacing w:after="0"/>
              <w:rPr>
                <w:sz w:val="20"/>
                <w:szCs w:val="20"/>
                <w:color w:val="auto"/>
              </w:rPr>
            </w:pPr>
            <w:r>
              <w:rPr>
                <w:rFonts w:ascii="Arial" w:cs="Arial" w:eastAsia="Arial" w:hAnsi="Arial"/>
                <w:sz w:val="14"/>
                <w:szCs w:val="14"/>
                <w:color w:val="auto"/>
              </w:rPr>
              <w:t>1,001</w:t>
            </w:r>
          </w:p>
        </w:tc>
        <w:tc>
          <w:tcPr>
            <w:tcW w:w="400" w:type="dxa"/>
            <w:vAlign w:val="bottom"/>
          </w:tcPr>
          <w:p>
            <w:pPr>
              <w:spacing w:after="0"/>
              <w:rPr>
                <w:sz w:val="24"/>
                <w:szCs w:val="24"/>
                <w:color w:val="auto"/>
              </w:rPr>
            </w:pPr>
          </w:p>
        </w:tc>
        <w:tc>
          <w:tcPr>
            <w:tcW w:w="9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w:t>
            </w:r>
          </w:p>
        </w:tc>
      </w:tr>
      <w:tr>
        <w:trPr>
          <w:trHeight w:val="72"/>
        </w:trPr>
        <w:tc>
          <w:tcPr>
            <w:tcW w:w="6140" w:type="dxa"/>
            <w:vAlign w:val="bottom"/>
            <w:tcBorders>
              <w:bottom w:val="single" w:sz="8" w:color="D7282F"/>
            </w:tcBorders>
          </w:tcPr>
          <w:p>
            <w:pPr>
              <w:spacing w:after="0"/>
              <w:rPr>
                <w:sz w:val="6"/>
                <w:szCs w:val="6"/>
                <w:color w:val="auto"/>
              </w:rPr>
            </w:pPr>
          </w:p>
        </w:tc>
        <w:tc>
          <w:tcPr>
            <w:tcW w:w="1500" w:type="dxa"/>
            <w:vAlign w:val="bottom"/>
            <w:tcBorders>
              <w:bottom w:val="single" w:sz="8" w:color="D7282F"/>
            </w:tcBorders>
          </w:tcPr>
          <w:p>
            <w:pPr>
              <w:spacing w:after="0"/>
              <w:rPr>
                <w:sz w:val="6"/>
                <w:szCs w:val="6"/>
                <w:color w:val="auto"/>
              </w:rPr>
            </w:pPr>
          </w:p>
        </w:tc>
        <w:tc>
          <w:tcPr>
            <w:tcW w:w="980" w:type="dxa"/>
            <w:vAlign w:val="bottom"/>
            <w:tcBorders>
              <w:bottom w:val="single" w:sz="8" w:color="D7282F"/>
            </w:tcBorders>
          </w:tcPr>
          <w:p>
            <w:pPr>
              <w:spacing w:after="0"/>
              <w:rPr>
                <w:sz w:val="6"/>
                <w:szCs w:val="6"/>
                <w:color w:val="auto"/>
              </w:rPr>
            </w:pPr>
          </w:p>
        </w:tc>
        <w:tc>
          <w:tcPr>
            <w:tcW w:w="400" w:type="dxa"/>
            <w:vAlign w:val="bottom"/>
            <w:tcBorders>
              <w:bottom w:val="single" w:sz="8" w:color="D7282F"/>
            </w:tcBorders>
          </w:tcPr>
          <w:p>
            <w:pPr>
              <w:spacing w:after="0"/>
              <w:rPr>
                <w:sz w:val="6"/>
                <w:szCs w:val="6"/>
                <w:color w:val="auto"/>
              </w:rPr>
            </w:pPr>
          </w:p>
        </w:tc>
        <w:tc>
          <w:tcPr>
            <w:tcW w:w="960" w:type="dxa"/>
            <w:vAlign w:val="bottom"/>
            <w:tcBorders>
              <w:bottom w:val="single" w:sz="8" w:color="D7282F"/>
            </w:tcBorders>
          </w:tcPr>
          <w:p>
            <w:pPr>
              <w:spacing w:after="0"/>
              <w:rPr>
                <w:sz w:val="6"/>
                <w:szCs w:val="6"/>
                <w:color w:val="auto"/>
              </w:rPr>
            </w:pPr>
          </w:p>
        </w:tc>
        <w:tc>
          <w:tcPr>
            <w:tcW w:w="400" w:type="dxa"/>
            <w:vAlign w:val="bottom"/>
            <w:tcBorders>
              <w:bottom w:val="single" w:sz="8" w:color="D7282F"/>
            </w:tcBorders>
          </w:tcPr>
          <w:p>
            <w:pPr>
              <w:spacing w:after="0"/>
              <w:rPr>
                <w:sz w:val="6"/>
                <w:szCs w:val="6"/>
                <w:color w:val="auto"/>
              </w:rPr>
            </w:pPr>
          </w:p>
        </w:tc>
        <w:tc>
          <w:tcPr>
            <w:tcW w:w="840" w:type="dxa"/>
            <w:vAlign w:val="bottom"/>
            <w:tcBorders>
              <w:bottom w:val="single" w:sz="8" w:color="D7282F"/>
            </w:tcBorders>
          </w:tcPr>
          <w:p>
            <w:pPr>
              <w:spacing w:after="0"/>
              <w:rPr>
                <w:sz w:val="6"/>
                <w:szCs w:val="6"/>
                <w:color w:val="auto"/>
              </w:rPr>
            </w:pPr>
          </w:p>
        </w:tc>
      </w:tr>
      <w:tr>
        <w:trPr>
          <w:trHeight w:val="316"/>
        </w:trPr>
        <w:tc>
          <w:tcPr>
            <w:tcW w:w="6140" w:type="dxa"/>
            <w:vAlign w:val="bottom"/>
          </w:tcPr>
          <w:p>
            <w:pPr>
              <w:ind w:left="20"/>
              <w:spacing w:after="0"/>
              <w:rPr>
                <w:sz w:val="20"/>
                <w:szCs w:val="20"/>
                <w:color w:val="auto"/>
              </w:rPr>
            </w:pPr>
            <w:r>
              <w:rPr>
                <w:rFonts w:ascii="Arial" w:cs="Arial" w:eastAsia="Arial" w:hAnsi="Arial"/>
                <w:sz w:val="14"/>
                <w:szCs w:val="14"/>
                <w:b w:val="1"/>
                <w:bCs w:val="1"/>
                <w:color w:val="auto"/>
              </w:rPr>
              <w:t>Adjusted free cash flow</w:t>
            </w:r>
          </w:p>
        </w:tc>
        <w:tc>
          <w:tcPr>
            <w:tcW w:w="1500" w:type="dxa"/>
            <w:vAlign w:val="bottom"/>
          </w:tcPr>
          <w:p>
            <w:pPr>
              <w:spacing w:after="0"/>
              <w:rPr>
                <w:sz w:val="24"/>
                <w:szCs w:val="24"/>
                <w:color w:val="auto"/>
              </w:rPr>
            </w:pPr>
          </w:p>
        </w:tc>
        <w:tc>
          <w:tcPr>
            <w:tcW w:w="980" w:type="dxa"/>
            <w:vAlign w:val="bottom"/>
          </w:tcPr>
          <w:p>
            <w:pPr>
              <w:jc w:val="right"/>
              <w:ind w:right="308"/>
              <w:spacing w:after="0"/>
              <w:rPr>
                <w:sz w:val="20"/>
                <w:szCs w:val="20"/>
                <w:color w:val="auto"/>
              </w:rPr>
            </w:pPr>
            <w:r>
              <w:rPr>
                <w:rFonts w:ascii="Arial" w:cs="Arial" w:eastAsia="Arial" w:hAnsi="Arial"/>
                <w:sz w:val="14"/>
                <w:szCs w:val="14"/>
                <w:b w:val="1"/>
                <w:bCs w:val="1"/>
                <w:color w:val="auto"/>
              </w:rPr>
              <w:t>4,719</w:t>
            </w:r>
          </w:p>
        </w:tc>
        <w:tc>
          <w:tcPr>
            <w:tcW w:w="400" w:type="dxa"/>
            <w:vAlign w:val="bottom"/>
          </w:tcPr>
          <w:p>
            <w:pPr>
              <w:spacing w:after="0"/>
              <w:rPr>
                <w:sz w:val="24"/>
                <w:szCs w:val="24"/>
                <w:color w:val="auto"/>
              </w:rPr>
            </w:pPr>
          </w:p>
        </w:tc>
        <w:tc>
          <w:tcPr>
            <w:tcW w:w="960" w:type="dxa"/>
            <w:vAlign w:val="bottom"/>
          </w:tcPr>
          <w:p>
            <w:pPr>
              <w:jc w:val="right"/>
              <w:ind w:right="288"/>
              <w:spacing w:after="0"/>
              <w:rPr>
                <w:sz w:val="20"/>
                <w:szCs w:val="20"/>
                <w:color w:val="auto"/>
              </w:rPr>
            </w:pPr>
            <w:r>
              <w:rPr>
                <w:rFonts w:ascii="Arial" w:cs="Arial" w:eastAsia="Arial" w:hAnsi="Arial"/>
                <w:sz w:val="14"/>
                <w:szCs w:val="14"/>
                <w:b w:val="1"/>
                <w:bCs w:val="1"/>
                <w:color w:val="auto"/>
              </w:rPr>
              <w:t>4,241</w:t>
            </w:r>
          </w:p>
        </w:tc>
        <w:tc>
          <w:tcPr>
            <w:tcW w:w="400" w:type="dxa"/>
            <w:vAlign w:val="bottom"/>
          </w:tcPr>
          <w:p>
            <w:pPr>
              <w:spacing w:after="0"/>
              <w:rPr>
                <w:sz w:val="24"/>
                <w:szCs w:val="24"/>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b w:val="1"/>
                <w:bCs w:val="1"/>
                <w:color w:val="auto"/>
              </w:rPr>
              <w:t>5,102</w:t>
            </w:r>
          </w:p>
        </w:tc>
      </w:tr>
      <w:tr>
        <w:trPr>
          <w:trHeight w:val="123"/>
        </w:trPr>
        <w:tc>
          <w:tcPr>
            <w:tcW w:w="6140" w:type="dxa"/>
            <w:vAlign w:val="bottom"/>
            <w:tcBorders>
              <w:bottom w:val="single" w:sz="8" w:color="D7282F"/>
            </w:tcBorders>
          </w:tcPr>
          <w:p>
            <w:pPr>
              <w:spacing w:after="0"/>
              <w:rPr>
                <w:sz w:val="10"/>
                <w:szCs w:val="10"/>
                <w:color w:val="auto"/>
              </w:rPr>
            </w:pPr>
          </w:p>
        </w:tc>
        <w:tc>
          <w:tcPr>
            <w:tcW w:w="1500" w:type="dxa"/>
            <w:vAlign w:val="bottom"/>
            <w:tcBorders>
              <w:bottom w:val="single" w:sz="8" w:color="D7282F"/>
            </w:tcBorders>
          </w:tcPr>
          <w:p>
            <w:pPr>
              <w:spacing w:after="0"/>
              <w:rPr>
                <w:sz w:val="10"/>
                <w:szCs w:val="10"/>
                <w:color w:val="auto"/>
              </w:rPr>
            </w:pPr>
          </w:p>
        </w:tc>
        <w:tc>
          <w:tcPr>
            <w:tcW w:w="980" w:type="dxa"/>
            <w:vAlign w:val="bottom"/>
            <w:tcBorders>
              <w:bottom w:val="single" w:sz="8" w:color="D7282F"/>
            </w:tcBorders>
          </w:tcPr>
          <w:p>
            <w:pPr>
              <w:spacing w:after="0"/>
              <w:rPr>
                <w:sz w:val="10"/>
                <w:szCs w:val="10"/>
                <w:color w:val="auto"/>
              </w:rPr>
            </w:pPr>
          </w:p>
        </w:tc>
        <w:tc>
          <w:tcPr>
            <w:tcW w:w="400" w:type="dxa"/>
            <w:vAlign w:val="bottom"/>
            <w:tcBorders>
              <w:bottom w:val="single" w:sz="8" w:color="D7282F"/>
            </w:tcBorders>
          </w:tcPr>
          <w:p>
            <w:pPr>
              <w:spacing w:after="0"/>
              <w:rPr>
                <w:sz w:val="10"/>
                <w:szCs w:val="10"/>
                <w:color w:val="auto"/>
              </w:rPr>
            </w:pPr>
          </w:p>
        </w:tc>
        <w:tc>
          <w:tcPr>
            <w:tcW w:w="960" w:type="dxa"/>
            <w:vAlign w:val="bottom"/>
            <w:tcBorders>
              <w:bottom w:val="single" w:sz="8" w:color="D7282F"/>
            </w:tcBorders>
          </w:tcPr>
          <w:p>
            <w:pPr>
              <w:spacing w:after="0"/>
              <w:rPr>
                <w:sz w:val="10"/>
                <w:szCs w:val="10"/>
                <w:color w:val="auto"/>
              </w:rPr>
            </w:pPr>
          </w:p>
        </w:tc>
        <w:tc>
          <w:tcPr>
            <w:tcW w:w="400" w:type="dxa"/>
            <w:vAlign w:val="bottom"/>
            <w:tcBorders>
              <w:bottom w:val="single" w:sz="8" w:color="D7282F"/>
            </w:tcBorders>
          </w:tcPr>
          <w:p>
            <w:pPr>
              <w:spacing w:after="0"/>
              <w:rPr>
                <w:sz w:val="10"/>
                <w:szCs w:val="10"/>
                <w:color w:val="auto"/>
              </w:rPr>
            </w:pPr>
          </w:p>
        </w:tc>
        <w:tc>
          <w:tcPr>
            <w:tcW w:w="840" w:type="dxa"/>
            <w:vAlign w:val="bottom"/>
            <w:tcBorders>
              <w:bottom w:val="single" w:sz="8" w:color="D7282F"/>
            </w:tcBorders>
          </w:tcPr>
          <w:p>
            <w:pPr>
              <w:spacing w:after="0"/>
              <w:rPr>
                <w:sz w:val="10"/>
                <w:szCs w:val="10"/>
                <w:color w:val="auto"/>
              </w:rPr>
            </w:pPr>
          </w:p>
        </w:tc>
      </w:tr>
      <w:tr>
        <w:trPr>
          <w:trHeight w:val="309"/>
        </w:trPr>
        <w:tc>
          <w:tcPr>
            <w:tcW w:w="6140" w:type="dxa"/>
            <w:vAlign w:val="bottom"/>
          </w:tcPr>
          <w:p>
            <w:pPr>
              <w:ind w:left="20"/>
              <w:spacing w:after="0"/>
              <w:rPr>
                <w:sz w:val="20"/>
                <w:szCs w:val="20"/>
                <w:color w:val="auto"/>
              </w:rPr>
            </w:pPr>
            <w:r>
              <w:rPr>
                <w:rFonts w:ascii="Arial" w:cs="Arial" w:eastAsia="Arial" w:hAnsi="Arial"/>
                <w:sz w:val="14"/>
                <w:szCs w:val="14"/>
                <w:color w:val="auto"/>
              </w:rPr>
              <w:t>Cash provided by operating activities</w:t>
            </w:r>
          </w:p>
        </w:tc>
        <w:tc>
          <w:tcPr>
            <w:tcW w:w="1500" w:type="dxa"/>
            <w:vAlign w:val="bottom"/>
          </w:tcPr>
          <w:p>
            <w:pPr>
              <w:spacing w:after="0"/>
              <w:rPr>
                <w:sz w:val="24"/>
                <w:szCs w:val="24"/>
                <w:color w:val="auto"/>
              </w:rPr>
            </w:pPr>
          </w:p>
        </w:tc>
        <w:tc>
          <w:tcPr>
            <w:tcW w:w="980" w:type="dxa"/>
            <w:vAlign w:val="bottom"/>
          </w:tcPr>
          <w:p>
            <w:pPr>
              <w:jc w:val="right"/>
              <w:ind w:right="308"/>
              <w:spacing w:after="0"/>
              <w:rPr>
                <w:sz w:val="20"/>
                <w:szCs w:val="20"/>
                <w:color w:val="auto"/>
              </w:rPr>
            </w:pPr>
            <w:r>
              <w:rPr>
                <w:rFonts w:ascii="Arial" w:cs="Arial" w:eastAsia="Arial" w:hAnsi="Arial"/>
                <w:sz w:val="14"/>
                <w:szCs w:val="14"/>
                <w:color w:val="auto"/>
              </w:rPr>
              <w:t>4,459</w:t>
            </w:r>
          </w:p>
        </w:tc>
        <w:tc>
          <w:tcPr>
            <w:tcW w:w="400" w:type="dxa"/>
            <w:vAlign w:val="bottom"/>
          </w:tcPr>
          <w:p>
            <w:pPr>
              <w:spacing w:after="0"/>
              <w:rPr>
                <w:sz w:val="24"/>
                <w:szCs w:val="24"/>
                <w:color w:val="auto"/>
              </w:rPr>
            </w:pPr>
          </w:p>
        </w:tc>
        <w:tc>
          <w:tcPr>
            <w:tcW w:w="960" w:type="dxa"/>
            <w:vAlign w:val="bottom"/>
          </w:tcPr>
          <w:p>
            <w:pPr>
              <w:jc w:val="right"/>
              <w:ind w:right="288"/>
              <w:spacing w:after="0"/>
              <w:rPr>
                <w:sz w:val="20"/>
                <w:szCs w:val="20"/>
                <w:color w:val="auto"/>
              </w:rPr>
            </w:pPr>
            <w:r>
              <w:rPr>
                <w:rFonts w:ascii="Arial" w:cs="Arial" w:eastAsia="Arial" w:hAnsi="Arial"/>
                <w:sz w:val="14"/>
                <w:szCs w:val="14"/>
                <w:color w:val="auto"/>
              </w:rPr>
              <w:t>5,112</w:t>
            </w:r>
          </w:p>
        </w:tc>
        <w:tc>
          <w:tcPr>
            <w:tcW w:w="400" w:type="dxa"/>
            <w:vAlign w:val="bottom"/>
          </w:tcPr>
          <w:p>
            <w:pPr>
              <w:spacing w:after="0"/>
              <w:rPr>
                <w:sz w:val="24"/>
                <w:szCs w:val="24"/>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6,075</w:t>
            </w:r>
          </w:p>
        </w:tc>
      </w:tr>
      <w:tr>
        <w:trPr>
          <w:trHeight w:val="130"/>
        </w:trPr>
        <w:tc>
          <w:tcPr>
            <w:tcW w:w="6140" w:type="dxa"/>
            <w:vAlign w:val="bottom"/>
            <w:tcBorders>
              <w:bottom w:val="single" w:sz="8" w:color="939598"/>
            </w:tcBorders>
          </w:tcPr>
          <w:p>
            <w:pPr>
              <w:spacing w:after="0"/>
              <w:rPr>
                <w:sz w:val="11"/>
                <w:szCs w:val="11"/>
                <w:color w:val="auto"/>
              </w:rPr>
            </w:pPr>
          </w:p>
        </w:tc>
        <w:tc>
          <w:tcPr>
            <w:tcW w:w="1500" w:type="dxa"/>
            <w:vAlign w:val="bottom"/>
            <w:tcBorders>
              <w:bottom w:val="single" w:sz="8" w:color="939598"/>
            </w:tcBorders>
          </w:tcPr>
          <w:p>
            <w:pPr>
              <w:spacing w:after="0"/>
              <w:rPr>
                <w:sz w:val="11"/>
                <w:szCs w:val="11"/>
                <w:color w:val="auto"/>
              </w:rPr>
            </w:pPr>
          </w:p>
        </w:tc>
        <w:tc>
          <w:tcPr>
            <w:tcW w:w="980" w:type="dxa"/>
            <w:vAlign w:val="bottom"/>
            <w:tcBorders>
              <w:bottom w:val="single" w:sz="8" w:color="939598"/>
            </w:tcBorders>
          </w:tcPr>
          <w:p>
            <w:pPr>
              <w:spacing w:after="0"/>
              <w:rPr>
                <w:sz w:val="11"/>
                <w:szCs w:val="11"/>
                <w:color w:val="auto"/>
              </w:rPr>
            </w:pPr>
          </w:p>
        </w:tc>
        <w:tc>
          <w:tcPr>
            <w:tcW w:w="400" w:type="dxa"/>
            <w:vAlign w:val="bottom"/>
            <w:tcBorders>
              <w:bottom w:val="single" w:sz="8" w:color="939598"/>
            </w:tcBorders>
          </w:tcPr>
          <w:p>
            <w:pPr>
              <w:spacing w:after="0"/>
              <w:rPr>
                <w:sz w:val="11"/>
                <w:szCs w:val="11"/>
                <w:color w:val="auto"/>
              </w:rPr>
            </w:pPr>
          </w:p>
        </w:tc>
        <w:tc>
          <w:tcPr>
            <w:tcW w:w="960" w:type="dxa"/>
            <w:vAlign w:val="bottom"/>
            <w:tcBorders>
              <w:bottom w:val="single" w:sz="8" w:color="939598"/>
            </w:tcBorders>
          </w:tcPr>
          <w:p>
            <w:pPr>
              <w:spacing w:after="0"/>
              <w:rPr>
                <w:sz w:val="11"/>
                <w:szCs w:val="11"/>
                <w:color w:val="auto"/>
              </w:rPr>
            </w:pPr>
          </w:p>
        </w:tc>
        <w:tc>
          <w:tcPr>
            <w:tcW w:w="400" w:type="dxa"/>
            <w:vAlign w:val="bottom"/>
            <w:tcBorders>
              <w:bottom w:val="single" w:sz="8" w:color="939598"/>
            </w:tcBorders>
          </w:tcPr>
          <w:p>
            <w:pPr>
              <w:spacing w:after="0"/>
              <w:rPr>
                <w:sz w:val="11"/>
                <w:szCs w:val="11"/>
                <w:color w:val="auto"/>
              </w:rPr>
            </w:pPr>
          </w:p>
        </w:tc>
        <w:tc>
          <w:tcPr>
            <w:tcW w:w="840" w:type="dxa"/>
            <w:vAlign w:val="bottom"/>
            <w:tcBorders>
              <w:bottom w:val="single" w:sz="8" w:color="939598"/>
            </w:tcBorders>
          </w:tcPr>
          <w:p>
            <w:pPr>
              <w:spacing w:after="0"/>
              <w:rPr>
                <w:sz w:val="11"/>
                <w:szCs w:val="11"/>
                <w:color w:val="auto"/>
              </w:rPr>
            </w:pPr>
          </w:p>
        </w:tc>
      </w:tr>
      <w:tr>
        <w:trPr>
          <w:trHeight w:val="309"/>
        </w:trPr>
        <w:tc>
          <w:tcPr>
            <w:tcW w:w="6140" w:type="dxa"/>
            <w:vAlign w:val="bottom"/>
          </w:tcPr>
          <w:p>
            <w:pPr>
              <w:ind w:left="20"/>
              <w:spacing w:after="0"/>
              <w:rPr>
                <w:sz w:val="20"/>
                <w:szCs w:val="20"/>
                <w:color w:val="auto"/>
              </w:rPr>
            </w:pPr>
            <w:r>
              <w:rPr>
                <w:rFonts w:ascii="Arial" w:cs="Arial" w:eastAsia="Arial" w:hAnsi="Arial"/>
                <w:sz w:val="14"/>
                <w:szCs w:val="14"/>
                <w:color w:val="auto"/>
              </w:rPr>
              <w:t>÷ Net sales</w:t>
            </w:r>
          </w:p>
        </w:tc>
        <w:tc>
          <w:tcPr>
            <w:tcW w:w="1500" w:type="dxa"/>
            <w:vAlign w:val="bottom"/>
          </w:tcPr>
          <w:p>
            <w:pPr>
              <w:spacing w:after="0"/>
              <w:rPr>
                <w:sz w:val="24"/>
                <w:szCs w:val="24"/>
                <w:color w:val="auto"/>
              </w:rPr>
            </w:pPr>
          </w:p>
        </w:tc>
        <w:tc>
          <w:tcPr>
            <w:tcW w:w="980" w:type="dxa"/>
            <w:vAlign w:val="bottom"/>
          </w:tcPr>
          <w:p>
            <w:pPr>
              <w:jc w:val="right"/>
              <w:ind w:right="308"/>
              <w:spacing w:after="0"/>
              <w:rPr>
                <w:sz w:val="20"/>
                <w:szCs w:val="20"/>
                <w:color w:val="auto"/>
              </w:rPr>
            </w:pPr>
            <w:r>
              <w:rPr>
                <w:rFonts w:ascii="Arial" w:cs="Arial" w:eastAsia="Arial" w:hAnsi="Arial"/>
                <w:sz w:val="14"/>
                <w:szCs w:val="14"/>
                <w:color w:val="auto"/>
              </w:rPr>
              <w:t>33,009</w:t>
            </w:r>
          </w:p>
        </w:tc>
        <w:tc>
          <w:tcPr>
            <w:tcW w:w="400" w:type="dxa"/>
            <w:vAlign w:val="bottom"/>
          </w:tcPr>
          <w:p>
            <w:pPr>
              <w:spacing w:after="0"/>
              <w:rPr>
                <w:sz w:val="24"/>
                <w:szCs w:val="24"/>
                <w:color w:val="auto"/>
              </w:rPr>
            </w:pPr>
          </w:p>
        </w:tc>
        <w:tc>
          <w:tcPr>
            <w:tcW w:w="960" w:type="dxa"/>
            <w:vAlign w:val="bottom"/>
          </w:tcPr>
          <w:p>
            <w:pPr>
              <w:jc w:val="right"/>
              <w:ind w:right="288"/>
              <w:spacing w:after="0"/>
              <w:rPr>
                <w:sz w:val="20"/>
                <w:szCs w:val="20"/>
                <w:color w:val="auto"/>
              </w:rPr>
            </w:pPr>
            <w:r>
              <w:rPr>
                <w:rFonts w:ascii="Arial" w:cs="Arial" w:eastAsia="Arial" w:hAnsi="Arial"/>
                <w:sz w:val="14"/>
                <w:szCs w:val="14"/>
                <w:color w:val="auto"/>
              </w:rPr>
              <w:t>34,717</w:t>
            </w:r>
          </w:p>
        </w:tc>
        <w:tc>
          <w:tcPr>
            <w:tcW w:w="400" w:type="dxa"/>
            <w:vAlign w:val="bottom"/>
          </w:tcPr>
          <w:p>
            <w:pPr>
              <w:spacing w:after="0"/>
              <w:rPr>
                <w:sz w:val="24"/>
                <w:szCs w:val="24"/>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37,442</w:t>
            </w:r>
          </w:p>
        </w:tc>
      </w:tr>
      <w:tr>
        <w:trPr>
          <w:trHeight w:val="130"/>
        </w:trPr>
        <w:tc>
          <w:tcPr>
            <w:tcW w:w="6140" w:type="dxa"/>
            <w:vAlign w:val="bottom"/>
            <w:tcBorders>
              <w:bottom w:val="single" w:sz="8" w:color="D7282F"/>
            </w:tcBorders>
          </w:tcPr>
          <w:p>
            <w:pPr>
              <w:spacing w:after="0"/>
              <w:rPr>
                <w:sz w:val="11"/>
                <w:szCs w:val="11"/>
                <w:color w:val="auto"/>
              </w:rPr>
            </w:pPr>
          </w:p>
        </w:tc>
        <w:tc>
          <w:tcPr>
            <w:tcW w:w="1500" w:type="dxa"/>
            <w:vAlign w:val="bottom"/>
            <w:tcBorders>
              <w:bottom w:val="single" w:sz="8" w:color="D7282F"/>
            </w:tcBorders>
          </w:tcPr>
          <w:p>
            <w:pPr>
              <w:spacing w:after="0"/>
              <w:rPr>
                <w:sz w:val="11"/>
                <w:szCs w:val="11"/>
                <w:color w:val="auto"/>
              </w:rPr>
            </w:pPr>
          </w:p>
        </w:tc>
        <w:tc>
          <w:tcPr>
            <w:tcW w:w="980" w:type="dxa"/>
            <w:vAlign w:val="bottom"/>
            <w:tcBorders>
              <w:bottom w:val="single" w:sz="8" w:color="D7282F"/>
            </w:tcBorders>
          </w:tcPr>
          <w:p>
            <w:pPr>
              <w:spacing w:after="0"/>
              <w:rPr>
                <w:sz w:val="11"/>
                <w:szCs w:val="11"/>
                <w:color w:val="auto"/>
              </w:rPr>
            </w:pPr>
          </w:p>
        </w:tc>
        <w:tc>
          <w:tcPr>
            <w:tcW w:w="400" w:type="dxa"/>
            <w:vAlign w:val="bottom"/>
            <w:tcBorders>
              <w:bottom w:val="single" w:sz="8" w:color="D7282F"/>
            </w:tcBorders>
          </w:tcPr>
          <w:p>
            <w:pPr>
              <w:spacing w:after="0"/>
              <w:rPr>
                <w:sz w:val="11"/>
                <w:szCs w:val="11"/>
                <w:color w:val="auto"/>
              </w:rPr>
            </w:pPr>
          </w:p>
        </w:tc>
        <w:tc>
          <w:tcPr>
            <w:tcW w:w="960" w:type="dxa"/>
            <w:vAlign w:val="bottom"/>
            <w:tcBorders>
              <w:bottom w:val="single" w:sz="8" w:color="D7282F"/>
            </w:tcBorders>
          </w:tcPr>
          <w:p>
            <w:pPr>
              <w:spacing w:after="0"/>
              <w:rPr>
                <w:sz w:val="11"/>
                <w:szCs w:val="11"/>
                <w:color w:val="auto"/>
              </w:rPr>
            </w:pPr>
          </w:p>
        </w:tc>
        <w:tc>
          <w:tcPr>
            <w:tcW w:w="400" w:type="dxa"/>
            <w:vAlign w:val="bottom"/>
            <w:tcBorders>
              <w:bottom w:val="single" w:sz="8" w:color="D7282F"/>
            </w:tcBorders>
          </w:tcPr>
          <w:p>
            <w:pPr>
              <w:spacing w:after="0"/>
              <w:rPr>
                <w:sz w:val="11"/>
                <w:szCs w:val="11"/>
                <w:color w:val="auto"/>
              </w:rPr>
            </w:pPr>
          </w:p>
        </w:tc>
        <w:tc>
          <w:tcPr>
            <w:tcW w:w="840" w:type="dxa"/>
            <w:vAlign w:val="bottom"/>
            <w:tcBorders>
              <w:bottom w:val="single" w:sz="8" w:color="D7282F"/>
            </w:tcBorders>
          </w:tcPr>
          <w:p>
            <w:pPr>
              <w:spacing w:after="0"/>
              <w:rPr>
                <w:sz w:val="11"/>
                <w:szCs w:val="11"/>
                <w:color w:val="auto"/>
              </w:rPr>
            </w:pPr>
          </w:p>
        </w:tc>
      </w:tr>
      <w:tr>
        <w:trPr>
          <w:trHeight w:val="316"/>
        </w:trPr>
        <w:tc>
          <w:tcPr>
            <w:tcW w:w="6140" w:type="dxa"/>
            <w:vAlign w:val="bottom"/>
          </w:tcPr>
          <w:p>
            <w:pPr>
              <w:ind w:left="20"/>
              <w:spacing w:after="0"/>
              <w:rPr>
                <w:sz w:val="20"/>
                <w:szCs w:val="20"/>
                <w:color w:val="auto"/>
              </w:rPr>
            </w:pPr>
            <w:r>
              <w:rPr>
                <w:rFonts w:ascii="Arial" w:cs="Arial" w:eastAsia="Arial" w:hAnsi="Arial"/>
                <w:sz w:val="14"/>
                <w:szCs w:val="14"/>
                <w:b w:val="1"/>
                <w:bCs w:val="1"/>
                <w:color w:val="auto"/>
              </w:rPr>
              <w:t>Operating cash flow margin %</w:t>
            </w:r>
          </w:p>
        </w:tc>
        <w:tc>
          <w:tcPr>
            <w:tcW w:w="1500" w:type="dxa"/>
            <w:vAlign w:val="bottom"/>
          </w:tcPr>
          <w:p>
            <w:pPr>
              <w:spacing w:after="0"/>
              <w:rPr>
                <w:sz w:val="24"/>
                <w:szCs w:val="24"/>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b w:val="1"/>
                <w:bCs w:val="1"/>
                <w:color w:val="auto"/>
              </w:rPr>
              <w:t>13.5%</w:t>
            </w:r>
          </w:p>
        </w:tc>
        <w:tc>
          <w:tcPr>
            <w:tcW w:w="400" w:type="dxa"/>
            <w:vAlign w:val="bottom"/>
          </w:tcPr>
          <w:p>
            <w:pPr>
              <w:spacing w:after="0"/>
              <w:rPr>
                <w:sz w:val="24"/>
                <w:szCs w:val="24"/>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b w:val="1"/>
                <w:bCs w:val="1"/>
                <w:color w:val="auto"/>
              </w:rPr>
              <w:t>14.7%</w:t>
            </w: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16.2%</w:t>
            </w:r>
          </w:p>
        </w:tc>
      </w:tr>
      <w:tr>
        <w:trPr>
          <w:trHeight w:val="123"/>
        </w:trPr>
        <w:tc>
          <w:tcPr>
            <w:tcW w:w="6140" w:type="dxa"/>
            <w:vAlign w:val="bottom"/>
            <w:tcBorders>
              <w:bottom w:val="single" w:sz="8" w:color="D7282F"/>
            </w:tcBorders>
          </w:tcPr>
          <w:p>
            <w:pPr>
              <w:spacing w:after="0"/>
              <w:rPr>
                <w:sz w:val="10"/>
                <w:szCs w:val="10"/>
                <w:color w:val="auto"/>
              </w:rPr>
            </w:pPr>
          </w:p>
        </w:tc>
        <w:tc>
          <w:tcPr>
            <w:tcW w:w="1500" w:type="dxa"/>
            <w:vAlign w:val="bottom"/>
            <w:tcBorders>
              <w:bottom w:val="single" w:sz="8" w:color="D7282F"/>
            </w:tcBorders>
          </w:tcPr>
          <w:p>
            <w:pPr>
              <w:spacing w:after="0"/>
              <w:rPr>
                <w:sz w:val="10"/>
                <w:szCs w:val="10"/>
                <w:color w:val="auto"/>
              </w:rPr>
            </w:pPr>
          </w:p>
        </w:tc>
        <w:tc>
          <w:tcPr>
            <w:tcW w:w="980" w:type="dxa"/>
            <w:vAlign w:val="bottom"/>
            <w:tcBorders>
              <w:bottom w:val="single" w:sz="8" w:color="D7282F"/>
            </w:tcBorders>
          </w:tcPr>
          <w:p>
            <w:pPr>
              <w:spacing w:after="0"/>
              <w:rPr>
                <w:sz w:val="10"/>
                <w:szCs w:val="10"/>
                <w:color w:val="auto"/>
              </w:rPr>
            </w:pPr>
          </w:p>
        </w:tc>
        <w:tc>
          <w:tcPr>
            <w:tcW w:w="400" w:type="dxa"/>
            <w:vAlign w:val="bottom"/>
            <w:tcBorders>
              <w:bottom w:val="single" w:sz="8" w:color="D7282F"/>
            </w:tcBorders>
          </w:tcPr>
          <w:p>
            <w:pPr>
              <w:spacing w:after="0"/>
              <w:rPr>
                <w:sz w:val="10"/>
                <w:szCs w:val="10"/>
                <w:color w:val="auto"/>
              </w:rPr>
            </w:pPr>
          </w:p>
        </w:tc>
        <w:tc>
          <w:tcPr>
            <w:tcW w:w="960" w:type="dxa"/>
            <w:vAlign w:val="bottom"/>
            <w:tcBorders>
              <w:bottom w:val="single" w:sz="8" w:color="D7282F"/>
            </w:tcBorders>
          </w:tcPr>
          <w:p>
            <w:pPr>
              <w:spacing w:after="0"/>
              <w:rPr>
                <w:sz w:val="10"/>
                <w:szCs w:val="10"/>
                <w:color w:val="auto"/>
              </w:rPr>
            </w:pPr>
          </w:p>
        </w:tc>
        <w:tc>
          <w:tcPr>
            <w:tcW w:w="400" w:type="dxa"/>
            <w:vAlign w:val="bottom"/>
            <w:tcBorders>
              <w:bottom w:val="single" w:sz="8" w:color="D7282F"/>
            </w:tcBorders>
          </w:tcPr>
          <w:p>
            <w:pPr>
              <w:spacing w:after="0"/>
              <w:rPr>
                <w:sz w:val="10"/>
                <w:szCs w:val="10"/>
                <w:color w:val="auto"/>
              </w:rPr>
            </w:pPr>
          </w:p>
        </w:tc>
        <w:tc>
          <w:tcPr>
            <w:tcW w:w="840" w:type="dxa"/>
            <w:vAlign w:val="bottom"/>
            <w:tcBorders>
              <w:bottom w:val="single" w:sz="8" w:color="D7282F"/>
            </w:tcBorders>
          </w:tcPr>
          <w:p>
            <w:pPr>
              <w:spacing w:after="0"/>
              <w:rPr>
                <w:sz w:val="10"/>
                <w:szCs w:val="10"/>
                <w:color w:val="auto"/>
              </w:rPr>
            </w:pPr>
          </w:p>
        </w:tc>
      </w:tr>
      <w:tr>
        <w:trPr>
          <w:trHeight w:val="309"/>
        </w:trPr>
        <w:tc>
          <w:tcPr>
            <w:tcW w:w="6140" w:type="dxa"/>
            <w:vAlign w:val="bottom"/>
          </w:tcPr>
          <w:p>
            <w:pPr>
              <w:ind w:left="20"/>
              <w:spacing w:after="0"/>
              <w:rPr>
                <w:sz w:val="20"/>
                <w:szCs w:val="20"/>
                <w:color w:val="auto"/>
              </w:rPr>
            </w:pPr>
            <w:r>
              <w:rPr>
                <w:rFonts w:ascii="Arial" w:cs="Arial" w:eastAsia="Arial" w:hAnsi="Arial"/>
                <w:sz w:val="14"/>
                <w:szCs w:val="14"/>
                <w:color w:val="auto"/>
              </w:rPr>
              <w:t>Free cash flow</w:t>
            </w:r>
          </w:p>
        </w:tc>
        <w:tc>
          <w:tcPr>
            <w:tcW w:w="1500" w:type="dxa"/>
            <w:vAlign w:val="bottom"/>
          </w:tcPr>
          <w:p>
            <w:pPr>
              <w:spacing w:after="0"/>
              <w:rPr>
                <w:sz w:val="24"/>
                <w:szCs w:val="24"/>
                <w:color w:val="auto"/>
              </w:rPr>
            </w:pPr>
          </w:p>
        </w:tc>
        <w:tc>
          <w:tcPr>
            <w:tcW w:w="980" w:type="dxa"/>
            <w:vAlign w:val="bottom"/>
          </w:tcPr>
          <w:p>
            <w:pPr>
              <w:jc w:val="right"/>
              <w:ind w:right="308"/>
              <w:spacing w:after="0"/>
              <w:rPr>
                <w:sz w:val="20"/>
                <w:szCs w:val="20"/>
                <w:color w:val="auto"/>
              </w:rPr>
            </w:pPr>
            <w:r>
              <w:rPr>
                <w:rFonts w:ascii="Arial" w:cs="Arial" w:eastAsia="Arial" w:hAnsi="Arial"/>
                <w:sz w:val="14"/>
                <w:szCs w:val="14"/>
                <w:color w:val="auto"/>
              </w:rPr>
              <w:t>3,718</w:t>
            </w:r>
          </w:p>
        </w:tc>
        <w:tc>
          <w:tcPr>
            <w:tcW w:w="400" w:type="dxa"/>
            <w:vAlign w:val="bottom"/>
          </w:tcPr>
          <w:p>
            <w:pPr>
              <w:spacing w:after="0"/>
              <w:rPr>
                <w:sz w:val="24"/>
                <w:szCs w:val="24"/>
                <w:color w:val="auto"/>
              </w:rPr>
            </w:pPr>
          </w:p>
        </w:tc>
        <w:tc>
          <w:tcPr>
            <w:tcW w:w="960" w:type="dxa"/>
            <w:vAlign w:val="bottom"/>
          </w:tcPr>
          <w:p>
            <w:pPr>
              <w:jc w:val="right"/>
              <w:ind w:right="288"/>
              <w:spacing w:after="0"/>
              <w:rPr>
                <w:sz w:val="20"/>
                <w:szCs w:val="20"/>
                <w:color w:val="auto"/>
              </w:rPr>
            </w:pPr>
            <w:r>
              <w:rPr>
                <w:rFonts w:ascii="Arial" w:cs="Arial" w:eastAsia="Arial" w:hAnsi="Arial"/>
                <w:sz w:val="14"/>
                <w:szCs w:val="14"/>
                <w:color w:val="auto"/>
              </w:rPr>
              <w:t>4,241</w:t>
            </w:r>
          </w:p>
        </w:tc>
        <w:tc>
          <w:tcPr>
            <w:tcW w:w="400" w:type="dxa"/>
            <w:vAlign w:val="bottom"/>
          </w:tcPr>
          <w:p>
            <w:pPr>
              <w:spacing w:after="0"/>
              <w:rPr>
                <w:sz w:val="24"/>
                <w:szCs w:val="24"/>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5,102</w:t>
            </w:r>
          </w:p>
        </w:tc>
      </w:tr>
      <w:tr>
        <w:trPr>
          <w:trHeight w:val="130"/>
        </w:trPr>
        <w:tc>
          <w:tcPr>
            <w:tcW w:w="6140" w:type="dxa"/>
            <w:vAlign w:val="bottom"/>
            <w:tcBorders>
              <w:bottom w:val="single" w:sz="8" w:color="939598"/>
            </w:tcBorders>
          </w:tcPr>
          <w:p>
            <w:pPr>
              <w:spacing w:after="0"/>
              <w:rPr>
                <w:sz w:val="11"/>
                <w:szCs w:val="11"/>
                <w:color w:val="auto"/>
              </w:rPr>
            </w:pPr>
          </w:p>
        </w:tc>
        <w:tc>
          <w:tcPr>
            <w:tcW w:w="1500" w:type="dxa"/>
            <w:vAlign w:val="bottom"/>
            <w:tcBorders>
              <w:bottom w:val="single" w:sz="8" w:color="939598"/>
            </w:tcBorders>
          </w:tcPr>
          <w:p>
            <w:pPr>
              <w:spacing w:after="0"/>
              <w:rPr>
                <w:sz w:val="11"/>
                <w:szCs w:val="11"/>
                <w:color w:val="auto"/>
              </w:rPr>
            </w:pPr>
          </w:p>
        </w:tc>
        <w:tc>
          <w:tcPr>
            <w:tcW w:w="980" w:type="dxa"/>
            <w:vAlign w:val="bottom"/>
            <w:tcBorders>
              <w:bottom w:val="single" w:sz="8" w:color="939598"/>
            </w:tcBorders>
          </w:tcPr>
          <w:p>
            <w:pPr>
              <w:spacing w:after="0"/>
              <w:rPr>
                <w:sz w:val="11"/>
                <w:szCs w:val="11"/>
                <w:color w:val="auto"/>
              </w:rPr>
            </w:pPr>
          </w:p>
        </w:tc>
        <w:tc>
          <w:tcPr>
            <w:tcW w:w="400" w:type="dxa"/>
            <w:vAlign w:val="bottom"/>
            <w:tcBorders>
              <w:bottom w:val="single" w:sz="8" w:color="939598"/>
            </w:tcBorders>
          </w:tcPr>
          <w:p>
            <w:pPr>
              <w:spacing w:after="0"/>
              <w:rPr>
                <w:sz w:val="11"/>
                <w:szCs w:val="11"/>
                <w:color w:val="auto"/>
              </w:rPr>
            </w:pPr>
          </w:p>
        </w:tc>
        <w:tc>
          <w:tcPr>
            <w:tcW w:w="960" w:type="dxa"/>
            <w:vAlign w:val="bottom"/>
            <w:tcBorders>
              <w:bottom w:val="single" w:sz="8" w:color="939598"/>
            </w:tcBorders>
          </w:tcPr>
          <w:p>
            <w:pPr>
              <w:spacing w:after="0"/>
              <w:rPr>
                <w:sz w:val="11"/>
                <w:szCs w:val="11"/>
                <w:color w:val="auto"/>
              </w:rPr>
            </w:pPr>
          </w:p>
        </w:tc>
        <w:tc>
          <w:tcPr>
            <w:tcW w:w="400" w:type="dxa"/>
            <w:vAlign w:val="bottom"/>
            <w:tcBorders>
              <w:bottom w:val="single" w:sz="8" w:color="939598"/>
            </w:tcBorders>
          </w:tcPr>
          <w:p>
            <w:pPr>
              <w:spacing w:after="0"/>
              <w:rPr>
                <w:sz w:val="11"/>
                <w:szCs w:val="11"/>
                <w:color w:val="auto"/>
              </w:rPr>
            </w:pPr>
          </w:p>
        </w:tc>
        <w:tc>
          <w:tcPr>
            <w:tcW w:w="840" w:type="dxa"/>
            <w:vAlign w:val="bottom"/>
            <w:tcBorders>
              <w:bottom w:val="single" w:sz="8" w:color="939598"/>
            </w:tcBorders>
          </w:tcPr>
          <w:p>
            <w:pPr>
              <w:spacing w:after="0"/>
              <w:rPr>
                <w:sz w:val="11"/>
                <w:szCs w:val="11"/>
                <w:color w:val="auto"/>
              </w:rPr>
            </w:pPr>
          </w:p>
        </w:tc>
      </w:tr>
      <w:tr>
        <w:trPr>
          <w:trHeight w:val="310"/>
        </w:trPr>
        <w:tc>
          <w:tcPr>
            <w:tcW w:w="6140" w:type="dxa"/>
            <w:vAlign w:val="bottom"/>
          </w:tcPr>
          <w:p>
            <w:pPr>
              <w:ind w:left="20"/>
              <w:spacing w:after="0"/>
              <w:rPr>
                <w:sz w:val="20"/>
                <w:szCs w:val="20"/>
                <w:color w:val="auto"/>
              </w:rPr>
            </w:pPr>
            <w:r>
              <w:rPr>
                <w:rFonts w:ascii="Arial" w:cs="Arial" w:eastAsia="Arial" w:hAnsi="Arial"/>
                <w:sz w:val="14"/>
                <w:szCs w:val="14"/>
                <w:color w:val="auto"/>
              </w:rPr>
              <w:t>÷ Adjusted Net sales</w:t>
            </w:r>
          </w:p>
        </w:tc>
        <w:tc>
          <w:tcPr>
            <w:tcW w:w="1500" w:type="dxa"/>
            <w:vAlign w:val="bottom"/>
          </w:tcPr>
          <w:p>
            <w:pPr>
              <w:spacing w:after="0"/>
              <w:rPr>
                <w:sz w:val="24"/>
                <w:szCs w:val="24"/>
                <w:color w:val="auto"/>
              </w:rPr>
            </w:pPr>
          </w:p>
        </w:tc>
        <w:tc>
          <w:tcPr>
            <w:tcW w:w="980" w:type="dxa"/>
            <w:vAlign w:val="bottom"/>
          </w:tcPr>
          <w:p>
            <w:pPr>
              <w:jc w:val="right"/>
              <w:ind w:right="308"/>
              <w:spacing w:after="0"/>
              <w:rPr>
                <w:sz w:val="20"/>
                <w:szCs w:val="20"/>
                <w:color w:val="auto"/>
              </w:rPr>
            </w:pPr>
            <w:r>
              <w:rPr>
                <w:rFonts w:ascii="Arial" w:cs="Arial" w:eastAsia="Arial" w:hAnsi="Arial"/>
                <w:sz w:val="14"/>
                <w:szCs w:val="14"/>
                <w:color w:val="auto"/>
              </w:rPr>
              <w:t>33,009</w:t>
            </w:r>
          </w:p>
        </w:tc>
        <w:tc>
          <w:tcPr>
            <w:tcW w:w="400" w:type="dxa"/>
            <w:vAlign w:val="bottom"/>
          </w:tcPr>
          <w:p>
            <w:pPr>
              <w:spacing w:after="0"/>
              <w:rPr>
                <w:sz w:val="24"/>
                <w:szCs w:val="24"/>
                <w:color w:val="auto"/>
              </w:rPr>
            </w:pPr>
          </w:p>
        </w:tc>
        <w:tc>
          <w:tcPr>
            <w:tcW w:w="960" w:type="dxa"/>
            <w:vAlign w:val="bottom"/>
          </w:tcPr>
          <w:p>
            <w:pPr>
              <w:jc w:val="right"/>
              <w:ind w:right="288"/>
              <w:spacing w:after="0"/>
              <w:rPr>
                <w:sz w:val="20"/>
                <w:szCs w:val="20"/>
                <w:color w:val="auto"/>
              </w:rPr>
            </w:pPr>
            <w:r>
              <w:rPr>
                <w:rFonts w:ascii="Arial" w:cs="Arial" w:eastAsia="Arial" w:hAnsi="Arial"/>
                <w:sz w:val="14"/>
                <w:szCs w:val="14"/>
                <w:color w:val="auto"/>
              </w:rPr>
              <w:t>34,717</w:t>
            </w:r>
          </w:p>
        </w:tc>
        <w:tc>
          <w:tcPr>
            <w:tcW w:w="400" w:type="dxa"/>
            <w:vAlign w:val="bottom"/>
          </w:tcPr>
          <w:p>
            <w:pPr>
              <w:spacing w:after="0"/>
              <w:rPr>
                <w:sz w:val="24"/>
                <w:szCs w:val="24"/>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37,754</w:t>
            </w:r>
          </w:p>
        </w:tc>
      </w:tr>
      <w:tr>
        <w:trPr>
          <w:trHeight w:val="130"/>
        </w:trPr>
        <w:tc>
          <w:tcPr>
            <w:tcW w:w="6140" w:type="dxa"/>
            <w:vAlign w:val="bottom"/>
            <w:tcBorders>
              <w:bottom w:val="single" w:sz="8" w:color="D7282F"/>
            </w:tcBorders>
          </w:tcPr>
          <w:p>
            <w:pPr>
              <w:spacing w:after="0"/>
              <w:rPr>
                <w:sz w:val="11"/>
                <w:szCs w:val="11"/>
                <w:color w:val="auto"/>
              </w:rPr>
            </w:pPr>
          </w:p>
        </w:tc>
        <w:tc>
          <w:tcPr>
            <w:tcW w:w="1500" w:type="dxa"/>
            <w:vAlign w:val="bottom"/>
            <w:tcBorders>
              <w:bottom w:val="single" w:sz="8" w:color="D7282F"/>
            </w:tcBorders>
          </w:tcPr>
          <w:p>
            <w:pPr>
              <w:spacing w:after="0"/>
              <w:rPr>
                <w:sz w:val="11"/>
                <w:szCs w:val="11"/>
                <w:color w:val="auto"/>
              </w:rPr>
            </w:pPr>
          </w:p>
        </w:tc>
        <w:tc>
          <w:tcPr>
            <w:tcW w:w="980" w:type="dxa"/>
            <w:vAlign w:val="bottom"/>
            <w:tcBorders>
              <w:bottom w:val="single" w:sz="8" w:color="D7282F"/>
            </w:tcBorders>
          </w:tcPr>
          <w:p>
            <w:pPr>
              <w:spacing w:after="0"/>
              <w:rPr>
                <w:sz w:val="11"/>
                <w:szCs w:val="11"/>
                <w:color w:val="auto"/>
              </w:rPr>
            </w:pPr>
          </w:p>
        </w:tc>
        <w:tc>
          <w:tcPr>
            <w:tcW w:w="400" w:type="dxa"/>
            <w:vAlign w:val="bottom"/>
            <w:tcBorders>
              <w:bottom w:val="single" w:sz="8" w:color="D7282F"/>
            </w:tcBorders>
          </w:tcPr>
          <w:p>
            <w:pPr>
              <w:spacing w:after="0"/>
              <w:rPr>
                <w:sz w:val="11"/>
                <w:szCs w:val="11"/>
                <w:color w:val="auto"/>
              </w:rPr>
            </w:pPr>
          </w:p>
        </w:tc>
        <w:tc>
          <w:tcPr>
            <w:tcW w:w="960" w:type="dxa"/>
            <w:vAlign w:val="bottom"/>
            <w:tcBorders>
              <w:bottom w:val="single" w:sz="8" w:color="D7282F"/>
            </w:tcBorders>
          </w:tcPr>
          <w:p>
            <w:pPr>
              <w:spacing w:after="0"/>
              <w:rPr>
                <w:sz w:val="11"/>
                <w:szCs w:val="11"/>
                <w:color w:val="auto"/>
              </w:rPr>
            </w:pPr>
          </w:p>
        </w:tc>
        <w:tc>
          <w:tcPr>
            <w:tcW w:w="400" w:type="dxa"/>
            <w:vAlign w:val="bottom"/>
            <w:tcBorders>
              <w:bottom w:val="single" w:sz="8" w:color="D7282F"/>
            </w:tcBorders>
          </w:tcPr>
          <w:p>
            <w:pPr>
              <w:spacing w:after="0"/>
              <w:rPr>
                <w:sz w:val="11"/>
                <w:szCs w:val="11"/>
                <w:color w:val="auto"/>
              </w:rPr>
            </w:pPr>
          </w:p>
        </w:tc>
        <w:tc>
          <w:tcPr>
            <w:tcW w:w="840" w:type="dxa"/>
            <w:vAlign w:val="bottom"/>
            <w:tcBorders>
              <w:bottom w:val="single" w:sz="8" w:color="D7282F"/>
            </w:tcBorders>
          </w:tcPr>
          <w:p>
            <w:pPr>
              <w:spacing w:after="0"/>
              <w:rPr>
                <w:sz w:val="11"/>
                <w:szCs w:val="11"/>
                <w:color w:val="auto"/>
              </w:rPr>
            </w:pPr>
          </w:p>
        </w:tc>
      </w:tr>
      <w:tr>
        <w:trPr>
          <w:trHeight w:val="315"/>
        </w:trPr>
        <w:tc>
          <w:tcPr>
            <w:tcW w:w="6140" w:type="dxa"/>
            <w:vAlign w:val="bottom"/>
          </w:tcPr>
          <w:p>
            <w:pPr>
              <w:ind w:left="20"/>
              <w:spacing w:after="0"/>
              <w:rPr>
                <w:sz w:val="20"/>
                <w:szCs w:val="20"/>
                <w:color w:val="auto"/>
              </w:rPr>
            </w:pPr>
            <w:r>
              <w:rPr>
                <w:rFonts w:ascii="Arial" w:cs="Arial" w:eastAsia="Arial" w:hAnsi="Arial"/>
                <w:sz w:val="14"/>
                <w:szCs w:val="14"/>
                <w:b w:val="1"/>
                <w:bCs w:val="1"/>
                <w:color w:val="auto"/>
              </w:rPr>
              <w:t>Free cash flow margin %</w:t>
            </w:r>
          </w:p>
        </w:tc>
        <w:tc>
          <w:tcPr>
            <w:tcW w:w="1500" w:type="dxa"/>
            <w:vAlign w:val="bottom"/>
          </w:tcPr>
          <w:p>
            <w:pPr>
              <w:spacing w:after="0"/>
              <w:rPr>
                <w:sz w:val="24"/>
                <w:szCs w:val="24"/>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b w:val="1"/>
                <w:bCs w:val="1"/>
                <w:color w:val="auto"/>
              </w:rPr>
              <w:t>11.3%</w:t>
            </w:r>
          </w:p>
        </w:tc>
        <w:tc>
          <w:tcPr>
            <w:tcW w:w="400" w:type="dxa"/>
            <w:vAlign w:val="bottom"/>
          </w:tcPr>
          <w:p>
            <w:pPr>
              <w:spacing w:after="0"/>
              <w:rPr>
                <w:sz w:val="24"/>
                <w:szCs w:val="24"/>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b w:val="1"/>
                <w:bCs w:val="1"/>
                <w:color w:val="auto"/>
              </w:rPr>
              <w:t>12.2%</w:t>
            </w: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2343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48" w:lineRule="exact"/>
        <w:rPr>
          <w:sz w:val="20"/>
          <w:szCs w:val="20"/>
          <w:color w:val="auto"/>
        </w:rPr>
      </w:pPr>
    </w:p>
    <w:p>
      <w:pPr>
        <w:ind w:left="200" w:right="120" w:hanging="192"/>
        <w:spacing w:after="0" w:line="226" w:lineRule="auto"/>
        <w:tabs>
          <w:tab w:leader="none" w:pos="200" w:val="left"/>
        </w:tabs>
        <w:numPr>
          <w:ilvl w:val="0"/>
          <w:numId w:val="235"/>
        </w:numPr>
        <w:rPr>
          <w:rFonts w:ascii="Arial" w:cs="Arial" w:eastAsia="Arial" w:hAnsi="Arial"/>
          <w:sz w:val="16"/>
          <w:szCs w:val="16"/>
          <w:color w:val="auto"/>
          <w:vertAlign w:val="superscript"/>
        </w:rPr>
      </w:pPr>
      <w:r>
        <w:rPr>
          <w:rFonts w:ascii="Arial" w:cs="Arial" w:eastAsia="Arial" w:hAnsi="Arial"/>
          <w:sz w:val="13"/>
          <w:szCs w:val="13"/>
          <w:color w:val="auto"/>
        </w:rPr>
        <w:t>For the twelve months ended December 31, 2023, impact of settlements was $1,001 million, net of tax benefit of $252 million, due to settlements related to the NARCO Buyout, HWI Sale, and UOP Matters.</w:t>
      </w:r>
    </w:p>
    <w:p>
      <w:pPr>
        <w:spacing w:after="0" w:line="95" w:lineRule="exact"/>
        <w:rPr>
          <w:sz w:val="20"/>
          <w:szCs w:val="20"/>
          <w:color w:val="auto"/>
        </w:rPr>
      </w:pPr>
    </w:p>
    <w:p>
      <w:pPr>
        <w:ind w:right="260"/>
        <w:spacing w:after="0" w:line="265" w:lineRule="auto"/>
        <w:rPr>
          <w:sz w:val="20"/>
          <w:szCs w:val="20"/>
          <w:color w:val="auto"/>
        </w:rPr>
      </w:pPr>
      <w:r>
        <w:rPr>
          <w:rFonts w:ascii="Arial" w:cs="Arial" w:eastAsia="Arial" w:hAnsi="Arial"/>
          <w:sz w:val="16"/>
          <w:szCs w:val="16"/>
          <w:color w:val="auto"/>
        </w:rPr>
        <w:t>We define free cash flow as cash provided by operating activities from continuing operations less cash for capital expenditures and excluding spin-off and separation-related cost payments, the Resideo indemnification and reimbursement agreement termination payment, the cash payment for settlement of divestiture of asbestos liabilities, and the cash payment for settlement of Flexjet-related litigation matters. We define adjusted free cash flow as free cash flow adjusted for settlements related to the NARCO Buyout, HWI Sale, and UOP Matters. We define free cash flow margin as free cash flow divided by adjusted net sales.</w:t>
      </w:r>
    </w:p>
    <w:p>
      <w:pPr>
        <w:spacing w:after="0" w:line="64"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We believe that free cash flow, adjusted free cash flow, and free cash flow margin are non-GAAP measures that are useful to investors and management as a measure of cash generated by operations that will be used to repay scheduled debt maturities and can be used to invest in future growth through new business development activities or acquisitions, pay dividends, repurchase stock, or repay debt obligations prior to their maturities. These measures can also be used to evaluate our ability to generate cash flow from operations and the impact that this cash flow has on our liquidity.</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6D6E71"/>
        </w:rPr>
        <w:t>(7)RECONCILIATION OF ADJUSTED NET INCOME ATTRIBUTABLE TO HONEYWELL</w:t>
      </w:r>
    </w:p>
    <w:p>
      <w:pPr>
        <w:sectPr>
          <w:pgSz w:w="11900" w:h="16838" w:orient="portrait"/>
          <w:cols w:equalWidth="0" w:num="1">
            <w:col w:w="11240"/>
          </w:cols>
          <w:pgMar w:left="320" w:top="230" w:right="33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205"/>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($M)</w:t>
            </w:r>
          </w:p>
        </w:tc>
        <w:tc>
          <w:tcPr>
            <w:tcW w:w="24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2023</w:t>
            </w:r>
          </w:p>
        </w:tc>
        <w:tc>
          <w:tcPr>
            <w:tcW w:w="9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2024</w:t>
            </w: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2025</w:t>
            </w:r>
          </w:p>
        </w:tc>
      </w:tr>
      <w:tr>
        <w:trPr>
          <w:trHeight w:val="308"/>
        </w:trPr>
        <w:tc>
          <w:tcPr>
            <w:tcW w:w="7100" w:type="dxa"/>
            <w:vAlign w:val="bottom"/>
          </w:tcPr>
          <w:p>
            <w:pPr>
              <w:ind w:left="20"/>
              <w:spacing w:after="0"/>
              <w:rPr>
                <w:sz w:val="20"/>
                <w:szCs w:val="20"/>
                <w:color w:val="auto"/>
              </w:rPr>
            </w:pPr>
            <w:r>
              <w:rPr>
                <w:rFonts w:ascii="Arial" w:cs="Arial" w:eastAsia="Arial" w:hAnsi="Arial"/>
                <w:sz w:val="14"/>
                <w:szCs w:val="14"/>
                <w:b w:val="1"/>
                <w:bCs w:val="1"/>
                <w:color w:val="auto"/>
              </w:rPr>
              <w:t>Net income from continuing operations attributable to Honeywell</w:t>
            </w:r>
          </w:p>
        </w:tc>
        <w:tc>
          <w:tcPr>
            <w:tcW w:w="2440" w:type="dxa"/>
            <w:vAlign w:val="bottom"/>
          </w:tcPr>
          <w:p>
            <w:pPr>
              <w:jc w:val="right"/>
              <w:ind w:right="108"/>
              <w:spacing w:after="0"/>
              <w:rPr>
                <w:sz w:val="20"/>
                <w:szCs w:val="20"/>
                <w:color w:val="auto"/>
              </w:rPr>
            </w:pPr>
            <w:r>
              <w:rPr>
                <w:rFonts w:ascii="Arial" w:cs="Arial" w:eastAsia="Arial" w:hAnsi="Arial"/>
                <w:sz w:val="14"/>
                <w:szCs w:val="14"/>
                <w:b w:val="1"/>
                <w:bCs w:val="1"/>
                <w:color w:val="auto"/>
              </w:rPr>
              <w:t>$  4,913</w:t>
            </w:r>
          </w:p>
        </w:tc>
        <w:tc>
          <w:tcPr>
            <w:tcW w:w="900" w:type="dxa"/>
            <w:vAlign w:val="bottom"/>
          </w:tcPr>
          <w:p>
            <w:pPr>
              <w:jc w:val="right"/>
              <w:ind w:right="108"/>
              <w:spacing w:after="0"/>
              <w:rPr>
                <w:sz w:val="20"/>
                <w:szCs w:val="20"/>
                <w:color w:val="auto"/>
              </w:rPr>
            </w:pPr>
            <w:r>
              <w:rPr>
                <w:rFonts w:ascii="Arial" w:cs="Arial" w:eastAsia="Arial" w:hAnsi="Arial"/>
                <w:sz w:val="14"/>
                <w:szCs w:val="14"/>
                <w:b w:val="1"/>
                <w:bCs w:val="1"/>
                <w:color w:val="auto"/>
              </w:rPr>
              <w:t>$  4,968</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  4,461</w:t>
            </w:r>
          </w:p>
        </w:tc>
      </w:tr>
      <w:tr>
        <w:trPr>
          <w:trHeight w:val="123"/>
        </w:trPr>
        <w:tc>
          <w:tcPr>
            <w:tcW w:w="7100" w:type="dxa"/>
            <w:vAlign w:val="bottom"/>
            <w:tcBorders>
              <w:bottom w:val="single" w:sz="8" w:color="939598"/>
            </w:tcBorders>
          </w:tcPr>
          <w:p>
            <w:pPr>
              <w:spacing w:after="0"/>
              <w:rPr>
                <w:sz w:val="10"/>
                <w:szCs w:val="10"/>
                <w:color w:val="auto"/>
              </w:rPr>
            </w:pPr>
          </w:p>
        </w:tc>
        <w:tc>
          <w:tcPr>
            <w:tcW w:w="2440" w:type="dxa"/>
            <w:vAlign w:val="bottom"/>
            <w:tcBorders>
              <w:bottom w:val="single" w:sz="8" w:color="939598"/>
            </w:tcBorders>
          </w:tcPr>
          <w:p>
            <w:pPr>
              <w:spacing w:after="0"/>
              <w:rPr>
                <w:sz w:val="10"/>
                <w:szCs w:val="10"/>
                <w:color w:val="auto"/>
              </w:rPr>
            </w:pPr>
          </w:p>
        </w:tc>
        <w:tc>
          <w:tcPr>
            <w:tcW w:w="900" w:type="dxa"/>
            <w:vAlign w:val="bottom"/>
            <w:tcBorders>
              <w:bottom w:val="single" w:sz="8" w:color="939598"/>
            </w:tcBorders>
          </w:tcPr>
          <w:p>
            <w:pPr>
              <w:spacing w:after="0"/>
              <w:rPr>
                <w:sz w:val="10"/>
                <w:szCs w:val="10"/>
                <w:color w:val="auto"/>
              </w:rPr>
            </w:pPr>
          </w:p>
        </w:tc>
        <w:tc>
          <w:tcPr>
            <w:tcW w:w="780" w:type="dxa"/>
            <w:vAlign w:val="bottom"/>
            <w:tcBorders>
              <w:bottom w:val="single" w:sz="8" w:color="939598"/>
            </w:tcBorders>
          </w:tcPr>
          <w:p>
            <w:pPr>
              <w:spacing w:after="0"/>
              <w:rPr>
                <w:sz w:val="10"/>
                <w:szCs w:val="10"/>
                <w:color w:val="auto"/>
              </w:rPr>
            </w:pPr>
          </w:p>
        </w:tc>
      </w:tr>
      <w:tr>
        <w:trPr>
          <w:trHeight w:val="353"/>
        </w:trPr>
        <w:tc>
          <w:tcPr>
            <w:tcW w:w="7100" w:type="dxa"/>
            <w:vAlign w:val="bottom"/>
          </w:tcPr>
          <w:p>
            <w:pPr>
              <w:ind w:left="20"/>
              <w:spacing w:after="0"/>
              <w:rPr>
                <w:sz w:val="20"/>
                <w:szCs w:val="20"/>
                <w:color w:val="auto"/>
              </w:rPr>
            </w:pPr>
            <w:r>
              <w:rPr>
                <w:rFonts w:ascii="Arial" w:cs="Arial" w:eastAsia="Arial" w:hAnsi="Arial"/>
                <w:sz w:val="14"/>
                <w:szCs w:val="14"/>
                <w:color w:val="auto"/>
              </w:rPr>
              <w:t>Pension mark-to-market expense</w:t>
            </w:r>
            <w:r>
              <w:rPr>
                <w:rFonts w:ascii="Arial" w:cs="Arial" w:eastAsia="Arial" w:hAnsi="Arial"/>
                <w:sz w:val="18"/>
                <w:szCs w:val="18"/>
                <w:color w:val="auto"/>
                <w:vertAlign w:val="superscript"/>
              </w:rPr>
              <w:t>(1)</w:t>
            </w:r>
          </w:p>
        </w:tc>
        <w:tc>
          <w:tcPr>
            <w:tcW w:w="2440" w:type="dxa"/>
            <w:vAlign w:val="bottom"/>
          </w:tcPr>
          <w:p>
            <w:pPr>
              <w:jc w:val="right"/>
              <w:ind w:right="108"/>
              <w:spacing w:after="0"/>
              <w:rPr>
                <w:sz w:val="20"/>
                <w:szCs w:val="20"/>
                <w:color w:val="auto"/>
              </w:rPr>
            </w:pPr>
            <w:r>
              <w:rPr>
                <w:rFonts w:ascii="Arial" w:cs="Arial" w:eastAsia="Arial" w:hAnsi="Arial"/>
                <w:sz w:val="14"/>
                <w:szCs w:val="14"/>
                <w:color w:val="auto"/>
              </w:rPr>
              <w:t>126</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95</w:t>
            </w:r>
          </w:p>
        </w:tc>
        <w:tc>
          <w:tcPr>
            <w:tcW w:w="780" w:type="dxa"/>
            <w:vAlign w:val="bottom"/>
          </w:tcPr>
          <w:p>
            <w:pPr>
              <w:jc w:val="right"/>
              <w:spacing w:after="0"/>
              <w:rPr>
                <w:sz w:val="20"/>
                <w:szCs w:val="20"/>
                <w:color w:val="auto"/>
              </w:rPr>
            </w:pPr>
            <w:r>
              <w:rPr>
                <w:rFonts w:ascii="Arial" w:cs="Arial" w:eastAsia="Arial" w:hAnsi="Arial"/>
                <w:sz w:val="14"/>
                <w:szCs w:val="14"/>
                <w:color w:val="auto"/>
              </w:rPr>
              <w:t>123</w:t>
            </w:r>
          </w:p>
        </w:tc>
      </w:tr>
      <w:tr>
        <w:trPr>
          <w:trHeight w:val="73"/>
        </w:trPr>
        <w:tc>
          <w:tcPr>
            <w:tcW w:w="7100" w:type="dxa"/>
            <w:vAlign w:val="bottom"/>
            <w:tcBorders>
              <w:bottom w:val="single" w:sz="8" w:color="939598"/>
            </w:tcBorders>
          </w:tcPr>
          <w:p>
            <w:pPr>
              <w:spacing w:after="0"/>
              <w:rPr>
                <w:sz w:val="6"/>
                <w:szCs w:val="6"/>
                <w:color w:val="auto"/>
              </w:rPr>
            </w:pPr>
          </w:p>
        </w:tc>
        <w:tc>
          <w:tcPr>
            <w:tcW w:w="2440" w:type="dxa"/>
            <w:vAlign w:val="bottom"/>
            <w:tcBorders>
              <w:bottom w:val="single" w:sz="8" w:color="939598"/>
            </w:tcBorders>
          </w:tcPr>
          <w:p>
            <w:pPr>
              <w:spacing w:after="0"/>
              <w:rPr>
                <w:sz w:val="6"/>
                <w:szCs w:val="6"/>
                <w:color w:val="auto"/>
              </w:rPr>
            </w:pPr>
          </w:p>
        </w:tc>
        <w:tc>
          <w:tcPr>
            <w:tcW w:w="900" w:type="dxa"/>
            <w:vAlign w:val="bottom"/>
            <w:tcBorders>
              <w:bottom w:val="single" w:sz="8" w:color="939598"/>
            </w:tcBorders>
          </w:tcPr>
          <w:p>
            <w:pPr>
              <w:spacing w:after="0"/>
              <w:rPr>
                <w:sz w:val="6"/>
                <w:szCs w:val="6"/>
                <w:color w:val="auto"/>
              </w:rPr>
            </w:pPr>
          </w:p>
        </w:tc>
        <w:tc>
          <w:tcPr>
            <w:tcW w:w="780" w:type="dxa"/>
            <w:vAlign w:val="bottom"/>
            <w:tcBorders>
              <w:bottom w:val="single" w:sz="8" w:color="939598"/>
            </w:tcBorders>
          </w:tcPr>
          <w:p>
            <w:pPr>
              <w:spacing w:after="0"/>
              <w:rPr>
                <w:sz w:val="6"/>
                <w:szCs w:val="6"/>
                <w:color w:val="auto"/>
              </w:rPr>
            </w:pPr>
          </w:p>
        </w:tc>
      </w:tr>
      <w:tr>
        <w:trPr>
          <w:trHeight w:val="353"/>
        </w:trPr>
        <w:tc>
          <w:tcPr>
            <w:tcW w:w="7100" w:type="dxa"/>
            <w:vAlign w:val="bottom"/>
          </w:tcPr>
          <w:p>
            <w:pPr>
              <w:ind w:left="20"/>
              <w:spacing w:after="0"/>
              <w:rPr>
                <w:sz w:val="20"/>
                <w:szCs w:val="20"/>
                <w:color w:val="auto"/>
              </w:rPr>
            </w:pPr>
            <w:r>
              <w:rPr>
                <w:rFonts w:ascii="Arial" w:cs="Arial" w:eastAsia="Arial" w:hAnsi="Arial"/>
                <w:sz w:val="14"/>
                <w:szCs w:val="14"/>
                <w:color w:val="auto"/>
              </w:rPr>
              <w:t>Amortization of acquisition-related intangibles</w:t>
            </w:r>
            <w:r>
              <w:rPr>
                <w:rFonts w:ascii="Arial" w:cs="Arial" w:eastAsia="Arial" w:hAnsi="Arial"/>
                <w:sz w:val="18"/>
                <w:szCs w:val="18"/>
                <w:color w:val="auto"/>
                <w:vertAlign w:val="superscript"/>
              </w:rPr>
              <w:t>(2)</w:t>
            </w:r>
          </w:p>
        </w:tc>
        <w:tc>
          <w:tcPr>
            <w:tcW w:w="2440" w:type="dxa"/>
            <w:vAlign w:val="bottom"/>
          </w:tcPr>
          <w:p>
            <w:pPr>
              <w:jc w:val="right"/>
              <w:ind w:right="108"/>
              <w:spacing w:after="0"/>
              <w:rPr>
                <w:sz w:val="20"/>
                <w:szCs w:val="20"/>
                <w:color w:val="auto"/>
              </w:rPr>
            </w:pPr>
            <w:r>
              <w:rPr>
                <w:rFonts w:ascii="Arial" w:cs="Arial" w:eastAsia="Arial" w:hAnsi="Arial"/>
                <w:sz w:val="14"/>
                <w:szCs w:val="14"/>
                <w:color w:val="auto"/>
              </w:rPr>
              <w:t>230</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321</w:t>
            </w:r>
          </w:p>
        </w:tc>
        <w:tc>
          <w:tcPr>
            <w:tcW w:w="780" w:type="dxa"/>
            <w:vAlign w:val="bottom"/>
          </w:tcPr>
          <w:p>
            <w:pPr>
              <w:jc w:val="right"/>
              <w:spacing w:after="0"/>
              <w:rPr>
                <w:sz w:val="20"/>
                <w:szCs w:val="20"/>
                <w:color w:val="auto"/>
              </w:rPr>
            </w:pPr>
            <w:r>
              <w:rPr>
                <w:rFonts w:ascii="Arial" w:cs="Arial" w:eastAsia="Arial" w:hAnsi="Arial"/>
                <w:sz w:val="14"/>
                <w:szCs w:val="14"/>
                <w:color w:val="auto"/>
              </w:rPr>
              <w:t>432</w:t>
            </w:r>
          </w:p>
        </w:tc>
      </w:tr>
      <w:tr>
        <w:trPr>
          <w:trHeight w:val="73"/>
        </w:trPr>
        <w:tc>
          <w:tcPr>
            <w:tcW w:w="7100" w:type="dxa"/>
            <w:vAlign w:val="bottom"/>
            <w:tcBorders>
              <w:bottom w:val="single" w:sz="8" w:color="939598"/>
            </w:tcBorders>
          </w:tcPr>
          <w:p>
            <w:pPr>
              <w:spacing w:after="0"/>
              <w:rPr>
                <w:sz w:val="6"/>
                <w:szCs w:val="6"/>
                <w:color w:val="auto"/>
              </w:rPr>
            </w:pPr>
          </w:p>
        </w:tc>
        <w:tc>
          <w:tcPr>
            <w:tcW w:w="2440" w:type="dxa"/>
            <w:vAlign w:val="bottom"/>
            <w:tcBorders>
              <w:bottom w:val="single" w:sz="8" w:color="939598"/>
            </w:tcBorders>
          </w:tcPr>
          <w:p>
            <w:pPr>
              <w:spacing w:after="0"/>
              <w:rPr>
                <w:sz w:val="6"/>
                <w:szCs w:val="6"/>
                <w:color w:val="auto"/>
              </w:rPr>
            </w:pPr>
          </w:p>
        </w:tc>
        <w:tc>
          <w:tcPr>
            <w:tcW w:w="900" w:type="dxa"/>
            <w:vAlign w:val="bottom"/>
            <w:tcBorders>
              <w:bottom w:val="single" w:sz="8" w:color="939598"/>
            </w:tcBorders>
          </w:tcPr>
          <w:p>
            <w:pPr>
              <w:spacing w:after="0"/>
              <w:rPr>
                <w:sz w:val="6"/>
                <w:szCs w:val="6"/>
                <w:color w:val="auto"/>
              </w:rPr>
            </w:pPr>
          </w:p>
        </w:tc>
        <w:tc>
          <w:tcPr>
            <w:tcW w:w="780" w:type="dxa"/>
            <w:vAlign w:val="bottom"/>
            <w:tcBorders>
              <w:bottom w:val="single" w:sz="8" w:color="939598"/>
            </w:tcBorders>
          </w:tcPr>
          <w:p>
            <w:pPr>
              <w:spacing w:after="0"/>
              <w:rPr>
                <w:sz w:val="6"/>
                <w:szCs w:val="6"/>
                <w:color w:val="auto"/>
              </w:rPr>
            </w:pPr>
          </w:p>
        </w:tc>
      </w:tr>
      <w:tr>
        <w:trPr>
          <w:trHeight w:val="353"/>
        </w:trPr>
        <w:tc>
          <w:tcPr>
            <w:tcW w:w="7100" w:type="dxa"/>
            <w:vAlign w:val="bottom"/>
          </w:tcPr>
          <w:p>
            <w:pPr>
              <w:ind w:left="20"/>
              <w:spacing w:after="0"/>
              <w:rPr>
                <w:sz w:val="20"/>
                <w:szCs w:val="20"/>
                <w:color w:val="auto"/>
              </w:rPr>
            </w:pPr>
            <w:r>
              <w:rPr>
                <w:rFonts w:ascii="Arial" w:cs="Arial" w:eastAsia="Arial" w:hAnsi="Arial"/>
                <w:sz w:val="14"/>
                <w:szCs w:val="14"/>
                <w:color w:val="auto"/>
              </w:rPr>
              <w:t>Russian-related charges</w:t>
            </w:r>
            <w:r>
              <w:rPr>
                <w:rFonts w:ascii="Arial" w:cs="Arial" w:eastAsia="Arial" w:hAnsi="Arial"/>
                <w:sz w:val="18"/>
                <w:szCs w:val="18"/>
                <w:color w:val="auto"/>
                <w:vertAlign w:val="superscript"/>
              </w:rPr>
              <w:t>(3)</w:t>
            </w:r>
          </w:p>
        </w:tc>
        <w:tc>
          <w:tcPr>
            <w:tcW w:w="244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17</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72"/>
        </w:trPr>
        <w:tc>
          <w:tcPr>
            <w:tcW w:w="7100" w:type="dxa"/>
            <w:vAlign w:val="bottom"/>
            <w:tcBorders>
              <w:bottom w:val="single" w:sz="8" w:color="939598"/>
            </w:tcBorders>
          </w:tcPr>
          <w:p>
            <w:pPr>
              <w:spacing w:after="0"/>
              <w:rPr>
                <w:sz w:val="6"/>
                <w:szCs w:val="6"/>
                <w:color w:val="auto"/>
              </w:rPr>
            </w:pPr>
          </w:p>
        </w:tc>
        <w:tc>
          <w:tcPr>
            <w:tcW w:w="2440" w:type="dxa"/>
            <w:vAlign w:val="bottom"/>
            <w:tcBorders>
              <w:bottom w:val="single" w:sz="8" w:color="939598"/>
            </w:tcBorders>
          </w:tcPr>
          <w:p>
            <w:pPr>
              <w:spacing w:after="0"/>
              <w:rPr>
                <w:sz w:val="6"/>
                <w:szCs w:val="6"/>
                <w:color w:val="auto"/>
              </w:rPr>
            </w:pPr>
          </w:p>
        </w:tc>
        <w:tc>
          <w:tcPr>
            <w:tcW w:w="900" w:type="dxa"/>
            <w:vAlign w:val="bottom"/>
            <w:tcBorders>
              <w:bottom w:val="single" w:sz="8" w:color="939598"/>
            </w:tcBorders>
          </w:tcPr>
          <w:p>
            <w:pPr>
              <w:spacing w:after="0"/>
              <w:rPr>
                <w:sz w:val="6"/>
                <w:szCs w:val="6"/>
                <w:color w:val="auto"/>
              </w:rPr>
            </w:pPr>
          </w:p>
        </w:tc>
        <w:tc>
          <w:tcPr>
            <w:tcW w:w="780" w:type="dxa"/>
            <w:vAlign w:val="bottom"/>
            <w:tcBorders>
              <w:bottom w:val="single" w:sz="8" w:color="939598"/>
            </w:tcBorders>
          </w:tcPr>
          <w:p>
            <w:pPr>
              <w:spacing w:after="0"/>
              <w:rPr>
                <w:sz w:val="6"/>
                <w:szCs w:val="6"/>
                <w:color w:val="auto"/>
              </w:rPr>
            </w:pPr>
          </w:p>
        </w:tc>
      </w:tr>
      <w:tr>
        <w:trPr>
          <w:trHeight w:val="353"/>
        </w:trPr>
        <w:tc>
          <w:tcPr>
            <w:tcW w:w="7100" w:type="dxa"/>
            <w:vAlign w:val="bottom"/>
          </w:tcPr>
          <w:p>
            <w:pPr>
              <w:ind w:left="20"/>
              <w:spacing w:after="0"/>
              <w:rPr>
                <w:sz w:val="20"/>
                <w:szCs w:val="20"/>
                <w:color w:val="auto"/>
              </w:rPr>
            </w:pPr>
            <w:r>
              <w:rPr>
                <w:rFonts w:ascii="Arial" w:cs="Arial" w:eastAsia="Arial" w:hAnsi="Arial"/>
                <w:sz w:val="14"/>
                <w:szCs w:val="14"/>
                <w:color w:val="auto"/>
              </w:rPr>
              <w:t>Net expense related to the NARCO Buyout and HWI Sale</w:t>
            </w:r>
            <w:r>
              <w:rPr>
                <w:rFonts w:ascii="Arial" w:cs="Arial" w:eastAsia="Arial" w:hAnsi="Arial"/>
                <w:sz w:val="18"/>
                <w:szCs w:val="18"/>
                <w:color w:val="auto"/>
                <w:vertAlign w:val="superscript"/>
              </w:rPr>
              <w:t>(4)</w:t>
            </w:r>
          </w:p>
        </w:tc>
        <w:tc>
          <w:tcPr>
            <w:tcW w:w="2440" w:type="dxa"/>
            <w:vAlign w:val="bottom"/>
          </w:tcPr>
          <w:p>
            <w:pPr>
              <w:jc w:val="right"/>
              <w:ind w:right="108"/>
              <w:spacing w:after="0"/>
              <w:rPr>
                <w:sz w:val="20"/>
                <w:szCs w:val="20"/>
                <w:color w:val="auto"/>
              </w:rPr>
            </w:pPr>
            <w:r>
              <w:rPr>
                <w:rFonts w:ascii="Arial" w:cs="Arial" w:eastAsia="Arial" w:hAnsi="Arial"/>
                <w:sz w:val="14"/>
                <w:szCs w:val="14"/>
                <w:color w:val="auto"/>
              </w:rPr>
              <w:t>8</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73"/>
        </w:trPr>
        <w:tc>
          <w:tcPr>
            <w:tcW w:w="7100" w:type="dxa"/>
            <w:vAlign w:val="bottom"/>
            <w:tcBorders>
              <w:bottom w:val="single" w:sz="8" w:color="939598"/>
            </w:tcBorders>
          </w:tcPr>
          <w:p>
            <w:pPr>
              <w:spacing w:after="0"/>
              <w:rPr>
                <w:sz w:val="6"/>
                <w:szCs w:val="6"/>
                <w:color w:val="auto"/>
              </w:rPr>
            </w:pPr>
          </w:p>
        </w:tc>
        <w:tc>
          <w:tcPr>
            <w:tcW w:w="2440" w:type="dxa"/>
            <w:vAlign w:val="bottom"/>
            <w:tcBorders>
              <w:bottom w:val="single" w:sz="8" w:color="939598"/>
            </w:tcBorders>
          </w:tcPr>
          <w:p>
            <w:pPr>
              <w:spacing w:after="0"/>
              <w:rPr>
                <w:sz w:val="6"/>
                <w:szCs w:val="6"/>
                <w:color w:val="auto"/>
              </w:rPr>
            </w:pPr>
          </w:p>
        </w:tc>
        <w:tc>
          <w:tcPr>
            <w:tcW w:w="900" w:type="dxa"/>
            <w:vAlign w:val="bottom"/>
            <w:tcBorders>
              <w:bottom w:val="single" w:sz="8" w:color="939598"/>
            </w:tcBorders>
          </w:tcPr>
          <w:p>
            <w:pPr>
              <w:spacing w:after="0"/>
              <w:rPr>
                <w:sz w:val="6"/>
                <w:szCs w:val="6"/>
                <w:color w:val="auto"/>
              </w:rPr>
            </w:pPr>
          </w:p>
        </w:tc>
        <w:tc>
          <w:tcPr>
            <w:tcW w:w="780" w:type="dxa"/>
            <w:vAlign w:val="bottom"/>
            <w:tcBorders>
              <w:bottom w:val="single" w:sz="8" w:color="939598"/>
            </w:tcBorders>
          </w:tcPr>
          <w:p>
            <w:pPr>
              <w:spacing w:after="0"/>
              <w:rPr>
                <w:sz w:val="6"/>
                <w:szCs w:val="6"/>
                <w:color w:val="auto"/>
              </w:rPr>
            </w:pPr>
          </w:p>
        </w:tc>
      </w:tr>
      <w:tr>
        <w:trPr>
          <w:trHeight w:val="353"/>
        </w:trPr>
        <w:tc>
          <w:tcPr>
            <w:tcW w:w="7100" w:type="dxa"/>
            <w:vAlign w:val="bottom"/>
          </w:tcPr>
          <w:p>
            <w:pPr>
              <w:ind w:left="20"/>
              <w:spacing w:after="0"/>
              <w:rPr>
                <w:sz w:val="20"/>
                <w:szCs w:val="20"/>
                <w:color w:val="auto"/>
              </w:rPr>
            </w:pPr>
            <w:r>
              <w:rPr>
                <w:rFonts w:ascii="Arial" w:cs="Arial" w:eastAsia="Arial" w:hAnsi="Arial"/>
                <w:sz w:val="14"/>
                <w:szCs w:val="14"/>
                <w:color w:val="auto"/>
              </w:rPr>
              <w:t>Adjustment to estimated future Bendix liability</w:t>
            </w:r>
            <w:r>
              <w:rPr>
                <w:rFonts w:ascii="Arial" w:cs="Arial" w:eastAsia="Arial" w:hAnsi="Arial"/>
                <w:sz w:val="18"/>
                <w:szCs w:val="18"/>
                <w:color w:val="auto"/>
                <w:vertAlign w:val="superscript"/>
              </w:rPr>
              <w:t>(5)</w:t>
            </w:r>
          </w:p>
        </w:tc>
        <w:tc>
          <w:tcPr>
            <w:tcW w:w="2440" w:type="dxa"/>
            <w:vAlign w:val="bottom"/>
          </w:tcPr>
          <w:p>
            <w:pPr>
              <w:jc w:val="right"/>
              <w:ind w:right="108"/>
              <w:spacing w:after="0"/>
              <w:rPr>
                <w:sz w:val="20"/>
                <w:szCs w:val="20"/>
                <w:color w:val="auto"/>
              </w:rPr>
            </w:pPr>
            <w:r>
              <w:rPr>
                <w:rFonts w:ascii="Arial" w:cs="Arial" w:eastAsia="Arial" w:hAnsi="Arial"/>
                <w:sz w:val="14"/>
                <w:szCs w:val="14"/>
                <w:color w:val="auto"/>
              </w:rPr>
              <w:t>330</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72"/>
        </w:trPr>
        <w:tc>
          <w:tcPr>
            <w:tcW w:w="7100" w:type="dxa"/>
            <w:vAlign w:val="bottom"/>
            <w:tcBorders>
              <w:bottom w:val="single" w:sz="8" w:color="939598"/>
            </w:tcBorders>
          </w:tcPr>
          <w:p>
            <w:pPr>
              <w:spacing w:after="0"/>
              <w:rPr>
                <w:sz w:val="6"/>
                <w:szCs w:val="6"/>
                <w:color w:val="auto"/>
              </w:rPr>
            </w:pPr>
          </w:p>
        </w:tc>
        <w:tc>
          <w:tcPr>
            <w:tcW w:w="2440" w:type="dxa"/>
            <w:vAlign w:val="bottom"/>
            <w:tcBorders>
              <w:bottom w:val="single" w:sz="8" w:color="939598"/>
            </w:tcBorders>
          </w:tcPr>
          <w:p>
            <w:pPr>
              <w:spacing w:after="0"/>
              <w:rPr>
                <w:sz w:val="6"/>
                <w:szCs w:val="6"/>
                <w:color w:val="auto"/>
              </w:rPr>
            </w:pPr>
          </w:p>
        </w:tc>
        <w:tc>
          <w:tcPr>
            <w:tcW w:w="900" w:type="dxa"/>
            <w:vAlign w:val="bottom"/>
            <w:tcBorders>
              <w:bottom w:val="single" w:sz="8" w:color="939598"/>
            </w:tcBorders>
          </w:tcPr>
          <w:p>
            <w:pPr>
              <w:spacing w:after="0"/>
              <w:rPr>
                <w:sz w:val="6"/>
                <w:szCs w:val="6"/>
                <w:color w:val="auto"/>
              </w:rPr>
            </w:pPr>
          </w:p>
        </w:tc>
        <w:tc>
          <w:tcPr>
            <w:tcW w:w="780" w:type="dxa"/>
            <w:vAlign w:val="bottom"/>
            <w:tcBorders>
              <w:bottom w:val="single" w:sz="8" w:color="939598"/>
            </w:tcBorders>
          </w:tcPr>
          <w:p>
            <w:pPr>
              <w:spacing w:after="0"/>
              <w:rPr>
                <w:sz w:val="6"/>
                <w:szCs w:val="6"/>
                <w:color w:val="auto"/>
              </w:rPr>
            </w:pPr>
          </w:p>
        </w:tc>
      </w:tr>
      <w:tr>
        <w:trPr>
          <w:trHeight w:val="353"/>
        </w:trPr>
        <w:tc>
          <w:tcPr>
            <w:tcW w:w="7100" w:type="dxa"/>
            <w:vAlign w:val="bottom"/>
          </w:tcPr>
          <w:p>
            <w:pPr>
              <w:ind w:left="20"/>
              <w:spacing w:after="0"/>
              <w:rPr>
                <w:sz w:val="20"/>
                <w:szCs w:val="20"/>
                <w:color w:val="auto"/>
              </w:rPr>
            </w:pPr>
            <w:r>
              <w:rPr>
                <w:rFonts w:ascii="Arial" w:cs="Arial" w:eastAsia="Arial" w:hAnsi="Arial"/>
                <w:sz w:val="14"/>
                <w:szCs w:val="14"/>
                <w:color w:val="auto"/>
              </w:rPr>
              <w:t>Acquisition-related costs</w:t>
            </w:r>
            <w:r>
              <w:rPr>
                <w:rFonts w:ascii="Arial" w:cs="Arial" w:eastAsia="Arial" w:hAnsi="Arial"/>
                <w:sz w:val="18"/>
                <w:szCs w:val="18"/>
                <w:color w:val="auto"/>
                <w:vertAlign w:val="superscript"/>
              </w:rPr>
              <w:t>(6)</w:t>
            </w:r>
          </w:p>
        </w:tc>
        <w:tc>
          <w:tcPr>
            <w:tcW w:w="2440" w:type="dxa"/>
            <w:vAlign w:val="bottom"/>
          </w:tcPr>
          <w:p>
            <w:pPr>
              <w:jc w:val="right"/>
              <w:ind w:right="108"/>
              <w:spacing w:after="0"/>
              <w:rPr>
                <w:sz w:val="20"/>
                <w:szCs w:val="20"/>
                <w:color w:val="auto"/>
              </w:rPr>
            </w:pPr>
            <w:r>
              <w:rPr>
                <w:rFonts w:ascii="Arial" w:cs="Arial" w:eastAsia="Arial" w:hAnsi="Arial"/>
                <w:sz w:val="14"/>
                <w:szCs w:val="14"/>
                <w:color w:val="auto"/>
              </w:rPr>
              <w:t>7</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66</w:t>
            </w:r>
          </w:p>
        </w:tc>
        <w:tc>
          <w:tcPr>
            <w:tcW w:w="78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73"/>
        </w:trPr>
        <w:tc>
          <w:tcPr>
            <w:tcW w:w="7100" w:type="dxa"/>
            <w:vAlign w:val="bottom"/>
            <w:tcBorders>
              <w:bottom w:val="single" w:sz="8" w:color="939598"/>
            </w:tcBorders>
          </w:tcPr>
          <w:p>
            <w:pPr>
              <w:spacing w:after="0"/>
              <w:rPr>
                <w:sz w:val="6"/>
                <w:szCs w:val="6"/>
                <w:color w:val="auto"/>
              </w:rPr>
            </w:pPr>
          </w:p>
        </w:tc>
        <w:tc>
          <w:tcPr>
            <w:tcW w:w="2440" w:type="dxa"/>
            <w:vAlign w:val="bottom"/>
            <w:tcBorders>
              <w:bottom w:val="single" w:sz="8" w:color="939598"/>
            </w:tcBorders>
          </w:tcPr>
          <w:p>
            <w:pPr>
              <w:spacing w:after="0"/>
              <w:rPr>
                <w:sz w:val="6"/>
                <w:szCs w:val="6"/>
                <w:color w:val="auto"/>
              </w:rPr>
            </w:pPr>
          </w:p>
        </w:tc>
        <w:tc>
          <w:tcPr>
            <w:tcW w:w="900" w:type="dxa"/>
            <w:vAlign w:val="bottom"/>
            <w:tcBorders>
              <w:bottom w:val="single" w:sz="8" w:color="939598"/>
            </w:tcBorders>
          </w:tcPr>
          <w:p>
            <w:pPr>
              <w:spacing w:after="0"/>
              <w:rPr>
                <w:sz w:val="6"/>
                <w:szCs w:val="6"/>
                <w:color w:val="auto"/>
              </w:rPr>
            </w:pPr>
          </w:p>
        </w:tc>
        <w:tc>
          <w:tcPr>
            <w:tcW w:w="780" w:type="dxa"/>
            <w:vAlign w:val="bottom"/>
            <w:tcBorders>
              <w:bottom w:val="single" w:sz="8" w:color="939598"/>
            </w:tcBorders>
          </w:tcPr>
          <w:p>
            <w:pPr>
              <w:spacing w:after="0"/>
              <w:rPr>
                <w:sz w:val="6"/>
                <w:szCs w:val="6"/>
                <w:color w:val="auto"/>
              </w:rPr>
            </w:pPr>
          </w:p>
        </w:tc>
      </w:tr>
      <w:tr>
        <w:trPr>
          <w:trHeight w:val="353"/>
        </w:trPr>
        <w:tc>
          <w:tcPr>
            <w:tcW w:w="7100" w:type="dxa"/>
            <w:vAlign w:val="bottom"/>
          </w:tcPr>
          <w:p>
            <w:pPr>
              <w:ind w:left="20"/>
              <w:spacing w:after="0"/>
              <w:rPr>
                <w:sz w:val="20"/>
                <w:szCs w:val="20"/>
                <w:color w:val="auto"/>
              </w:rPr>
            </w:pPr>
            <w:r>
              <w:rPr>
                <w:rFonts w:ascii="Arial" w:cs="Arial" w:eastAsia="Arial" w:hAnsi="Arial"/>
                <w:sz w:val="14"/>
                <w:szCs w:val="14"/>
                <w:color w:val="auto"/>
              </w:rPr>
              <w:t>Divestiture-related costs</w:t>
            </w:r>
            <w:r>
              <w:rPr>
                <w:rFonts w:ascii="Arial" w:cs="Arial" w:eastAsia="Arial" w:hAnsi="Arial"/>
                <w:sz w:val="18"/>
                <w:szCs w:val="18"/>
                <w:color w:val="auto"/>
                <w:vertAlign w:val="superscript"/>
              </w:rPr>
              <w:t>(7)</w:t>
            </w:r>
          </w:p>
        </w:tc>
        <w:tc>
          <w:tcPr>
            <w:tcW w:w="24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460</w:t>
            </w:r>
          </w:p>
        </w:tc>
      </w:tr>
      <w:tr>
        <w:trPr>
          <w:trHeight w:val="72"/>
        </w:trPr>
        <w:tc>
          <w:tcPr>
            <w:tcW w:w="7100" w:type="dxa"/>
            <w:vAlign w:val="bottom"/>
            <w:tcBorders>
              <w:bottom w:val="single" w:sz="8" w:color="939598"/>
            </w:tcBorders>
          </w:tcPr>
          <w:p>
            <w:pPr>
              <w:spacing w:after="0"/>
              <w:rPr>
                <w:sz w:val="6"/>
                <w:szCs w:val="6"/>
                <w:color w:val="auto"/>
              </w:rPr>
            </w:pPr>
          </w:p>
        </w:tc>
        <w:tc>
          <w:tcPr>
            <w:tcW w:w="2440" w:type="dxa"/>
            <w:vAlign w:val="bottom"/>
            <w:tcBorders>
              <w:bottom w:val="single" w:sz="8" w:color="939598"/>
            </w:tcBorders>
          </w:tcPr>
          <w:p>
            <w:pPr>
              <w:spacing w:after="0"/>
              <w:rPr>
                <w:sz w:val="6"/>
                <w:szCs w:val="6"/>
                <w:color w:val="auto"/>
              </w:rPr>
            </w:pPr>
          </w:p>
        </w:tc>
        <w:tc>
          <w:tcPr>
            <w:tcW w:w="900" w:type="dxa"/>
            <w:vAlign w:val="bottom"/>
            <w:tcBorders>
              <w:bottom w:val="single" w:sz="8" w:color="939598"/>
            </w:tcBorders>
          </w:tcPr>
          <w:p>
            <w:pPr>
              <w:spacing w:after="0"/>
              <w:rPr>
                <w:sz w:val="6"/>
                <w:szCs w:val="6"/>
                <w:color w:val="auto"/>
              </w:rPr>
            </w:pPr>
          </w:p>
        </w:tc>
        <w:tc>
          <w:tcPr>
            <w:tcW w:w="780" w:type="dxa"/>
            <w:vAlign w:val="bottom"/>
            <w:tcBorders>
              <w:bottom w:val="single" w:sz="8" w:color="939598"/>
            </w:tcBorders>
          </w:tcPr>
          <w:p>
            <w:pPr>
              <w:spacing w:after="0"/>
              <w:rPr>
                <w:sz w:val="6"/>
                <w:szCs w:val="6"/>
                <w:color w:val="auto"/>
              </w:rPr>
            </w:pPr>
          </w:p>
        </w:tc>
      </w:tr>
      <w:tr>
        <w:trPr>
          <w:trHeight w:val="353"/>
        </w:trPr>
        <w:tc>
          <w:tcPr>
            <w:tcW w:w="7100" w:type="dxa"/>
            <w:vAlign w:val="bottom"/>
          </w:tcPr>
          <w:p>
            <w:pPr>
              <w:ind w:left="20"/>
              <w:spacing w:after="0"/>
              <w:rPr>
                <w:sz w:val="20"/>
                <w:szCs w:val="20"/>
                <w:color w:val="auto"/>
              </w:rPr>
            </w:pPr>
            <w:r>
              <w:rPr>
                <w:rFonts w:ascii="Arial" w:cs="Arial" w:eastAsia="Arial" w:hAnsi="Arial"/>
                <w:sz w:val="14"/>
                <w:szCs w:val="14"/>
                <w:color w:val="auto"/>
              </w:rPr>
              <w:t>Indefinite-lived intangible asset impairment</w:t>
            </w:r>
            <w:r>
              <w:rPr>
                <w:rFonts w:ascii="Arial" w:cs="Arial" w:eastAsia="Arial" w:hAnsi="Arial"/>
                <w:sz w:val="18"/>
                <w:szCs w:val="18"/>
                <w:color w:val="auto"/>
                <w:vertAlign w:val="superscript"/>
              </w:rPr>
              <w:t>(8)</w:t>
            </w:r>
          </w:p>
        </w:tc>
        <w:tc>
          <w:tcPr>
            <w:tcW w:w="24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37</w:t>
            </w:r>
          </w:p>
        </w:tc>
        <w:tc>
          <w:tcPr>
            <w:tcW w:w="78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73"/>
        </w:trPr>
        <w:tc>
          <w:tcPr>
            <w:tcW w:w="7100" w:type="dxa"/>
            <w:vAlign w:val="bottom"/>
            <w:tcBorders>
              <w:bottom w:val="single" w:sz="8" w:color="939598"/>
            </w:tcBorders>
          </w:tcPr>
          <w:p>
            <w:pPr>
              <w:spacing w:after="0"/>
              <w:rPr>
                <w:sz w:val="6"/>
                <w:szCs w:val="6"/>
                <w:color w:val="auto"/>
              </w:rPr>
            </w:pPr>
          </w:p>
        </w:tc>
        <w:tc>
          <w:tcPr>
            <w:tcW w:w="2440" w:type="dxa"/>
            <w:vAlign w:val="bottom"/>
            <w:tcBorders>
              <w:bottom w:val="single" w:sz="8" w:color="939598"/>
            </w:tcBorders>
          </w:tcPr>
          <w:p>
            <w:pPr>
              <w:spacing w:after="0"/>
              <w:rPr>
                <w:sz w:val="6"/>
                <w:szCs w:val="6"/>
                <w:color w:val="auto"/>
              </w:rPr>
            </w:pPr>
          </w:p>
        </w:tc>
        <w:tc>
          <w:tcPr>
            <w:tcW w:w="900" w:type="dxa"/>
            <w:vAlign w:val="bottom"/>
            <w:tcBorders>
              <w:bottom w:val="single" w:sz="8" w:color="939598"/>
            </w:tcBorders>
          </w:tcPr>
          <w:p>
            <w:pPr>
              <w:spacing w:after="0"/>
              <w:rPr>
                <w:sz w:val="6"/>
                <w:szCs w:val="6"/>
                <w:color w:val="auto"/>
              </w:rPr>
            </w:pPr>
          </w:p>
        </w:tc>
        <w:tc>
          <w:tcPr>
            <w:tcW w:w="780" w:type="dxa"/>
            <w:vAlign w:val="bottom"/>
            <w:tcBorders>
              <w:bottom w:val="single" w:sz="8" w:color="939598"/>
            </w:tcBorders>
          </w:tcPr>
          <w:p>
            <w:pPr>
              <w:spacing w:after="0"/>
              <w:rPr>
                <w:sz w:val="6"/>
                <w:szCs w:val="6"/>
                <w:color w:val="auto"/>
              </w:rPr>
            </w:pPr>
          </w:p>
        </w:tc>
      </w:tr>
      <w:tr>
        <w:trPr>
          <w:trHeight w:val="353"/>
        </w:trPr>
        <w:tc>
          <w:tcPr>
            <w:tcW w:w="7100" w:type="dxa"/>
            <w:vAlign w:val="bottom"/>
          </w:tcPr>
          <w:p>
            <w:pPr>
              <w:ind w:left="20"/>
              <w:spacing w:after="0"/>
              <w:rPr>
                <w:sz w:val="20"/>
                <w:szCs w:val="20"/>
                <w:color w:val="auto"/>
              </w:rPr>
            </w:pPr>
            <w:r>
              <w:rPr>
                <w:rFonts w:ascii="Arial" w:cs="Arial" w:eastAsia="Arial" w:hAnsi="Arial"/>
                <w:sz w:val="14"/>
                <w:szCs w:val="14"/>
                <w:color w:val="auto"/>
              </w:rPr>
              <w:t>Impairment of assets held for sale</w:t>
            </w:r>
            <w:r>
              <w:rPr>
                <w:rFonts w:ascii="Arial" w:cs="Arial" w:eastAsia="Arial" w:hAnsi="Arial"/>
                <w:sz w:val="18"/>
                <w:szCs w:val="18"/>
                <w:color w:val="auto"/>
                <w:vertAlign w:val="superscript"/>
              </w:rPr>
              <w:t>(9)</w:t>
            </w:r>
          </w:p>
        </w:tc>
        <w:tc>
          <w:tcPr>
            <w:tcW w:w="24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219</w:t>
            </w:r>
          </w:p>
        </w:tc>
        <w:tc>
          <w:tcPr>
            <w:tcW w:w="780" w:type="dxa"/>
            <w:vAlign w:val="bottom"/>
          </w:tcPr>
          <w:p>
            <w:pPr>
              <w:jc w:val="right"/>
              <w:spacing w:after="0"/>
              <w:rPr>
                <w:sz w:val="20"/>
                <w:szCs w:val="20"/>
                <w:color w:val="auto"/>
              </w:rPr>
            </w:pPr>
            <w:r>
              <w:rPr>
                <w:rFonts w:ascii="Arial" w:cs="Arial" w:eastAsia="Arial" w:hAnsi="Arial"/>
                <w:sz w:val="14"/>
                <w:szCs w:val="14"/>
                <w:color w:val="auto"/>
              </w:rPr>
              <w:t>209</w:t>
            </w:r>
          </w:p>
        </w:tc>
      </w:tr>
      <w:tr>
        <w:trPr>
          <w:trHeight w:val="72"/>
        </w:trPr>
        <w:tc>
          <w:tcPr>
            <w:tcW w:w="7100" w:type="dxa"/>
            <w:vAlign w:val="bottom"/>
            <w:tcBorders>
              <w:bottom w:val="single" w:sz="8" w:color="939598"/>
            </w:tcBorders>
          </w:tcPr>
          <w:p>
            <w:pPr>
              <w:spacing w:after="0"/>
              <w:rPr>
                <w:sz w:val="6"/>
                <w:szCs w:val="6"/>
                <w:color w:val="auto"/>
              </w:rPr>
            </w:pPr>
          </w:p>
        </w:tc>
        <w:tc>
          <w:tcPr>
            <w:tcW w:w="2440" w:type="dxa"/>
            <w:vAlign w:val="bottom"/>
            <w:tcBorders>
              <w:bottom w:val="single" w:sz="8" w:color="939598"/>
            </w:tcBorders>
          </w:tcPr>
          <w:p>
            <w:pPr>
              <w:spacing w:after="0"/>
              <w:rPr>
                <w:sz w:val="6"/>
                <w:szCs w:val="6"/>
                <w:color w:val="auto"/>
              </w:rPr>
            </w:pPr>
          </w:p>
        </w:tc>
        <w:tc>
          <w:tcPr>
            <w:tcW w:w="900" w:type="dxa"/>
            <w:vAlign w:val="bottom"/>
            <w:tcBorders>
              <w:bottom w:val="single" w:sz="8" w:color="939598"/>
            </w:tcBorders>
          </w:tcPr>
          <w:p>
            <w:pPr>
              <w:spacing w:after="0"/>
              <w:rPr>
                <w:sz w:val="6"/>
                <w:szCs w:val="6"/>
                <w:color w:val="auto"/>
              </w:rPr>
            </w:pPr>
          </w:p>
        </w:tc>
        <w:tc>
          <w:tcPr>
            <w:tcW w:w="780" w:type="dxa"/>
            <w:vAlign w:val="bottom"/>
            <w:tcBorders>
              <w:bottom w:val="single" w:sz="8" w:color="939598"/>
            </w:tcBorders>
          </w:tcPr>
          <w:p>
            <w:pPr>
              <w:spacing w:after="0"/>
              <w:rPr>
                <w:sz w:val="6"/>
                <w:szCs w:val="6"/>
                <w:color w:val="auto"/>
              </w:rPr>
            </w:pPr>
          </w:p>
        </w:tc>
      </w:tr>
      <w:tr>
        <w:trPr>
          <w:trHeight w:val="353"/>
        </w:trPr>
        <w:tc>
          <w:tcPr>
            <w:tcW w:w="7100" w:type="dxa"/>
            <w:vAlign w:val="bottom"/>
          </w:tcPr>
          <w:p>
            <w:pPr>
              <w:ind w:left="20"/>
              <w:spacing w:after="0"/>
              <w:rPr>
                <w:sz w:val="20"/>
                <w:szCs w:val="20"/>
                <w:color w:val="auto"/>
              </w:rPr>
            </w:pPr>
            <w:r>
              <w:rPr>
                <w:rFonts w:ascii="Arial" w:cs="Arial" w:eastAsia="Arial" w:hAnsi="Arial"/>
                <w:sz w:val="14"/>
                <w:szCs w:val="14"/>
                <w:color w:val="auto"/>
              </w:rPr>
              <w:t>Impairment of goodwill</w:t>
            </w:r>
            <w:r>
              <w:rPr>
                <w:rFonts w:ascii="Arial" w:cs="Arial" w:eastAsia="Arial" w:hAnsi="Arial"/>
                <w:sz w:val="18"/>
                <w:szCs w:val="18"/>
                <w:color w:val="auto"/>
                <w:vertAlign w:val="superscript"/>
              </w:rPr>
              <w:t>(10)</w:t>
            </w:r>
          </w:p>
        </w:tc>
        <w:tc>
          <w:tcPr>
            <w:tcW w:w="24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724</w:t>
            </w:r>
          </w:p>
        </w:tc>
      </w:tr>
      <w:tr>
        <w:trPr>
          <w:trHeight w:val="72"/>
        </w:trPr>
        <w:tc>
          <w:tcPr>
            <w:tcW w:w="7100" w:type="dxa"/>
            <w:vAlign w:val="bottom"/>
            <w:tcBorders>
              <w:bottom w:val="single" w:sz="8" w:color="939598"/>
            </w:tcBorders>
          </w:tcPr>
          <w:p>
            <w:pPr>
              <w:spacing w:after="0"/>
              <w:rPr>
                <w:sz w:val="6"/>
                <w:szCs w:val="6"/>
                <w:color w:val="auto"/>
              </w:rPr>
            </w:pPr>
          </w:p>
        </w:tc>
        <w:tc>
          <w:tcPr>
            <w:tcW w:w="2440" w:type="dxa"/>
            <w:vAlign w:val="bottom"/>
            <w:tcBorders>
              <w:bottom w:val="single" w:sz="8" w:color="939598"/>
            </w:tcBorders>
          </w:tcPr>
          <w:p>
            <w:pPr>
              <w:spacing w:after="0"/>
              <w:rPr>
                <w:sz w:val="6"/>
                <w:szCs w:val="6"/>
                <w:color w:val="auto"/>
              </w:rPr>
            </w:pPr>
          </w:p>
        </w:tc>
        <w:tc>
          <w:tcPr>
            <w:tcW w:w="900" w:type="dxa"/>
            <w:vAlign w:val="bottom"/>
            <w:tcBorders>
              <w:bottom w:val="single" w:sz="8" w:color="939598"/>
            </w:tcBorders>
          </w:tcPr>
          <w:p>
            <w:pPr>
              <w:spacing w:after="0"/>
              <w:rPr>
                <w:sz w:val="6"/>
                <w:szCs w:val="6"/>
                <w:color w:val="auto"/>
              </w:rPr>
            </w:pPr>
          </w:p>
        </w:tc>
        <w:tc>
          <w:tcPr>
            <w:tcW w:w="780" w:type="dxa"/>
            <w:vAlign w:val="bottom"/>
            <w:tcBorders>
              <w:bottom w:val="single" w:sz="8" w:color="939598"/>
            </w:tcBorders>
          </w:tcPr>
          <w:p>
            <w:pPr>
              <w:spacing w:after="0"/>
              <w:rPr>
                <w:sz w:val="6"/>
                <w:szCs w:val="6"/>
                <w:color w:val="auto"/>
              </w:rPr>
            </w:pPr>
          </w:p>
        </w:tc>
      </w:tr>
      <w:tr>
        <w:trPr>
          <w:trHeight w:val="353"/>
        </w:trPr>
        <w:tc>
          <w:tcPr>
            <w:tcW w:w="7100" w:type="dxa"/>
            <w:vAlign w:val="bottom"/>
          </w:tcPr>
          <w:p>
            <w:pPr>
              <w:ind w:left="20"/>
              <w:spacing w:after="0"/>
              <w:rPr>
                <w:sz w:val="20"/>
                <w:szCs w:val="20"/>
                <w:color w:val="auto"/>
              </w:rPr>
            </w:pPr>
            <w:r>
              <w:rPr>
                <w:rFonts w:ascii="Arial" w:cs="Arial" w:eastAsia="Arial" w:hAnsi="Arial"/>
                <w:sz w:val="14"/>
                <w:szCs w:val="14"/>
                <w:color w:val="auto"/>
              </w:rPr>
              <w:t>Loss on sale of business</w:t>
            </w:r>
            <w:r>
              <w:rPr>
                <w:rFonts w:ascii="Arial" w:cs="Arial" w:eastAsia="Arial" w:hAnsi="Arial"/>
                <w:sz w:val="18"/>
                <w:szCs w:val="18"/>
                <w:color w:val="auto"/>
                <w:vertAlign w:val="superscript"/>
              </w:rPr>
              <w:t>(11)</w:t>
            </w:r>
          </w:p>
        </w:tc>
        <w:tc>
          <w:tcPr>
            <w:tcW w:w="24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73"/>
        </w:trPr>
        <w:tc>
          <w:tcPr>
            <w:tcW w:w="7100" w:type="dxa"/>
            <w:vAlign w:val="bottom"/>
            <w:tcBorders>
              <w:bottom w:val="single" w:sz="8" w:color="939598"/>
            </w:tcBorders>
          </w:tcPr>
          <w:p>
            <w:pPr>
              <w:spacing w:after="0"/>
              <w:rPr>
                <w:sz w:val="6"/>
                <w:szCs w:val="6"/>
                <w:color w:val="auto"/>
              </w:rPr>
            </w:pPr>
          </w:p>
        </w:tc>
        <w:tc>
          <w:tcPr>
            <w:tcW w:w="2440" w:type="dxa"/>
            <w:vAlign w:val="bottom"/>
            <w:tcBorders>
              <w:bottom w:val="single" w:sz="8" w:color="939598"/>
            </w:tcBorders>
          </w:tcPr>
          <w:p>
            <w:pPr>
              <w:spacing w:after="0"/>
              <w:rPr>
                <w:sz w:val="6"/>
                <w:szCs w:val="6"/>
                <w:color w:val="auto"/>
              </w:rPr>
            </w:pPr>
          </w:p>
        </w:tc>
        <w:tc>
          <w:tcPr>
            <w:tcW w:w="900" w:type="dxa"/>
            <w:vAlign w:val="bottom"/>
            <w:tcBorders>
              <w:bottom w:val="single" w:sz="8" w:color="939598"/>
            </w:tcBorders>
          </w:tcPr>
          <w:p>
            <w:pPr>
              <w:spacing w:after="0"/>
              <w:rPr>
                <w:sz w:val="6"/>
                <w:szCs w:val="6"/>
                <w:color w:val="auto"/>
              </w:rPr>
            </w:pPr>
          </w:p>
        </w:tc>
        <w:tc>
          <w:tcPr>
            <w:tcW w:w="780" w:type="dxa"/>
            <w:vAlign w:val="bottom"/>
            <w:tcBorders>
              <w:bottom w:val="single" w:sz="8" w:color="939598"/>
            </w:tcBorders>
          </w:tcPr>
          <w:p>
            <w:pPr>
              <w:spacing w:after="0"/>
              <w:rPr>
                <w:sz w:val="6"/>
                <w:szCs w:val="6"/>
                <w:color w:val="auto"/>
              </w:rPr>
            </w:pPr>
          </w:p>
        </w:tc>
      </w:tr>
      <w:tr>
        <w:trPr>
          <w:trHeight w:val="353"/>
        </w:trPr>
        <w:tc>
          <w:tcPr>
            <w:tcW w:w="7100" w:type="dxa"/>
            <w:vAlign w:val="bottom"/>
          </w:tcPr>
          <w:p>
            <w:pPr>
              <w:ind w:left="20"/>
              <w:spacing w:after="0"/>
              <w:rPr>
                <w:sz w:val="20"/>
                <w:szCs w:val="20"/>
                <w:color w:val="auto"/>
              </w:rPr>
            </w:pPr>
            <w:r>
              <w:rPr>
                <w:rFonts w:ascii="Arial" w:cs="Arial" w:eastAsia="Arial" w:hAnsi="Arial"/>
                <w:sz w:val="14"/>
                <w:szCs w:val="14"/>
                <w:color w:val="auto"/>
              </w:rPr>
              <w:t>Gain related to Resideo indemnification and reimbursement agreement termination</w:t>
            </w:r>
            <w:r>
              <w:rPr>
                <w:rFonts w:ascii="Arial" w:cs="Arial" w:eastAsia="Arial" w:hAnsi="Arial"/>
                <w:sz w:val="18"/>
                <w:szCs w:val="18"/>
                <w:color w:val="auto"/>
                <w:vertAlign w:val="superscript"/>
              </w:rPr>
              <w:t>(12)</w:t>
            </w:r>
          </w:p>
        </w:tc>
        <w:tc>
          <w:tcPr>
            <w:tcW w:w="24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(802)</w:t>
            </w:r>
          </w:p>
        </w:tc>
      </w:tr>
      <w:tr>
        <w:trPr>
          <w:trHeight w:val="72"/>
        </w:trPr>
        <w:tc>
          <w:tcPr>
            <w:tcW w:w="7100" w:type="dxa"/>
            <w:vAlign w:val="bottom"/>
            <w:tcBorders>
              <w:bottom w:val="single" w:sz="8" w:color="939598"/>
            </w:tcBorders>
          </w:tcPr>
          <w:p>
            <w:pPr>
              <w:spacing w:after="0"/>
              <w:rPr>
                <w:sz w:val="6"/>
                <w:szCs w:val="6"/>
                <w:color w:val="auto"/>
              </w:rPr>
            </w:pPr>
          </w:p>
        </w:tc>
        <w:tc>
          <w:tcPr>
            <w:tcW w:w="2440" w:type="dxa"/>
            <w:vAlign w:val="bottom"/>
            <w:tcBorders>
              <w:bottom w:val="single" w:sz="8" w:color="939598"/>
            </w:tcBorders>
          </w:tcPr>
          <w:p>
            <w:pPr>
              <w:spacing w:after="0"/>
              <w:rPr>
                <w:sz w:val="6"/>
                <w:szCs w:val="6"/>
                <w:color w:val="auto"/>
              </w:rPr>
            </w:pPr>
          </w:p>
        </w:tc>
        <w:tc>
          <w:tcPr>
            <w:tcW w:w="900" w:type="dxa"/>
            <w:vAlign w:val="bottom"/>
            <w:tcBorders>
              <w:bottom w:val="single" w:sz="8" w:color="939598"/>
            </w:tcBorders>
          </w:tcPr>
          <w:p>
            <w:pPr>
              <w:spacing w:after="0"/>
              <w:rPr>
                <w:sz w:val="6"/>
                <w:szCs w:val="6"/>
                <w:color w:val="auto"/>
              </w:rPr>
            </w:pPr>
          </w:p>
        </w:tc>
        <w:tc>
          <w:tcPr>
            <w:tcW w:w="780" w:type="dxa"/>
            <w:vAlign w:val="bottom"/>
            <w:tcBorders>
              <w:bottom w:val="single" w:sz="8" w:color="939598"/>
            </w:tcBorders>
          </w:tcPr>
          <w:p>
            <w:pPr>
              <w:spacing w:after="0"/>
              <w:rPr>
                <w:sz w:val="6"/>
                <w:szCs w:val="6"/>
                <w:color w:val="auto"/>
              </w:rPr>
            </w:pPr>
          </w:p>
        </w:tc>
      </w:tr>
      <w:tr>
        <w:trPr>
          <w:trHeight w:val="353"/>
        </w:trPr>
        <w:tc>
          <w:tcPr>
            <w:tcW w:w="7100" w:type="dxa"/>
            <w:vAlign w:val="bottom"/>
          </w:tcPr>
          <w:p>
            <w:pPr>
              <w:ind w:left="20"/>
              <w:spacing w:after="0"/>
              <w:rPr>
                <w:sz w:val="20"/>
                <w:szCs w:val="20"/>
                <w:color w:val="auto"/>
              </w:rPr>
            </w:pPr>
            <w:r>
              <w:rPr>
                <w:rFonts w:ascii="Arial" w:cs="Arial" w:eastAsia="Arial" w:hAnsi="Arial"/>
                <w:sz w:val="14"/>
                <w:szCs w:val="14"/>
                <w:color w:val="auto"/>
              </w:rPr>
              <w:t>Adjustment to estimated future environmental liabilities</w:t>
            </w:r>
            <w:r>
              <w:rPr>
                <w:rFonts w:ascii="Arial" w:cs="Arial" w:eastAsia="Arial" w:hAnsi="Arial"/>
                <w:sz w:val="18"/>
                <w:szCs w:val="18"/>
                <w:color w:val="auto"/>
                <w:vertAlign w:val="superscript"/>
              </w:rPr>
              <w:t>(13)</w:t>
            </w:r>
          </w:p>
        </w:tc>
        <w:tc>
          <w:tcPr>
            <w:tcW w:w="24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161</w:t>
            </w:r>
          </w:p>
        </w:tc>
      </w:tr>
      <w:tr>
        <w:trPr>
          <w:trHeight w:val="72"/>
        </w:trPr>
        <w:tc>
          <w:tcPr>
            <w:tcW w:w="7100" w:type="dxa"/>
            <w:vAlign w:val="bottom"/>
            <w:tcBorders>
              <w:bottom w:val="single" w:sz="8" w:color="939598"/>
            </w:tcBorders>
          </w:tcPr>
          <w:p>
            <w:pPr>
              <w:spacing w:after="0"/>
              <w:rPr>
                <w:sz w:val="6"/>
                <w:szCs w:val="6"/>
                <w:color w:val="auto"/>
              </w:rPr>
            </w:pPr>
          </w:p>
        </w:tc>
        <w:tc>
          <w:tcPr>
            <w:tcW w:w="2440" w:type="dxa"/>
            <w:vAlign w:val="bottom"/>
            <w:tcBorders>
              <w:bottom w:val="single" w:sz="8" w:color="939598"/>
            </w:tcBorders>
          </w:tcPr>
          <w:p>
            <w:pPr>
              <w:spacing w:after="0"/>
              <w:rPr>
                <w:sz w:val="6"/>
                <w:szCs w:val="6"/>
                <w:color w:val="auto"/>
              </w:rPr>
            </w:pPr>
          </w:p>
        </w:tc>
        <w:tc>
          <w:tcPr>
            <w:tcW w:w="900" w:type="dxa"/>
            <w:vAlign w:val="bottom"/>
            <w:tcBorders>
              <w:bottom w:val="single" w:sz="8" w:color="939598"/>
            </w:tcBorders>
          </w:tcPr>
          <w:p>
            <w:pPr>
              <w:spacing w:after="0"/>
              <w:rPr>
                <w:sz w:val="6"/>
                <w:szCs w:val="6"/>
                <w:color w:val="auto"/>
              </w:rPr>
            </w:pPr>
          </w:p>
        </w:tc>
        <w:tc>
          <w:tcPr>
            <w:tcW w:w="780" w:type="dxa"/>
            <w:vAlign w:val="bottom"/>
            <w:tcBorders>
              <w:bottom w:val="single" w:sz="8" w:color="939598"/>
            </w:tcBorders>
          </w:tcPr>
          <w:p>
            <w:pPr>
              <w:spacing w:after="0"/>
              <w:rPr>
                <w:sz w:val="6"/>
                <w:szCs w:val="6"/>
                <w:color w:val="auto"/>
              </w:rPr>
            </w:pPr>
          </w:p>
        </w:tc>
      </w:tr>
      <w:tr>
        <w:trPr>
          <w:trHeight w:val="353"/>
        </w:trPr>
        <w:tc>
          <w:tcPr>
            <w:tcW w:w="7100" w:type="dxa"/>
            <w:vAlign w:val="bottom"/>
          </w:tcPr>
          <w:p>
            <w:pPr>
              <w:ind w:left="20"/>
              <w:spacing w:after="0"/>
              <w:rPr>
                <w:sz w:val="20"/>
                <w:szCs w:val="20"/>
                <w:color w:val="auto"/>
              </w:rPr>
            </w:pPr>
            <w:r>
              <w:rPr>
                <w:rFonts w:ascii="Arial" w:cs="Arial" w:eastAsia="Arial" w:hAnsi="Arial"/>
                <w:sz w:val="14"/>
                <w:szCs w:val="14"/>
                <w:color w:val="auto"/>
              </w:rPr>
              <w:t>Loss on settlement of divestiture of asbestos liabilities</w:t>
            </w:r>
            <w:r>
              <w:rPr>
                <w:rFonts w:ascii="Arial" w:cs="Arial" w:eastAsia="Arial" w:hAnsi="Arial"/>
                <w:sz w:val="18"/>
                <w:szCs w:val="18"/>
                <w:color w:val="auto"/>
                <w:vertAlign w:val="superscript"/>
              </w:rPr>
              <w:t>(14)</w:t>
            </w:r>
          </w:p>
        </w:tc>
        <w:tc>
          <w:tcPr>
            <w:tcW w:w="24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112</w:t>
            </w:r>
          </w:p>
        </w:tc>
      </w:tr>
      <w:tr>
        <w:trPr>
          <w:trHeight w:val="73"/>
        </w:trPr>
        <w:tc>
          <w:tcPr>
            <w:tcW w:w="7100" w:type="dxa"/>
            <w:vAlign w:val="bottom"/>
            <w:tcBorders>
              <w:bottom w:val="single" w:sz="8" w:color="939598"/>
            </w:tcBorders>
          </w:tcPr>
          <w:p>
            <w:pPr>
              <w:spacing w:after="0"/>
              <w:rPr>
                <w:sz w:val="6"/>
                <w:szCs w:val="6"/>
                <w:color w:val="auto"/>
              </w:rPr>
            </w:pPr>
          </w:p>
        </w:tc>
        <w:tc>
          <w:tcPr>
            <w:tcW w:w="2440" w:type="dxa"/>
            <w:vAlign w:val="bottom"/>
            <w:tcBorders>
              <w:bottom w:val="single" w:sz="8" w:color="939598"/>
            </w:tcBorders>
          </w:tcPr>
          <w:p>
            <w:pPr>
              <w:spacing w:after="0"/>
              <w:rPr>
                <w:sz w:val="6"/>
                <w:szCs w:val="6"/>
                <w:color w:val="auto"/>
              </w:rPr>
            </w:pPr>
          </w:p>
        </w:tc>
        <w:tc>
          <w:tcPr>
            <w:tcW w:w="900" w:type="dxa"/>
            <w:vAlign w:val="bottom"/>
            <w:tcBorders>
              <w:bottom w:val="single" w:sz="8" w:color="939598"/>
            </w:tcBorders>
          </w:tcPr>
          <w:p>
            <w:pPr>
              <w:spacing w:after="0"/>
              <w:rPr>
                <w:sz w:val="6"/>
                <w:szCs w:val="6"/>
                <w:color w:val="auto"/>
              </w:rPr>
            </w:pPr>
          </w:p>
        </w:tc>
        <w:tc>
          <w:tcPr>
            <w:tcW w:w="780" w:type="dxa"/>
            <w:vAlign w:val="bottom"/>
            <w:tcBorders>
              <w:bottom w:val="single" w:sz="8" w:color="939598"/>
            </w:tcBorders>
          </w:tcPr>
          <w:p>
            <w:pPr>
              <w:spacing w:after="0"/>
              <w:rPr>
                <w:sz w:val="6"/>
                <w:szCs w:val="6"/>
                <w:color w:val="auto"/>
              </w:rPr>
            </w:pPr>
          </w:p>
        </w:tc>
      </w:tr>
      <w:tr>
        <w:trPr>
          <w:trHeight w:val="353"/>
        </w:trPr>
        <w:tc>
          <w:tcPr>
            <w:tcW w:w="7100" w:type="dxa"/>
            <w:vAlign w:val="bottom"/>
          </w:tcPr>
          <w:p>
            <w:pPr>
              <w:ind w:left="20"/>
              <w:spacing w:after="0"/>
              <w:rPr>
                <w:sz w:val="20"/>
                <w:szCs w:val="20"/>
                <w:color w:val="auto"/>
              </w:rPr>
            </w:pPr>
            <w:r>
              <w:rPr>
                <w:rFonts w:ascii="Arial" w:cs="Arial" w:eastAsia="Arial" w:hAnsi="Arial"/>
                <w:sz w:val="14"/>
                <w:szCs w:val="14"/>
                <w:color w:val="auto"/>
              </w:rPr>
              <w:t>Flexjet-related litigation matters</w:t>
            </w:r>
            <w:r>
              <w:rPr>
                <w:rFonts w:ascii="Arial" w:cs="Arial" w:eastAsia="Arial" w:hAnsi="Arial"/>
                <w:sz w:val="18"/>
                <w:szCs w:val="18"/>
                <w:color w:val="auto"/>
                <w:vertAlign w:val="superscript"/>
              </w:rPr>
              <w:t>(15)</w:t>
            </w:r>
          </w:p>
        </w:tc>
        <w:tc>
          <w:tcPr>
            <w:tcW w:w="24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302</w:t>
            </w:r>
          </w:p>
        </w:tc>
      </w:tr>
      <w:tr>
        <w:trPr>
          <w:trHeight w:val="72"/>
        </w:trPr>
        <w:tc>
          <w:tcPr>
            <w:tcW w:w="7100" w:type="dxa"/>
            <w:vAlign w:val="bottom"/>
            <w:tcBorders>
              <w:bottom w:val="single" w:sz="8" w:color="D7282F"/>
            </w:tcBorders>
          </w:tcPr>
          <w:p>
            <w:pPr>
              <w:spacing w:after="0"/>
              <w:rPr>
                <w:sz w:val="6"/>
                <w:szCs w:val="6"/>
                <w:color w:val="auto"/>
              </w:rPr>
            </w:pPr>
          </w:p>
        </w:tc>
        <w:tc>
          <w:tcPr>
            <w:tcW w:w="2440" w:type="dxa"/>
            <w:vAlign w:val="bottom"/>
            <w:tcBorders>
              <w:bottom w:val="single" w:sz="8" w:color="D7282F"/>
            </w:tcBorders>
          </w:tcPr>
          <w:p>
            <w:pPr>
              <w:spacing w:after="0"/>
              <w:rPr>
                <w:sz w:val="6"/>
                <w:szCs w:val="6"/>
                <w:color w:val="auto"/>
              </w:rPr>
            </w:pPr>
          </w:p>
        </w:tc>
        <w:tc>
          <w:tcPr>
            <w:tcW w:w="900" w:type="dxa"/>
            <w:vAlign w:val="bottom"/>
            <w:tcBorders>
              <w:bottom w:val="single" w:sz="8" w:color="D7282F"/>
            </w:tcBorders>
          </w:tcPr>
          <w:p>
            <w:pPr>
              <w:spacing w:after="0"/>
              <w:rPr>
                <w:sz w:val="6"/>
                <w:szCs w:val="6"/>
                <w:color w:val="auto"/>
              </w:rPr>
            </w:pPr>
          </w:p>
        </w:tc>
        <w:tc>
          <w:tcPr>
            <w:tcW w:w="780" w:type="dxa"/>
            <w:vAlign w:val="bottom"/>
            <w:tcBorders>
              <w:bottom w:val="single" w:sz="8" w:color="D7282F"/>
            </w:tcBorders>
          </w:tcPr>
          <w:p>
            <w:pPr>
              <w:spacing w:after="0"/>
              <w:rPr>
                <w:sz w:val="6"/>
                <w:szCs w:val="6"/>
                <w:color w:val="auto"/>
              </w:rPr>
            </w:pPr>
          </w:p>
        </w:tc>
      </w:tr>
      <w:tr>
        <w:trPr>
          <w:trHeight w:val="302"/>
        </w:trPr>
        <w:tc>
          <w:tcPr>
            <w:tcW w:w="7100" w:type="dxa"/>
            <w:vAlign w:val="bottom"/>
          </w:tcPr>
          <w:p>
            <w:pPr>
              <w:ind w:left="20"/>
              <w:spacing w:after="0"/>
              <w:rPr>
                <w:sz w:val="20"/>
                <w:szCs w:val="20"/>
                <w:color w:val="auto"/>
              </w:rPr>
            </w:pPr>
            <w:r>
              <w:rPr>
                <w:rFonts w:ascii="Arial" w:cs="Arial" w:eastAsia="Arial" w:hAnsi="Arial"/>
                <w:sz w:val="14"/>
                <w:szCs w:val="14"/>
                <w:b w:val="1"/>
                <w:bCs w:val="1"/>
                <w:color w:val="auto"/>
              </w:rPr>
              <w:t>Adjusted net income from continuing operations attributable to Honeywell</w:t>
            </w:r>
          </w:p>
        </w:tc>
        <w:tc>
          <w:tcPr>
            <w:tcW w:w="2440" w:type="dxa"/>
            <w:vAlign w:val="bottom"/>
          </w:tcPr>
          <w:p>
            <w:pPr>
              <w:jc w:val="right"/>
              <w:ind w:right="108"/>
              <w:spacing w:after="0"/>
              <w:rPr>
                <w:sz w:val="20"/>
                <w:szCs w:val="20"/>
                <w:color w:val="auto"/>
              </w:rPr>
            </w:pPr>
            <w:r>
              <w:rPr>
                <w:rFonts w:ascii="Arial" w:cs="Arial" w:eastAsia="Arial" w:hAnsi="Arial"/>
                <w:sz w:val="14"/>
                <w:szCs w:val="14"/>
                <w:b w:val="1"/>
                <w:bCs w:val="1"/>
                <w:color w:val="auto"/>
              </w:rPr>
              <w:t>5,611</w:t>
            </w:r>
          </w:p>
        </w:tc>
        <w:tc>
          <w:tcPr>
            <w:tcW w:w="900" w:type="dxa"/>
            <w:vAlign w:val="bottom"/>
          </w:tcPr>
          <w:p>
            <w:pPr>
              <w:jc w:val="right"/>
              <w:ind w:right="108"/>
              <w:spacing w:after="0"/>
              <w:rPr>
                <w:sz w:val="20"/>
                <w:szCs w:val="20"/>
                <w:color w:val="auto"/>
              </w:rPr>
            </w:pPr>
            <w:r>
              <w:rPr>
                <w:rFonts w:ascii="Arial" w:cs="Arial" w:eastAsia="Arial" w:hAnsi="Arial"/>
                <w:sz w:val="14"/>
                <w:szCs w:val="14"/>
                <w:b w:val="1"/>
                <w:bCs w:val="1"/>
                <w:color w:val="auto"/>
              </w:rPr>
              <w:t>5,723</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6,289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2343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43" w:lineRule="exact"/>
        <w:rPr>
          <w:sz w:val="20"/>
          <w:szCs w:val="20"/>
          <w:color w:val="auto"/>
        </w:rPr>
      </w:pPr>
    </w:p>
    <w:p>
      <w:pPr>
        <w:ind w:left="200" w:hanging="192"/>
        <w:spacing w:after="0"/>
        <w:tabs>
          <w:tab w:leader="none" w:pos="200" w:val="left"/>
        </w:tabs>
        <w:numPr>
          <w:ilvl w:val="0"/>
          <w:numId w:val="236"/>
        </w:numPr>
        <w:rPr>
          <w:rFonts w:ascii="Arial" w:cs="Arial" w:eastAsia="Arial" w:hAnsi="Arial"/>
          <w:sz w:val="16"/>
          <w:szCs w:val="16"/>
          <w:color w:val="auto"/>
          <w:vertAlign w:val="superscript"/>
        </w:rPr>
      </w:pPr>
      <w:r>
        <w:rPr>
          <w:rFonts w:ascii="Arial" w:cs="Arial" w:eastAsia="Arial" w:hAnsi="Arial"/>
          <w:sz w:val="13"/>
          <w:szCs w:val="13"/>
          <w:color w:val="auto"/>
        </w:rPr>
        <w:t>Pension mark-to-market expense uses a blended tax rate of 25%, 25%, and 18%, net of tax benefit of $40 million, $31 million, and $27 million in 2025, 2024, and 2023, respectively.</w:t>
      </w:r>
    </w:p>
    <w:p>
      <w:pPr>
        <w:spacing w:after="0" w:line="63" w:lineRule="exact"/>
        <w:rPr>
          <w:rFonts w:ascii="Arial" w:cs="Arial" w:eastAsia="Arial" w:hAnsi="Arial"/>
          <w:sz w:val="16"/>
          <w:szCs w:val="16"/>
          <w:color w:val="auto"/>
          <w:vertAlign w:val="superscript"/>
        </w:rPr>
      </w:pPr>
    </w:p>
    <w:p>
      <w:pPr>
        <w:ind w:left="200" w:right="100" w:hanging="192"/>
        <w:spacing w:after="0" w:line="226" w:lineRule="auto"/>
        <w:tabs>
          <w:tab w:leader="none" w:pos="200" w:val="left"/>
        </w:tabs>
        <w:numPr>
          <w:ilvl w:val="0"/>
          <w:numId w:val="236"/>
        </w:numPr>
        <w:rPr>
          <w:rFonts w:ascii="Arial" w:cs="Arial" w:eastAsia="Arial" w:hAnsi="Arial"/>
          <w:sz w:val="16"/>
          <w:szCs w:val="16"/>
          <w:color w:val="auto"/>
          <w:vertAlign w:val="superscript"/>
        </w:rPr>
      </w:pPr>
      <w:r>
        <w:rPr>
          <w:rFonts w:ascii="Arial" w:cs="Arial" w:eastAsia="Arial" w:hAnsi="Arial"/>
          <w:sz w:val="13"/>
          <w:szCs w:val="13"/>
          <w:color w:val="auto"/>
        </w:rPr>
        <w:t>For the twelve months ended December 31, 2025, 2024, and 2023, acquisition-related intangibles amortization includes approximately $432 million, $321 million, and $230 million, net of tax benefit of approximately $138 million, $90 million, and $60 million, respectively.</w:t>
      </w:r>
    </w:p>
    <w:p>
      <w:pPr>
        <w:spacing w:after="0" w:line="225" w:lineRule="exact"/>
        <w:rPr>
          <w:sz w:val="20"/>
          <w:szCs w:val="20"/>
          <w:color w:val="auto"/>
        </w:rPr>
      </w:pPr>
    </w:p>
    <w:p>
      <w:pPr>
        <w:ind w:left="20"/>
        <w:spacing w:after="0"/>
        <w:tabs>
          <w:tab w:leader="none" w:pos="1860" w:val="left"/>
        </w:tabs>
        <w:rPr>
          <w:sz w:val="20"/>
          <w:szCs w:val="20"/>
          <w:color w:val="auto"/>
        </w:rPr>
      </w:pPr>
      <w:r>
        <w:rPr>
          <w:rFonts w:ascii="Arial" w:cs="Arial" w:eastAsia="Arial" w:hAnsi="Arial"/>
          <w:sz w:val="18"/>
          <w:szCs w:val="18"/>
          <w:b w:val="1"/>
          <w:bCs w:val="1"/>
          <w:color w:val="auto"/>
        </w:rPr>
        <w:t xml:space="preserve">134  </w:t>
      </w:r>
      <w:r>
        <w:rPr>
          <w:sz w:val="1"/>
          <w:szCs w:val="1"/>
          <w:color w:val="auto"/>
        </w:rPr>
        <w:drawing>
          <wp:inline distT="0" distB="0" distL="0" distR="0">
            <wp:extent cx="548640" cy="102870"/>
            <wp:effectExtent l="0" t="0" r="0" b="0"/>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2026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154" w:name="page155"/>
    <w:bookmarkEnd w:id="154"/>
    <w:p>
      <w:pPr>
        <w:jc w:val="right"/>
        <w:spacing w:after="0"/>
        <w:rPr>
          <w:sz w:val="20"/>
          <w:szCs w:val="20"/>
          <w:color w:val="auto"/>
        </w:rPr>
      </w:pPr>
      <w:r>
        <w:rPr>
          <w:rFonts w:ascii="Arial" w:cs="Arial" w:eastAsia="Arial" w:hAnsi="Arial"/>
          <w:sz w:val="13"/>
          <w:szCs w:val="13"/>
          <w:b w:val="1"/>
          <w:bCs w:val="1"/>
          <w:color w:val="6D6E71"/>
        </w:rPr>
        <w:t>APPENDIX A: RECONCILIATION OF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0" w:right="260" w:hanging="192"/>
        <w:spacing w:after="0" w:line="226" w:lineRule="auto"/>
        <w:tabs>
          <w:tab w:leader="none" w:pos="200" w:val="left"/>
        </w:tabs>
        <w:numPr>
          <w:ilvl w:val="0"/>
          <w:numId w:val="237"/>
        </w:numPr>
        <w:rPr>
          <w:rFonts w:ascii="Arial" w:cs="Arial" w:eastAsia="Arial" w:hAnsi="Arial"/>
          <w:sz w:val="16"/>
          <w:szCs w:val="16"/>
          <w:color w:val="auto"/>
          <w:vertAlign w:val="superscript"/>
        </w:rPr>
      </w:pPr>
      <w:r>
        <w:rPr>
          <w:rFonts w:ascii="Arial" w:cs="Arial" w:eastAsia="Arial" w:hAnsi="Arial"/>
          <w:sz w:val="13"/>
          <w:szCs w:val="13"/>
          <w:color w:val="auto"/>
        </w:rPr>
        <w:t>For the twelve months ended December 31, 2024, the adjustments were a $17 million expense, without tax benefit, due to the settlement of a contractual dispute with a Russian entity associated with the Company’s suspension and wind-down activities in Russia. For the year ended December 31, 2023, the adjustment was a benefit of $3 million, without tax expense.</w:t>
      </w:r>
    </w:p>
    <w:p>
      <w:pPr>
        <w:spacing w:after="0" w:line="45" w:lineRule="exact"/>
        <w:rPr>
          <w:rFonts w:ascii="Arial" w:cs="Arial" w:eastAsia="Arial" w:hAnsi="Arial"/>
          <w:sz w:val="16"/>
          <w:szCs w:val="16"/>
          <w:color w:val="auto"/>
          <w:vertAlign w:val="superscript"/>
        </w:rPr>
      </w:pPr>
    </w:p>
    <w:p>
      <w:pPr>
        <w:ind w:left="200" w:hanging="192"/>
        <w:spacing w:after="0"/>
        <w:tabs>
          <w:tab w:leader="none" w:pos="200" w:val="left"/>
        </w:tabs>
        <w:numPr>
          <w:ilvl w:val="0"/>
          <w:numId w:val="237"/>
        </w:numPr>
        <w:rPr>
          <w:rFonts w:ascii="Arial" w:cs="Arial" w:eastAsia="Arial" w:hAnsi="Arial"/>
          <w:sz w:val="16"/>
          <w:szCs w:val="16"/>
          <w:color w:val="auto"/>
          <w:vertAlign w:val="superscript"/>
        </w:rPr>
      </w:pPr>
      <w:r>
        <w:rPr>
          <w:rFonts w:ascii="Arial" w:cs="Arial" w:eastAsia="Arial" w:hAnsi="Arial"/>
          <w:sz w:val="13"/>
          <w:szCs w:val="13"/>
          <w:color w:val="auto"/>
        </w:rPr>
        <w:t>For the twelve months ended December 31, 2023, the adjustment was $8 million, net of tax benefit of $3 million, due to the net expense related to the NARCO Buyout and HWI Sale.</w:t>
      </w:r>
    </w:p>
    <w:p>
      <w:pPr>
        <w:spacing w:after="0" w:line="50" w:lineRule="exact"/>
        <w:rPr>
          <w:rFonts w:ascii="Arial" w:cs="Arial" w:eastAsia="Arial" w:hAnsi="Arial"/>
          <w:sz w:val="16"/>
          <w:szCs w:val="16"/>
          <w:color w:val="auto"/>
          <w:vertAlign w:val="superscript"/>
        </w:rPr>
      </w:pPr>
    </w:p>
    <w:p>
      <w:pPr>
        <w:ind w:left="200" w:right="20" w:hanging="192"/>
        <w:spacing w:after="0" w:line="239" w:lineRule="auto"/>
        <w:tabs>
          <w:tab w:leader="none" w:pos="200" w:val="left"/>
        </w:tabs>
        <w:numPr>
          <w:ilvl w:val="0"/>
          <w:numId w:val="237"/>
        </w:numPr>
        <w:rPr>
          <w:rFonts w:ascii="Arial" w:cs="Arial" w:eastAsia="Arial" w:hAnsi="Arial"/>
          <w:sz w:val="16"/>
          <w:szCs w:val="16"/>
          <w:color w:val="auto"/>
          <w:vertAlign w:val="superscript"/>
        </w:rPr>
      </w:pPr>
      <w:r>
        <w:rPr>
          <w:rFonts w:ascii="Arial" w:cs="Arial" w:eastAsia="Arial" w:hAnsi="Arial"/>
          <w:sz w:val="13"/>
          <w:szCs w:val="13"/>
          <w:color w:val="auto"/>
        </w:rPr>
        <w:t>Bendix Friction Materials (“Bendix”) is a business no longer owned by the Company. In 2023, the Company changed its valuation methodology for calculating legacy Bendix liabilities. For the twelve months ended December 31, 2023, the adjustment was $330 million, net of tax benefit of $104 million (or $434 million pre-tax) due to a change in the estimated liability for resolution of asserted (claims filed as of the financial statement date) and unasserted Bendix-related asbestos claims. The Company experienced fluctuations in average resolution values year-over-year in each of the past five years with no well-established trends in either direction. In 2023, the Company observed two consecutive years of increasing average resolution values (2023 and 2022), with more volatility in the earlier years of the five-year period (2019 through 2021). Based on these observations, the Company, during its annual review in the fourth quarter of 2023, reevaluated its valuation methodology and elected to give more weight to the two most recent years by shortening the look-back period from five years to two years (2023 and 2022). The Company believes that the average resolution values in the last two consecutive years are likely more representative of expected resolution values in future periods. The $434 million pre-tax amount is attributable primarily to shortening the look-back period to the two most recent years, and to a lesser extent to increasing expected resolution values for a subset of asserted claims to adjust for higher claim values in that subset than in the modelled two-year data set. It is not possible to predict whether such resolution values will increase, decrease, or stabilize in the future, given recent litigation trends within the tort system and the inherent uncertainty in predicting the outcome of such trends. The Company will continue to monitor Bendix claim resolution values and other trends within the tort system to assess the appropriate look-back period for determining average resolution values going forward.</w:t>
      </w:r>
    </w:p>
    <w:p>
      <w:pPr>
        <w:spacing w:after="0" w:line="69" w:lineRule="exact"/>
        <w:rPr>
          <w:rFonts w:ascii="Arial" w:cs="Arial" w:eastAsia="Arial" w:hAnsi="Arial"/>
          <w:sz w:val="16"/>
          <w:szCs w:val="16"/>
          <w:color w:val="auto"/>
          <w:vertAlign w:val="superscript"/>
        </w:rPr>
      </w:pPr>
    </w:p>
    <w:p>
      <w:pPr>
        <w:ind w:left="200" w:right="300" w:hanging="192"/>
        <w:spacing w:after="0" w:line="226" w:lineRule="auto"/>
        <w:tabs>
          <w:tab w:leader="none" w:pos="200" w:val="left"/>
        </w:tabs>
        <w:numPr>
          <w:ilvl w:val="0"/>
          <w:numId w:val="237"/>
        </w:numPr>
        <w:rPr>
          <w:rFonts w:ascii="Arial" w:cs="Arial" w:eastAsia="Arial" w:hAnsi="Arial"/>
          <w:sz w:val="16"/>
          <w:szCs w:val="16"/>
          <w:color w:val="auto"/>
          <w:vertAlign w:val="superscript"/>
        </w:rPr>
      </w:pPr>
      <w:r>
        <w:rPr>
          <w:rFonts w:ascii="Arial" w:cs="Arial" w:eastAsia="Arial" w:hAnsi="Arial"/>
          <w:sz w:val="13"/>
          <w:szCs w:val="13"/>
          <w:color w:val="auto"/>
        </w:rPr>
        <w:t>For the twelve months ended December 31, 2025, 2024, and 2023, the adjustment for acquisition-related costs, which is principally comprised of third-party transaction and integration costs and acquisition-related fair value adjustments to inventory, is $35 million, $66 million, and $7 million, net of tax benefit of $10 million, $17 million, and $2 million respectively.</w:t>
      </w:r>
    </w:p>
    <w:p>
      <w:pPr>
        <w:spacing w:after="0" w:line="50" w:lineRule="exact"/>
        <w:rPr>
          <w:rFonts w:ascii="Arial" w:cs="Arial" w:eastAsia="Arial" w:hAnsi="Arial"/>
          <w:sz w:val="16"/>
          <w:szCs w:val="16"/>
          <w:color w:val="auto"/>
          <w:vertAlign w:val="superscript"/>
        </w:rPr>
      </w:pPr>
    </w:p>
    <w:p>
      <w:pPr>
        <w:ind w:left="200" w:right="260" w:hanging="192"/>
        <w:spacing w:after="0" w:line="236" w:lineRule="auto"/>
        <w:tabs>
          <w:tab w:leader="none" w:pos="200" w:val="left"/>
        </w:tabs>
        <w:numPr>
          <w:ilvl w:val="0"/>
          <w:numId w:val="237"/>
        </w:numPr>
        <w:rPr>
          <w:rFonts w:ascii="Arial" w:cs="Arial" w:eastAsia="Arial" w:hAnsi="Arial"/>
          <w:sz w:val="16"/>
          <w:szCs w:val="16"/>
          <w:color w:val="auto"/>
          <w:vertAlign w:val="superscript"/>
        </w:rPr>
      </w:pPr>
      <w:r>
        <w:rPr>
          <w:rFonts w:ascii="Arial" w:cs="Arial" w:eastAsia="Arial" w:hAnsi="Arial"/>
          <w:sz w:val="13"/>
          <w:szCs w:val="13"/>
          <w:color w:val="auto"/>
        </w:rPr>
        <w:t>For the twelve months ended December 31, 2025, the adjustment for divestiture-related costs, which is principally comprised of third-party transaction costs, is $460 million, net of tax benefit $61 million.</w:t>
      </w:r>
    </w:p>
    <w:p>
      <w:pPr>
        <w:spacing w:after="0" w:line="50" w:lineRule="exact"/>
        <w:rPr>
          <w:rFonts w:ascii="Arial" w:cs="Arial" w:eastAsia="Arial" w:hAnsi="Arial"/>
          <w:sz w:val="16"/>
          <w:szCs w:val="16"/>
          <w:color w:val="auto"/>
          <w:vertAlign w:val="superscript"/>
        </w:rPr>
      </w:pPr>
    </w:p>
    <w:p>
      <w:pPr>
        <w:ind w:left="200" w:right="60" w:hanging="192"/>
        <w:spacing w:after="0" w:line="230" w:lineRule="auto"/>
        <w:tabs>
          <w:tab w:leader="none" w:pos="200" w:val="left"/>
        </w:tabs>
        <w:numPr>
          <w:ilvl w:val="0"/>
          <w:numId w:val="237"/>
        </w:numPr>
        <w:rPr>
          <w:rFonts w:ascii="Arial" w:cs="Arial" w:eastAsia="Arial" w:hAnsi="Arial"/>
          <w:sz w:val="16"/>
          <w:szCs w:val="16"/>
          <w:color w:val="auto"/>
          <w:vertAlign w:val="superscript"/>
        </w:rPr>
      </w:pPr>
      <w:r>
        <w:rPr>
          <w:rFonts w:ascii="Arial" w:cs="Arial" w:eastAsia="Arial" w:hAnsi="Arial"/>
          <w:sz w:val="13"/>
          <w:szCs w:val="13"/>
          <w:color w:val="auto"/>
        </w:rPr>
        <w:t>For the twelve months ended December 31, 2025, the impairment charge of indefinite-lived intangible assets associated with the Industrial Automation reportable segment was $44 million, without tax benefit. For the twelve months ended December 31, 2024, the impairment charge of indefinite-lived intangible assets associated with the personal protective equipment business was $37 million, net of tax benefit of $11</w:t>
      </w:r>
    </w:p>
    <w:p>
      <w:pPr>
        <w:spacing w:after="0" w:line="63" w:lineRule="exact"/>
        <w:rPr>
          <w:rFonts w:ascii="Arial" w:cs="Arial" w:eastAsia="Arial" w:hAnsi="Arial"/>
          <w:sz w:val="16"/>
          <w:szCs w:val="16"/>
          <w:color w:val="auto"/>
          <w:vertAlign w:val="superscript"/>
        </w:rPr>
      </w:pPr>
    </w:p>
    <w:p>
      <w:pPr>
        <w:ind w:left="200" w:right="280" w:hanging="192"/>
        <w:spacing w:after="0" w:line="226" w:lineRule="auto"/>
        <w:tabs>
          <w:tab w:leader="none" w:pos="200" w:val="left"/>
        </w:tabs>
        <w:numPr>
          <w:ilvl w:val="0"/>
          <w:numId w:val="237"/>
        </w:numPr>
        <w:rPr>
          <w:rFonts w:ascii="Arial" w:cs="Arial" w:eastAsia="Arial" w:hAnsi="Arial"/>
          <w:sz w:val="16"/>
          <w:szCs w:val="16"/>
          <w:color w:val="auto"/>
          <w:vertAlign w:val="superscript"/>
        </w:rPr>
      </w:pPr>
      <w:r>
        <w:rPr>
          <w:rFonts w:ascii="Arial" w:cs="Arial" w:eastAsia="Arial" w:hAnsi="Arial"/>
          <w:sz w:val="13"/>
          <w:szCs w:val="13"/>
          <w:color w:val="auto"/>
        </w:rPr>
        <w:t>For the twelve months ended December 31, 2025 and 2024, the impairment charge of assets held for sale was $209 million, net of tax benefit of $61 million, and $219 million, without tax benefit, respectively.</w:t>
      </w:r>
    </w:p>
    <w:p>
      <w:pPr>
        <w:spacing w:after="0" w:line="45" w:lineRule="exact"/>
        <w:rPr>
          <w:rFonts w:ascii="Arial" w:cs="Arial" w:eastAsia="Arial" w:hAnsi="Arial"/>
          <w:sz w:val="16"/>
          <w:szCs w:val="16"/>
          <w:color w:val="auto"/>
          <w:vertAlign w:val="superscript"/>
        </w:rPr>
      </w:pPr>
    </w:p>
    <w:p>
      <w:pPr>
        <w:ind w:left="200" w:hanging="192"/>
        <w:spacing w:after="0"/>
        <w:tabs>
          <w:tab w:leader="none" w:pos="200" w:val="left"/>
        </w:tabs>
        <w:numPr>
          <w:ilvl w:val="0"/>
          <w:numId w:val="237"/>
        </w:numPr>
        <w:rPr>
          <w:rFonts w:ascii="Arial" w:cs="Arial" w:eastAsia="Arial" w:hAnsi="Arial"/>
          <w:sz w:val="16"/>
          <w:szCs w:val="16"/>
          <w:color w:val="auto"/>
          <w:vertAlign w:val="superscript"/>
        </w:rPr>
      </w:pPr>
      <w:r>
        <w:rPr>
          <w:rFonts w:ascii="Arial" w:cs="Arial" w:eastAsia="Arial" w:hAnsi="Arial"/>
          <w:sz w:val="13"/>
          <w:szCs w:val="13"/>
          <w:color w:val="auto"/>
        </w:rPr>
        <w:t>For the twelve months ended December 31, 2025, the impairment charge of goodwill associated with the Industrial Automation reportable segment was $724 million, without tax benefit.</w:t>
      </w:r>
    </w:p>
    <w:p>
      <w:pPr>
        <w:spacing w:after="0" w:line="43" w:lineRule="exact"/>
        <w:rPr>
          <w:rFonts w:ascii="Arial" w:cs="Arial" w:eastAsia="Arial" w:hAnsi="Arial"/>
          <w:sz w:val="16"/>
          <w:szCs w:val="16"/>
          <w:color w:val="auto"/>
          <w:vertAlign w:val="superscript"/>
        </w:rPr>
      </w:pPr>
    </w:p>
    <w:p>
      <w:pPr>
        <w:ind w:left="280" w:hanging="272"/>
        <w:spacing w:after="0" w:line="225" w:lineRule="auto"/>
        <w:tabs>
          <w:tab w:leader="none" w:pos="280" w:val="left"/>
        </w:tabs>
        <w:numPr>
          <w:ilvl w:val="0"/>
          <w:numId w:val="237"/>
        </w:numPr>
        <w:rPr>
          <w:rFonts w:ascii="Arial" w:cs="Arial" w:eastAsia="Arial" w:hAnsi="Arial"/>
          <w:sz w:val="16"/>
          <w:szCs w:val="16"/>
          <w:color w:val="auto"/>
          <w:vertAlign w:val="superscript"/>
        </w:rPr>
      </w:pPr>
      <w:r>
        <w:rPr>
          <w:rFonts w:ascii="Arial" w:cs="Arial" w:eastAsia="Arial" w:hAnsi="Arial"/>
          <w:sz w:val="13"/>
          <w:szCs w:val="13"/>
          <w:color w:val="auto"/>
        </w:rPr>
        <w:t>For the twelve months ended December 31, 2025, the loss on sale of the personal protective equipment business is $28 million, net of tax benefit of $2 million.</w:t>
      </w:r>
    </w:p>
    <w:p>
      <w:pPr>
        <w:spacing w:after="0" w:line="63" w:lineRule="exact"/>
        <w:rPr>
          <w:rFonts w:ascii="Arial" w:cs="Arial" w:eastAsia="Arial" w:hAnsi="Arial"/>
          <w:sz w:val="16"/>
          <w:szCs w:val="16"/>
          <w:color w:val="auto"/>
          <w:vertAlign w:val="superscript"/>
        </w:rPr>
      </w:pPr>
    </w:p>
    <w:p>
      <w:pPr>
        <w:ind w:left="200" w:right="420" w:hanging="192"/>
        <w:spacing w:after="0" w:line="226" w:lineRule="auto"/>
        <w:tabs>
          <w:tab w:leader="none" w:pos="291" w:val="left"/>
        </w:tabs>
        <w:numPr>
          <w:ilvl w:val="0"/>
          <w:numId w:val="237"/>
        </w:numPr>
        <w:rPr>
          <w:rFonts w:ascii="Arial" w:cs="Arial" w:eastAsia="Arial" w:hAnsi="Arial"/>
          <w:sz w:val="16"/>
          <w:szCs w:val="16"/>
          <w:color w:val="auto"/>
          <w:vertAlign w:val="superscript"/>
        </w:rPr>
      </w:pPr>
      <w:r>
        <w:rPr>
          <w:rFonts w:ascii="Arial" w:cs="Arial" w:eastAsia="Arial" w:hAnsi="Arial"/>
          <w:sz w:val="13"/>
          <w:szCs w:val="13"/>
          <w:color w:val="auto"/>
        </w:rPr>
        <w:t>For the twelve months ended December 31, 2025, the adjustment for the gain related to the Resideo indemnification and reimbursement agreement termination was $802 million, without tax expense.</w:t>
      </w:r>
    </w:p>
    <w:p>
      <w:pPr>
        <w:spacing w:after="0" w:line="50" w:lineRule="exact"/>
        <w:rPr>
          <w:rFonts w:ascii="Arial" w:cs="Arial" w:eastAsia="Arial" w:hAnsi="Arial"/>
          <w:sz w:val="16"/>
          <w:szCs w:val="16"/>
          <w:color w:val="auto"/>
          <w:vertAlign w:val="superscript"/>
        </w:rPr>
      </w:pPr>
    </w:p>
    <w:p>
      <w:pPr>
        <w:ind w:left="200" w:right="20" w:hanging="192"/>
        <w:spacing w:after="0" w:line="236" w:lineRule="auto"/>
        <w:tabs>
          <w:tab w:leader="none" w:pos="291" w:val="left"/>
        </w:tabs>
        <w:numPr>
          <w:ilvl w:val="0"/>
          <w:numId w:val="237"/>
        </w:numPr>
        <w:rPr>
          <w:rFonts w:ascii="Arial" w:cs="Arial" w:eastAsia="Arial" w:hAnsi="Arial"/>
          <w:sz w:val="16"/>
          <w:szCs w:val="16"/>
          <w:color w:val="auto"/>
          <w:vertAlign w:val="superscript"/>
        </w:rPr>
      </w:pPr>
      <w:r>
        <w:rPr>
          <w:rFonts w:ascii="Arial" w:cs="Arial" w:eastAsia="Arial" w:hAnsi="Arial"/>
          <w:sz w:val="13"/>
          <w:szCs w:val="13"/>
          <w:color w:val="auto"/>
        </w:rPr>
        <w:t>In the twelve months ended December 31, 2025, the Company enhanced its process for estimating environmental liabilities at sites undergoing active remediation, which led to earlier recognition of the estimated probable liabilities and an increase to estimated environmental liabilities. For the twelve months ended December 31, 2025, the adjustment to increase environmental liabilities was $161 million, net of tax benefit of $50 million.</w:t>
      </w:r>
    </w:p>
    <w:p>
      <w:pPr>
        <w:spacing w:after="0" w:line="33" w:lineRule="exact"/>
        <w:rPr>
          <w:rFonts w:ascii="Arial" w:cs="Arial" w:eastAsia="Arial" w:hAnsi="Arial"/>
          <w:sz w:val="16"/>
          <w:szCs w:val="16"/>
          <w:color w:val="auto"/>
          <w:vertAlign w:val="superscript"/>
        </w:rPr>
      </w:pPr>
    </w:p>
    <w:p>
      <w:pPr>
        <w:ind w:left="300" w:hanging="292"/>
        <w:spacing w:after="0"/>
        <w:tabs>
          <w:tab w:leader="none" w:pos="300" w:val="left"/>
        </w:tabs>
        <w:numPr>
          <w:ilvl w:val="0"/>
          <w:numId w:val="237"/>
        </w:numPr>
        <w:rPr>
          <w:rFonts w:ascii="Arial" w:cs="Arial" w:eastAsia="Arial" w:hAnsi="Arial"/>
          <w:sz w:val="16"/>
          <w:szCs w:val="16"/>
          <w:color w:val="auto"/>
          <w:vertAlign w:val="superscript"/>
        </w:rPr>
      </w:pPr>
      <w:r>
        <w:rPr>
          <w:rFonts w:ascii="Arial" w:cs="Arial" w:eastAsia="Arial" w:hAnsi="Arial"/>
          <w:sz w:val="13"/>
          <w:szCs w:val="13"/>
          <w:color w:val="auto"/>
        </w:rPr>
        <w:t>For the twelve months ended December 31, 2025, the adjustment for loss on settlement of divestiture of asbestos liabilities was $112 million, net of tax benefit of $36 million.</w:t>
      </w:r>
    </w:p>
    <w:p>
      <w:pPr>
        <w:spacing w:after="0" w:line="63" w:lineRule="exact"/>
        <w:rPr>
          <w:rFonts w:ascii="Arial" w:cs="Arial" w:eastAsia="Arial" w:hAnsi="Arial"/>
          <w:sz w:val="16"/>
          <w:szCs w:val="16"/>
          <w:color w:val="auto"/>
          <w:vertAlign w:val="superscript"/>
        </w:rPr>
      </w:pPr>
    </w:p>
    <w:p>
      <w:pPr>
        <w:ind w:left="200" w:right="140" w:hanging="192"/>
        <w:spacing w:after="0" w:line="226" w:lineRule="auto"/>
        <w:tabs>
          <w:tab w:leader="none" w:pos="291" w:val="left"/>
        </w:tabs>
        <w:numPr>
          <w:ilvl w:val="0"/>
          <w:numId w:val="237"/>
        </w:numPr>
        <w:rPr>
          <w:rFonts w:ascii="Arial" w:cs="Arial" w:eastAsia="Arial" w:hAnsi="Arial"/>
          <w:sz w:val="16"/>
          <w:szCs w:val="16"/>
          <w:color w:val="auto"/>
          <w:vertAlign w:val="superscript"/>
        </w:rPr>
      </w:pPr>
      <w:r>
        <w:rPr>
          <w:rFonts w:ascii="Arial" w:cs="Arial" w:eastAsia="Arial" w:hAnsi="Arial"/>
          <w:sz w:val="13"/>
          <w:szCs w:val="13"/>
          <w:color w:val="auto"/>
        </w:rPr>
        <w:t>For the twelve months ended December 31, 2025, the adjustment for the Flexjet-related litigation matters was $302 million, net of tax benefit of $71 million. Management considers the nature and significance of these litigation matters to be unusual and not indicative of the Company's ongoing performance</w:t>
      </w:r>
    </w:p>
    <w:p>
      <w:pPr>
        <w:spacing w:after="0" w:line="95" w:lineRule="exact"/>
        <w:rPr>
          <w:sz w:val="20"/>
          <w:szCs w:val="20"/>
          <w:color w:val="auto"/>
        </w:rPr>
      </w:pPr>
    </w:p>
    <w:p>
      <w:pPr>
        <w:ind w:right="320"/>
        <w:spacing w:after="0" w:line="275" w:lineRule="auto"/>
        <w:rPr>
          <w:sz w:val="20"/>
          <w:szCs w:val="20"/>
          <w:color w:val="auto"/>
        </w:rPr>
      </w:pPr>
      <w:r>
        <w:rPr>
          <w:rFonts w:ascii="Arial" w:cs="Arial" w:eastAsia="Arial" w:hAnsi="Arial"/>
          <w:sz w:val="16"/>
          <w:szCs w:val="16"/>
          <w:color w:val="auto"/>
        </w:rPr>
        <w:t>We define adjusted net income attributable to Honeywell as net income from continuing operations attributable to Honeywell, adjusted to exclude various charges as listed above. We believe adjusted net income attributable to Honeywell is a measure that is useful to investors and management in understanding our ongoing operations and in analysis of ongoing operating trends.</w:t>
      </w:r>
    </w:p>
    <w:p>
      <w:pPr>
        <w:spacing w:after="0" w:line="56"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Acquisition amortization and acquisition- and divestiture-related costs are significantly impacted by the timing, size, and number of acquisitions or divestitures we complete and are not on a predictable cycle and we make no comment as to when or whether any future acquisitions or divestitures may occur. We believe excluding these costs provides investors with a more meaningful comparison of operating performance over time and with both acquisitive and other peer companies.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6D6E71"/>
        </w:rPr>
        <w:t>(8) CALCULATION OF RETURN ON INVESTED CAPITAL (ROIC)</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00" w:type="dxa"/>
            <w:vAlign w:val="bottom"/>
          </w:tcPr>
          <w:p>
            <w:pPr>
              <w:ind w:left="20"/>
              <w:spacing w:after="0"/>
              <w:rPr>
                <w:sz w:val="20"/>
                <w:szCs w:val="20"/>
                <w:color w:val="auto"/>
              </w:rPr>
            </w:pPr>
            <w:r>
              <w:rPr>
                <w:rFonts w:ascii="Arial" w:cs="Arial" w:eastAsia="Arial" w:hAnsi="Arial"/>
                <w:sz w:val="14"/>
                <w:szCs w:val="14"/>
                <w:b w:val="1"/>
                <w:bCs w:val="1"/>
                <w:color w:val="auto"/>
              </w:rPr>
              <w:t>($M)</w:t>
            </w:r>
          </w:p>
        </w:tc>
        <w:tc>
          <w:tcPr>
            <w:tcW w:w="2240" w:type="dxa"/>
            <w:vAlign w:val="bottom"/>
          </w:tcPr>
          <w:p>
            <w:pPr>
              <w:spacing w:after="0"/>
              <w:rPr>
                <w:sz w:val="17"/>
                <w:szCs w:val="17"/>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b w:val="1"/>
                <w:bCs w:val="1"/>
                <w:color w:val="auto"/>
              </w:rPr>
              <w:t>2023</w:t>
            </w:r>
          </w:p>
        </w:tc>
        <w:tc>
          <w:tcPr>
            <w:tcW w:w="40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b w:val="1"/>
                <w:bCs w:val="1"/>
                <w:color w:val="auto"/>
              </w:rPr>
              <w:t>2024</w:t>
            </w:r>
          </w:p>
        </w:tc>
        <w:tc>
          <w:tcPr>
            <w:tcW w:w="4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2025</w:t>
            </w:r>
          </w:p>
        </w:tc>
      </w:tr>
      <w:tr>
        <w:trPr>
          <w:trHeight w:val="123"/>
        </w:trPr>
        <w:tc>
          <w:tcPr>
            <w:tcW w:w="5400" w:type="dxa"/>
            <w:vAlign w:val="bottom"/>
            <w:tcBorders>
              <w:bottom w:val="single" w:sz="8" w:color="D7282F"/>
            </w:tcBorders>
          </w:tcPr>
          <w:p>
            <w:pPr>
              <w:spacing w:after="0"/>
              <w:rPr>
                <w:sz w:val="10"/>
                <w:szCs w:val="10"/>
                <w:color w:val="auto"/>
              </w:rPr>
            </w:pPr>
          </w:p>
        </w:tc>
        <w:tc>
          <w:tcPr>
            <w:tcW w:w="2240" w:type="dxa"/>
            <w:vAlign w:val="bottom"/>
            <w:tcBorders>
              <w:bottom w:val="single" w:sz="8" w:color="D7282F"/>
            </w:tcBorders>
          </w:tcPr>
          <w:p>
            <w:pPr>
              <w:spacing w:after="0"/>
              <w:rPr>
                <w:sz w:val="10"/>
                <w:szCs w:val="10"/>
                <w:color w:val="auto"/>
              </w:rPr>
            </w:pPr>
          </w:p>
        </w:tc>
        <w:tc>
          <w:tcPr>
            <w:tcW w:w="980" w:type="dxa"/>
            <w:vAlign w:val="bottom"/>
            <w:tcBorders>
              <w:bottom w:val="single" w:sz="8" w:color="D7282F"/>
            </w:tcBorders>
          </w:tcPr>
          <w:p>
            <w:pPr>
              <w:spacing w:after="0"/>
              <w:rPr>
                <w:sz w:val="10"/>
                <w:szCs w:val="10"/>
                <w:color w:val="auto"/>
              </w:rPr>
            </w:pPr>
          </w:p>
        </w:tc>
        <w:tc>
          <w:tcPr>
            <w:tcW w:w="400" w:type="dxa"/>
            <w:vAlign w:val="bottom"/>
            <w:tcBorders>
              <w:bottom w:val="single" w:sz="8" w:color="D7282F"/>
            </w:tcBorders>
          </w:tcPr>
          <w:p>
            <w:pPr>
              <w:spacing w:after="0"/>
              <w:rPr>
                <w:sz w:val="10"/>
                <w:szCs w:val="10"/>
                <w:color w:val="auto"/>
              </w:rPr>
            </w:pPr>
          </w:p>
        </w:tc>
        <w:tc>
          <w:tcPr>
            <w:tcW w:w="960" w:type="dxa"/>
            <w:vAlign w:val="bottom"/>
            <w:tcBorders>
              <w:bottom w:val="single" w:sz="8" w:color="D7282F"/>
            </w:tcBorders>
          </w:tcPr>
          <w:p>
            <w:pPr>
              <w:spacing w:after="0"/>
              <w:rPr>
                <w:sz w:val="10"/>
                <w:szCs w:val="10"/>
                <w:color w:val="auto"/>
              </w:rPr>
            </w:pPr>
          </w:p>
        </w:tc>
        <w:tc>
          <w:tcPr>
            <w:tcW w:w="42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spacing w:after="0"/>
              <w:rPr>
                <w:sz w:val="10"/>
                <w:szCs w:val="10"/>
                <w:color w:val="auto"/>
              </w:rPr>
            </w:pPr>
          </w:p>
        </w:tc>
      </w:tr>
      <w:tr>
        <w:trPr>
          <w:trHeight w:val="310"/>
        </w:trPr>
        <w:tc>
          <w:tcPr>
            <w:tcW w:w="5400" w:type="dxa"/>
            <w:vAlign w:val="bottom"/>
          </w:tcPr>
          <w:p>
            <w:pPr>
              <w:ind w:left="20"/>
              <w:spacing w:after="0"/>
              <w:rPr>
                <w:sz w:val="20"/>
                <w:szCs w:val="20"/>
                <w:color w:val="auto"/>
              </w:rPr>
            </w:pPr>
            <w:r>
              <w:rPr>
                <w:rFonts w:ascii="Arial" w:cs="Arial" w:eastAsia="Arial" w:hAnsi="Arial"/>
                <w:sz w:val="14"/>
                <w:szCs w:val="14"/>
                <w:color w:val="auto"/>
              </w:rPr>
              <w:t>Adjusted net income attributable to Honeywell</w:t>
            </w:r>
          </w:p>
        </w:tc>
        <w:tc>
          <w:tcPr>
            <w:tcW w:w="22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308"/>
              <w:spacing w:after="0"/>
              <w:rPr>
                <w:sz w:val="20"/>
                <w:szCs w:val="20"/>
                <w:color w:val="auto"/>
              </w:rPr>
            </w:pPr>
            <w:r>
              <w:rPr>
                <w:rFonts w:ascii="Arial" w:cs="Arial" w:eastAsia="Arial" w:hAnsi="Arial"/>
                <w:sz w:val="14"/>
                <w:szCs w:val="14"/>
                <w:color w:val="auto"/>
              </w:rPr>
              <w:t>5,611</w:t>
            </w:r>
          </w:p>
        </w:tc>
        <w:tc>
          <w:tcPr>
            <w:tcW w:w="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8"/>
              <w:spacing w:after="0"/>
              <w:rPr>
                <w:sz w:val="20"/>
                <w:szCs w:val="20"/>
                <w:color w:val="auto"/>
              </w:rPr>
            </w:pPr>
            <w:r>
              <w:rPr>
                <w:rFonts w:ascii="Arial" w:cs="Arial" w:eastAsia="Arial" w:hAnsi="Arial"/>
                <w:sz w:val="14"/>
                <w:szCs w:val="14"/>
                <w:color w:val="auto"/>
              </w:rPr>
              <w:t>5,723</w:t>
            </w:r>
          </w:p>
        </w:tc>
        <w:tc>
          <w:tcPr>
            <w:tcW w:w="4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6,289</w:t>
            </w:r>
          </w:p>
        </w:tc>
      </w:tr>
      <w:tr>
        <w:trPr>
          <w:trHeight w:val="130"/>
        </w:trPr>
        <w:tc>
          <w:tcPr>
            <w:tcW w:w="5400" w:type="dxa"/>
            <w:vAlign w:val="bottom"/>
            <w:tcBorders>
              <w:bottom w:val="single" w:sz="8" w:color="939598"/>
            </w:tcBorders>
          </w:tcPr>
          <w:p>
            <w:pPr>
              <w:spacing w:after="0"/>
              <w:rPr>
                <w:sz w:val="11"/>
                <w:szCs w:val="11"/>
                <w:color w:val="auto"/>
              </w:rPr>
            </w:pPr>
          </w:p>
        </w:tc>
        <w:tc>
          <w:tcPr>
            <w:tcW w:w="2240" w:type="dxa"/>
            <w:vAlign w:val="bottom"/>
            <w:tcBorders>
              <w:bottom w:val="single" w:sz="8" w:color="939598"/>
            </w:tcBorders>
          </w:tcPr>
          <w:p>
            <w:pPr>
              <w:spacing w:after="0"/>
              <w:rPr>
                <w:sz w:val="11"/>
                <w:szCs w:val="11"/>
                <w:color w:val="auto"/>
              </w:rPr>
            </w:pPr>
          </w:p>
        </w:tc>
        <w:tc>
          <w:tcPr>
            <w:tcW w:w="980" w:type="dxa"/>
            <w:vAlign w:val="bottom"/>
            <w:tcBorders>
              <w:bottom w:val="single" w:sz="8" w:color="939598"/>
            </w:tcBorders>
          </w:tcPr>
          <w:p>
            <w:pPr>
              <w:spacing w:after="0"/>
              <w:rPr>
                <w:sz w:val="11"/>
                <w:szCs w:val="11"/>
                <w:color w:val="auto"/>
              </w:rPr>
            </w:pPr>
          </w:p>
        </w:tc>
        <w:tc>
          <w:tcPr>
            <w:tcW w:w="400" w:type="dxa"/>
            <w:vAlign w:val="bottom"/>
            <w:tcBorders>
              <w:bottom w:val="single" w:sz="8" w:color="939598"/>
            </w:tcBorders>
          </w:tcPr>
          <w:p>
            <w:pPr>
              <w:spacing w:after="0"/>
              <w:rPr>
                <w:sz w:val="11"/>
                <w:szCs w:val="11"/>
                <w:color w:val="auto"/>
              </w:rPr>
            </w:pPr>
          </w:p>
        </w:tc>
        <w:tc>
          <w:tcPr>
            <w:tcW w:w="960" w:type="dxa"/>
            <w:vAlign w:val="bottom"/>
            <w:tcBorders>
              <w:bottom w:val="single" w:sz="8" w:color="939598"/>
            </w:tcBorders>
          </w:tcPr>
          <w:p>
            <w:pPr>
              <w:spacing w:after="0"/>
              <w:rPr>
                <w:sz w:val="11"/>
                <w:szCs w:val="11"/>
                <w:color w:val="auto"/>
              </w:rPr>
            </w:pPr>
          </w:p>
        </w:tc>
        <w:tc>
          <w:tcPr>
            <w:tcW w:w="420" w:type="dxa"/>
            <w:vAlign w:val="bottom"/>
            <w:tcBorders>
              <w:bottom w:val="single" w:sz="8" w:color="939598"/>
            </w:tcBorders>
          </w:tcPr>
          <w:p>
            <w:pPr>
              <w:spacing w:after="0"/>
              <w:rPr>
                <w:sz w:val="11"/>
                <w:szCs w:val="11"/>
                <w:color w:val="auto"/>
              </w:rPr>
            </w:pPr>
          </w:p>
        </w:tc>
        <w:tc>
          <w:tcPr>
            <w:tcW w:w="820" w:type="dxa"/>
            <w:vAlign w:val="bottom"/>
            <w:tcBorders>
              <w:bottom w:val="single" w:sz="8" w:color="939598"/>
            </w:tcBorders>
          </w:tcPr>
          <w:p>
            <w:pPr>
              <w:spacing w:after="0"/>
              <w:rPr>
                <w:sz w:val="11"/>
                <w:szCs w:val="11"/>
                <w:color w:val="auto"/>
              </w:rPr>
            </w:pPr>
          </w:p>
        </w:tc>
      </w:tr>
      <w:tr>
        <w:trPr>
          <w:trHeight w:val="309"/>
        </w:trPr>
        <w:tc>
          <w:tcPr>
            <w:tcW w:w="5400" w:type="dxa"/>
            <w:vAlign w:val="bottom"/>
          </w:tcPr>
          <w:p>
            <w:pPr>
              <w:ind w:left="20"/>
              <w:spacing w:after="0"/>
              <w:rPr>
                <w:sz w:val="20"/>
                <w:szCs w:val="20"/>
                <w:color w:val="auto"/>
              </w:rPr>
            </w:pPr>
            <w:r>
              <w:rPr>
                <w:rFonts w:ascii="Arial" w:cs="Arial" w:eastAsia="Arial" w:hAnsi="Arial"/>
                <w:sz w:val="14"/>
                <w:szCs w:val="14"/>
                <w:color w:val="auto"/>
              </w:rPr>
              <w:t>Interest and other financial charges</w:t>
            </w:r>
          </w:p>
        </w:tc>
        <w:tc>
          <w:tcPr>
            <w:tcW w:w="2240" w:type="dxa"/>
            <w:vAlign w:val="bottom"/>
          </w:tcPr>
          <w:p>
            <w:pPr>
              <w:spacing w:after="0"/>
              <w:rPr>
                <w:sz w:val="24"/>
                <w:szCs w:val="24"/>
                <w:color w:val="auto"/>
              </w:rPr>
            </w:pPr>
          </w:p>
        </w:tc>
        <w:tc>
          <w:tcPr>
            <w:tcW w:w="980" w:type="dxa"/>
            <w:vAlign w:val="bottom"/>
          </w:tcPr>
          <w:p>
            <w:pPr>
              <w:jc w:val="right"/>
              <w:ind w:right="308"/>
              <w:spacing w:after="0"/>
              <w:rPr>
                <w:sz w:val="20"/>
                <w:szCs w:val="20"/>
                <w:color w:val="auto"/>
              </w:rPr>
            </w:pPr>
            <w:r>
              <w:rPr>
                <w:rFonts w:ascii="Arial" w:cs="Arial" w:eastAsia="Arial" w:hAnsi="Arial"/>
                <w:sz w:val="14"/>
                <w:szCs w:val="14"/>
                <w:color w:val="auto"/>
              </w:rPr>
              <w:t>749</w:t>
            </w:r>
          </w:p>
        </w:tc>
        <w:tc>
          <w:tcPr>
            <w:tcW w:w="400" w:type="dxa"/>
            <w:vAlign w:val="bottom"/>
          </w:tcPr>
          <w:p>
            <w:pPr>
              <w:spacing w:after="0"/>
              <w:rPr>
                <w:sz w:val="24"/>
                <w:szCs w:val="24"/>
                <w:color w:val="auto"/>
              </w:rPr>
            </w:pPr>
          </w:p>
        </w:tc>
        <w:tc>
          <w:tcPr>
            <w:tcW w:w="960" w:type="dxa"/>
            <w:vAlign w:val="bottom"/>
          </w:tcPr>
          <w:p>
            <w:pPr>
              <w:jc w:val="right"/>
              <w:ind w:right="288"/>
              <w:spacing w:after="0"/>
              <w:rPr>
                <w:sz w:val="20"/>
                <w:szCs w:val="20"/>
                <w:color w:val="auto"/>
              </w:rPr>
            </w:pPr>
            <w:r>
              <w:rPr>
                <w:rFonts w:ascii="Arial" w:cs="Arial" w:eastAsia="Arial" w:hAnsi="Arial"/>
                <w:sz w:val="14"/>
                <w:szCs w:val="14"/>
                <w:color w:val="auto"/>
              </w:rPr>
              <w:t>1,048</w:t>
            </w:r>
          </w:p>
        </w:tc>
        <w:tc>
          <w:tcPr>
            <w:tcW w:w="420" w:type="dxa"/>
            <w:vAlign w:val="bottom"/>
          </w:tcPr>
          <w:p>
            <w:pPr>
              <w:spacing w:after="0"/>
              <w:rPr>
                <w:sz w:val="24"/>
                <w:szCs w:val="24"/>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1,344</w:t>
            </w:r>
          </w:p>
        </w:tc>
      </w:tr>
      <w:tr>
        <w:trPr>
          <w:trHeight w:val="130"/>
        </w:trPr>
        <w:tc>
          <w:tcPr>
            <w:tcW w:w="5400" w:type="dxa"/>
            <w:vAlign w:val="bottom"/>
            <w:tcBorders>
              <w:bottom w:val="single" w:sz="8" w:color="939598"/>
            </w:tcBorders>
          </w:tcPr>
          <w:p>
            <w:pPr>
              <w:spacing w:after="0"/>
              <w:rPr>
                <w:sz w:val="11"/>
                <w:szCs w:val="11"/>
                <w:color w:val="auto"/>
              </w:rPr>
            </w:pPr>
          </w:p>
        </w:tc>
        <w:tc>
          <w:tcPr>
            <w:tcW w:w="2240" w:type="dxa"/>
            <w:vAlign w:val="bottom"/>
            <w:tcBorders>
              <w:bottom w:val="single" w:sz="8" w:color="939598"/>
            </w:tcBorders>
          </w:tcPr>
          <w:p>
            <w:pPr>
              <w:spacing w:after="0"/>
              <w:rPr>
                <w:sz w:val="11"/>
                <w:szCs w:val="11"/>
                <w:color w:val="auto"/>
              </w:rPr>
            </w:pPr>
          </w:p>
        </w:tc>
        <w:tc>
          <w:tcPr>
            <w:tcW w:w="980" w:type="dxa"/>
            <w:vAlign w:val="bottom"/>
            <w:tcBorders>
              <w:bottom w:val="single" w:sz="8" w:color="939598"/>
            </w:tcBorders>
          </w:tcPr>
          <w:p>
            <w:pPr>
              <w:spacing w:after="0"/>
              <w:rPr>
                <w:sz w:val="11"/>
                <w:szCs w:val="11"/>
                <w:color w:val="auto"/>
              </w:rPr>
            </w:pPr>
          </w:p>
        </w:tc>
        <w:tc>
          <w:tcPr>
            <w:tcW w:w="400" w:type="dxa"/>
            <w:vAlign w:val="bottom"/>
            <w:tcBorders>
              <w:bottom w:val="single" w:sz="8" w:color="939598"/>
            </w:tcBorders>
          </w:tcPr>
          <w:p>
            <w:pPr>
              <w:spacing w:after="0"/>
              <w:rPr>
                <w:sz w:val="11"/>
                <w:szCs w:val="11"/>
                <w:color w:val="auto"/>
              </w:rPr>
            </w:pPr>
          </w:p>
        </w:tc>
        <w:tc>
          <w:tcPr>
            <w:tcW w:w="960" w:type="dxa"/>
            <w:vAlign w:val="bottom"/>
            <w:tcBorders>
              <w:bottom w:val="single" w:sz="8" w:color="939598"/>
            </w:tcBorders>
          </w:tcPr>
          <w:p>
            <w:pPr>
              <w:spacing w:after="0"/>
              <w:rPr>
                <w:sz w:val="11"/>
                <w:szCs w:val="11"/>
                <w:color w:val="auto"/>
              </w:rPr>
            </w:pPr>
          </w:p>
        </w:tc>
        <w:tc>
          <w:tcPr>
            <w:tcW w:w="420" w:type="dxa"/>
            <w:vAlign w:val="bottom"/>
            <w:tcBorders>
              <w:bottom w:val="single" w:sz="8" w:color="939598"/>
            </w:tcBorders>
          </w:tcPr>
          <w:p>
            <w:pPr>
              <w:spacing w:after="0"/>
              <w:rPr>
                <w:sz w:val="11"/>
                <w:szCs w:val="11"/>
                <w:color w:val="auto"/>
              </w:rPr>
            </w:pPr>
          </w:p>
        </w:tc>
        <w:tc>
          <w:tcPr>
            <w:tcW w:w="820" w:type="dxa"/>
            <w:vAlign w:val="bottom"/>
            <w:tcBorders>
              <w:bottom w:val="single" w:sz="8" w:color="939598"/>
            </w:tcBorders>
          </w:tcPr>
          <w:p>
            <w:pPr>
              <w:spacing w:after="0"/>
              <w:rPr>
                <w:sz w:val="11"/>
                <w:szCs w:val="11"/>
                <w:color w:val="auto"/>
              </w:rPr>
            </w:pPr>
          </w:p>
        </w:tc>
      </w:tr>
      <w:tr>
        <w:trPr>
          <w:trHeight w:val="310"/>
        </w:trPr>
        <w:tc>
          <w:tcPr>
            <w:tcW w:w="5400" w:type="dxa"/>
            <w:vAlign w:val="bottom"/>
          </w:tcPr>
          <w:p>
            <w:pPr>
              <w:ind w:left="20"/>
              <w:spacing w:after="0"/>
              <w:rPr>
                <w:sz w:val="20"/>
                <w:szCs w:val="20"/>
                <w:color w:val="auto"/>
              </w:rPr>
            </w:pPr>
            <w:r>
              <w:rPr>
                <w:rFonts w:ascii="Arial" w:cs="Arial" w:eastAsia="Arial" w:hAnsi="Arial"/>
                <w:sz w:val="14"/>
                <w:szCs w:val="14"/>
                <w:color w:val="auto"/>
              </w:rPr>
              <w:t>Tax attributable to interest expense</w:t>
            </w:r>
            <w:r>
              <w:rPr>
                <w:rFonts w:ascii="Arial" w:cs="Arial" w:eastAsia="Arial" w:hAnsi="Arial"/>
                <w:sz w:val="9"/>
                <w:szCs w:val="9"/>
                <w:color w:val="auto"/>
              </w:rPr>
              <w:t>(1)</w:t>
            </w:r>
          </w:p>
        </w:tc>
        <w:tc>
          <w:tcPr>
            <w:tcW w:w="2240" w:type="dxa"/>
            <w:vAlign w:val="bottom"/>
          </w:tcPr>
          <w:p>
            <w:pPr>
              <w:spacing w:after="0"/>
              <w:rPr>
                <w:sz w:val="24"/>
                <w:szCs w:val="24"/>
                <w:color w:val="auto"/>
              </w:rPr>
            </w:pPr>
          </w:p>
        </w:tc>
        <w:tc>
          <w:tcPr>
            <w:tcW w:w="980" w:type="dxa"/>
            <w:vAlign w:val="bottom"/>
          </w:tcPr>
          <w:p>
            <w:pPr>
              <w:jc w:val="right"/>
              <w:ind w:right="308"/>
              <w:spacing w:after="0"/>
              <w:rPr>
                <w:sz w:val="20"/>
                <w:szCs w:val="20"/>
                <w:color w:val="auto"/>
              </w:rPr>
            </w:pPr>
            <w:r>
              <w:rPr>
                <w:rFonts w:ascii="Arial" w:cs="Arial" w:eastAsia="Arial" w:hAnsi="Arial"/>
                <w:sz w:val="14"/>
                <w:szCs w:val="14"/>
                <w:color w:val="auto"/>
              </w:rPr>
              <w:t>(157)</w:t>
            </w:r>
          </w:p>
        </w:tc>
        <w:tc>
          <w:tcPr>
            <w:tcW w:w="400" w:type="dxa"/>
            <w:vAlign w:val="bottom"/>
          </w:tcPr>
          <w:p>
            <w:pPr>
              <w:spacing w:after="0"/>
              <w:rPr>
                <w:sz w:val="24"/>
                <w:szCs w:val="24"/>
                <w:color w:val="auto"/>
              </w:rPr>
            </w:pPr>
          </w:p>
        </w:tc>
        <w:tc>
          <w:tcPr>
            <w:tcW w:w="960" w:type="dxa"/>
            <w:vAlign w:val="bottom"/>
          </w:tcPr>
          <w:p>
            <w:pPr>
              <w:jc w:val="right"/>
              <w:ind w:right="288"/>
              <w:spacing w:after="0"/>
              <w:rPr>
                <w:sz w:val="20"/>
                <w:szCs w:val="20"/>
                <w:color w:val="auto"/>
              </w:rPr>
            </w:pPr>
            <w:r>
              <w:rPr>
                <w:rFonts w:ascii="Arial" w:cs="Arial" w:eastAsia="Arial" w:hAnsi="Arial"/>
                <w:sz w:val="14"/>
                <w:szCs w:val="14"/>
                <w:color w:val="auto"/>
              </w:rPr>
              <w:t>(210)</w:t>
            </w:r>
          </w:p>
        </w:tc>
        <w:tc>
          <w:tcPr>
            <w:tcW w:w="420" w:type="dxa"/>
            <w:vAlign w:val="bottom"/>
          </w:tcPr>
          <w:p>
            <w:pPr>
              <w:spacing w:after="0"/>
              <w:rPr>
                <w:sz w:val="24"/>
                <w:szCs w:val="24"/>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(255)</w:t>
            </w:r>
          </w:p>
        </w:tc>
      </w:tr>
      <w:tr>
        <w:trPr>
          <w:trHeight w:val="130"/>
        </w:trPr>
        <w:tc>
          <w:tcPr>
            <w:tcW w:w="5400" w:type="dxa"/>
            <w:vAlign w:val="bottom"/>
            <w:tcBorders>
              <w:bottom w:val="single" w:sz="8" w:color="D7282F"/>
            </w:tcBorders>
          </w:tcPr>
          <w:p>
            <w:pPr>
              <w:spacing w:after="0"/>
              <w:rPr>
                <w:sz w:val="11"/>
                <w:szCs w:val="11"/>
                <w:color w:val="auto"/>
              </w:rPr>
            </w:pPr>
          </w:p>
        </w:tc>
        <w:tc>
          <w:tcPr>
            <w:tcW w:w="2240" w:type="dxa"/>
            <w:vAlign w:val="bottom"/>
            <w:tcBorders>
              <w:bottom w:val="single" w:sz="8" w:color="D7282F"/>
            </w:tcBorders>
          </w:tcPr>
          <w:p>
            <w:pPr>
              <w:spacing w:after="0"/>
              <w:rPr>
                <w:sz w:val="11"/>
                <w:szCs w:val="11"/>
                <w:color w:val="auto"/>
              </w:rPr>
            </w:pPr>
          </w:p>
        </w:tc>
        <w:tc>
          <w:tcPr>
            <w:tcW w:w="980" w:type="dxa"/>
            <w:vAlign w:val="bottom"/>
            <w:tcBorders>
              <w:bottom w:val="single" w:sz="8" w:color="D7282F"/>
            </w:tcBorders>
          </w:tcPr>
          <w:p>
            <w:pPr>
              <w:spacing w:after="0"/>
              <w:rPr>
                <w:sz w:val="11"/>
                <w:szCs w:val="11"/>
                <w:color w:val="auto"/>
              </w:rPr>
            </w:pPr>
          </w:p>
        </w:tc>
        <w:tc>
          <w:tcPr>
            <w:tcW w:w="400" w:type="dxa"/>
            <w:vAlign w:val="bottom"/>
            <w:tcBorders>
              <w:bottom w:val="single" w:sz="8" w:color="D7282F"/>
            </w:tcBorders>
          </w:tcPr>
          <w:p>
            <w:pPr>
              <w:spacing w:after="0"/>
              <w:rPr>
                <w:sz w:val="11"/>
                <w:szCs w:val="11"/>
                <w:color w:val="auto"/>
              </w:rPr>
            </w:pPr>
          </w:p>
        </w:tc>
        <w:tc>
          <w:tcPr>
            <w:tcW w:w="960" w:type="dxa"/>
            <w:vAlign w:val="bottom"/>
            <w:tcBorders>
              <w:bottom w:val="single" w:sz="8" w:color="D7282F"/>
            </w:tcBorders>
          </w:tcPr>
          <w:p>
            <w:pPr>
              <w:spacing w:after="0"/>
              <w:rPr>
                <w:sz w:val="11"/>
                <w:szCs w:val="11"/>
                <w:color w:val="auto"/>
              </w:rPr>
            </w:pPr>
          </w:p>
        </w:tc>
        <w:tc>
          <w:tcPr>
            <w:tcW w:w="420" w:type="dxa"/>
            <w:vAlign w:val="bottom"/>
            <w:tcBorders>
              <w:bottom w:val="single" w:sz="8" w:color="D7282F"/>
            </w:tcBorders>
          </w:tcPr>
          <w:p>
            <w:pPr>
              <w:spacing w:after="0"/>
              <w:rPr>
                <w:sz w:val="11"/>
                <w:szCs w:val="11"/>
                <w:color w:val="auto"/>
              </w:rPr>
            </w:pPr>
          </w:p>
        </w:tc>
        <w:tc>
          <w:tcPr>
            <w:tcW w:w="820" w:type="dxa"/>
            <w:vAlign w:val="bottom"/>
            <w:tcBorders>
              <w:bottom w:val="single" w:sz="8" w:color="D7282F"/>
            </w:tcBorders>
          </w:tcPr>
          <w:p>
            <w:pPr>
              <w:spacing w:after="0"/>
              <w:rPr>
                <w:sz w:val="11"/>
                <w:szCs w:val="11"/>
                <w:color w:val="auto"/>
              </w:rPr>
            </w:pPr>
          </w:p>
        </w:tc>
      </w:tr>
      <w:tr>
        <w:trPr>
          <w:trHeight w:val="315"/>
        </w:trPr>
        <w:tc>
          <w:tcPr>
            <w:tcW w:w="5400" w:type="dxa"/>
            <w:vAlign w:val="bottom"/>
          </w:tcPr>
          <w:p>
            <w:pPr>
              <w:ind w:left="20"/>
              <w:spacing w:after="0"/>
              <w:rPr>
                <w:sz w:val="20"/>
                <w:szCs w:val="20"/>
                <w:color w:val="auto"/>
              </w:rPr>
            </w:pPr>
            <w:r>
              <w:rPr>
                <w:rFonts w:ascii="Arial" w:cs="Arial" w:eastAsia="Arial" w:hAnsi="Arial"/>
                <w:sz w:val="14"/>
                <w:szCs w:val="14"/>
                <w:b w:val="1"/>
                <w:bCs w:val="1"/>
                <w:color w:val="auto"/>
              </w:rPr>
              <w:t>Adjusted net income before interest</w:t>
            </w:r>
          </w:p>
        </w:tc>
        <w:tc>
          <w:tcPr>
            <w:tcW w:w="2240" w:type="dxa"/>
            <w:vAlign w:val="bottom"/>
          </w:tcPr>
          <w:p>
            <w:pPr>
              <w:spacing w:after="0"/>
              <w:rPr>
                <w:sz w:val="24"/>
                <w:szCs w:val="24"/>
                <w:color w:val="auto"/>
              </w:rPr>
            </w:pPr>
          </w:p>
        </w:tc>
        <w:tc>
          <w:tcPr>
            <w:tcW w:w="980" w:type="dxa"/>
            <w:vAlign w:val="bottom"/>
          </w:tcPr>
          <w:p>
            <w:pPr>
              <w:jc w:val="right"/>
              <w:ind w:right="308"/>
              <w:spacing w:after="0"/>
              <w:rPr>
                <w:sz w:val="20"/>
                <w:szCs w:val="20"/>
                <w:color w:val="auto"/>
              </w:rPr>
            </w:pPr>
            <w:r>
              <w:rPr>
                <w:rFonts w:ascii="Arial" w:cs="Arial" w:eastAsia="Arial" w:hAnsi="Arial"/>
                <w:sz w:val="14"/>
                <w:szCs w:val="14"/>
                <w:b w:val="1"/>
                <w:bCs w:val="1"/>
                <w:color w:val="auto"/>
              </w:rPr>
              <w:t>6,203</w:t>
            </w:r>
          </w:p>
        </w:tc>
        <w:tc>
          <w:tcPr>
            <w:tcW w:w="400" w:type="dxa"/>
            <w:vAlign w:val="bottom"/>
          </w:tcPr>
          <w:p>
            <w:pPr>
              <w:spacing w:after="0"/>
              <w:rPr>
                <w:sz w:val="24"/>
                <w:szCs w:val="24"/>
                <w:color w:val="auto"/>
              </w:rPr>
            </w:pPr>
          </w:p>
        </w:tc>
        <w:tc>
          <w:tcPr>
            <w:tcW w:w="960" w:type="dxa"/>
            <w:vAlign w:val="bottom"/>
          </w:tcPr>
          <w:p>
            <w:pPr>
              <w:jc w:val="right"/>
              <w:ind w:right="288"/>
              <w:spacing w:after="0"/>
              <w:rPr>
                <w:sz w:val="20"/>
                <w:szCs w:val="20"/>
                <w:color w:val="auto"/>
              </w:rPr>
            </w:pPr>
            <w:r>
              <w:rPr>
                <w:rFonts w:ascii="Arial" w:cs="Arial" w:eastAsia="Arial" w:hAnsi="Arial"/>
                <w:sz w:val="14"/>
                <w:szCs w:val="14"/>
                <w:b w:val="1"/>
                <w:bCs w:val="1"/>
                <w:color w:val="auto"/>
              </w:rPr>
              <w:t>6,561</w:t>
            </w:r>
          </w:p>
        </w:tc>
        <w:tc>
          <w:tcPr>
            <w:tcW w:w="420" w:type="dxa"/>
            <w:vAlign w:val="bottom"/>
          </w:tcPr>
          <w:p>
            <w:pPr>
              <w:spacing w:after="0"/>
              <w:rPr>
                <w:sz w:val="24"/>
                <w:szCs w:val="24"/>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b w:val="1"/>
                <w:bCs w:val="1"/>
                <w:color w:val="auto"/>
              </w:rPr>
              <w:t>7,378</w:t>
            </w:r>
          </w:p>
        </w:tc>
      </w:tr>
      <w:tr>
        <w:trPr>
          <w:trHeight w:val="124"/>
        </w:trPr>
        <w:tc>
          <w:tcPr>
            <w:tcW w:w="5400" w:type="dxa"/>
            <w:vAlign w:val="bottom"/>
            <w:tcBorders>
              <w:bottom w:val="single" w:sz="8" w:color="D7282F"/>
            </w:tcBorders>
          </w:tcPr>
          <w:p>
            <w:pPr>
              <w:spacing w:after="0"/>
              <w:rPr>
                <w:sz w:val="10"/>
                <w:szCs w:val="10"/>
                <w:color w:val="auto"/>
              </w:rPr>
            </w:pPr>
          </w:p>
        </w:tc>
        <w:tc>
          <w:tcPr>
            <w:tcW w:w="2240" w:type="dxa"/>
            <w:vAlign w:val="bottom"/>
            <w:tcBorders>
              <w:bottom w:val="single" w:sz="8" w:color="D7282F"/>
            </w:tcBorders>
          </w:tcPr>
          <w:p>
            <w:pPr>
              <w:spacing w:after="0"/>
              <w:rPr>
                <w:sz w:val="10"/>
                <w:szCs w:val="10"/>
                <w:color w:val="auto"/>
              </w:rPr>
            </w:pPr>
          </w:p>
        </w:tc>
        <w:tc>
          <w:tcPr>
            <w:tcW w:w="980" w:type="dxa"/>
            <w:vAlign w:val="bottom"/>
            <w:tcBorders>
              <w:bottom w:val="single" w:sz="8" w:color="D7282F"/>
            </w:tcBorders>
          </w:tcPr>
          <w:p>
            <w:pPr>
              <w:spacing w:after="0"/>
              <w:rPr>
                <w:sz w:val="10"/>
                <w:szCs w:val="10"/>
                <w:color w:val="auto"/>
              </w:rPr>
            </w:pPr>
          </w:p>
        </w:tc>
        <w:tc>
          <w:tcPr>
            <w:tcW w:w="400" w:type="dxa"/>
            <w:vAlign w:val="bottom"/>
            <w:tcBorders>
              <w:bottom w:val="single" w:sz="8" w:color="D7282F"/>
            </w:tcBorders>
          </w:tcPr>
          <w:p>
            <w:pPr>
              <w:spacing w:after="0"/>
              <w:rPr>
                <w:sz w:val="10"/>
                <w:szCs w:val="10"/>
                <w:color w:val="auto"/>
              </w:rPr>
            </w:pPr>
          </w:p>
        </w:tc>
        <w:tc>
          <w:tcPr>
            <w:tcW w:w="960" w:type="dxa"/>
            <w:vAlign w:val="bottom"/>
            <w:tcBorders>
              <w:bottom w:val="single" w:sz="8" w:color="D7282F"/>
            </w:tcBorders>
          </w:tcPr>
          <w:p>
            <w:pPr>
              <w:spacing w:after="0"/>
              <w:rPr>
                <w:sz w:val="10"/>
                <w:szCs w:val="10"/>
                <w:color w:val="auto"/>
              </w:rPr>
            </w:pPr>
          </w:p>
        </w:tc>
        <w:tc>
          <w:tcPr>
            <w:tcW w:w="42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spacing w:after="0"/>
              <w:rPr>
                <w:sz w:val="10"/>
                <w:szCs w:val="10"/>
                <w:color w:val="auto"/>
              </w:rPr>
            </w:pPr>
          </w:p>
        </w:tc>
      </w:tr>
      <w:tr>
        <w:trPr>
          <w:trHeight w:val="309"/>
        </w:trPr>
        <w:tc>
          <w:tcPr>
            <w:tcW w:w="5400" w:type="dxa"/>
            <w:vAlign w:val="bottom"/>
          </w:tcPr>
          <w:p>
            <w:pPr>
              <w:ind w:left="20"/>
              <w:spacing w:after="0"/>
              <w:rPr>
                <w:sz w:val="20"/>
                <w:szCs w:val="20"/>
                <w:color w:val="auto"/>
              </w:rPr>
            </w:pPr>
            <w:r>
              <w:rPr>
                <w:rFonts w:ascii="Arial" w:cs="Arial" w:eastAsia="Arial" w:hAnsi="Arial"/>
                <w:sz w:val="14"/>
                <w:szCs w:val="14"/>
                <w:color w:val="auto"/>
              </w:rPr>
              <w:t>Long-term debt</w:t>
            </w:r>
            <w:r>
              <w:rPr>
                <w:rFonts w:ascii="Arial" w:cs="Arial" w:eastAsia="Arial" w:hAnsi="Arial"/>
                <w:sz w:val="9"/>
                <w:szCs w:val="9"/>
                <w:color w:val="auto"/>
              </w:rPr>
              <w:t>(2)</w:t>
            </w:r>
          </w:p>
        </w:tc>
        <w:tc>
          <w:tcPr>
            <w:tcW w:w="2240" w:type="dxa"/>
            <w:vAlign w:val="bottom"/>
          </w:tcPr>
          <w:p>
            <w:pPr>
              <w:spacing w:after="0"/>
              <w:rPr>
                <w:sz w:val="24"/>
                <w:szCs w:val="24"/>
                <w:color w:val="auto"/>
              </w:rPr>
            </w:pPr>
          </w:p>
        </w:tc>
        <w:tc>
          <w:tcPr>
            <w:tcW w:w="980" w:type="dxa"/>
            <w:vAlign w:val="bottom"/>
          </w:tcPr>
          <w:p>
            <w:pPr>
              <w:jc w:val="right"/>
              <w:ind w:right="308"/>
              <w:spacing w:after="0"/>
              <w:rPr>
                <w:sz w:val="20"/>
                <w:szCs w:val="20"/>
                <w:color w:val="auto"/>
              </w:rPr>
            </w:pPr>
            <w:r>
              <w:rPr>
                <w:rFonts w:ascii="Arial" w:cs="Arial" w:eastAsia="Arial" w:hAnsi="Arial"/>
                <w:sz w:val="14"/>
                <w:szCs w:val="14"/>
                <w:color w:val="auto"/>
              </w:rPr>
              <w:t>15,755</w:t>
            </w:r>
          </w:p>
        </w:tc>
        <w:tc>
          <w:tcPr>
            <w:tcW w:w="400" w:type="dxa"/>
            <w:vAlign w:val="bottom"/>
          </w:tcPr>
          <w:p>
            <w:pPr>
              <w:spacing w:after="0"/>
              <w:rPr>
                <w:sz w:val="24"/>
                <w:szCs w:val="24"/>
                <w:color w:val="auto"/>
              </w:rPr>
            </w:pPr>
          </w:p>
        </w:tc>
        <w:tc>
          <w:tcPr>
            <w:tcW w:w="960" w:type="dxa"/>
            <w:vAlign w:val="bottom"/>
          </w:tcPr>
          <w:p>
            <w:pPr>
              <w:jc w:val="right"/>
              <w:ind w:right="288"/>
              <w:spacing w:after="0"/>
              <w:rPr>
                <w:sz w:val="20"/>
                <w:szCs w:val="20"/>
                <w:color w:val="auto"/>
              </w:rPr>
            </w:pPr>
            <w:r>
              <w:rPr>
                <w:rFonts w:ascii="Arial" w:cs="Arial" w:eastAsia="Arial" w:hAnsi="Arial"/>
                <w:sz w:val="14"/>
                <w:szCs w:val="14"/>
                <w:color w:val="auto"/>
              </w:rPr>
              <w:t>20,962</w:t>
            </w:r>
          </w:p>
        </w:tc>
        <w:tc>
          <w:tcPr>
            <w:tcW w:w="420" w:type="dxa"/>
            <w:vAlign w:val="bottom"/>
          </w:tcPr>
          <w:p>
            <w:pPr>
              <w:spacing w:after="0"/>
              <w:rPr>
                <w:sz w:val="24"/>
                <w:szCs w:val="24"/>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26,291</w:t>
            </w:r>
          </w:p>
        </w:tc>
      </w:tr>
      <w:tr>
        <w:trPr>
          <w:trHeight w:val="129"/>
        </w:trPr>
        <w:tc>
          <w:tcPr>
            <w:tcW w:w="5400" w:type="dxa"/>
            <w:vAlign w:val="bottom"/>
            <w:tcBorders>
              <w:bottom w:val="single" w:sz="8" w:color="939598"/>
            </w:tcBorders>
          </w:tcPr>
          <w:p>
            <w:pPr>
              <w:spacing w:after="0"/>
              <w:rPr>
                <w:sz w:val="11"/>
                <w:szCs w:val="11"/>
                <w:color w:val="auto"/>
              </w:rPr>
            </w:pPr>
          </w:p>
        </w:tc>
        <w:tc>
          <w:tcPr>
            <w:tcW w:w="2240" w:type="dxa"/>
            <w:vAlign w:val="bottom"/>
            <w:tcBorders>
              <w:bottom w:val="single" w:sz="8" w:color="939598"/>
            </w:tcBorders>
          </w:tcPr>
          <w:p>
            <w:pPr>
              <w:spacing w:after="0"/>
              <w:rPr>
                <w:sz w:val="11"/>
                <w:szCs w:val="11"/>
                <w:color w:val="auto"/>
              </w:rPr>
            </w:pPr>
          </w:p>
        </w:tc>
        <w:tc>
          <w:tcPr>
            <w:tcW w:w="980" w:type="dxa"/>
            <w:vAlign w:val="bottom"/>
            <w:tcBorders>
              <w:bottom w:val="single" w:sz="8" w:color="939598"/>
            </w:tcBorders>
          </w:tcPr>
          <w:p>
            <w:pPr>
              <w:spacing w:after="0"/>
              <w:rPr>
                <w:sz w:val="11"/>
                <w:szCs w:val="11"/>
                <w:color w:val="auto"/>
              </w:rPr>
            </w:pPr>
          </w:p>
        </w:tc>
        <w:tc>
          <w:tcPr>
            <w:tcW w:w="400" w:type="dxa"/>
            <w:vAlign w:val="bottom"/>
            <w:tcBorders>
              <w:bottom w:val="single" w:sz="8" w:color="939598"/>
            </w:tcBorders>
          </w:tcPr>
          <w:p>
            <w:pPr>
              <w:spacing w:after="0"/>
              <w:rPr>
                <w:sz w:val="11"/>
                <w:szCs w:val="11"/>
                <w:color w:val="auto"/>
              </w:rPr>
            </w:pPr>
          </w:p>
        </w:tc>
        <w:tc>
          <w:tcPr>
            <w:tcW w:w="960" w:type="dxa"/>
            <w:vAlign w:val="bottom"/>
            <w:tcBorders>
              <w:bottom w:val="single" w:sz="8" w:color="939598"/>
            </w:tcBorders>
          </w:tcPr>
          <w:p>
            <w:pPr>
              <w:spacing w:after="0"/>
              <w:rPr>
                <w:sz w:val="11"/>
                <w:szCs w:val="11"/>
                <w:color w:val="auto"/>
              </w:rPr>
            </w:pPr>
          </w:p>
        </w:tc>
        <w:tc>
          <w:tcPr>
            <w:tcW w:w="420" w:type="dxa"/>
            <w:vAlign w:val="bottom"/>
            <w:tcBorders>
              <w:bottom w:val="single" w:sz="8" w:color="939598"/>
            </w:tcBorders>
          </w:tcPr>
          <w:p>
            <w:pPr>
              <w:spacing w:after="0"/>
              <w:rPr>
                <w:sz w:val="11"/>
                <w:szCs w:val="11"/>
                <w:color w:val="auto"/>
              </w:rPr>
            </w:pPr>
          </w:p>
        </w:tc>
        <w:tc>
          <w:tcPr>
            <w:tcW w:w="820" w:type="dxa"/>
            <w:vAlign w:val="bottom"/>
            <w:tcBorders>
              <w:bottom w:val="single" w:sz="8" w:color="939598"/>
            </w:tcBorders>
          </w:tcPr>
          <w:p>
            <w:pPr>
              <w:spacing w:after="0"/>
              <w:rPr>
                <w:sz w:val="11"/>
                <w:szCs w:val="11"/>
                <w:color w:val="auto"/>
              </w:rPr>
            </w:pPr>
          </w:p>
        </w:tc>
      </w:tr>
      <w:tr>
        <w:trPr>
          <w:trHeight w:val="310"/>
        </w:trPr>
        <w:tc>
          <w:tcPr>
            <w:tcW w:w="5400" w:type="dxa"/>
            <w:vAlign w:val="bottom"/>
          </w:tcPr>
          <w:p>
            <w:pPr>
              <w:ind w:left="20"/>
              <w:spacing w:after="0"/>
              <w:rPr>
                <w:sz w:val="20"/>
                <w:szCs w:val="20"/>
                <w:color w:val="auto"/>
              </w:rPr>
            </w:pPr>
            <w:r>
              <w:rPr>
                <w:rFonts w:ascii="Arial" w:cs="Arial" w:eastAsia="Arial" w:hAnsi="Arial"/>
                <w:sz w:val="14"/>
                <w:szCs w:val="14"/>
                <w:color w:val="auto"/>
              </w:rPr>
              <w:t>Current maturities of long-term debt</w:t>
            </w:r>
            <w:r>
              <w:rPr>
                <w:rFonts w:ascii="Arial" w:cs="Arial" w:eastAsia="Arial" w:hAnsi="Arial"/>
                <w:sz w:val="9"/>
                <w:szCs w:val="9"/>
                <w:color w:val="auto"/>
              </w:rPr>
              <w:t>(2)</w:t>
            </w:r>
          </w:p>
        </w:tc>
        <w:tc>
          <w:tcPr>
            <w:tcW w:w="2240" w:type="dxa"/>
            <w:vAlign w:val="bottom"/>
          </w:tcPr>
          <w:p>
            <w:pPr>
              <w:spacing w:after="0"/>
              <w:rPr>
                <w:sz w:val="24"/>
                <w:szCs w:val="24"/>
                <w:color w:val="auto"/>
              </w:rPr>
            </w:pPr>
          </w:p>
        </w:tc>
        <w:tc>
          <w:tcPr>
            <w:tcW w:w="980" w:type="dxa"/>
            <w:vAlign w:val="bottom"/>
          </w:tcPr>
          <w:p>
            <w:pPr>
              <w:jc w:val="right"/>
              <w:ind w:right="308"/>
              <w:spacing w:after="0"/>
              <w:rPr>
                <w:sz w:val="20"/>
                <w:szCs w:val="20"/>
                <w:color w:val="auto"/>
              </w:rPr>
            </w:pPr>
            <w:r>
              <w:rPr>
                <w:rFonts w:ascii="Arial" w:cs="Arial" w:eastAsia="Arial" w:hAnsi="Arial"/>
                <w:sz w:val="14"/>
                <w:szCs w:val="14"/>
                <w:color w:val="auto"/>
              </w:rPr>
              <w:t>1,726</w:t>
            </w:r>
          </w:p>
        </w:tc>
        <w:tc>
          <w:tcPr>
            <w:tcW w:w="400" w:type="dxa"/>
            <w:vAlign w:val="bottom"/>
          </w:tcPr>
          <w:p>
            <w:pPr>
              <w:spacing w:after="0"/>
              <w:rPr>
                <w:sz w:val="24"/>
                <w:szCs w:val="24"/>
                <w:color w:val="auto"/>
              </w:rPr>
            </w:pPr>
          </w:p>
        </w:tc>
        <w:tc>
          <w:tcPr>
            <w:tcW w:w="960" w:type="dxa"/>
            <w:vAlign w:val="bottom"/>
          </w:tcPr>
          <w:p>
            <w:pPr>
              <w:jc w:val="right"/>
              <w:ind w:right="288"/>
              <w:spacing w:after="0"/>
              <w:rPr>
                <w:sz w:val="20"/>
                <w:szCs w:val="20"/>
                <w:color w:val="auto"/>
              </w:rPr>
            </w:pPr>
            <w:r>
              <w:rPr>
                <w:rFonts w:ascii="Arial" w:cs="Arial" w:eastAsia="Arial" w:hAnsi="Arial"/>
                <w:sz w:val="14"/>
                <w:szCs w:val="14"/>
                <w:color w:val="auto"/>
              </w:rPr>
              <w:t>1,541</w:t>
            </w:r>
          </w:p>
        </w:tc>
        <w:tc>
          <w:tcPr>
            <w:tcW w:w="420" w:type="dxa"/>
            <w:vAlign w:val="bottom"/>
          </w:tcPr>
          <w:p>
            <w:pPr>
              <w:spacing w:after="0"/>
              <w:rPr>
                <w:sz w:val="24"/>
                <w:szCs w:val="24"/>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1,436</w:t>
            </w:r>
          </w:p>
        </w:tc>
      </w:tr>
      <w:tr>
        <w:trPr>
          <w:trHeight w:val="129"/>
        </w:trPr>
        <w:tc>
          <w:tcPr>
            <w:tcW w:w="5400" w:type="dxa"/>
            <w:vAlign w:val="bottom"/>
            <w:tcBorders>
              <w:bottom w:val="single" w:sz="8" w:color="939598"/>
            </w:tcBorders>
          </w:tcPr>
          <w:p>
            <w:pPr>
              <w:spacing w:after="0"/>
              <w:rPr>
                <w:sz w:val="11"/>
                <w:szCs w:val="11"/>
                <w:color w:val="auto"/>
              </w:rPr>
            </w:pPr>
          </w:p>
        </w:tc>
        <w:tc>
          <w:tcPr>
            <w:tcW w:w="2240" w:type="dxa"/>
            <w:vAlign w:val="bottom"/>
            <w:tcBorders>
              <w:bottom w:val="single" w:sz="8" w:color="939598"/>
            </w:tcBorders>
          </w:tcPr>
          <w:p>
            <w:pPr>
              <w:spacing w:after="0"/>
              <w:rPr>
                <w:sz w:val="11"/>
                <w:szCs w:val="11"/>
                <w:color w:val="auto"/>
              </w:rPr>
            </w:pPr>
          </w:p>
        </w:tc>
        <w:tc>
          <w:tcPr>
            <w:tcW w:w="980" w:type="dxa"/>
            <w:vAlign w:val="bottom"/>
            <w:tcBorders>
              <w:bottom w:val="single" w:sz="8" w:color="939598"/>
            </w:tcBorders>
          </w:tcPr>
          <w:p>
            <w:pPr>
              <w:spacing w:after="0"/>
              <w:rPr>
                <w:sz w:val="11"/>
                <w:szCs w:val="11"/>
                <w:color w:val="auto"/>
              </w:rPr>
            </w:pPr>
          </w:p>
        </w:tc>
        <w:tc>
          <w:tcPr>
            <w:tcW w:w="400" w:type="dxa"/>
            <w:vAlign w:val="bottom"/>
            <w:tcBorders>
              <w:bottom w:val="single" w:sz="8" w:color="939598"/>
            </w:tcBorders>
          </w:tcPr>
          <w:p>
            <w:pPr>
              <w:spacing w:after="0"/>
              <w:rPr>
                <w:sz w:val="11"/>
                <w:szCs w:val="11"/>
                <w:color w:val="auto"/>
              </w:rPr>
            </w:pPr>
          </w:p>
        </w:tc>
        <w:tc>
          <w:tcPr>
            <w:tcW w:w="960" w:type="dxa"/>
            <w:vAlign w:val="bottom"/>
            <w:tcBorders>
              <w:bottom w:val="single" w:sz="8" w:color="939598"/>
            </w:tcBorders>
          </w:tcPr>
          <w:p>
            <w:pPr>
              <w:spacing w:after="0"/>
              <w:rPr>
                <w:sz w:val="11"/>
                <w:szCs w:val="11"/>
                <w:color w:val="auto"/>
              </w:rPr>
            </w:pPr>
          </w:p>
        </w:tc>
        <w:tc>
          <w:tcPr>
            <w:tcW w:w="420" w:type="dxa"/>
            <w:vAlign w:val="bottom"/>
            <w:tcBorders>
              <w:bottom w:val="single" w:sz="8" w:color="939598"/>
            </w:tcBorders>
          </w:tcPr>
          <w:p>
            <w:pPr>
              <w:spacing w:after="0"/>
              <w:rPr>
                <w:sz w:val="11"/>
                <w:szCs w:val="11"/>
                <w:color w:val="auto"/>
              </w:rPr>
            </w:pPr>
          </w:p>
        </w:tc>
        <w:tc>
          <w:tcPr>
            <w:tcW w:w="820" w:type="dxa"/>
            <w:vAlign w:val="bottom"/>
            <w:tcBorders>
              <w:bottom w:val="single" w:sz="8" w:color="939598"/>
            </w:tcBorders>
          </w:tcPr>
          <w:p>
            <w:pPr>
              <w:spacing w:after="0"/>
              <w:rPr>
                <w:sz w:val="11"/>
                <w:szCs w:val="11"/>
                <w:color w:val="auto"/>
              </w:rPr>
            </w:pPr>
          </w:p>
        </w:tc>
      </w:tr>
      <w:tr>
        <w:trPr>
          <w:trHeight w:val="310"/>
        </w:trPr>
        <w:tc>
          <w:tcPr>
            <w:tcW w:w="5400" w:type="dxa"/>
            <w:vAlign w:val="bottom"/>
          </w:tcPr>
          <w:p>
            <w:pPr>
              <w:ind w:left="20"/>
              <w:spacing w:after="0"/>
              <w:rPr>
                <w:sz w:val="20"/>
                <w:szCs w:val="20"/>
                <w:color w:val="auto"/>
              </w:rPr>
            </w:pPr>
            <w:r>
              <w:rPr>
                <w:rFonts w:ascii="Arial" w:cs="Arial" w:eastAsia="Arial" w:hAnsi="Arial"/>
                <w:sz w:val="14"/>
                <w:szCs w:val="14"/>
                <w:color w:val="auto"/>
              </w:rPr>
              <w:t>Commercial paper and other short-term borrowings</w:t>
            </w:r>
            <w:r>
              <w:rPr>
                <w:rFonts w:ascii="Arial" w:cs="Arial" w:eastAsia="Arial" w:hAnsi="Arial"/>
                <w:sz w:val="9"/>
                <w:szCs w:val="9"/>
                <w:color w:val="auto"/>
              </w:rPr>
              <w:t>(2)</w:t>
            </w:r>
          </w:p>
        </w:tc>
        <w:tc>
          <w:tcPr>
            <w:tcW w:w="2240" w:type="dxa"/>
            <w:vAlign w:val="bottom"/>
          </w:tcPr>
          <w:p>
            <w:pPr>
              <w:spacing w:after="0"/>
              <w:rPr>
                <w:sz w:val="24"/>
                <w:szCs w:val="24"/>
                <w:color w:val="auto"/>
              </w:rPr>
            </w:pPr>
          </w:p>
        </w:tc>
        <w:tc>
          <w:tcPr>
            <w:tcW w:w="980" w:type="dxa"/>
            <w:vAlign w:val="bottom"/>
          </w:tcPr>
          <w:p>
            <w:pPr>
              <w:jc w:val="right"/>
              <w:ind w:right="308"/>
              <w:spacing w:after="0"/>
              <w:rPr>
                <w:sz w:val="20"/>
                <w:szCs w:val="20"/>
                <w:color w:val="auto"/>
              </w:rPr>
            </w:pPr>
            <w:r>
              <w:rPr>
                <w:rFonts w:ascii="Arial" w:cs="Arial" w:eastAsia="Arial" w:hAnsi="Arial"/>
                <w:sz w:val="14"/>
                <w:szCs w:val="14"/>
                <w:color w:val="auto"/>
              </w:rPr>
              <w:t>2,401</w:t>
            </w:r>
          </w:p>
        </w:tc>
        <w:tc>
          <w:tcPr>
            <w:tcW w:w="400" w:type="dxa"/>
            <w:vAlign w:val="bottom"/>
          </w:tcPr>
          <w:p>
            <w:pPr>
              <w:spacing w:after="0"/>
              <w:rPr>
                <w:sz w:val="24"/>
                <w:szCs w:val="24"/>
                <w:color w:val="auto"/>
              </w:rPr>
            </w:pPr>
          </w:p>
        </w:tc>
        <w:tc>
          <w:tcPr>
            <w:tcW w:w="960" w:type="dxa"/>
            <w:vAlign w:val="bottom"/>
          </w:tcPr>
          <w:p>
            <w:pPr>
              <w:jc w:val="right"/>
              <w:ind w:right="288"/>
              <w:spacing w:after="0"/>
              <w:rPr>
                <w:sz w:val="20"/>
                <w:szCs w:val="20"/>
                <w:color w:val="auto"/>
              </w:rPr>
            </w:pPr>
            <w:r>
              <w:rPr>
                <w:rFonts w:ascii="Arial" w:cs="Arial" w:eastAsia="Arial" w:hAnsi="Arial"/>
                <w:sz w:val="14"/>
                <w:szCs w:val="14"/>
                <w:color w:val="auto"/>
              </w:rPr>
              <w:t>3,179</w:t>
            </w:r>
          </w:p>
        </w:tc>
        <w:tc>
          <w:tcPr>
            <w:tcW w:w="420" w:type="dxa"/>
            <w:vAlign w:val="bottom"/>
          </w:tcPr>
          <w:p>
            <w:pPr>
              <w:spacing w:after="0"/>
              <w:rPr>
                <w:sz w:val="24"/>
                <w:szCs w:val="24"/>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5,083</w:t>
            </w:r>
          </w:p>
        </w:tc>
      </w:tr>
      <w:tr>
        <w:trPr>
          <w:trHeight w:val="129"/>
        </w:trPr>
        <w:tc>
          <w:tcPr>
            <w:tcW w:w="5400" w:type="dxa"/>
            <w:vAlign w:val="bottom"/>
            <w:tcBorders>
              <w:bottom w:val="single" w:sz="8" w:color="939598"/>
            </w:tcBorders>
          </w:tcPr>
          <w:p>
            <w:pPr>
              <w:spacing w:after="0"/>
              <w:rPr>
                <w:sz w:val="11"/>
                <w:szCs w:val="11"/>
                <w:color w:val="auto"/>
              </w:rPr>
            </w:pPr>
          </w:p>
        </w:tc>
        <w:tc>
          <w:tcPr>
            <w:tcW w:w="2240" w:type="dxa"/>
            <w:vAlign w:val="bottom"/>
            <w:tcBorders>
              <w:bottom w:val="single" w:sz="8" w:color="939598"/>
            </w:tcBorders>
          </w:tcPr>
          <w:p>
            <w:pPr>
              <w:spacing w:after="0"/>
              <w:rPr>
                <w:sz w:val="11"/>
                <w:szCs w:val="11"/>
                <w:color w:val="auto"/>
              </w:rPr>
            </w:pPr>
          </w:p>
        </w:tc>
        <w:tc>
          <w:tcPr>
            <w:tcW w:w="980" w:type="dxa"/>
            <w:vAlign w:val="bottom"/>
            <w:tcBorders>
              <w:bottom w:val="single" w:sz="8" w:color="939598"/>
            </w:tcBorders>
          </w:tcPr>
          <w:p>
            <w:pPr>
              <w:spacing w:after="0"/>
              <w:rPr>
                <w:sz w:val="11"/>
                <w:szCs w:val="11"/>
                <w:color w:val="auto"/>
              </w:rPr>
            </w:pPr>
          </w:p>
        </w:tc>
        <w:tc>
          <w:tcPr>
            <w:tcW w:w="400" w:type="dxa"/>
            <w:vAlign w:val="bottom"/>
            <w:tcBorders>
              <w:bottom w:val="single" w:sz="8" w:color="939598"/>
            </w:tcBorders>
          </w:tcPr>
          <w:p>
            <w:pPr>
              <w:spacing w:after="0"/>
              <w:rPr>
                <w:sz w:val="11"/>
                <w:szCs w:val="11"/>
                <w:color w:val="auto"/>
              </w:rPr>
            </w:pPr>
          </w:p>
        </w:tc>
        <w:tc>
          <w:tcPr>
            <w:tcW w:w="960" w:type="dxa"/>
            <w:vAlign w:val="bottom"/>
            <w:tcBorders>
              <w:bottom w:val="single" w:sz="8" w:color="939598"/>
            </w:tcBorders>
          </w:tcPr>
          <w:p>
            <w:pPr>
              <w:spacing w:after="0"/>
              <w:rPr>
                <w:sz w:val="11"/>
                <w:szCs w:val="11"/>
                <w:color w:val="auto"/>
              </w:rPr>
            </w:pPr>
          </w:p>
        </w:tc>
        <w:tc>
          <w:tcPr>
            <w:tcW w:w="420" w:type="dxa"/>
            <w:vAlign w:val="bottom"/>
            <w:tcBorders>
              <w:bottom w:val="single" w:sz="8" w:color="939598"/>
            </w:tcBorders>
          </w:tcPr>
          <w:p>
            <w:pPr>
              <w:spacing w:after="0"/>
              <w:rPr>
                <w:sz w:val="11"/>
                <w:szCs w:val="11"/>
                <w:color w:val="auto"/>
              </w:rPr>
            </w:pPr>
          </w:p>
        </w:tc>
        <w:tc>
          <w:tcPr>
            <w:tcW w:w="820" w:type="dxa"/>
            <w:vAlign w:val="bottom"/>
            <w:tcBorders>
              <w:bottom w:val="single" w:sz="8" w:color="939598"/>
            </w:tcBorders>
          </w:tcPr>
          <w:p>
            <w:pPr>
              <w:spacing w:after="0"/>
              <w:rPr>
                <w:sz w:val="11"/>
                <w:szCs w:val="11"/>
                <w:color w:val="auto"/>
              </w:rPr>
            </w:pPr>
          </w:p>
        </w:tc>
      </w:tr>
      <w:tr>
        <w:trPr>
          <w:trHeight w:val="310"/>
        </w:trPr>
        <w:tc>
          <w:tcPr>
            <w:tcW w:w="5400" w:type="dxa"/>
            <w:vAlign w:val="bottom"/>
          </w:tcPr>
          <w:p>
            <w:pPr>
              <w:ind w:left="20"/>
              <w:spacing w:after="0"/>
              <w:rPr>
                <w:sz w:val="20"/>
                <w:szCs w:val="20"/>
                <w:color w:val="auto"/>
              </w:rPr>
            </w:pPr>
            <w:r>
              <w:rPr>
                <w:rFonts w:ascii="Arial" w:cs="Arial" w:eastAsia="Arial" w:hAnsi="Arial"/>
                <w:sz w:val="14"/>
                <w:szCs w:val="14"/>
                <w:color w:val="auto"/>
              </w:rPr>
              <w:t>Total shareowners' equity</w:t>
            </w:r>
            <w:r>
              <w:rPr>
                <w:rFonts w:ascii="Arial" w:cs="Arial" w:eastAsia="Arial" w:hAnsi="Arial"/>
                <w:sz w:val="9"/>
                <w:szCs w:val="9"/>
                <w:color w:val="auto"/>
              </w:rPr>
              <w:t>(2)</w:t>
            </w:r>
          </w:p>
        </w:tc>
        <w:tc>
          <w:tcPr>
            <w:tcW w:w="2240" w:type="dxa"/>
            <w:vAlign w:val="bottom"/>
          </w:tcPr>
          <w:p>
            <w:pPr>
              <w:spacing w:after="0"/>
              <w:rPr>
                <w:sz w:val="24"/>
                <w:szCs w:val="24"/>
                <w:color w:val="auto"/>
              </w:rPr>
            </w:pPr>
          </w:p>
        </w:tc>
        <w:tc>
          <w:tcPr>
            <w:tcW w:w="980" w:type="dxa"/>
            <w:vAlign w:val="bottom"/>
          </w:tcPr>
          <w:p>
            <w:pPr>
              <w:jc w:val="right"/>
              <w:ind w:right="308"/>
              <w:spacing w:after="0"/>
              <w:rPr>
                <w:sz w:val="20"/>
                <w:szCs w:val="20"/>
                <w:color w:val="auto"/>
              </w:rPr>
            </w:pPr>
            <w:r>
              <w:rPr>
                <w:rFonts w:ascii="Arial" w:cs="Arial" w:eastAsia="Arial" w:hAnsi="Arial"/>
                <w:sz w:val="14"/>
                <w:szCs w:val="14"/>
                <w:color w:val="auto"/>
              </w:rPr>
              <w:t>16,877</w:t>
            </w:r>
          </w:p>
        </w:tc>
        <w:tc>
          <w:tcPr>
            <w:tcW w:w="400" w:type="dxa"/>
            <w:vAlign w:val="bottom"/>
          </w:tcPr>
          <w:p>
            <w:pPr>
              <w:spacing w:after="0"/>
              <w:rPr>
                <w:sz w:val="24"/>
                <w:szCs w:val="24"/>
                <w:color w:val="auto"/>
              </w:rPr>
            </w:pPr>
          </w:p>
        </w:tc>
        <w:tc>
          <w:tcPr>
            <w:tcW w:w="960" w:type="dxa"/>
            <w:vAlign w:val="bottom"/>
          </w:tcPr>
          <w:p>
            <w:pPr>
              <w:jc w:val="right"/>
              <w:ind w:right="288"/>
              <w:spacing w:after="0"/>
              <w:rPr>
                <w:sz w:val="20"/>
                <w:szCs w:val="20"/>
                <w:color w:val="auto"/>
              </w:rPr>
            </w:pPr>
            <w:r>
              <w:rPr>
                <w:rFonts w:ascii="Arial" w:cs="Arial" w:eastAsia="Arial" w:hAnsi="Arial"/>
                <w:sz w:val="14"/>
                <w:szCs w:val="14"/>
                <w:color w:val="auto"/>
              </w:rPr>
              <w:t>17,794</w:t>
            </w:r>
          </w:p>
        </w:tc>
        <w:tc>
          <w:tcPr>
            <w:tcW w:w="420" w:type="dxa"/>
            <w:vAlign w:val="bottom"/>
          </w:tcPr>
          <w:p>
            <w:pPr>
              <w:spacing w:after="0"/>
              <w:rPr>
                <w:sz w:val="24"/>
                <w:szCs w:val="24"/>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17,092</w:t>
            </w:r>
          </w:p>
        </w:tc>
      </w:tr>
      <w:tr>
        <w:trPr>
          <w:trHeight w:val="129"/>
        </w:trPr>
        <w:tc>
          <w:tcPr>
            <w:tcW w:w="5400" w:type="dxa"/>
            <w:vAlign w:val="bottom"/>
            <w:tcBorders>
              <w:bottom w:val="single" w:sz="8" w:color="D7282F"/>
            </w:tcBorders>
          </w:tcPr>
          <w:p>
            <w:pPr>
              <w:spacing w:after="0"/>
              <w:rPr>
                <w:sz w:val="11"/>
                <w:szCs w:val="11"/>
                <w:color w:val="auto"/>
              </w:rPr>
            </w:pPr>
          </w:p>
        </w:tc>
        <w:tc>
          <w:tcPr>
            <w:tcW w:w="2240" w:type="dxa"/>
            <w:vAlign w:val="bottom"/>
            <w:tcBorders>
              <w:bottom w:val="single" w:sz="8" w:color="D7282F"/>
            </w:tcBorders>
          </w:tcPr>
          <w:p>
            <w:pPr>
              <w:spacing w:after="0"/>
              <w:rPr>
                <w:sz w:val="11"/>
                <w:szCs w:val="11"/>
                <w:color w:val="auto"/>
              </w:rPr>
            </w:pPr>
          </w:p>
        </w:tc>
        <w:tc>
          <w:tcPr>
            <w:tcW w:w="980" w:type="dxa"/>
            <w:vAlign w:val="bottom"/>
            <w:tcBorders>
              <w:bottom w:val="single" w:sz="8" w:color="D7282F"/>
            </w:tcBorders>
          </w:tcPr>
          <w:p>
            <w:pPr>
              <w:spacing w:after="0"/>
              <w:rPr>
                <w:sz w:val="11"/>
                <w:szCs w:val="11"/>
                <w:color w:val="auto"/>
              </w:rPr>
            </w:pPr>
          </w:p>
        </w:tc>
        <w:tc>
          <w:tcPr>
            <w:tcW w:w="400" w:type="dxa"/>
            <w:vAlign w:val="bottom"/>
            <w:tcBorders>
              <w:bottom w:val="single" w:sz="8" w:color="D7282F"/>
            </w:tcBorders>
          </w:tcPr>
          <w:p>
            <w:pPr>
              <w:spacing w:after="0"/>
              <w:rPr>
                <w:sz w:val="11"/>
                <w:szCs w:val="11"/>
                <w:color w:val="auto"/>
              </w:rPr>
            </w:pPr>
          </w:p>
        </w:tc>
        <w:tc>
          <w:tcPr>
            <w:tcW w:w="960" w:type="dxa"/>
            <w:vAlign w:val="bottom"/>
            <w:tcBorders>
              <w:bottom w:val="single" w:sz="8" w:color="D7282F"/>
            </w:tcBorders>
          </w:tcPr>
          <w:p>
            <w:pPr>
              <w:spacing w:after="0"/>
              <w:rPr>
                <w:sz w:val="11"/>
                <w:szCs w:val="11"/>
                <w:color w:val="auto"/>
              </w:rPr>
            </w:pPr>
          </w:p>
        </w:tc>
        <w:tc>
          <w:tcPr>
            <w:tcW w:w="420" w:type="dxa"/>
            <w:vAlign w:val="bottom"/>
            <w:tcBorders>
              <w:bottom w:val="single" w:sz="8" w:color="D7282F"/>
            </w:tcBorders>
          </w:tcPr>
          <w:p>
            <w:pPr>
              <w:spacing w:after="0"/>
              <w:rPr>
                <w:sz w:val="11"/>
                <w:szCs w:val="11"/>
                <w:color w:val="auto"/>
              </w:rPr>
            </w:pPr>
          </w:p>
        </w:tc>
        <w:tc>
          <w:tcPr>
            <w:tcW w:w="820" w:type="dxa"/>
            <w:vAlign w:val="bottom"/>
            <w:tcBorders>
              <w:bottom w:val="single" w:sz="8" w:color="D7282F"/>
            </w:tcBorders>
          </w:tcPr>
          <w:p>
            <w:pPr>
              <w:spacing w:after="0"/>
              <w:rPr>
                <w:sz w:val="11"/>
                <w:szCs w:val="11"/>
                <w:color w:val="auto"/>
              </w:rPr>
            </w:pPr>
          </w:p>
        </w:tc>
      </w:tr>
      <w:tr>
        <w:trPr>
          <w:trHeight w:val="316"/>
        </w:trPr>
        <w:tc>
          <w:tcPr>
            <w:tcW w:w="5400" w:type="dxa"/>
            <w:vAlign w:val="bottom"/>
          </w:tcPr>
          <w:p>
            <w:pPr>
              <w:ind w:left="20"/>
              <w:spacing w:after="0"/>
              <w:rPr>
                <w:sz w:val="20"/>
                <w:szCs w:val="20"/>
                <w:color w:val="auto"/>
              </w:rPr>
            </w:pPr>
            <w:r>
              <w:rPr>
                <w:rFonts w:ascii="Arial" w:cs="Arial" w:eastAsia="Arial" w:hAnsi="Arial"/>
                <w:sz w:val="14"/>
                <w:szCs w:val="14"/>
                <w:b w:val="1"/>
                <w:bCs w:val="1"/>
                <w:color w:val="auto"/>
              </w:rPr>
              <w:t>Net investment (two-point average)</w:t>
            </w:r>
          </w:p>
        </w:tc>
        <w:tc>
          <w:tcPr>
            <w:tcW w:w="2240" w:type="dxa"/>
            <w:vAlign w:val="bottom"/>
          </w:tcPr>
          <w:p>
            <w:pPr>
              <w:spacing w:after="0"/>
              <w:rPr>
                <w:sz w:val="24"/>
                <w:szCs w:val="24"/>
                <w:color w:val="auto"/>
              </w:rPr>
            </w:pPr>
          </w:p>
        </w:tc>
        <w:tc>
          <w:tcPr>
            <w:tcW w:w="980" w:type="dxa"/>
            <w:vAlign w:val="bottom"/>
          </w:tcPr>
          <w:p>
            <w:pPr>
              <w:jc w:val="right"/>
              <w:ind w:right="308"/>
              <w:spacing w:after="0"/>
              <w:rPr>
                <w:sz w:val="20"/>
                <w:szCs w:val="20"/>
                <w:color w:val="auto"/>
              </w:rPr>
            </w:pPr>
            <w:r>
              <w:rPr>
                <w:rFonts w:ascii="Arial" w:cs="Arial" w:eastAsia="Arial" w:hAnsi="Arial"/>
                <w:sz w:val="14"/>
                <w:szCs w:val="14"/>
                <w:b w:val="1"/>
                <w:bCs w:val="1"/>
                <w:color w:val="auto"/>
              </w:rPr>
              <w:t>36,759</w:t>
            </w:r>
          </w:p>
        </w:tc>
        <w:tc>
          <w:tcPr>
            <w:tcW w:w="400" w:type="dxa"/>
            <w:vAlign w:val="bottom"/>
          </w:tcPr>
          <w:p>
            <w:pPr>
              <w:spacing w:after="0"/>
              <w:rPr>
                <w:sz w:val="24"/>
                <w:szCs w:val="24"/>
                <w:color w:val="auto"/>
              </w:rPr>
            </w:pPr>
          </w:p>
        </w:tc>
        <w:tc>
          <w:tcPr>
            <w:tcW w:w="960" w:type="dxa"/>
            <w:vAlign w:val="bottom"/>
          </w:tcPr>
          <w:p>
            <w:pPr>
              <w:jc w:val="right"/>
              <w:ind w:right="288"/>
              <w:spacing w:after="0"/>
              <w:rPr>
                <w:sz w:val="20"/>
                <w:szCs w:val="20"/>
                <w:color w:val="auto"/>
              </w:rPr>
            </w:pPr>
            <w:r>
              <w:rPr>
                <w:rFonts w:ascii="Arial" w:cs="Arial" w:eastAsia="Arial" w:hAnsi="Arial"/>
                <w:sz w:val="14"/>
                <w:szCs w:val="14"/>
                <w:b w:val="1"/>
                <w:bCs w:val="1"/>
                <w:color w:val="auto"/>
              </w:rPr>
              <w:t>43,476</w:t>
            </w:r>
          </w:p>
        </w:tc>
        <w:tc>
          <w:tcPr>
            <w:tcW w:w="420" w:type="dxa"/>
            <w:vAlign w:val="bottom"/>
          </w:tcPr>
          <w:p>
            <w:pPr>
              <w:spacing w:after="0"/>
              <w:rPr>
                <w:sz w:val="24"/>
                <w:szCs w:val="24"/>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b w:val="1"/>
                <w:bCs w:val="1"/>
                <w:color w:val="auto"/>
              </w:rPr>
              <w:t>49,902</w:t>
            </w:r>
          </w:p>
        </w:tc>
      </w:tr>
      <w:tr>
        <w:trPr>
          <w:trHeight w:val="123"/>
        </w:trPr>
        <w:tc>
          <w:tcPr>
            <w:tcW w:w="5400" w:type="dxa"/>
            <w:vAlign w:val="bottom"/>
            <w:tcBorders>
              <w:bottom w:val="single" w:sz="8" w:color="D7282F"/>
            </w:tcBorders>
          </w:tcPr>
          <w:p>
            <w:pPr>
              <w:spacing w:after="0"/>
              <w:rPr>
                <w:sz w:val="10"/>
                <w:szCs w:val="10"/>
                <w:color w:val="auto"/>
              </w:rPr>
            </w:pPr>
          </w:p>
        </w:tc>
        <w:tc>
          <w:tcPr>
            <w:tcW w:w="2240" w:type="dxa"/>
            <w:vAlign w:val="bottom"/>
            <w:tcBorders>
              <w:bottom w:val="single" w:sz="8" w:color="D7282F"/>
            </w:tcBorders>
          </w:tcPr>
          <w:p>
            <w:pPr>
              <w:spacing w:after="0"/>
              <w:rPr>
                <w:sz w:val="10"/>
                <w:szCs w:val="10"/>
                <w:color w:val="auto"/>
              </w:rPr>
            </w:pPr>
          </w:p>
        </w:tc>
        <w:tc>
          <w:tcPr>
            <w:tcW w:w="980" w:type="dxa"/>
            <w:vAlign w:val="bottom"/>
            <w:tcBorders>
              <w:bottom w:val="single" w:sz="8" w:color="D7282F"/>
            </w:tcBorders>
          </w:tcPr>
          <w:p>
            <w:pPr>
              <w:spacing w:after="0"/>
              <w:rPr>
                <w:sz w:val="10"/>
                <w:szCs w:val="10"/>
                <w:color w:val="auto"/>
              </w:rPr>
            </w:pPr>
          </w:p>
        </w:tc>
        <w:tc>
          <w:tcPr>
            <w:tcW w:w="400" w:type="dxa"/>
            <w:vAlign w:val="bottom"/>
            <w:tcBorders>
              <w:bottom w:val="single" w:sz="8" w:color="D7282F"/>
            </w:tcBorders>
          </w:tcPr>
          <w:p>
            <w:pPr>
              <w:spacing w:after="0"/>
              <w:rPr>
                <w:sz w:val="10"/>
                <w:szCs w:val="10"/>
                <w:color w:val="auto"/>
              </w:rPr>
            </w:pPr>
          </w:p>
        </w:tc>
        <w:tc>
          <w:tcPr>
            <w:tcW w:w="960" w:type="dxa"/>
            <w:vAlign w:val="bottom"/>
            <w:tcBorders>
              <w:bottom w:val="single" w:sz="8" w:color="D7282F"/>
            </w:tcBorders>
          </w:tcPr>
          <w:p>
            <w:pPr>
              <w:spacing w:after="0"/>
              <w:rPr>
                <w:sz w:val="10"/>
                <w:szCs w:val="10"/>
                <w:color w:val="auto"/>
              </w:rPr>
            </w:pPr>
          </w:p>
        </w:tc>
        <w:tc>
          <w:tcPr>
            <w:tcW w:w="42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spacing w:after="0"/>
              <w:rPr>
                <w:sz w:val="10"/>
                <w:szCs w:val="10"/>
                <w:color w:val="auto"/>
              </w:rPr>
            </w:pPr>
          </w:p>
        </w:tc>
      </w:tr>
      <w:tr>
        <w:trPr>
          <w:trHeight w:val="316"/>
        </w:trPr>
        <w:tc>
          <w:tcPr>
            <w:tcW w:w="5400" w:type="dxa"/>
            <w:vAlign w:val="bottom"/>
          </w:tcPr>
          <w:p>
            <w:pPr>
              <w:ind w:left="20"/>
              <w:spacing w:after="0"/>
              <w:rPr>
                <w:sz w:val="20"/>
                <w:szCs w:val="20"/>
                <w:color w:val="auto"/>
              </w:rPr>
            </w:pPr>
            <w:r>
              <w:rPr>
                <w:rFonts w:ascii="Arial" w:cs="Arial" w:eastAsia="Arial" w:hAnsi="Arial"/>
                <w:sz w:val="14"/>
                <w:szCs w:val="14"/>
                <w:b w:val="1"/>
                <w:bCs w:val="1"/>
                <w:color w:val="auto"/>
              </w:rPr>
              <w:t>Return on invested capital</w:t>
            </w:r>
          </w:p>
        </w:tc>
        <w:tc>
          <w:tcPr>
            <w:tcW w:w="2240" w:type="dxa"/>
            <w:vAlign w:val="bottom"/>
          </w:tcPr>
          <w:p>
            <w:pPr>
              <w:spacing w:after="0"/>
              <w:rPr>
                <w:sz w:val="24"/>
                <w:szCs w:val="24"/>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b w:val="1"/>
                <w:bCs w:val="1"/>
                <w:color w:val="auto"/>
              </w:rPr>
              <w:t>16.9%</w:t>
            </w:r>
          </w:p>
        </w:tc>
        <w:tc>
          <w:tcPr>
            <w:tcW w:w="400" w:type="dxa"/>
            <w:vAlign w:val="bottom"/>
          </w:tcPr>
          <w:p>
            <w:pPr>
              <w:spacing w:after="0"/>
              <w:rPr>
                <w:sz w:val="24"/>
                <w:szCs w:val="24"/>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b w:val="1"/>
                <w:bCs w:val="1"/>
                <w:color w:val="auto"/>
              </w:rPr>
              <w:t>15.1%</w:t>
            </w: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2343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43" w:lineRule="exact"/>
        <w:rPr>
          <w:sz w:val="20"/>
          <w:szCs w:val="20"/>
          <w:color w:val="auto"/>
        </w:rPr>
      </w:pPr>
    </w:p>
    <w:p>
      <w:pPr>
        <w:ind w:left="200" w:hanging="192"/>
        <w:spacing w:after="0"/>
        <w:tabs>
          <w:tab w:leader="none" w:pos="200" w:val="left"/>
        </w:tabs>
        <w:numPr>
          <w:ilvl w:val="0"/>
          <w:numId w:val="238"/>
        </w:numPr>
        <w:rPr>
          <w:rFonts w:ascii="Arial" w:cs="Arial" w:eastAsia="Arial" w:hAnsi="Arial"/>
          <w:sz w:val="16"/>
          <w:szCs w:val="16"/>
          <w:color w:val="auto"/>
          <w:vertAlign w:val="superscript"/>
        </w:rPr>
      </w:pPr>
      <w:r>
        <w:rPr>
          <w:rFonts w:ascii="Arial" w:cs="Arial" w:eastAsia="Arial" w:hAnsi="Arial"/>
          <w:sz w:val="13"/>
          <w:szCs w:val="13"/>
          <w:color w:val="auto"/>
        </w:rPr>
        <w:t>Tax attributable to interest expense uses rates of 19.0%, 20.0%, and 20.9% for 2025, 2024, and 2023, respectively.</w:t>
      </w:r>
    </w:p>
    <w:p>
      <w:pPr>
        <w:spacing w:after="0" w:line="63" w:lineRule="exact"/>
        <w:rPr>
          <w:rFonts w:ascii="Arial" w:cs="Arial" w:eastAsia="Arial" w:hAnsi="Arial"/>
          <w:sz w:val="16"/>
          <w:szCs w:val="16"/>
          <w:color w:val="auto"/>
          <w:vertAlign w:val="superscript"/>
        </w:rPr>
      </w:pPr>
    </w:p>
    <w:p>
      <w:pPr>
        <w:ind w:left="200" w:right="300" w:hanging="192"/>
        <w:spacing w:after="0" w:line="226" w:lineRule="auto"/>
        <w:tabs>
          <w:tab w:leader="none" w:pos="200" w:val="left"/>
        </w:tabs>
        <w:numPr>
          <w:ilvl w:val="0"/>
          <w:numId w:val="238"/>
        </w:numPr>
        <w:rPr>
          <w:rFonts w:ascii="Arial" w:cs="Arial" w:eastAsia="Arial" w:hAnsi="Arial"/>
          <w:sz w:val="16"/>
          <w:szCs w:val="16"/>
          <w:color w:val="auto"/>
          <w:vertAlign w:val="superscript"/>
        </w:rPr>
      </w:pPr>
      <w:r>
        <w:rPr>
          <w:rFonts w:ascii="Arial" w:cs="Arial" w:eastAsia="Arial" w:hAnsi="Arial"/>
          <w:sz w:val="13"/>
          <w:szCs w:val="13"/>
          <w:color w:val="auto"/>
        </w:rPr>
        <w:t>Long-term debt, Current maturities of long-term debt, Commercial paper and other short-term borrowings, and Total shareowners' equity amounts are calculated as the average of the balance of each in the current year and year immediately preceding.</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260" w:type="dxa"/>
            <w:vAlign w:val="bottom"/>
          </w:tcPr>
          <w:p>
            <w:pPr>
              <w:ind w:left="6840"/>
              <w:spacing w:after="0"/>
              <w:rPr>
                <w:sz w:val="20"/>
                <w:szCs w:val="20"/>
                <w:color w:val="auto"/>
              </w:rPr>
            </w:pPr>
            <w:r>
              <w:rPr>
                <w:rFonts w:ascii="Arial" w:cs="Arial" w:eastAsia="Arial" w:hAnsi="Arial"/>
                <w:sz w:val="13"/>
                <w:szCs w:val="13"/>
                <w:b w:val="1"/>
                <w:bCs w:val="1"/>
                <w:color w:val="6D6E71"/>
              </w:rPr>
              <w:t>2026 NOTICE AND PROXY STATEMENT   |</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135</w:t>
            </w:r>
          </w:p>
        </w:tc>
      </w:tr>
      <w:tr>
        <w:trPr>
          <w:trHeight w:val="373"/>
        </w:trPr>
        <w:tc>
          <w:tcPr>
            <w:tcW w:w="10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460" w:gutter="0" w:footer="0" w:header="0"/>
        </w:sectPr>
      </w:pPr>
    </w:p>
    <w:bookmarkStart w:id="155" w:name="page156"/>
    <w:bookmarkEnd w:id="155"/>
    <w:p>
      <w:pPr>
        <w:spacing w:after="0"/>
        <w:rPr>
          <w:sz w:val="20"/>
          <w:szCs w:val="20"/>
          <w:color w:val="auto"/>
        </w:rPr>
      </w:pPr>
      <w:r>
        <w:rPr>
          <w:rFonts w:ascii="Arial" w:cs="Arial" w:eastAsia="Arial" w:hAnsi="Arial"/>
          <w:sz w:val="13"/>
          <w:szCs w:val="13"/>
          <w:b w:val="1"/>
          <w:bCs w:val="1"/>
          <w:color w:val="6D6E71"/>
        </w:rPr>
        <w:t>APPENDIX A: RECONCILIATION OF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320"/>
        <w:spacing w:after="0" w:line="265" w:lineRule="auto"/>
        <w:rPr>
          <w:sz w:val="20"/>
          <w:szCs w:val="20"/>
          <w:color w:val="auto"/>
        </w:rPr>
      </w:pPr>
      <w:r>
        <w:rPr>
          <w:rFonts w:ascii="Arial" w:cs="Arial" w:eastAsia="Arial" w:hAnsi="Arial"/>
          <w:sz w:val="16"/>
          <w:szCs w:val="16"/>
          <w:color w:val="auto"/>
        </w:rPr>
        <w:t>We calculate adjusted net income before interest by taking adjusted net income attributable to Honeywell and adjusting for items as listed above. We calculate net investment (two-point average) as the sum of the two-year averages of the balance sheet categories listed above. We calculate return on invested capital (ROIC) by dividing adjusted net income before interest by net investment (two-point average) calculations presented above. We believe ROIC is a measure that is useful to investors and management in understanding our ability to generate growth on investments made in our business.</w:t>
      </w:r>
    </w:p>
    <w:p>
      <w:pPr>
        <w:spacing w:after="0" w:line="78"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We believe ROIC should be considered in addition to, not as a substitute for, operating income or loss, net income or loss, cash flows provided by or used in operating, investing, and financing activities, or other income statement or cash flow statement line items reported in accordance with GAAP. Other companies may calculate ROIC differently than we do, which may limit its usefulness as a comparative measure.</w:t>
      </w:r>
    </w:p>
    <w:p>
      <w:pPr>
        <w:spacing w:after="0" w:line="234" w:lineRule="exact"/>
        <w:rPr>
          <w:sz w:val="20"/>
          <w:szCs w:val="20"/>
          <w:color w:val="auto"/>
        </w:rPr>
      </w:pPr>
    </w:p>
    <w:p>
      <w:pPr>
        <w:ind w:left="20"/>
        <w:spacing w:after="0"/>
        <w:tabs>
          <w:tab w:leader="none" w:pos="1860" w:val="left"/>
        </w:tabs>
        <w:rPr>
          <w:sz w:val="20"/>
          <w:szCs w:val="20"/>
          <w:color w:val="auto"/>
        </w:rPr>
      </w:pPr>
      <w:r>
        <w:rPr>
          <w:rFonts w:ascii="Arial" w:cs="Arial" w:eastAsia="Arial" w:hAnsi="Arial"/>
          <w:sz w:val="18"/>
          <w:szCs w:val="18"/>
          <w:b w:val="1"/>
          <w:bCs w:val="1"/>
          <w:color w:val="auto"/>
        </w:rPr>
        <w:t xml:space="preserve">136  </w:t>
      </w:r>
      <w:r>
        <w:rPr>
          <w:sz w:val="1"/>
          <w:szCs w:val="1"/>
          <w:color w:val="auto"/>
        </w:rPr>
        <w:drawing>
          <wp:inline distT="0" distB="0" distL="0" distR="0">
            <wp:extent cx="548640" cy="102870"/>
            <wp:effectExtent l="0" t="0" r="0" b="0"/>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2026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157720" cy="4254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30" w:right="399" w:bottom="1440" w:gutter="0" w:footer="0" w:header="0"/>
        </w:sectPr>
      </w:pPr>
    </w:p>
    <w:bookmarkStart w:id="156" w:name="page157"/>
    <w:bookmarkEnd w:id="156"/>
    <w:p>
      <w:pPr>
        <w:spacing w:after="0"/>
        <w:rPr>
          <w:sz w:val="20"/>
          <w:szCs w:val="20"/>
          <w:color w:val="auto"/>
        </w:rPr>
      </w:pPr>
      <w:r>
        <w:rPr>
          <w:rFonts w:ascii="Arial" w:cs="Arial" w:eastAsia="Arial" w:hAnsi="Arial"/>
          <w:sz w:val="45"/>
          <w:szCs w:val="45"/>
          <w:b w:val="1"/>
          <w:bCs w:val="1"/>
          <w:color w:val="auto"/>
        </w:rPr>
        <w:t>APPENDIX B:</w:t>
      </w:r>
    </w:p>
    <w:p>
      <w:pPr>
        <w:spacing w:after="0" w:line="69" w:lineRule="exact"/>
        <w:rPr>
          <w:sz w:val="20"/>
          <w:szCs w:val="20"/>
          <w:color w:val="auto"/>
        </w:rPr>
      </w:pPr>
    </w:p>
    <w:p>
      <w:pPr>
        <w:spacing w:after="0"/>
        <w:rPr>
          <w:sz w:val="20"/>
          <w:szCs w:val="20"/>
          <w:color w:val="auto"/>
        </w:rPr>
      </w:pPr>
      <w:r>
        <w:rPr>
          <w:rFonts w:ascii="Arial" w:cs="Arial" w:eastAsia="Arial" w:hAnsi="Arial"/>
          <w:sz w:val="45"/>
          <w:szCs w:val="45"/>
          <w:b w:val="1"/>
          <w:bCs w:val="1"/>
          <w:color w:val="auto"/>
        </w:rPr>
        <w:t>CERTIFICATE OF AMENDMENT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FORM OF AMENDMENT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HONEYWELL’S AMENDED AND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23430"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HONEYWELL INTERNATIONAL INC. (the “</w:t>
      </w:r>
      <w:r>
        <w:rPr>
          <w:rFonts w:ascii="Arial" w:cs="Arial" w:eastAsia="Arial" w:hAnsi="Arial"/>
          <w:sz w:val="16"/>
          <w:szCs w:val="16"/>
          <w:u w:val="single" w:color="auto"/>
          <w:color w:val="auto"/>
        </w:rPr>
        <w:t>Corporation</w:t>
      </w:r>
      <w:r>
        <w:rPr>
          <w:rFonts w:ascii="Arial" w:cs="Arial" w:eastAsia="Arial" w:hAnsi="Arial"/>
          <w:sz w:val="16"/>
          <w:szCs w:val="16"/>
          <w:color w:val="auto"/>
        </w:rPr>
        <w:t>”), a corporation organized and existing under and by virtue of the provisions of the General Corporation Law of the State of Delaware (the “</w:t>
      </w:r>
      <w:r>
        <w:rPr>
          <w:rFonts w:ascii="Arial" w:cs="Arial" w:eastAsia="Arial" w:hAnsi="Arial"/>
          <w:sz w:val="16"/>
          <w:szCs w:val="16"/>
          <w:u w:val="single" w:color="auto"/>
          <w:color w:val="auto"/>
        </w:rPr>
        <w:t>DGCL</w:t>
      </w:r>
      <w:r>
        <w:rPr>
          <w:rFonts w:ascii="Arial" w:cs="Arial" w:eastAsia="Arial" w:hAnsi="Arial"/>
          <w:sz w:val="16"/>
          <w:szCs w:val="16"/>
          <w:color w:val="auto"/>
        </w:rPr>
        <w:t>”), does hereby certify as follows:</w:t>
      </w:r>
    </w:p>
    <w:p>
      <w:pPr>
        <w:spacing w:after="0" w:line="61" w:lineRule="exact"/>
        <w:rPr>
          <w:sz w:val="20"/>
          <w:szCs w:val="20"/>
          <w:color w:val="auto"/>
        </w:rPr>
      </w:pPr>
    </w:p>
    <w:p>
      <w:pPr>
        <w:ind w:right="100" w:firstLine="648"/>
        <w:spacing w:after="0" w:line="256" w:lineRule="auto"/>
        <w:rPr>
          <w:sz w:val="20"/>
          <w:szCs w:val="20"/>
          <w:color w:val="auto"/>
        </w:rPr>
      </w:pPr>
      <w:r>
        <w:rPr>
          <w:rFonts w:ascii="Arial" w:cs="Arial" w:eastAsia="Arial" w:hAnsi="Arial"/>
          <w:sz w:val="16"/>
          <w:szCs w:val="16"/>
          <w:color w:val="auto"/>
        </w:rPr>
        <w:t>FIRST: Upon the filing and effectiveness (the “</w:t>
      </w:r>
      <w:r>
        <w:rPr>
          <w:rFonts w:ascii="Arial" w:cs="Arial" w:eastAsia="Arial" w:hAnsi="Arial"/>
          <w:sz w:val="16"/>
          <w:szCs w:val="16"/>
          <w:u w:val="single" w:color="auto"/>
          <w:color w:val="auto"/>
        </w:rPr>
        <w:t>Effective Time</w:t>
      </w:r>
      <w:r>
        <w:rPr>
          <w:rFonts w:ascii="Arial" w:cs="Arial" w:eastAsia="Arial" w:hAnsi="Arial"/>
          <w:sz w:val="16"/>
          <w:szCs w:val="16"/>
          <w:color w:val="auto"/>
        </w:rPr>
        <w:t>”) pursuant to the DGCL of this Certificate of Amendment to the Amended and Restated Certificate of Incorporation of the Corporation, each two (2) shares of the common stock, par value $1.00 per share, of the Corporation (“</w:t>
      </w:r>
      <w:r>
        <w:rPr>
          <w:rFonts w:ascii="Arial" w:cs="Arial" w:eastAsia="Arial" w:hAnsi="Arial"/>
          <w:sz w:val="16"/>
          <w:szCs w:val="16"/>
          <w:u w:val="single" w:color="auto"/>
          <w:color w:val="auto"/>
        </w:rPr>
        <w:t>Common</w:t>
      </w:r>
      <w:r>
        <w:rPr>
          <w:rFonts w:ascii="Arial" w:cs="Arial" w:eastAsia="Arial" w:hAnsi="Arial"/>
          <w:sz w:val="16"/>
          <w:szCs w:val="16"/>
          <w:color w:val="auto"/>
        </w:rPr>
        <w:t xml:space="preserve"> </w:t>
      </w:r>
      <w:r>
        <w:rPr>
          <w:rFonts w:ascii="Arial" w:cs="Arial" w:eastAsia="Arial" w:hAnsi="Arial"/>
          <w:sz w:val="16"/>
          <w:szCs w:val="16"/>
          <w:u w:val="single" w:color="auto"/>
          <w:color w:val="auto"/>
        </w:rPr>
        <w:t>Stock</w:t>
      </w:r>
      <w:r>
        <w:rPr>
          <w:rFonts w:ascii="Arial" w:cs="Arial" w:eastAsia="Arial" w:hAnsi="Arial"/>
          <w:sz w:val="16"/>
          <w:szCs w:val="16"/>
          <w:color w:val="auto"/>
        </w:rPr>
        <w:t xml:space="preserve">”) issued and outstanding immediately prior to the Effective Time shall automatically be combined into one (1) validly issued, fully paid and non-assessable share of Common Stock without any further action by the Corporation or the holder thereof, subject to the treatment of fractional share interests as described below (the “ </w:t>
      </w:r>
      <w:r>
        <w:rPr>
          <w:rFonts w:ascii="Arial" w:cs="Arial" w:eastAsia="Arial" w:hAnsi="Arial"/>
          <w:sz w:val="16"/>
          <w:szCs w:val="16"/>
          <w:u w:val="single" w:color="auto"/>
          <w:color w:val="auto"/>
        </w:rPr>
        <w:t>Reverse Stock Split</w:t>
      </w:r>
      <w:r>
        <w:rPr>
          <w:rFonts w:ascii="Arial" w:cs="Arial" w:eastAsia="Arial" w:hAnsi="Arial"/>
          <w:sz w:val="16"/>
          <w:szCs w:val="16"/>
          <w:color w:val="auto"/>
        </w:rPr>
        <w:t>”). No fractional shares shall be issued at the Effective Time and, in lieu thereof, the Corporation’s transfer agent shall aggregate all fractional shares and sell them as soon as practicable after the Effective Time at the then-prevailing prices on the open market, on behalf of those stockholders who would otherwise be entitled to receive a fractional share, and after the transfer agent’s completion of such sale, stockholders shall receive a cash payment (without interest or deduction) from the transfer agent in an amount equal to their respective pro rata shares of the total net proceeds of that sale and, where shares are held in certificated form, upon the surrender of the stockholder’s Old Certificates (as defined below). Each certificate that immediately prior to the Effective Time represented shares of Common Stock (“</w:t>
      </w:r>
      <w:r>
        <w:rPr>
          <w:rFonts w:ascii="Arial" w:cs="Arial" w:eastAsia="Arial" w:hAnsi="Arial"/>
          <w:sz w:val="16"/>
          <w:szCs w:val="16"/>
          <w:u w:val="single" w:color="auto"/>
          <w:color w:val="auto"/>
        </w:rPr>
        <w:t>Old Certificates</w:t>
      </w:r>
      <w:r>
        <w:rPr>
          <w:rFonts w:ascii="Arial" w:cs="Arial" w:eastAsia="Arial" w:hAnsi="Arial"/>
          <w:sz w:val="16"/>
          <w:szCs w:val="16"/>
          <w:color w:val="auto"/>
        </w:rPr>
        <w:t>”), shall thereafter represent that number of shares of Common Stock into which the shares of Common Stock represented by the Old Certificate shall have been combined, subject to the elimination of fractional share interests as described above.</w:t>
      </w:r>
    </w:p>
    <w:p>
      <w:pPr>
        <w:spacing w:after="0" w:line="75" w:lineRule="exact"/>
        <w:rPr>
          <w:sz w:val="20"/>
          <w:szCs w:val="20"/>
          <w:color w:val="auto"/>
        </w:rPr>
      </w:pPr>
    </w:p>
    <w:p>
      <w:pPr>
        <w:ind w:right="420" w:firstLine="648"/>
        <w:spacing w:after="0" w:line="304" w:lineRule="auto"/>
        <w:rPr>
          <w:sz w:val="20"/>
          <w:szCs w:val="20"/>
          <w:color w:val="auto"/>
        </w:rPr>
      </w:pPr>
      <w:r>
        <w:rPr>
          <w:rFonts w:ascii="Arial" w:cs="Arial" w:eastAsia="Arial" w:hAnsi="Arial"/>
          <w:sz w:val="16"/>
          <w:szCs w:val="16"/>
          <w:color w:val="auto"/>
        </w:rPr>
        <w:t>SECOND: Upon the Effective Time, the FOURTH paragraph of the Corporation’s Amended and Restated Certificate of Incorporation is hereby amended to read in its entirety as set forth below:</w:t>
      </w:r>
    </w:p>
    <w:p>
      <w:pPr>
        <w:spacing w:after="0" w:line="33" w:lineRule="exact"/>
        <w:rPr>
          <w:sz w:val="20"/>
          <w:szCs w:val="20"/>
          <w:color w:val="auto"/>
        </w:rPr>
      </w:pPr>
    </w:p>
    <w:p>
      <w:pPr>
        <w:ind w:left="660" w:right="280" w:firstLine="648"/>
        <w:spacing w:after="0" w:line="275" w:lineRule="auto"/>
        <w:rPr>
          <w:sz w:val="20"/>
          <w:szCs w:val="20"/>
          <w:color w:val="auto"/>
        </w:rPr>
      </w:pPr>
      <w:r>
        <w:rPr>
          <w:rFonts w:ascii="Arial" w:cs="Arial" w:eastAsia="Arial" w:hAnsi="Arial"/>
          <w:sz w:val="16"/>
          <w:szCs w:val="16"/>
          <w:color w:val="auto"/>
        </w:rPr>
        <w:t>FOURTH: The total number of shares of stock which the corporation shall have authority to issue is 1,040,000,000 shares of which 1,000,000,000 shares shall be Common Stock, par value $1.00 per share (“Common Shares”), and 40,000,000 shares shall be Preferred Stock, without par value (“Preferred Stock”).</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THIRD: This Certificate of Amendment shall become effective as of [ ] at [ ] [a.m./p.m.].</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FOURTH: This Certificate of Amendment was duly adopted in accordance with Section 242 of the DGCL.</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260" w:type="dxa"/>
            <w:vAlign w:val="bottom"/>
          </w:tcPr>
          <w:p>
            <w:pPr>
              <w:ind w:left="6840"/>
              <w:spacing w:after="0"/>
              <w:rPr>
                <w:sz w:val="20"/>
                <w:szCs w:val="20"/>
                <w:color w:val="auto"/>
              </w:rPr>
            </w:pPr>
            <w:r>
              <w:rPr>
                <w:rFonts w:ascii="Arial" w:cs="Arial" w:eastAsia="Arial" w:hAnsi="Arial"/>
                <w:sz w:val="13"/>
                <w:szCs w:val="13"/>
                <w:b w:val="1"/>
                <w:bCs w:val="1"/>
                <w:color w:val="6D6E71"/>
              </w:rPr>
              <w:t>2026 NOTICE AND PROXY STATEMENT   |</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137</w:t>
            </w:r>
          </w:p>
        </w:tc>
      </w:tr>
      <w:tr>
        <w:trPr>
          <w:trHeight w:val="373"/>
        </w:trPr>
        <w:tc>
          <w:tcPr>
            <w:tcW w:w="10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1293" w:right="339" w:bottom="1440" w:gutter="0" w:footer="0" w:header="0"/>
        </w:sectPr>
      </w:pPr>
    </w:p>
    <w:bookmarkStart w:id="157" w:name="page158"/>
    <w:bookmarkEnd w:id="157"/>
    <w:p>
      <w:pPr>
        <w:spacing w:after="0"/>
        <w:rPr>
          <w:sz w:val="20"/>
          <w:szCs w:val="20"/>
          <w:color w:val="auto"/>
        </w:rPr>
      </w:pPr>
      <w:r>
        <w:rPr>
          <w:rFonts w:ascii="Arial" w:cs="Arial" w:eastAsia="Arial" w:hAnsi="Arial"/>
          <w:sz w:val="45"/>
          <w:szCs w:val="45"/>
          <w:b w:val="1"/>
          <w:bCs w:val="1"/>
          <w:color w:val="auto"/>
        </w:rPr>
        <w:t>RECENT AWARDS</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D7282F"/>
        </w:rPr>
        <w:t>CORPORATE REPUTATION</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America’s Best Employers by State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Forbes, 2024. 2025.</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UK’s Best Employers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Financial Times, 2025.</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Global 500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Fortune, 1994-2025.</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America’s Greatest Workplaces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Newsweek, 2025.</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World’s Most Trustworthy Companies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Newsweek, 2023-2025.</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Global 2000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Forbes, 2024. 2025.</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Best Employers for Tech Workers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Forbes, 2024. 2025.</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America’s Most Admired Companies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Newsweek, 2024-2026.</w:t>
      </w:r>
    </w:p>
    <w:p>
      <w:pPr>
        <w:spacing w:after="0" w:line="138" w:lineRule="exact"/>
        <w:rPr>
          <w:sz w:val="20"/>
          <w:szCs w:val="20"/>
          <w:color w:val="auto"/>
        </w:rPr>
      </w:pPr>
    </w:p>
    <w:p>
      <w:pPr>
        <w:ind w:right="2120"/>
        <w:spacing w:after="0" w:line="304" w:lineRule="auto"/>
        <w:rPr>
          <w:sz w:val="20"/>
          <w:szCs w:val="20"/>
          <w:color w:val="auto"/>
        </w:rPr>
      </w:pPr>
      <w:r>
        <w:rPr>
          <w:rFonts w:ascii="Arial" w:cs="Arial" w:eastAsia="Arial" w:hAnsi="Arial"/>
          <w:sz w:val="16"/>
          <w:szCs w:val="16"/>
          <w:b w:val="1"/>
          <w:bCs w:val="1"/>
          <w:color w:val="auto"/>
        </w:rPr>
        <w:t xml:space="preserve">America’s Most Trustworthy Companies </w:t>
      </w:r>
      <w:r>
        <w:rPr>
          <w:rFonts w:ascii="Arial" w:cs="Arial" w:eastAsia="Arial" w:hAnsi="Arial"/>
          <w:sz w:val="16"/>
          <w:szCs w:val="16"/>
          <w:color w:val="auto"/>
        </w:rPr>
        <w:t>Newsweek, 2022-2025.</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World’s Most Admired Companies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Fortune, 2006-2026.</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World’s Best Employers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Forbes, 2023-2025.</w:t>
      </w:r>
    </w:p>
    <w:p>
      <w:pPr>
        <w:spacing w:after="0" w:line="138" w:lineRule="exact"/>
        <w:rPr>
          <w:sz w:val="20"/>
          <w:szCs w:val="20"/>
          <w:color w:val="auto"/>
        </w:rPr>
      </w:pPr>
    </w:p>
    <w:p>
      <w:pPr>
        <w:ind w:right="1940"/>
        <w:spacing w:after="0" w:line="286" w:lineRule="auto"/>
        <w:rPr>
          <w:sz w:val="20"/>
          <w:szCs w:val="20"/>
          <w:color w:val="auto"/>
        </w:rPr>
      </w:pPr>
      <w:r>
        <w:rPr>
          <w:rFonts w:ascii="Arial" w:cs="Arial" w:eastAsia="Arial" w:hAnsi="Arial"/>
          <w:sz w:val="16"/>
          <w:szCs w:val="16"/>
          <w:b w:val="1"/>
          <w:bCs w:val="1"/>
          <w:color w:val="auto"/>
        </w:rPr>
        <w:t xml:space="preserve">Top Companies – U.S., France and Mexico </w:t>
      </w:r>
      <w:r>
        <w:rPr>
          <w:rFonts w:ascii="Arial" w:cs="Arial" w:eastAsia="Arial" w:hAnsi="Arial"/>
          <w:sz w:val="16"/>
          <w:szCs w:val="16"/>
          <w:color w:val="auto"/>
        </w:rPr>
        <w:t>LinkedIn, 2024. 2025.</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World’s Top Companies for Women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Forbes, 2024. 2025.</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America’s Best Large Employer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Forbes, 2024-2026.</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America’s Dream Employers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Forbes, 2026.</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Most Trusted Brands in the U.S.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Newsweek, 2024. 2025.</w:t>
      </w:r>
    </w:p>
    <w:p>
      <w:pPr>
        <w:spacing w:after="0" w:line="138" w:lineRule="exact"/>
        <w:rPr>
          <w:sz w:val="20"/>
          <w:szCs w:val="20"/>
          <w:color w:val="auto"/>
        </w:rPr>
      </w:pPr>
    </w:p>
    <w:p>
      <w:pPr>
        <w:ind w:right="860"/>
        <w:spacing w:after="0" w:line="265" w:lineRule="auto"/>
        <w:rPr>
          <w:sz w:val="20"/>
          <w:szCs w:val="20"/>
          <w:color w:val="auto"/>
        </w:rPr>
      </w:pPr>
      <w:r>
        <w:rPr>
          <w:rFonts w:ascii="Arial" w:cs="Arial" w:eastAsia="Arial" w:hAnsi="Arial"/>
          <w:sz w:val="16"/>
          <w:szCs w:val="16"/>
          <w:b w:val="1"/>
          <w:bCs w:val="1"/>
          <w:color w:val="auto"/>
        </w:rPr>
        <w:t>America’s Greatest Workplaces for Culture, Belonging &amp; Community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Newsweek, 2026.</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America’s Best Employers for Women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Forbes, 2024. 2025.</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D7282F"/>
        </w:rPr>
        <w:t>LEADERSHIP</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 Top 250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Wall Street Journal, 2024. 2025.</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Best Companies for Future Leaders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TIME, 2025.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Top 20 General Counsel, Anne Madden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Financial Times, 2025.</w:t>
      </w:r>
    </w:p>
    <w:p>
      <w:pPr>
        <w:spacing w:after="0" w:line="138" w:lineRule="exact"/>
        <w:rPr>
          <w:sz w:val="20"/>
          <w:szCs w:val="20"/>
          <w:color w:val="auto"/>
        </w:rPr>
      </w:pPr>
    </w:p>
    <w:p>
      <w:pPr>
        <w:ind w:right="1500"/>
        <w:spacing w:after="0" w:line="286" w:lineRule="auto"/>
        <w:rPr>
          <w:sz w:val="20"/>
          <w:szCs w:val="20"/>
          <w:color w:val="auto"/>
        </w:rPr>
      </w:pPr>
      <w:r>
        <w:rPr>
          <w:rFonts w:ascii="Arial" w:cs="Arial" w:eastAsia="Arial" w:hAnsi="Arial"/>
          <w:sz w:val="16"/>
          <w:szCs w:val="16"/>
          <w:b w:val="1"/>
          <w:bCs w:val="1"/>
          <w:color w:val="auto"/>
        </w:rPr>
        <w:t xml:space="preserve">20 Most Innovative In-House Legal Teams </w:t>
      </w:r>
      <w:r>
        <w:rPr>
          <w:rFonts w:ascii="Arial" w:cs="Arial" w:eastAsia="Arial" w:hAnsi="Arial"/>
          <w:sz w:val="16"/>
          <w:szCs w:val="16"/>
          <w:color w:val="auto"/>
        </w:rPr>
        <w:t>Financial Times, 2025.</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Employer Support Freedom Award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 Secretary of Defense, 2025.</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Best Companies to Work for Internships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 News, 2025.</w:t>
      </w:r>
    </w:p>
    <w:p>
      <w:pPr>
        <w:spacing w:after="0" w:line="138"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b w:val="1"/>
          <w:bCs w:val="1"/>
          <w:color w:val="auto"/>
        </w:rPr>
        <w:t xml:space="preserve">America’s Greatest Places to Work for Parents and Families </w:t>
      </w:r>
      <w:r>
        <w:rPr>
          <w:rFonts w:ascii="Arial" w:cs="Arial" w:eastAsia="Arial" w:hAnsi="Arial"/>
          <w:sz w:val="16"/>
          <w:szCs w:val="16"/>
          <w:color w:val="auto"/>
        </w:rPr>
        <w:t>Newsweek, 2025.</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Top 100 Corporate Startup Stars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Mind the Bridge, 2025.</w:t>
      </w:r>
    </w:p>
    <w:p>
      <w:pPr>
        <w:spacing w:after="0" w:line="138" w:lineRule="exact"/>
        <w:rPr>
          <w:sz w:val="20"/>
          <w:szCs w:val="20"/>
          <w:color w:val="auto"/>
        </w:rPr>
      </w:pPr>
    </w:p>
    <w:p>
      <w:pPr>
        <w:spacing w:after="0" w:line="304" w:lineRule="auto"/>
        <w:rPr>
          <w:sz w:val="20"/>
          <w:szCs w:val="20"/>
          <w:color w:val="auto"/>
        </w:rPr>
      </w:pPr>
      <w:r>
        <w:rPr>
          <w:rFonts w:ascii="Arial" w:cs="Arial" w:eastAsia="Arial" w:hAnsi="Arial"/>
          <w:sz w:val="16"/>
          <w:szCs w:val="16"/>
          <w:b w:val="1"/>
          <w:bCs w:val="1"/>
          <w:color w:val="auto"/>
        </w:rPr>
        <w:t xml:space="preserve">America’s Greatest Places to Work for Hispanics and Latinos </w:t>
      </w:r>
      <w:r>
        <w:rPr>
          <w:rFonts w:ascii="Arial" w:cs="Arial" w:eastAsia="Arial" w:hAnsi="Arial"/>
          <w:sz w:val="16"/>
          <w:szCs w:val="16"/>
          <w:color w:val="auto"/>
        </w:rPr>
        <w:t>Newsweek, 2025.</w:t>
      </w:r>
    </w:p>
    <w:p>
      <w:pPr>
        <w:spacing w:after="0" w:line="74" w:lineRule="exact"/>
        <w:rPr>
          <w:sz w:val="20"/>
          <w:szCs w:val="20"/>
          <w:color w:val="auto"/>
        </w:rPr>
      </w:pPr>
    </w:p>
    <w:p>
      <w:pPr>
        <w:ind w:right="1040"/>
        <w:spacing w:after="0" w:line="286" w:lineRule="auto"/>
        <w:rPr>
          <w:sz w:val="20"/>
          <w:szCs w:val="20"/>
          <w:color w:val="auto"/>
        </w:rPr>
      </w:pPr>
      <w:r>
        <w:rPr>
          <w:rFonts w:ascii="Arial" w:cs="Arial" w:eastAsia="Arial" w:hAnsi="Arial"/>
          <w:sz w:val="16"/>
          <w:szCs w:val="16"/>
          <w:b w:val="1"/>
          <w:bCs w:val="1"/>
          <w:color w:val="auto"/>
        </w:rPr>
        <w:t xml:space="preserve">America’s Greatest Places to Work for Veterans </w:t>
      </w:r>
      <w:r>
        <w:rPr>
          <w:rFonts w:ascii="Arial" w:cs="Arial" w:eastAsia="Arial" w:hAnsi="Arial"/>
          <w:sz w:val="16"/>
          <w:szCs w:val="16"/>
          <w:color w:val="auto"/>
        </w:rPr>
        <w:t>Newsweek, 2024-2026.</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color w:val="D7282F"/>
        </w:rPr>
        <w:t>TECHNOLOGY</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AIQ 50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Fortune, 2025.</w:t>
      </w:r>
    </w:p>
    <w:p>
      <w:pPr>
        <w:spacing w:after="0" w:line="138" w:lineRule="exact"/>
        <w:rPr>
          <w:sz w:val="20"/>
          <w:szCs w:val="20"/>
          <w:color w:val="auto"/>
        </w:rPr>
      </w:pPr>
    </w:p>
    <w:p>
      <w:pPr>
        <w:ind w:right="1500"/>
        <w:spacing w:after="0" w:line="304" w:lineRule="auto"/>
        <w:rPr>
          <w:sz w:val="20"/>
          <w:szCs w:val="20"/>
          <w:color w:val="auto"/>
        </w:rPr>
      </w:pPr>
      <w:r>
        <w:rPr>
          <w:rFonts w:ascii="Arial" w:cs="Arial" w:eastAsia="Arial" w:hAnsi="Arial"/>
          <w:sz w:val="16"/>
          <w:szCs w:val="16"/>
          <w:b w:val="1"/>
          <w:bCs w:val="1"/>
          <w:color w:val="auto"/>
        </w:rPr>
        <w:t xml:space="preserve">America’s Best Cybersecurity Companies </w:t>
      </w:r>
      <w:r>
        <w:rPr>
          <w:rFonts w:ascii="Arial" w:cs="Arial" w:eastAsia="Arial" w:hAnsi="Arial"/>
          <w:sz w:val="16"/>
          <w:szCs w:val="16"/>
          <w:color w:val="auto"/>
        </w:rPr>
        <w:t>Newsweek, 2025.</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Top 100 Global Innovators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Clarivate, 2012-2025.</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America’s Most Innovative Companies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Fortune, 2025.</w:t>
      </w: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b w:val="1"/>
          <w:bCs w:val="1"/>
          <w:color w:val="D7282F"/>
        </w:rPr>
        <w:t>CORPORATE RESPONSIBILITY</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World’s Greenest Companies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Newsweek, 2025.</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America’s Climate Leaders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USA Today, 2025.</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America’s Most Just Companies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JUST Capital, 2025.</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America’s Most Responsible Companies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Newsweek, 2025. 2026.</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World's Most Ethical Companies </w:t>
      </w:r>
      <w:r>
        <w:rPr>
          <w:rFonts w:ascii="Arial" w:cs="Arial" w:eastAsia="Arial" w:hAnsi="Arial"/>
          <w:sz w:val="16"/>
          <w:szCs w:val="16"/>
          <w:color w:val="auto"/>
        </w:rPr>
        <w:t>Ethisphere Institute,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1748155</wp:posOffset>
            </wp:positionV>
            <wp:extent cx="7157720" cy="4254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00" w:space="720"/>
            <w:col w:w="4700"/>
          </w:cols>
          <w:pgMar w:left="320" w:top="1293" w:right="959" w:bottom="1440" w:gutter="0" w:footer="0" w:header="0"/>
        </w:sectPr>
      </w:pPr>
    </w:p>
    <w:bookmarkStart w:id="158" w:name="page159"/>
    <w:bookmarkEnd w:id="1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380365</wp:posOffset>
            </wp:positionV>
            <wp:extent cx="7157720" cy="900557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157720" cy="9005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380365</wp:posOffset>
            </wp:positionV>
            <wp:extent cx="7157720" cy="894524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157720" cy="8945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380365</wp:posOffset>
            </wp:positionV>
            <wp:extent cx="7157720" cy="894524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157720" cy="8945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380365</wp:posOffset>
            </wp:positionV>
            <wp:extent cx="7157720" cy="89369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157720" cy="89369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380365</wp:posOffset>
            </wp:positionV>
            <wp:extent cx="7157720" cy="89369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157720" cy="89369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380365</wp:posOffset>
            </wp:positionV>
            <wp:extent cx="6789420" cy="877824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clrChange>
                        <a:clrFrom>
                          <a:srgbClr val="FFFFFF"/>
                        </a:clrFrom>
                        <a:clrTo>
                          <a:srgbClr val="FFFFFF">
                            <a:alpha val="0"/>
                          </a:srgbClr>
                        </a:clrTo>
                      </a:clrChange>
                      <a:extLst>
                        <a:ext uri="{28A0092B-C50C-407E-A947-70E740481C1C}"/>
                      </a:extLst>
                    </a:blip>
                    <a:srcRect/>
                    <a:stretch>
                      <a:fillRect/>
                    </a:stretch>
                  </pic:blipFill>
                  <pic:spPr bwMode="auto">
                    <a:xfrm>
                      <a:off x="0" y="0"/>
                      <a:ext cx="6789420" cy="87782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AA7B75C"/>
    <w:multiLevelType w:val="hybridMultilevel"/>
    <w:lvl w:ilvl="0">
      <w:lvlJc w:val="left"/>
      <w:lvlText w:val="☐"/>
      <w:numFmt w:val="bullet"/>
      <w:start w:val="1"/>
    </w:lvl>
  </w:abstractNum>
  <w:abstractNum w:abstractNumId="1">
    <w:nsid w:val="1DF029D3"/>
    <w:multiLevelType w:val="hybridMultilevel"/>
    <w:lvl w:ilvl="0">
      <w:lvlJc w:val="left"/>
      <w:lvlText w:val="☒"/>
      <w:numFmt w:val="bullet"/>
      <w:start w:val="1"/>
    </w:lvl>
  </w:abstractNum>
  <w:abstractNum w:abstractNumId="2">
    <w:nsid w:val="5675FF36"/>
    <w:multiLevelType w:val="hybridMultilevel"/>
    <w:lvl w:ilvl="0">
      <w:lvlJc w:val="left"/>
      <w:lvlText w:val="☐"/>
      <w:numFmt w:val="bullet"/>
      <w:start w:val="1"/>
    </w:lvl>
  </w:abstractNum>
  <w:abstractNum w:abstractNumId="3">
    <w:nsid w:val="3DD15094"/>
    <w:multiLevelType w:val="hybridMultilevel"/>
    <w:lvl w:ilvl="0">
      <w:lvlJc w:val="left"/>
      <w:lvlText w:val="☒"/>
      <w:numFmt w:val="bullet"/>
      <w:start w:val="1"/>
    </w:lvl>
  </w:abstractNum>
  <w:abstractNum w:abstractNumId="4">
    <w:nsid w:val="3DB012B3"/>
    <w:multiLevelType w:val="hybridMultilevel"/>
    <w:lvl w:ilvl="0">
      <w:lvlJc w:val="left"/>
      <w:lvlText w:val="☐"/>
      <w:numFmt w:val="bullet"/>
      <w:start w:val="1"/>
    </w:lvl>
  </w:abstractNum>
  <w:abstractNum w:abstractNumId="5">
    <w:nsid w:val="2708C9AF"/>
    <w:multiLevelType w:val="hybridMultilevel"/>
    <w:lvl w:ilvl="0">
      <w:lvlJc w:val="left"/>
      <w:lvlText w:val="•"/>
      <w:numFmt w:val="bullet"/>
      <w:start w:val="1"/>
    </w:lvl>
  </w:abstractNum>
  <w:abstractNum w:abstractNumId="6">
    <w:nsid w:val="5B25ACE2"/>
    <w:multiLevelType w:val="hybridMultilevel"/>
    <w:lvl w:ilvl="0">
      <w:lvlJc w:val="left"/>
      <w:lvlText w:val="•"/>
      <w:numFmt w:val="bullet"/>
      <w:start w:val="1"/>
    </w:lvl>
  </w:abstractNum>
  <w:abstractNum w:abstractNumId="7">
    <w:nsid w:val="175DFCF0"/>
    <w:multiLevelType w:val="hybridMultilevel"/>
    <w:lvl w:ilvl="0">
      <w:lvlJc w:val="left"/>
      <w:lvlText w:val="*"/>
      <w:numFmt w:val="bullet"/>
      <w:start w:val="1"/>
    </w:lvl>
  </w:abstractNum>
  <w:abstractNum w:abstractNumId="8">
    <w:nsid w:val="4F97E3E4"/>
    <w:multiLevelType w:val="hybridMultilevel"/>
    <w:lvl w:ilvl="0">
      <w:lvlJc w:val="left"/>
      <w:lvlText w:val="(%1)"/>
      <w:numFmt w:val="decimal"/>
      <w:start w:val="1"/>
    </w:lvl>
  </w:abstractNum>
  <w:abstractNum w:abstractNumId="9">
    <w:nsid w:val="53B0A9E"/>
    <w:multiLevelType w:val="hybridMultilevel"/>
    <w:lvl w:ilvl="0">
      <w:lvlJc w:val="left"/>
      <w:lvlText w:val="*"/>
      <w:numFmt w:val="bullet"/>
      <w:start w:val="1"/>
    </w:lvl>
  </w:abstractNum>
  <w:abstractNum w:abstractNumId="10">
    <w:nsid w:val="34FD6B4F"/>
    <w:multiLevelType w:val="hybridMultilevel"/>
    <w:lvl w:ilvl="0">
      <w:lvlJc w:val="left"/>
      <w:lvlText w:val="•"/>
      <w:numFmt w:val="bullet"/>
      <w:start w:val="1"/>
    </w:lvl>
  </w:abstractNum>
  <w:abstractNum w:abstractNumId="11">
    <w:nsid w:val="5915FF32"/>
    <w:multiLevelType w:val="hybridMultilevel"/>
    <w:lvl w:ilvl="0">
      <w:lvlJc w:val="left"/>
      <w:lvlText w:val="•"/>
      <w:numFmt w:val="bullet"/>
      <w:start w:val="1"/>
    </w:lvl>
  </w:abstractNum>
  <w:abstractNum w:abstractNumId="12">
    <w:nsid w:val="56438D15"/>
    <w:multiLevelType w:val="hybridMultilevel"/>
    <w:lvl w:ilvl="0">
      <w:lvlJc w:val="left"/>
      <w:lvlText w:val="•"/>
      <w:numFmt w:val="bullet"/>
      <w:start w:val="1"/>
    </w:lvl>
  </w:abstractNum>
  <w:abstractNum w:abstractNumId="13">
    <w:nsid w:val="519E3149"/>
    <w:multiLevelType w:val="hybridMultilevel"/>
    <w:lvl w:ilvl="0">
      <w:lvlJc w:val="left"/>
      <w:lvlText w:val="•"/>
      <w:numFmt w:val="bullet"/>
      <w:start w:val="1"/>
    </w:lvl>
  </w:abstractNum>
  <w:abstractNum w:abstractNumId="14">
    <w:nsid w:val="2C6E4AFD"/>
    <w:multiLevelType w:val="hybridMultilevel"/>
    <w:lvl w:ilvl="0">
      <w:lvlJc w:val="left"/>
      <w:lvlText w:val="*"/>
      <w:numFmt w:val="bullet"/>
      <w:start w:val="1"/>
    </w:lvl>
  </w:abstractNum>
  <w:abstractNum w:abstractNumId="15">
    <w:nsid w:val="17A1B582"/>
    <w:multiLevelType w:val="hybridMultilevel"/>
    <w:lvl w:ilvl="0">
      <w:lvlJc w:val="left"/>
      <w:lvlText w:val="(%1)"/>
      <w:numFmt w:val="decimal"/>
      <w:start w:val="1"/>
    </w:lvl>
  </w:abstractNum>
  <w:abstractNum w:abstractNumId="16">
    <w:nsid w:val="4DF72E4E"/>
    <w:multiLevelType w:val="hybridMultilevel"/>
    <w:lvl w:ilvl="0">
      <w:lvlJc w:val="left"/>
      <w:lvlText w:val="•"/>
      <w:numFmt w:val="bullet"/>
      <w:start w:val="1"/>
    </w:lvl>
  </w:abstractNum>
  <w:abstractNum w:abstractNumId="17">
    <w:nsid w:val="5046B5A9"/>
    <w:multiLevelType w:val="hybridMultilevel"/>
    <w:lvl w:ilvl="0">
      <w:lvlJc w:val="left"/>
      <w:lvlText w:val="(%1)"/>
      <w:numFmt w:val="decimal"/>
      <w:start w:val="1"/>
    </w:lvl>
  </w:abstractNum>
  <w:abstractNum w:abstractNumId="18">
    <w:nsid w:val="5D888A08"/>
    <w:multiLevelType w:val="hybridMultilevel"/>
    <w:lvl w:ilvl="0">
      <w:lvlJc w:val="left"/>
      <w:lvlText w:val="(%1)"/>
      <w:numFmt w:val="decimal"/>
      <w:start w:val="1"/>
    </w:lvl>
  </w:abstractNum>
  <w:abstractNum w:abstractNumId="19">
    <w:nsid w:val="2A082C70"/>
    <w:multiLevelType w:val="hybridMultilevel"/>
    <w:lvl w:ilvl="0">
      <w:lvlJc w:val="left"/>
      <w:lvlText w:val="(%1)"/>
      <w:numFmt w:val="decimal"/>
      <w:start w:val="3"/>
    </w:lvl>
  </w:abstractNum>
  <w:abstractNum w:abstractNumId="20">
    <w:nsid w:val="5EC6AFD4"/>
    <w:multiLevelType w:val="hybridMultilevel"/>
    <w:lvl w:ilvl="0">
      <w:lvlJc w:val="left"/>
      <w:lvlText w:val="•"/>
      <w:numFmt w:val="bullet"/>
      <w:start w:val="1"/>
    </w:lvl>
  </w:abstractNum>
  <w:abstractNum w:abstractNumId="21">
    <w:nsid w:val="19E21BB2"/>
    <w:multiLevelType w:val="hybridMultilevel"/>
    <w:lvl w:ilvl="0">
      <w:lvlJc w:val="left"/>
      <w:lvlText w:val="•"/>
      <w:numFmt w:val="bullet"/>
      <w:start w:val="1"/>
    </w:lvl>
  </w:abstractNum>
  <w:abstractNum w:abstractNumId="22">
    <w:nsid w:val="75E0858A"/>
    <w:multiLevelType w:val="hybridMultilevel"/>
    <w:lvl w:ilvl="0">
      <w:lvlJc w:val="left"/>
      <w:lvlText w:val="•"/>
      <w:numFmt w:val="bullet"/>
      <w:start w:val="1"/>
    </w:lvl>
  </w:abstractNum>
  <w:abstractNum w:abstractNumId="23">
    <w:nsid w:val="57A61A29"/>
    <w:multiLevelType w:val="hybridMultilevel"/>
    <w:lvl w:ilvl="0">
      <w:lvlJc w:val="left"/>
      <w:lvlText w:val="•"/>
      <w:numFmt w:val="bullet"/>
      <w:start w:val="1"/>
    </w:lvl>
  </w:abstractNum>
  <w:abstractNum w:abstractNumId="24">
    <w:nsid w:val="5399C654"/>
    <w:multiLevelType w:val="hybridMultilevel"/>
    <w:lvl w:ilvl="0">
      <w:lvlJc w:val="left"/>
      <w:lvlText w:val="•"/>
      <w:numFmt w:val="bullet"/>
      <w:start w:val="1"/>
    </w:lvl>
  </w:abstractNum>
  <w:abstractNum w:abstractNumId="25">
    <w:nsid w:val="20EE1348"/>
    <w:multiLevelType w:val="hybridMultilevel"/>
    <w:lvl w:ilvl="0">
      <w:lvlJc w:val="left"/>
      <w:lvlText w:val="(%1)"/>
      <w:numFmt w:val="decimal"/>
      <w:start w:val="1"/>
    </w:lvl>
  </w:abstractNum>
  <w:abstractNum w:abstractNumId="26">
    <w:nsid w:val="4427069A"/>
    <w:multiLevelType w:val="hybridMultilevel"/>
    <w:lvl w:ilvl="0">
      <w:lvlJc w:val="left"/>
      <w:lvlText w:val="•"/>
      <w:numFmt w:val="bullet"/>
      <w:start w:val="1"/>
    </w:lvl>
    <w:lvl w:ilvl="1">
      <w:lvlJc w:val="left"/>
      <w:lvlText w:val="3"/>
      <w:numFmt w:val="bullet"/>
      <w:start w:val="1"/>
    </w:lvl>
  </w:abstractNum>
  <w:abstractNum w:abstractNumId="27">
    <w:nsid w:val="B37E80A"/>
    <w:multiLevelType w:val="hybridMultilevel"/>
    <w:lvl w:ilvl="0">
      <w:lvlJc w:val="left"/>
      <w:lvlText w:val="•"/>
      <w:numFmt w:val="bullet"/>
      <w:start w:val="1"/>
    </w:lvl>
    <w:lvl w:ilvl="1">
      <w:lvlJc w:val="left"/>
      <w:lvlText w:val="•"/>
      <w:numFmt w:val="bullet"/>
      <w:start w:val="1"/>
    </w:lvl>
  </w:abstractNum>
  <w:abstractNum w:abstractNumId="28">
    <w:nsid w:val="2157F6BC"/>
    <w:multiLevelType w:val="hybridMultilevel"/>
    <w:lvl w:ilvl="0">
      <w:lvlJc w:val="left"/>
      <w:lvlText w:val="5"/>
      <w:numFmt w:val="bullet"/>
      <w:start w:val="1"/>
    </w:lvl>
  </w:abstractNum>
  <w:abstractNum w:abstractNumId="29">
    <w:nsid w:val="704E1DD5"/>
    <w:multiLevelType w:val="hybridMultilevel"/>
    <w:lvl w:ilvl="0">
      <w:lvlJc w:val="left"/>
      <w:lvlText w:val="•"/>
      <w:numFmt w:val="bullet"/>
      <w:start w:val="1"/>
    </w:lvl>
  </w:abstractNum>
  <w:abstractNum w:abstractNumId="30">
    <w:nsid w:val="57D2F10E"/>
    <w:multiLevelType w:val="hybridMultilevel"/>
    <w:lvl w:ilvl="0">
      <w:lvlJc w:val="left"/>
      <w:lvlText w:val="(%1)"/>
      <w:numFmt w:val="decimal"/>
      <w:start w:val="1"/>
    </w:lvl>
  </w:abstractNum>
  <w:abstractNum w:abstractNumId="31">
    <w:nsid w:val="BFFAE18"/>
    <w:multiLevelType w:val="hybridMultilevel"/>
    <w:lvl w:ilvl="0">
      <w:lvlJc w:val="left"/>
      <w:lvlText w:val="•"/>
      <w:numFmt w:val="bullet"/>
      <w:start w:val="1"/>
    </w:lvl>
  </w:abstractNum>
  <w:abstractNum w:abstractNumId="32">
    <w:nsid w:val="E3E47A8"/>
    <w:multiLevelType w:val="hybridMultilevel"/>
    <w:lvl w:ilvl="0">
      <w:lvlJc w:val="left"/>
      <w:lvlText w:val="•"/>
      <w:numFmt w:val="bullet"/>
      <w:start w:val="1"/>
    </w:lvl>
  </w:abstractNum>
  <w:abstractNum w:abstractNumId="33">
    <w:nsid w:val="2E48F044"/>
    <w:multiLevelType w:val="hybridMultilevel"/>
    <w:lvl w:ilvl="0">
      <w:lvlJc w:val="left"/>
      <w:lvlText w:val="•"/>
      <w:numFmt w:val="bullet"/>
      <w:start w:val="1"/>
    </w:lvl>
  </w:abstractNum>
  <w:abstractNum w:abstractNumId="34">
    <w:nsid w:val="49D0FEAC"/>
    <w:multiLevelType w:val="hybridMultilevel"/>
    <w:lvl w:ilvl="0">
      <w:lvlJc w:val="left"/>
      <w:lvlText w:val="•"/>
      <w:numFmt w:val="bullet"/>
      <w:start w:val="1"/>
    </w:lvl>
    <w:lvl w:ilvl="1">
      <w:lvlJc w:val="left"/>
      <w:lvlText w:val="•"/>
      <w:numFmt w:val="bullet"/>
      <w:start w:val="1"/>
    </w:lvl>
  </w:abstractNum>
  <w:abstractNum w:abstractNumId="35">
    <w:nsid w:val="4BEE5A5B"/>
    <w:multiLevelType w:val="hybridMultilevel"/>
    <w:lvl w:ilvl="0">
      <w:lvlJc w:val="left"/>
      <w:lvlText w:val="(%1)"/>
      <w:numFmt w:val="decimal"/>
      <w:start w:val="1"/>
    </w:lvl>
  </w:abstractNum>
  <w:abstractNum w:abstractNumId="36">
    <w:nsid w:val="5551B9F3"/>
    <w:multiLevelType w:val="hybridMultilevel"/>
    <w:lvl w:ilvl="0">
      <w:lvlJc w:val="left"/>
      <w:lvlText w:val="•"/>
      <w:numFmt w:val="bullet"/>
      <w:start w:val="1"/>
    </w:lvl>
  </w:abstractNum>
  <w:abstractNum w:abstractNumId="37">
    <w:nsid w:val="24F6AB8E"/>
    <w:multiLevelType w:val="hybridMultilevel"/>
    <w:lvl w:ilvl="0">
      <w:lvlJc w:val="left"/>
      <w:lvlText w:val="•"/>
      <w:numFmt w:val="bullet"/>
      <w:start w:val="1"/>
    </w:lvl>
  </w:abstractNum>
  <w:abstractNum w:abstractNumId="38">
    <w:nsid w:val="634C574C"/>
    <w:multiLevelType w:val="hybridMultilevel"/>
    <w:lvl w:ilvl="0">
      <w:lvlJc w:val="left"/>
      <w:lvlText w:val="•"/>
      <w:numFmt w:val="bullet"/>
      <w:start w:val="1"/>
    </w:lvl>
  </w:abstractNum>
  <w:abstractNum w:abstractNumId="39">
    <w:nsid w:val="24E99DD7"/>
    <w:multiLevelType w:val="hybridMultilevel"/>
    <w:lvl w:ilvl="0">
      <w:lvlJc w:val="left"/>
      <w:lvlText w:val="•"/>
      <w:numFmt w:val="bullet"/>
      <w:start w:val="1"/>
    </w:lvl>
    <w:lvl w:ilvl="1">
      <w:lvlJc w:val="left"/>
      <w:lvlText w:val="•"/>
      <w:numFmt w:val="bullet"/>
      <w:start w:val="1"/>
    </w:lvl>
  </w:abstractNum>
  <w:abstractNum w:abstractNumId="40">
    <w:nsid w:val="2A31B62D"/>
    <w:multiLevelType w:val="hybridMultilevel"/>
    <w:lvl w:ilvl="0">
      <w:lvlJc w:val="left"/>
      <w:lvlText w:val="•"/>
      <w:numFmt w:val="bullet"/>
      <w:start w:val="1"/>
    </w:lvl>
  </w:abstractNum>
  <w:abstractNum w:abstractNumId="41">
    <w:nsid w:val="1849C29B"/>
    <w:multiLevelType w:val="hybridMultilevel"/>
    <w:lvl w:ilvl="0">
      <w:lvlJc w:val="left"/>
      <w:lvlText w:val="•"/>
      <w:numFmt w:val="bullet"/>
      <w:start w:val="1"/>
    </w:lvl>
  </w:abstractNum>
  <w:abstractNum w:abstractNumId="42">
    <w:nsid w:val="7DFF9D09"/>
    <w:multiLevelType w:val="hybridMultilevel"/>
    <w:lvl w:ilvl="0">
      <w:lvlJc w:val="left"/>
      <w:lvlText w:val="•"/>
      <w:numFmt w:val="bullet"/>
      <w:start w:val="1"/>
    </w:lvl>
  </w:abstractNum>
  <w:abstractNum w:abstractNumId="43">
    <w:nsid w:val="754342"/>
    <w:multiLevelType w:val="hybridMultilevel"/>
    <w:lvl w:ilvl="0">
      <w:lvlJc w:val="left"/>
      <w:lvlText w:val="•"/>
      <w:numFmt w:val="bullet"/>
      <w:start w:val="1"/>
    </w:lvl>
    <w:lvl w:ilvl="1">
      <w:lvlJc w:val="left"/>
      <w:lvlText w:val="•"/>
      <w:numFmt w:val="bullet"/>
      <w:start w:val="1"/>
    </w:lvl>
  </w:abstractNum>
  <w:abstractNum w:abstractNumId="44">
    <w:nsid w:val="69E7F3E5"/>
    <w:multiLevelType w:val="hybridMultilevel"/>
    <w:lvl w:ilvl="0">
      <w:lvlJc w:val="left"/>
      <w:lvlText w:val="•"/>
      <w:numFmt w:val="bullet"/>
      <w:start w:val="1"/>
    </w:lvl>
  </w:abstractNum>
  <w:abstractNum w:abstractNumId="45">
    <w:nsid w:val="2A6DE806"/>
    <w:multiLevelType w:val="hybridMultilevel"/>
    <w:lvl w:ilvl="0">
      <w:lvlJc w:val="left"/>
      <w:lvlText w:val="•"/>
      <w:numFmt w:val="bullet"/>
      <w:start w:val="1"/>
    </w:lvl>
  </w:abstractNum>
  <w:abstractNum w:abstractNumId="46">
    <w:nsid w:val="1816F8C4"/>
    <w:multiLevelType w:val="hybridMultilevel"/>
    <w:lvl w:ilvl="0">
      <w:lvlJc w:val="left"/>
      <w:lvlText w:val="•"/>
      <w:numFmt w:val="bullet"/>
      <w:start w:val="1"/>
    </w:lvl>
  </w:abstractNum>
  <w:abstractNum w:abstractNumId="47">
    <w:nsid w:val="37DF2233"/>
    <w:multiLevelType w:val="hybridMultilevel"/>
    <w:lvl w:ilvl="0">
      <w:lvlJc w:val="left"/>
      <w:lvlText w:val="•"/>
      <w:numFmt w:val="bullet"/>
      <w:start w:val="1"/>
    </w:lvl>
    <w:lvl w:ilvl="1">
      <w:lvlJc w:val="left"/>
      <w:lvlText w:val="•"/>
      <w:numFmt w:val="bullet"/>
      <w:start w:val="1"/>
    </w:lvl>
  </w:abstractNum>
  <w:abstractNum w:abstractNumId="48">
    <w:nsid w:val="7AB49DAF"/>
    <w:multiLevelType w:val="hybridMultilevel"/>
    <w:lvl w:ilvl="0">
      <w:lvlJc w:val="left"/>
      <w:lvlText w:val="(%1)"/>
      <w:numFmt w:val="decimal"/>
      <w:start w:val="1"/>
    </w:lvl>
  </w:abstractNum>
  <w:abstractNum w:abstractNumId="49">
    <w:nsid w:val="759F82CD"/>
    <w:multiLevelType w:val="hybridMultilevel"/>
    <w:lvl w:ilvl="0">
      <w:lvlJc w:val="left"/>
      <w:lvlText w:val="•"/>
      <w:numFmt w:val="bullet"/>
      <w:start w:val="1"/>
    </w:lvl>
  </w:abstractNum>
  <w:abstractNum w:abstractNumId="50">
    <w:nsid w:val="61E74EA3"/>
    <w:multiLevelType w:val="hybridMultilevel"/>
    <w:lvl w:ilvl="0">
      <w:lvlJc w:val="left"/>
      <w:lvlText w:val="•"/>
      <w:numFmt w:val="bullet"/>
      <w:start w:val="1"/>
    </w:lvl>
  </w:abstractNum>
  <w:abstractNum w:abstractNumId="51">
    <w:nsid w:val="597B4D84"/>
    <w:multiLevelType w:val="hybridMultilevel"/>
    <w:lvl w:ilvl="0">
      <w:lvlJc w:val="left"/>
      <w:lvlText w:val="•"/>
      <w:numFmt w:val="bullet"/>
      <w:start w:val="1"/>
    </w:lvl>
  </w:abstractNum>
  <w:abstractNum w:abstractNumId="52">
    <w:nsid w:val="F819E7F"/>
    <w:multiLevelType w:val="hybridMultilevel"/>
    <w:lvl w:ilvl="0">
      <w:lvlJc w:val="left"/>
      <w:lvlText w:val="•"/>
      <w:numFmt w:val="bullet"/>
      <w:start w:val="1"/>
    </w:lvl>
    <w:lvl w:ilvl="1">
      <w:lvlJc w:val="left"/>
      <w:lvlText w:val="•"/>
      <w:numFmt w:val="bullet"/>
      <w:start w:val="1"/>
    </w:lvl>
  </w:abstractNum>
  <w:abstractNum w:abstractNumId="53">
    <w:nsid w:val="57C7D42D"/>
    <w:multiLevelType w:val="hybridMultilevel"/>
    <w:lvl w:ilvl="0">
      <w:lvlJc w:val="left"/>
      <w:lvlText w:val="•"/>
      <w:numFmt w:val="bullet"/>
      <w:start w:val="1"/>
    </w:lvl>
  </w:abstractNum>
  <w:abstractNum w:abstractNumId="54">
    <w:nsid w:val="312167AD"/>
    <w:multiLevelType w:val="hybridMultilevel"/>
    <w:lvl w:ilvl="0">
      <w:lvlJc w:val="left"/>
      <w:lvlText w:val="•"/>
      <w:numFmt w:val="bullet"/>
      <w:start w:val="1"/>
    </w:lvl>
  </w:abstractNum>
  <w:abstractNum w:abstractNumId="55">
    <w:nsid w:val="631B64D4"/>
    <w:multiLevelType w:val="hybridMultilevel"/>
    <w:lvl w:ilvl="0">
      <w:lvlJc w:val="left"/>
      <w:lvlText w:val="•"/>
      <w:numFmt w:val="bullet"/>
      <w:start w:val="1"/>
    </w:lvl>
  </w:abstractNum>
  <w:abstractNum w:abstractNumId="56">
    <w:nsid w:val="78B5E776"/>
    <w:multiLevelType w:val="hybridMultilevel"/>
    <w:lvl w:ilvl="0">
      <w:lvlJc w:val="left"/>
      <w:lvlText w:val="•"/>
      <w:numFmt w:val="bullet"/>
      <w:start w:val="1"/>
    </w:lvl>
    <w:lvl w:ilvl="1">
      <w:lvlJc w:val="left"/>
      <w:lvlText w:val="•"/>
      <w:numFmt w:val="bullet"/>
      <w:start w:val="1"/>
    </w:lvl>
  </w:abstractNum>
  <w:abstractNum w:abstractNumId="57">
    <w:nsid w:val="75486E47"/>
    <w:multiLevelType w:val="hybridMultilevel"/>
    <w:lvl w:ilvl="0">
      <w:lvlJc w:val="left"/>
      <w:lvlText w:val="•"/>
      <w:numFmt w:val="bullet"/>
      <w:start w:val="1"/>
    </w:lvl>
  </w:abstractNum>
  <w:abstractNum w:abstractNumId="58">
    <w:nsid w:val="6E534CDE"/>
    <w:multiLevelType w:val="hybridMultilevel"/>
    <w:lvl w:ilvl="0">
      <w:lvlJc w:val="left"/>
      <w:lvlText w:val="•"/>
      <w:numFmt w:val="bullet"/>
      <w:start w:val="1"/>
    </w:lvl>
  </w:abstractNum>
  <w:abstractNum w:abstractNumId="59">
    <w:nsid w:val="1A0DDE32"/>
    <w:multiLevelType w:val="hybridMultilevel"/>
    <w:lvl w:ilvl="0">
      <w:lvlJc w:val="left"/>
      <w:lvlText w:val="•"/>
      <w:numFmt w:val="bullet"/>
      <w:start w:val="1"/>
    </w:lvl>
  </w:abstractNum>
  <w:abstractNum w:abstractNumId="60">
    <w:nsid w:val="65968C1C"/>
    <w:multiLevelType w:val="hybridMultilevel"/>
    <w:lvl w:ilvl="0">
      <w:lvlJc w:val="left"/>
      <w:lvlText w:val="(%1)"/>
      <w:numFmt w:val="decimal"/>
      <w:start w:val="1"/>
    </w:lvl>
  </w:abstractNum>
  <w:abstractNum w:abstractNumId="61">
    <w:nsid w:val="46263DEC"/>
    <w:multiLevelType w:val="hybridMultilevel"/>
    <w:lvl w:ilvl="0">
      <w:lvlJc w:val="left"/>
      <w:lvlText w:val="•"/>
      <w:numFmt w:val="bullet"/>
      <w:start w:val="1"/>
    </w:lvl>
    <w:lvl w:ilvl="1">
      <w:lvlJc w:val="left"/>
      <w:lvlText w:val="•"/>
      <w:numFmt w:val="bullet"/>
      <w:start w:val="1"/>
    </w:lvl>
  </w:abstractNum>
  <w:abstractNum w:abstractNumId="62">
    <w:nsid w:val="260D8C4A"/>
    <w:multiLevelType w:val="hybridMultilevel"/>
    <w:lvl w:ilvl="0">
      <w:lvlJc w:val="left"/>
      <w:lvlText w:val="•"/>
      <w:numFmt w:val="bullet"/>
      <w:start w:val="1"/>
    </w:lvl>
  </w:abstractNum>
  <w:abstractNum w:abstractNumId="63">
    <w:nsid w:val="73D4D3C4"/>
    <w:multiLevelType w:val="hybridMultilevel"/>
    <w:lvl w:ilvl="0">
      <w:lvlJc w:val="left"/>
      <w:lvlText w:val="•"/>
      <w:numFmt w:val="bullet"/>
      <w:start w:val="1"/>
    </w:lvl>
  </w:abstractNum>
  <w:abstractNum w:abstractNumId="64">
    <w:nsid w:val="746F2E30"/>
    <w:multiLevelType w:val="hybridMultilevel"/>
    <w:lvl w:ilvl="0">
      <w:lvlJc w:val="left"/>
      <w:lvlText w:val="•"/>
      <w:numFmt w:val="bullet"/>
      <w:start w:val="1"/>
    </w:lvl>
  </w:abstractNum>
  <w:abstractNum w:abstractNumId="65">
    <w:nsid w:val="6FDE8AF6"/>
    <w:multiLevelType w:val="hybridMultilevel"/>
    <w:lvl w:ilvl="0">
      <w:lvlJc w:val="left"/>
      <w:lvlText w:val="•"/>
      <w:numFmt w:val="bullet"/>
      <w:start w:val="1"/>
    </w:lvl>
    <w:lvl w:ilvl="1">
      <w:lvlJc w:val="left"/>
      <w:lvlText w:val="•"/>
      <w:numFmt w:val="bullet"/>
      <w:start w:val="1"/>
    </w:lvl>
  </w:abstractNum>
  <w:abstractNum w:abstractNumId="66">
    <w:nsid w:val="3FC32E20"/>
    <w:multiLevelType w:val="hybridMultilevel"/>
    <w:lvl w:ilvl="0">
      <w:lvlJc w:val="left"/>
      <w:lvlText w:val="•"/>
      <w:numFmt w:val="bullet"/>
      <w:start w:val="1"/>
    </w:lvl>
  </w:abstractNum>
  <w:abstractNum w:abstractNumId="67">
    <w:nsid w:val="49C0E823"/>
    <w:multiLevelType w:val="hybridMultilevel"/>
    <w:lvl w:ilvl="0">
      <w:lvlJc w:val="left"/>
      <w:lvlText w:val="•"/>
      <w:numFmt w:val="bullet"/>
      <w:start w:val="1"/>
    </w:lvl>
  </w:abstractNum>
  <w:abstractNum w:abstractNumId="68">
    <w:nsid w:val="14D53685"/>
    <w:multiLevelType w:val="hybridMultilevel"/>
    <w:lvl w:ilvl="0">
      <w:lvlJc w:val="left"/>
      <w:lvlText w:val="•"/>
      <w:numFmt w:val="bullet"/>
      <w:start w:val="1"/>
    </w:lvl>
  </w:abstractNum>
  <w:abstractNum w:abstractNumId="69">
    <w:nsid w:val="230F856C"/>
    <w:multiLevelType w:val="hybridMultilevel"/>
    <w:lvl w:ilvl="0">
      <w:lvlJc w:val="left"/>
      <w:lvlText w:val="•"/>
      <w:numFmt w:val="bullet"/>
      <w:start w:val="1"/>
    </w:lvl>
    <w:lvl w:ilvl="1">
      <w:lvlJc w:val="left"/>
      <w:lvlText w:val="•"/>
      <w:numFmt w:val="bullet"/>
      <w:start w:val="1"/>
    </w:lvl>
  </w:abstractNum>
  <w:abstractNum w:abstractNumId="70">
    <w:nsid w:val="6EAA85FB"/>
    <w:multiLevelType w:val="hybridMultilevel"/>
    <w:lvl w:ilvl="0">
      <w:lvlJc w:val="left"/>
      <w:lvlText w:val="•"/>
      <w:numFmt w:val="bullet"/>
      <w:start w:val="1"/>
    </w:lvl>
  </w:abstractNum>
  <w:abstractNum w:abstractNumId="71">
    <w:nsid w:val="3F06ECB2"/>
    <w:multiLevelType w:val="hybridMultilevel"/>
    <w:lvl w:ilvl="0">
      <w:lvlJc w:val="left"/>
      <w:lvlText w:val="•"/>
      <w:numFmt w:val="bullet"/>
      <w:start w:val="1"/>
    </w:lvl>
  </w:abstractNum>
  <w:abstractNum w:abstractNumId="72">
    <w:nsid w:val="3B594807"/>
    <w:multiLevelType w:val="hybridMultilevel"/>
    <w:lvl w:ilvl="0">
      <w:lvlJc w:val="left"/>
      <w:lvlText w:val="•"/>
      <w:numFmt w:val="bullet"/>
      <w:start w:val="1"/>
    </w:lvl>
  </w:abstractNum>
  <w:abstractNum w:abstractNumId="73">
    <w:nsid w:val="6CAA2304"/>
    <w:multiLevelType w:val="hybridMultilevel"/>
    <w:lvl w:ilvl="0">
      <w:lvlJc w:val="left"/>
      <w:lvlText w:val="•"/>
      <w:numFmt w:val="bullet"/>
      <w:start w:val="1"/>
    </w:lvl>
    <w:lvl w:ilvl="1">
      <w:lvlJc w:val="left"/>
      <w:lvlText w:val="•"/>
      <w:numFmt w:val="bullet"/>
      <w:start w:val="1"/>
    </w:lvl>
  </w:abstractNum>
  <w:abstractNum w:abstractNumId="74">
    <w:nsid w:val="3F7C2FF4"/>
    <w:multiLevelType w:val="hybridMultilevel"/>
    <w:lvl w:ilvl="0">
      <w:lvlJc w:val="left"/>
      <w:lvlText w:val="•"/>
      <w:numFmt w:val="bullet"/>
      <w:start w:val="1"/>
    </w:lvl>
  </w:abstractNum>
  <w:abstractNum w:abstractNumId="75">
    <w:nsid w:val="25413BEC"/>
    <w:multiLevelType w:val="hybridMultilevel"/>
    <w:lvl w:ilvl="0">
      <w:lvlJc w:val="left"/>
      <w:lvlText w:val="•"/>
      <w:numFmt w:val="bullet"/>
      <w:start w:val="1"/>
    </w:lvl>
  </w:abstractNum>
  <w:abstractNum w:abstractNumId="76">
    <w:nsid w:val="17180B0B"/>
    <w:multiLevelType w:val="hybridMultilevel"/>
    <w:lvl w:ilvl="0">
      <w:lvlJc w:val="left"/>
      <w:lvlText w:val="•"/>
      <w:numFmt w:val="bullet"/>
      <w:start w:val="1"/>
    </w:lvl>
  </w:abstractNum>
  <w:abstractNum w:abstractNumId="77">
    <w:nsid w:val="579328B9"/>
    <w:multiLevelType w:val="hybridMultilevel"/>
    <w:lvl w:ilvl="0">
      <w:lvlJc w:val="left"/>
      <w:lvlText w:val="•"/>
      <w:numFmt w:val="bullet"/>
      <w:start w:val="1"/>
    </w:lvl>
    <w:lvl w:ilvl="1">
      <w:lvlJc w:val="left"/>
      <w:lvlText w:val="•"/>
      <w:numFmt w:val="bullet"/>
      <w:start w:val="1"/>
    </w:lvl>
  </w:abstractNum>
  <w:abstractNum w:abstractNumId="78">
    <w:nsid w:val="5D205E20"/>
    <w:multiLevelType w:val="hybridMultilevel"/>
    <w:lvl w:ilvl="0">
      <w:lvlJc w:val="left"/>
      <w:lvlText w:val="•"/>
      <w:numFmt w:val="bullet"/>
      <w:start w:val="1"/>
    </w:lvl>
  </w:abstractNum>
  <w:abstractNum w:abstractNumId="79">
    <w:nsid w:val="11CCA8BA"/>
    <w:multiLevelType w:val="hybridMultilevel"/>
    <w:lvl w:ilvl="0">
      <w:lvlJc w:val="left"/>
      <w:lvlText w:val="•"/>
      <w:numFmt w:val="bullet"/>
      <w:start w:val="1"/>
    </w:lvl>
  </w:abstractNum>
  <w:abstractNum w:abstractNumId="80">
    <w:nsid w:val="4D32AB86"/>
    <w:multiLevelType w:val="hybridMultilevel"/>
    <w:lvl w:ilvl="0">
      <w:lvlJc w:val="left"/>
      <w:lvlText w:val="•"/>
      <w:numFmt w:val="bullet"/>
      <w:start w:val="1"/>
    </w:lvl>
  </w:abstractNum>
  <w:abstractNum w:abstractNumId="81">
    <w:nsid w:val="3F07ACC3"/>
    <w:multiLevelType w:val="hybridMultilevel"/>
    <w:lvl w:ilvl="0">
      <w:lvlJc w:val="left"/>
      <w:lvlText w:val="•"/>
      <w:numFmt w:val="bullet"/>
      <w:start w:val="1"/>
    </w:lvl>
  </w:abstractNum>
  <w:abstractNum w:abstractNumId="82">
    <w:nsid w:val="6B47F63E"/>
    <w:multiLevelType w:val="hybridMultilevel"/>
    <w:lvl w:ilvl="0">
      <w:lvlJc w:val="left"/>
      <w:lvlText w:val="•"/>
      <w:numFmt w:val="bullet"/>
      <w:start w:val="1"/>
    </w:lvl>
  </w:abstractNum>
  <w:abstractNum w:abstractNumId="83">
    <w:nsid w:val="5CB44A05"/>
    <w:multiLevelType w:val="hybridMultilevel"/>
    <w:lvl w:ilvl="0">
      <w:lvlJc w:val="left"/>
      <w:lvlText w:val="(%1)"/>
      <w:numFmt w:val="decimal"/>
      <w:start w:val="1"/>
    </w:lvl>
  </w:abstractNum>
  <w:abstractNum w:abstractNumId="84">
    <w:nsid w:val="16CF80F1"/>
    <w:multiLevelType w:val="hybridMultilevel"/>
    <w:lvl w:ilvl="0">
      <w:lvlJc w:val="left"/>
      <w:lvlText w:val="•"/>
      <w:numFmt w:val="bullet"/>
      <w:start w:val="1"/>
    </w:lvl>
  </w:abstractNum>
  <w:abstractNum w:abstractNumId="85">
    <w:nsid w:val="1C695DEC"/>
    <w:multiLevelType w:val="hybridMultilevel"/>
    <w:lvl w:ilvl="0">
      <w:lvlJc w:val="left"/>
      <w:lvlText w:val="•"/>
      <w:numFmt w:val="bullet"/>
      <w:start w:val="1"/>
    </w:lvl>
  </w:abstractNum>
  <w:abstractNum w:abstractNumId="86">
    <w:nsid w:val="3FCFAED9"/>
    <w:multiLevelType w:val="hybridMultilevel"/>
    <w:lvl w:ilvl="0">
      <w:lvlJc w:val="left"/>
      <w:lvlText w:val="•"/>
      <w:numFmt w:val="bullet"/>
      <w:start w:val="1"/>
    </w:lvl>
  </w:abstractNum>
  <w:abstractNum w:abstractNumId="87">
    <w:nsid w:val="F856867"/>
    <w:multiLevelType w:val="hybridMultilevel"/>
    <w:lvl w:ilvl="0">
      <w:lvlJc w:val="left"/>
      <w:lvlText w:val="•"/>
      <w:numFmt w:val="bullet"/>
      <w:start w:val="1"/>
    </w:lvl>
  </w:abstractNum>
  <w:abstractNum w:abstractNumId="88">
    <w:nsid w:val="11B1CC33"/>
    <w:multiLevelType w:val="hybridMultilevel"/>
    <w:lvl w:ilvl="0">
      <w:lvlJc w:val="left"/>
      <w:lvlText w:val="•"/>
      <w:numFmt w:val="bullet"/>
      <w:start w:val="1"/>
    </w:lvl>
  </w:abstractNum>
  <w:abstractNum w:abstractNumId="89">
    <w:nsid w:val="2E22FBB7"/>
    <w:multiLevelType w:val="hybridMultilevel"/>
    <w:lvl w:ilvl="0">
      <w:lvlJc w:val="left"/>
      <w:lvlText w:val="•"/>
      <w:numFmt w:val="bullet"/>
      <w:start w:val="1"/>
    </w:lvl>
  </w:abstractNum>
  <w:abstractNum w:abstractNumId="90">
    <w:nsid w:val="29934699"/>
    <w:multiLevelType w:val="hybridMultilevel"/>
    <w:lvl w:ilvl="0">
      <w:lvlJc w:val="left"/>
      <w:lvlText w:val="•"/>
      <w:numFmt w:val="bullet"/>
      <w:start w:val="1"/>
    </w:lvl>
  </w:abstractNum>
  <w:abstractNum w:abstractNumId="91">
    <w:nsid w:val="77485850"/>
    <w:multiLevelType w:val="hybridMultilevel"/>
    <w:lvl w:ilvl="0">
      <w:lvlJc w:val="left"/>
      <w:lvlText w:val="•"/>
      <w:numFmt w:val="bullet"/>
      <w:start w:val="1"/>
    </w:lvl>
  </w:abstractNum>
  <w:abstractNum w:abstractNumId="92">
    <w:nsid w:val="744939A3"/>
    <w:multiLevelType w:val="hybridMultilevel"/>
    <w:lvl w:ilvl="0">
      <w:lvlJc w:val="left"/>
      <w:lvlText w:val="•"/>
      <w:numFmt w:val="bullet"/>
      <w:start w:val="1"/>
    </w:lvl>
  </w:abstractNum>
  <w:abstractNum w:abstractNumId="93">
    <w:nsid w:val="4FA0D2E3"/>
    <w:multiLevelType w:val="hybridMultilevel"/>
    <w:lvl w:ilvl="0">
      <w:lvlJc w:val="left"/>
      <w:lvlText w:val="•"/>
      <w:numFmt w:val="bullet"/>
      <w:start w:val="1"/>
    </w:lvl>
  </w:abstractNum>
  <w:abstractNum w:abstractNumId="94">
    <w:nsid w:val="6B1D2C14"/>
    <w:multiLevelType w:val="hybridMultilevel"/>
    <w:lvl w:ilvl="0">
      <w:lvlJc w:val="left"/>
      <w:lvlText w:val="•"/>
      <w:numFmt w:val="bullet"/>
      <w:start w:val="1"/>
    </w:lvl>
    <w:lvl w:ilvl="1">
      <w:lvlJc w:val="left"/>
      <w:lvlText w:val="◦"/>
      <w:numFmt w:val="bullet"/>
      <w:start w:val="1"/>
    </w:lvl>
  </w:abstractNum>
  <w:abstractNum w:abstractNumId="95">
    <w:nsid w:val="68B867D3"/>
    <w:multiLevelType w:val="hybridMultilevel"/>
    <w:lvl w:ilvl="0">
      <w:lvlJc w:val="left"/>
      <w:lvlText w:val="•"/>
      <w:numFmt w:val="bullet"/>
      <w:start w:val="1"/>
    </w:lvl>
  </w:abstractNum>
  <w:abstractNum w:abstractNumId="96">
    <w:nsid w:val="3F7F5DD9"/>
    <w:multiLevelType w:val="hybridMultilevel"/>
    <w:lvl w:ilvl="0">
      <w:lvlJc w:val="left"/>
      <w:lvlText w:val="•"/>
      <w:numFmt w:val="bullet"/>
      <w:start w:val="1"/>
    </w:lvl>
    <w:lvl w:ilvl="1">
      <w:lvlJc w:val="left"/>
      <w:lvlText w:val="•"/>
      <w:numFmt w:val="bullet"/>
      <w:start w:val="1"/>
    </w:lvl>
  </w:abstractNum>
  <w:abstractNum w:abstractNumId="97">
    <w:nsid w:val="2AE05A34"/>
    <w:multiLevelType w:val="hybridMultilevel"/>
    <w:lvl w:ilvl="0">
      <w:lvlJc w:val="left"/>
      <w:lvlText w:val="•"/>
      <w:numFmt w:val="bullet"/>
      <w:start w:val="1"/>
    </w:lvl>
  </w:abstractNum>
  <w:abstractNum w:abstractNumId="98">
    <w:nsid w:val="32794FF7"/>
    <w:multiLevelType w:val="hybridMultilevel"/>
    <w:lvl w:ilvl="0">
      <w:lvlJc w:val="left"/>
      <w:lvlText w:val="•"/>
      <w:numFmt w:val="bullet"/>
      <w:start w:val="1"/>
    </w:lvl>
  </w:abstractNum>
  <w:abstractNum w:abstractNumId="99">
    <w:nsid w:val="5454945E"/>
    <w:multiLevelType w:val="hybridMultilevel"/>
    <w:lvl w:ilvl="0">
      <w:lvlJc w:val="left"/>
      <w:lvlText w:val="(%1)"/>
      <w:numFmt w:val="decimal"/>
      <w:start w:val="1"/>
    </w:lvl>
  </w:abstractNum>
  <w:abstractNum w:abstractNumId="100">
    <w:nsid w:val="4DEFDFA0"/>
    <w:multiLevelType w:val="hybridMultilevel"/>
    <w:lvl w:ilvl="0">
      <w:lvlJc w:val="left"/>
      <w:lvlText w:val="†"/>
      <w:numFmt w:val="bullet"/>
      <w:start w:val="1"/>
    </w:lvl>
  </w:abstractNum>
  <w:abstractNum w:abstractNumId="101">
    <w:nsid w:val="2123D5F2"/>
    <w:multiLevelType w:val="hybridMultilevel"/>
    <w:lvl w:ilvl="0">
      <w:lvlJc w:val="left"/>
      <w:lvlText w:val="•"/>
      <w:numFmt w:val="bullet"/>
      <w:start w:val="1"/>
    </w:lvl>
  </w:abstractNum>
  <w:abstractNum w:abstractNumId="102">
    <w:nsid w:val="135B8110"/>
    <w:multiLevelType w:val="hybridMultilevel"/>
    <w:lvl w:ilvl="0">
      <w:lvlJc w:val="left"/>
      <w:lvlText w:val="•"/>
      <w:numFmt w:val="bullet"/>
      <w:start w:val="1"/>
    </w:lvl>
  </w:abstractNum>
  <w:abstractNum w:abstractNumId="103">
    <w:nsid w:val="94927A8"/>
    <w:multiLevelType w:val="hybridMultilevel"/>
    <w:lvl w:ilvl="0">
      <w:lvlJc w:val="left"/>
      <w:lvlText w:val="(%1)"/>
      <w:numFmt w:val="decimal"/>
      <w:start w:val="1"/>
    </w:lvl>
  </w:abstractNum>
  <w:abstractNum w:abstractNumId="104">
    <w:nsid w:val="DCDF8F6"/>
    <w:multiLevelType w:val="hybridMultilevel"/>
    <w:lvl w:ilvl="0">
      <w:lvlJc w:val="left"/>
      <w:lvlText w:val="•"/>
      <w:numFmt w:val="bullet"/>
      <w:start w:val="1"/>
    </w:lvl>
  </w:abstractNum>
  <w:abstractNum w:abstractNumId="105">
    <w:nsid w:val="52D7B105"/>
    <w:multiLevelType w:val="hybridMultilevel"/>
    <w:lvl w:ilvl="0">
      <w:lvlJc w:val="left"/>
      <w:lvlText w:val="•"/>
      <w:numFmt w:val="bullet"/>
      <w:start w:val="1"/>
    </w:lvl>
  </w:abstractNum>
  <w:abstractNum w:abstractNumId="106">
    <w:nsid w:val="2E8A6394"/>
    <w:multiLevelType w:val="hybridMultilevel"/>
    <w:lvl w:ilvl="0">
      <w:lvlJc w:val="left"/>
      <w:lvlText w:val="(%1)"/>
      <w:numFmt w:val="decimal"/>
      <w:start w:val="1"/>
    </w:lvl>
  </w:abstractNum>
  <w:abstractNum w:abstractNumId="107">
    <w:nsid w:val="24E60401"/>
    <w:multiLevelType w:val="hybridMultilevel"/>
    <w:lvl w:ilvl="0">
      <w:lvlJc w:val="left"/>
      <w:lvlText w:val="•"/>
      <w:numFmt w:val="bullet"/>
      <w:start w:val="1"/>
    </w:lvl>
  </w:abstractNum>
  <w:abstractNum w:abstractNumId="108">
    <w:nsid w:val="2A6AD9BE"/>
    <w:multiLevelType w:val="hybridMultilevel"/>
    <w:lvl w:ilvl="0">
      <w:lvlJc w:val="left"/>
      <w:lvlText w:val="•"/>
      <w:numFmt w:val="bullet"/>
      <w:start w:val="1"/>
    </w:lvl>
  </w:abstractNum>
  <w:abstractNum w:abstractNumId="109">
    <w:nsid w:val="BAAC1B4"/>
    <w:multiLevelType w:val="hybridMultilevel"/>
    <w:lvl w:ilvl="0">
      <w:lvlJc w:val="left"/>
      <w:lvlText w:val="(%1)"/>
      <w:numFmt w:val="decimal"/>
      <w:start w:val="1"/>
    </w:lvl>
  </w:abstractNum>
  <w:abstractNum w:abstractNumId="110">
    <w:nsid w:val="36B2ACBC"/>
    <w:multiLevelType w:val="hybridMultilevel"/>
    <w:lvl w:ilvl="0">
      <w:lvlJc w:val="left"/>
      <w:lvlText w:val="•"/>
      <w:numFmt w:val="bullet"/>
      <w:start w:val="1"/>
    </w:lvl>
  </w:abstractNum>
  <w:abstractNum w:abstractNumId="111">
    <w:nsid w:val="779D8544"/>
    <w:multiLevelType w:val="hybridMultilevel"/>
    <w:lvl w:ilvl="0">
      <w:lvlJc w:val="left"/>
      <w:lvlText w:val="•"/>
      <w:numFmt w:val="bullet"/>
      <w:start w:val="1"/>
    </w:lvl>
  </w:abstractNum>
  <w:abstractNum w:abstractNumId="112">
    <w:nsid w:val="4AB26E78"/>
    <w:multiLevelType w:val="hybridMultilevel"/>
    <w:lvl w:ilvl="0">
      <w:lvlJc w:val="left"/>
      <w:lvlText w:val="•"/>
      <w:numFmt w:val="bullet"/>
      <w:start w:val="1"/>
    </w:lvl>
  </w:abstractNum>
  <w:abstractNum w:abstractNumId="113">
    <w:nsid w:val="21FAA2FA"/>
    <w:multiLevelType w:val="hybridMultilevel"/>
    <w:lvl w:ilvl="0">
      <w:lvlJc w:val="left"/>
      <w:lvlText w:val="•"/>
      <w:numFmt w:val="bullet"/>
      <w:start w:val="1"/>
    </w:lvl>
  </w:abstractNum>
  <w:abstractNum w:abstractNumId="114">
    <w:nsid w:val="5451CF49"/>
    <w:multiLevelType w:val="hybridMultilevel"/>
    <w:lvl w:ilvl="0">
      <w:lvlJc w:val="left"/>
      <w:lvlText w:val="•"/>
      <w:numFmt w:val="bullet"/>
      <w:start w:val="1"/>
    </w:lvl>
  </w:abstractNum>
  <w:abstractNum w:abstractNumId="115">
    <w:nsid w:val="6181EF69"/>
    <w:multiLevelType w:val="hybridMultilevel"/>
    <w:lvl w:ilvl="0">
      <w:lvlJc w:val="left"/>
      <w:lvlText w:val="•"/>
      <w:numFmt w:val="bullet"/>
      <w:start w:val="1"/>
    </w:lvl>
  </w:abstractNum>
  <w:abstractNum w:abstractNumId="116">
    <w:nsid w:val="3E6400E6"/>
    <w:multiLevelType w:val="hybridMultilevel"/>
    <w:lvl w:ilvl="0">
      <w:lvlJc w:val="left"/>
      <w:lvlText w:val="•"/>
      <w:numFmt w:val="bullet"/>
      <w:start w:val="1"/>
    </w:lvl>
  </w:abstractNum>
  <w:abstractNum w:abstractNumId="117">
    <w:nsid w:val="14217E23"/>
    <w:multiLevelType w:val="hybridMultilevel"/>
    <w:lvl w:ilvl="0">
      <w:lvlJc w:val="left"/>
      <w:lvlText w:val="•"/>
      <w:numFmt w:val="bullet"/>
      <w:start w:val="1"/>
    </w:lvl>
  </w:abstractNum>
  <w:abstractNum w:abstractNumId="118">
    <w:nsid w:val="710757D0"/>
    <w:multiLevelType w:val="hybridMultilevel"/>
    <w:lvl w:ilvl="0">
      <w:lvlJc w:val="left"/>
      <w:lvlText w:val="•"/>
      <w:numFmt w:val="bullet"/>
      <w:start w:val="1"/>
    </w:lvl>
  </w:abstractNum>
  <w:abstractNum w:abstractNumId="119">
    <w:nsid w:val="5015CD1A"/>
    <w:multiLevelType w:val="hybridMultilevel"/>
    <w:lvl w:ilvl="0">
      <w:lvlJc w:val="left"/>
      <w:lvlText w:val="•"/>
      <w:numFmt w:val="bullet"/>
      <w:start w:val="1"/>
    </w:lvl>
  </w:abstractNum>
  <w:abstractNum w:abstractNumId="120">
    <w:nsid w:val="424479DA"/>
    <w:multiLevelType w:val="hybridMultilevel"/>
    <w:lvl w:ilvl="0">
      <w:lvlJc w:val="left"/>
      <w:lvlText w:val="(%1)"/>
      <w:numFmt w:val="decimal"/>
      <w:start w:val="1"/>
    </w:lvl>
  </w:abstractNum>
  <w:abstractNum w:abstractNumId="121">
    <w:nsid w:val="1A9A9E69"/>
    <w:multiLevelType w:val="hybridMultilevel"/>
    <w:lvl w:ilvl="0">
      <w:lvlJc w:val="left"/>
      <w:lvlText w:val="(%1)"/>
      <w:numFmt w:val="decimal"/>
      <w:start w:val="2"/>
    </w:lvl>
  </w:abstractNum>
  <w:abstractNum w:abstractNumId="122">
    <w:nsid w:val="475E256A"/>
    <w:multiLevelType w:val="hybridMultilevel"/>
    <w:lvl w:ilvl="0">
      <w:lvlJc w:val="left"/>
      <w:lvlText w:val="(%1)"/>
      <w:numFmt w:val="decimal"/>
      <w:start w:val="3"/>
    </w:lvl>
  </w:abstractNum>
  <w:abstractNum w:abstractNumId="123">
    <w:nsid w:val="368DB37E"/>
    <w:multiLevelType w:val="hybridMultilevel"/>
    <w:lvl w:ilvl="0">
      <w:lvlJc w:val="left"/>
      <w:lvlText w:val="(%1)"/>
      <w:numFmt w:val="decimal"/>
      <w:start w:val="1"/>
    </w:lvl>
  </w:abstractNum>
  <w:abstractNum w:abstractNumId="124">
    <w:nsid w:val="6A3B714C"/>
    <w:multiLevelType w:val="hybridMultilevel"/>
    <w:lvl w:ilvl="0">
      <w:lvlJc w:val="left"/>
      <w:lvlText w:val="(%1)"/>
      <w:numFmt w:val="decimal"/>
      <w:start w:val="1"/>
    </w:lvl>
  </w:abstractNum>
  <w:abstractNum w:abstractNumId="125">
    <w:nsid w:val="327B517E"/>
    <w:multiLevelType w:val="hybridMultilevel"/>
    <w:lvl w:ilvl="0">
      <w:lvlJc w:val="left"/>
      <w:lvlText w:val="(%1)"/>
      <w:numFmt w:val="decimal"/>
      <w:start w:val="2"/>
    </w:lvl>
  </w:abstractNum>
  <w:abstractNum w:abstractNumId="126">
    <w:nsid w:val="1F461B51"/>
    <w:multiLevelType w:val="hybridMultilevel"/>
    <w:lvl w:ilvl="0">
      <w:lvlJc w:val="left"/>
      <w:lvlText w:val="•"/>
      <w:numFmt w:val="bullet"/>
      <w:start w:val="1"/>
    </w:lvl>
  </w:abstractNum>
  <w:abstractNum w:abstractNumId="127">
    <w:nsid w:val="29BACF25"/>
    <w:multiLevelType w:val="hybridMultilevel"/>
    <w:lvl w:ilvl="0">
      <w:lvlJc w:val="left"/>
      <w:lvlText w:val="•"/>
      <w:numFmt w:val="bullet"/>
      <w:start w:val="1"/>
    </w:lvl>
  </w:abstractNum>
  <w:abstractNum w:abstractNumId="128">
    <w:nsid w:val="5D5BABB3"/>
    <w:multiLevelType w:val="hybridMultilevel"/>
    <w:lvl w:ilvl="0">
      <w:lvlJc w:val="left"/>
      <w:lvlText w:val="•"/>
      <w:numFmt w:val="bullet"/>
      <w:start w:val="1"/>
    </w:lvl>
  </w:abstractNum>
  <w:abstractNum w:abstractNumId="129">
    <w:nsid w:val="51BF6B48"/>
    <w:multiLevelType w:val="hybridMultilevel"/>
    <w:lvl w:ilvl="0">
      <w:lvlJc w:val="left"/>
      <w:lvlText w:val="•"/>
      <w:numFmt w:val="bullet"/>
      <w:start w:val="1"/>
    </w:lvl>
  </w:abstractNum>
  <w:abstractNum w:abstractNumId="130">
    <w:nsid w:val="7E0F6384"/>
    <w:multiLevelType w:val="hybridMultilevel"/>
    <w:lvl w:ilvl="0">
      <w:lvlJc w:val="left"/>
      <w:lvlText w:val="•"/>
      <w:numFmt w:val="bullet"/>
      <w:start w:val="1"/>
    </w:lvl>
  </w:abstractNum>
  <w:abstractNum w:abstractNumId="131">
    <w:nsid w:val="2B4B8B53"/>
    <w:multiLevelType w:val="hybridMultilevel"/>
    <w:lvl w:ilvl="0">
      <w:lvlJc w:val="left"/>
      <w:lvlText w:val="•"/>
      <w:numFmt w:val="bullet"/>
      <w:start w:val="1"/>
    </w:lvl>
  </w:abstractNum>
  <w:abstractNum w:abstractNumId="132">
    <w:nsid w:val="72E3413A"/>
    <w:multiLevelType w:val="hybridMultilevel"/>
    <w:lvl w:ilvl="0">
      <w:lvlJc w:val="left"/>
      <w:lvlText w:val="•"/>
      <w:numFmt w:val="bullet"/>
      <w:start w:val="1"/>
    </w:lvl>
  </w:abstractNum>
  <w:abstractNum w:abstractNumId="133">
    <w:nsid w:val="116AE494"/>
    <w:multiLevelType w:val="hybridMultilevel"/>
    <w:lvl w:ilvl="0">
      <w:lvlJc w:val="left"/>
      <w:lvlText w:val="•"/>
      <w:numFmt w:val="bullet"/>
      <w:start w:val="1"/>
    </w:lvl>
  </w:abstractNum>
  <w:abstractNum w:abstractNumId="134">
    <w:nsid w:val="3494B2FB"/>
    <w:multiLevelType w:val="hybridMultilevel"/>
    <w:lvl w:ilvl="0">
      <w:lvlJc w:val="left"/>
      <w:lvlText w:val="•"/>
      <w:numFmt w:val="bullet"/>
      <w:start w:val="1"/>
    </w:lvl>
  </w:abstractNum>
  <w:abstractNum w:abstractNumId="135">
    <w:nsid w:val="B13A31"/>
    <w:multiLevelType w:val="hybridMultilevel"/>
    <w:lvl w:ilvl="0">
      <w:lvlJc w:val="left"/>
      <w:lvlText w:val="(%1)"/>
      <w:numFmt w:val="decimal"/>
      <w:start w:val="1"/>
    </w:lvl>
  </w:abstractNum>
  <w:abstractNum w:abstractNumId="136">
    <w:nsid w:val="64429599"/>
    <w:multiLevelType w:val="hybridMultilevel"/>
    <w:lvl w:ilvl="0">
      <w:lvlJc w:val="left"/>
      <w:lvlText w:val="*"/>
      <w:numFmt w:val="bullet"/>
      <w:start w:val="1"/>
    </w:lvl>
  </w:abstractNum>
  <w:abstractNum w:abstractNumId="137">
    <w:nsid w:val="631F1690"/>
    <w:multiLevelType w:val="hybridMultilevel"/>
    <w:lvl w:ilvl="0">
      <w:lvlJc w:val="left"/>
      <w:lvlText w:val="*"/>
      <w:numFmt w:val="bullet"/>
      <w:start w:val="1"/>
    </w:lvl>
  </w:abstractNum>
  <w:abstractNum w:abstractNumId="138">
    <w:nsid w:val="25973E32"/>
    <w:multiLevelType w:val="hybridMultilevel"/>
    <w:lvl w:ilvl="0">
      <w:lvlJc w:val="left"/>
      <w:lvlText w:val="•"/>
      <w:numFmt w:val="bullet"/>
      <w:start w:val="1"/>
    </w:lvl>
  </w:abstractNum>
  <w:abstractNum w:abstractNumId="139">
    <w:nsid w:val="EAD6F57"/>
    <w:multiLevelType w:val="hybridMultilevel"/>
    <w:lvl w:ilvl="0">
      <w:lvlJc w:val="left"/>
      <w:lvlText w:val="•"/>
      <w:numFmt w:val="bullet"/>
      <w:start w:val="1"/>
    </w:lvl>
  </w:abstractNum>
  <w:abstractNum w:abstractNumId="140">
    <w:nsid w:val="6EC9D844"/>
    <w:multiLevelType w:val="hybridMultilevel"/>
    <w:lvl w:ilvl="0">
      <w:lvlJc w:val="left"/>
      <w:lvlText w:val="•"/>
      <w:numFmt w:val="bullet"/>
      <w:start w:val="1"/>
    </w:lvl>
  </w:abstractNum>
  <w:abstractNum w:abstractNumId="141">
    <w:nsid w:val="5C49EAEE"/>
    <w:multiLevelType w:val="hybridMultilevel"/>
    <w:lvl w:ilvl="0">
      <w:lvlJc w:val="left"/>
      <w:lvlText w:val="•"/>
      <w:numFmt w:val="bullet"/>
      <w:start w:val="1"/>
    </w:lvl>
  </w:abstractNum>
  <w:abstractNum w:abstractNumId="142">
    <w:nsid w:val="64AF49B"/>
    <w:multiLevelType w:val="hybridMultilevel"/>
    <w:lvl w:ilvl="0">
      <w:lvlJc w:val="left"/>
      <w:lvlText w:val="(%1)"/>
      <w:numFmt w:val="decimal"/>
      <w:start w:val="1"/>
    </w:lvl>
  </w:abstractNum>
  <w:abstractNum w:abstractNumId="143">
    <w:nsid w:val="397C46BC"/>
    <w:multiLevelType w:val="hybridMultilevel"/>
    <w:lvl w:ilvl="0">
      <w:lvlJc w:val="left"/>
      <w:lvlText w:val="(%1)"/>
      <w:numFmt w:val="decimal"/>
      <w:start w:val="1"/>
    </w:lvl>
  </w:abstractNum>
  <w:abstractNum w:abstractNumId="144">
    <w:nsid w:val="7E448DE9"/>
    <w:multiLevelType w:val="hybridMultilevel"/>
    <w:lvl w:ilvl="0">
      <w:lvlJc w:val="left"/>
      <w:lvlText w:val="•"/>
      <w:numFmt w:val="bullet"/>
      <w:start w:val="1"/>
    </w:lvl>
  </w:abstractNum>
  <w:abstractNum w:abstractNumId="145">
    <w:nsid w:val="5A9CC3E5"/>
    <w:multiLevelType w:val="hybridMultilevel"/>
    <w:lvl w:ilvl="0">
      <w:lvlJc w:val="left"/>
      <w:lvlText w:val="•"/>
      <w:numFmt w:val="bullet"/>
      <w:start w:val="1"/>
    </w:lvl>
  </w:abstractNum>
  <w:abstractNum w:abstractNumId="146">
    <w:nsid w:val="1AFE3625"/>
    <w:multiLevelType w:val="hybridMultilevel"/>
    <w:lvl w:ilvl="0">
      <w:lvlJc w:val="left"/>
      <w:lvlText w:val="(%1)"/>
      <w:numFmt w:val="decimal"/>
      <w:start w:val="1"/>
    </w:lvl>
  </w:abstractNum>
  <w:abstractNum w:abstractNumId="147">
    <w:nsid w:val="3CA88ECF"/>
    <w:multiLevelType w:val="hybridMultilevel"/>
    <w:lvl w:ilvl="0">
      <w:lvlJc w:val="left"/>
      <w:lvlText w:val="(%1)"/>
      <w:numFmt w:val="decimal"/>
      <w:start w:val="1"/>
    </w:lvl>
  </w:abstractNum>
  <w:abstractNum w:abstractNumId="148">
    <w:nsid w:val="6EBE4208"/>
    <w:multiLevelType w:val="hybridMultilevel"/>
    <w:lvl w:ilvl="0">
      <w:lvlJc w:val="left"/>
      <w:lvlText w:val="(%1)"/>
      <w:numFmt w:val="decimal"/>
      <w:start w:val="1"/>
    </w:lvl>
  </w:abstractNum>
  <w:abstractNum w:abstractNumId="149">
    <w:nsid w:val="C058DF5"/>
    <w:multiLevelType w:val="hybridMultilevel"/>
    <w:lvl w:ilvl="0">
      <w:lvlJc w:val="left"/>
      <w:lvlText w:val="(%1)"/>
      <w:numFmt w:val="decimal"/>
      <w:start w:val="1"/>
    </w:lvl>
  </w:abstractNum>
  <w:abstractNum w:abstractNumId="150">
    <w:nsid w:val="CBE5BE9"/>
    <w:multiLevelType w:val="hybridMultilevel"/>
    <w:lvl w:ilvl="0">
      <w:lvlJc w:val="left"/>
      <w:lvlText w:val="•"/>
      <w:numFmt w:val="bullet"/>
      <w:start w:val="1"/>
    </w:lvl>
  </w:abstractNum>
  <w:abstractNum w:abstractNumId="151">
    <w:nsid w:val="3102BBE2"/>
    <w:multiLevelType w:val="hybridMultilevel"/>
    <w:lvl w:ilvl="0">
      <w:lvlJc w:val="left"/>
      <w:lvlText w:val="•"/>
      <w:numFmt w:val="bullet"/>
      <w:start w:val="1"/>
    </w:lvl>
  </w:abstractNum>
  <w:abstractNum w:abstractNumId="152">
    <w:nsid w:val="26A02C5E"/>
    <w:multiLevelType w:val="hybridMultilevel"/>
    <w:lvl w:ilvl="0">
      <w:lvlJc w:val="left"/>
      <w:lvlText w:val="•"/>
      <w:numFmt w:val="bullet"/>
      <w:start w:val="1"/>
    </w:lvl>
  </w:abstractNum>
  <w:abstractNum w:abstractNumId="153">
    <w:nsid w:val="541C8153"/>
    <w:multiLevelType w:val="hybridMultilevel"/>
    <w:lvl w:ilvl="0">
      <w:lvlJc w:val="left"/>
      <w:lvlText w:val="•"/>
      <w:numFmt w:val="bullet"/>
      <w:start w:val="1"/>
    </w:lvl>
  </w:abstractNum>
  <w:abstractNum w:abstractNumId="154">
    <w:nsid w:val="67906F60"/>
    <w:multiLevelType w:val="hybridMultilevel"/>
    <w:lvl w:ilvl="0">
      <w:lvlJc w:val="left"/>
      <w:lvlText w:val="•"/>
      <w:numFmt w:val="bullet"/>
      <w:start w:val="1"/>
    </w:lvl>
  </w:abstractNum>
  <w:abstractNum w:abstractNumId="155">
    <w:nsid w:val="10DB9DAA"/>
    <w:multiLevelType w:val="hybridMultilevel"/>
    <w:lvl w:ilvl="0">
      <w:lvlJc w:val="left"/>
      <w:lvlText w:val="•"/>
      <w:numFmt w:val="bullet"/>
      <w:start w:val="1"/>
    </w:lvl>
  </w:abstractNum>
  <w:abstractNum w:abstractNumId="156">
    <w:nsid w:val="697D2D2"/>
    <w:multiLevelType w:val="hybridMultilevel"/>
    <w:lvl w:ilvl="0">
      <w:lvlJc w:val="left"/>
      <w:lvlText w:val="•"/>
      <w:numFmt w:val="bullet"/>
      <w:start w:val="1"/>
    </w:lvl>
  </w:abstractNum>
  <w:abstractNum w:abstractNumId="157">
    <w:nsid w:val="6D68AB2"/>
    <w:multiLevelType w:val="hybridMultilevel"/>
    <w:lvl w:ilvl="0">
      <w:lvlJc w:val="left"/>
      <w:lvlText w:val="(%1)"/>
      <w:numFmt w:val="decimal"/>
      <w:start w:val="1"/>
    </w:lvl>
  </w:abstractNum>
  <w:abstractNum w:abstractNumId="158">
    <w:nsid w:val="3A966CD0"/>
    <w:multiLevelType w:val="hybridMultilevel"/>
    <w:lvl w:ilvl="0">
      <w:lvlJc w:val="left"/>
      <w:lvlText w:val="(%1)"/>
      <w:numFmt w:val="decimal"/>
      <w:start w:val="4"/>
    </w:lvl>
  </w:abstractNum>
  <w:abstractNum w:abstractNumId="159">
    <w:nsid w:val="63F37E85"/>
    <w:multiLevelType w:val="hybridMultilevel"/>
    <w:lvl w:ilvl="0">
      <w:lvlJc w:val="left"/>
      <w:lvlText w:val="(%1)"/>
      <w:numFmt w:val="lowerLetter"/>
      <w:start w:val="1"/>
    </w:lvl>
  </w:abstractNum>
  <w:abstractNum w:abstractNumId="160">
    <w:nsid w:val="5895F5FA"/>
    <w:multiLevelType w:val="hybridMultilevel"/>
    <w:lvl w:ilvl="0">
      <w:lvlJc w:val="left"/>
      <w:lvlText w:val="•"/>
      <w:numFmt w:val="bullet"/>
      <w:start w:val="1"/>
    </w:lvl>
  </w:abstractNum>
  <w:abstractNum w:abstractNumId="161">
    <w:nsid w:val="38A5D054"/>
    <w:multiLevelType w:val="hybridMultilevel"/>
    <w:lvl w:ilvl="0">
      <w:lvlJc w:val="left"/>
      <w:lvlText w:val="•"/>
      <w:numFmt w:val="bullet"/>
      <w:start w:val="1"/>
    </w:lvl>
  </w:abstractNum>
  <w:abstractNum w:abstractNumId="162">
    <w:nsid w:val="F3F09D8"/>
    <w:multiLevelType w:val="hybridMultilevel"/>
    <w:lvl w:ilvl="0">
      <w:lvlJc w:val="left"/>
      <w:lvlText w:val="•"/>
      <w:numFmt w:val="bullet"/>
      <w:start w:val="1"/>
    </w:lvl>
  </w:abstractNum>
  <w:abstractNum w:abstractNumId="163">
    <w:nsid w:val="4B793735"/>
    <w:multiLevelType w:val="hybridMultilevel"/>
    <w:lvl w:ilvl="0">
      <w:lvlJc w:val="left"/>
      <w:lvlText w:val="•"/>
      <w:numFmt w:val="bullet"/>
      <w:start w:val="1"/>
    </w:lvl>
  </w:abstractNum>
  <w:abstractNum w:abstractNumId="164">
    <w:nsid w:val="4A10B4E8"/>
    <w:multiLevelType w:val="hybridMultilevel"/>
    <w:lvl w:ilvl="0">
      <w:lvlJc w:val="left"/>
      <w:lvlText w:val="•"/>
      <w:numFmt w:val="bullet"/>
      <w:start w:val="1"/>
    </w:lvl>
  </w:abstractNum>
  <w:abstractNum w:abstractNumId="165">
    <w:nsid w:val="43D3BCD4"/>
    <w:multiLevelType w:val="hybridMultilevel"/>
    <w:lvl w:ilvl="0">
      <w:lvlJc w:val="left"/>
      <w:lvlText w:val="%"/>
      <w:numFmt w:val="bullet"/>
      <w:start w:val="1"/>
    </w:lvl>
  </w:abstractNum>
  <w:abstractNum w:abstractNumId="166">
    <w:nsid w:val="4C2A7166"/>
    <w:multiLevelType w:val="hybridMultilevel"/>
    <w:lvl w:ilvl="0">
      <w:lvlJc w:val="left"/>
      <w:lvlText w:val="(%1)"/>
      <w:numFmt w:val="decimal"/>
      <w:start w:val="1"/>
    </w:lvl>
  </w:abstractNum>
  <w:abstractNum w:abstractNumId="167">
    <w:nsid w:val="2E534A82"/>
    <w:multiLevelType w:val="hybridMultilevel"/>
    <w:lvl w:ilvl="0">
      <w:lvlJc w:val="left"/>
      <w:lvlText w:val="(%1)"/>
      <w:numFmt w:val="decimal"/>
      <w:start w:val="1"/>
    </w:lvl>
  </w:abstractNum>
  <w:abstractNum w:abstractNumId="168">
    <w:nsid w:val="26F2D364"/>
    <w:multiLevelType w:val="hybridMultilevel"/>
    <w:lvl w:ilvl="0">
      <w:lvlJc w:val="left"/>
      <w:lvlText w:val="•"/>
      <w:numFmt w:val="bullet"/>
      <w:start w:val="1"/>
    </w:lvl>
  </w:abstractNum>
  <w:abstractNum w:abstractNumId="169">
    <w:nsid w:val="71C1AF98"/>
    <w:multiLevelType w:val="hybridMultilevel"/>
    <w:lvl w:ilvl="0">
      <w:lvlJc w:val="left"/>
      <w:lvlText w:val="(%1)"/>
      <w:numFmt w:val="decimal"/>
      <w:start w:val="1"/>
    </w:lvl>
  </w:abstractNum>
  <w:abstractNum w:abstractNumId="170">
    <w:nsid w:val="3D00B9D9"/>
    <w:multiLevelType w:val="hybridMultilevel"/>
    <w:lvl w:ilvl="0">
      <w:lvlJc w:val="left"/>
      <w:lvlText w:val="(%1)"/>
      <w:numFmt w:val="decimal"/>
      <w:start w:val="1"/>
    </w:lvl>
  </w:abstractNum>
  <w:abstractNum w:abstractNumId="171">
    <w:nsid w:val="15BCABA8"/>
    <w:multiLevelType w:val="hybridMultilevel"/>
    <w:lvl w:ilvl="0">
      <w:lvlJc w:val="left"/>
      <w:lvlText w:val="(%1)"/>
      <w:numFmt w:val="decimal"/>
      <w:start w:val="1"/>
    </w:lvl>
  </w:abstractNum>
  <w:abstractNum w:abstractNumId="172">
    <w:nsid w:val="4E0B9A87"/>
    <w:multiLevelType w:val="hybridMultilevel"/>
    <w:lvl w:ilvl="0">
      <w:lvlJc w:val="left"/>
      <w:lvlText w:val="(%1)"/>
      <w:numFmt w:val="decimal"/>
      <w:start w:val="1"/>
    </w:lvl>
  </w:abstractNum>
  <w:abstractNum w:abstractNumId="173">
    <w:nsid w:val="434BAE75"/>
    <w:multiLevelType w:val="hybridMultilevel"/>
    <w:lvl w:ilvl="0">
      <w:lvlJc w:val="left"/>
      <w:lvlText w:val="(%1)"/>
      <w:numFmt w:val="decimal"/>
      <w:start w:val="1"/>
    </w:lvl>
  </w:abstractNum>
  <w:abstractNum w:abstractNumId="174">
    <w:nsid w:val="4F38F265"/>
    <w:multiLevelType w:val="hybridMultilevel"/>
    <w:lvl w:ilvl="0">
      <w:lvlJc w:val="left"/>
      <w:lvlText w:val="(%1)"/>
      <w:numFmt w:val="decimal"/>
      <w:start w:val="1"/>
    </w:lvl>
  </w:abstractNum>
  <w:abstractNum w:abstractNumId="175">
    <w:nsid w:val="4C502870"/>
    <w:multiLevelType w:val="hybridMultilevel"/>
    <w:lvl w:ilvl="0">
      <w:lvlJc w:val="left"/>
      <w:lvlText w:val="(%1)"/>
      <w:numFmt w:val="decimal"/>
      <w:start w:val="1"/>
    </w:lvl>
  </w:abstractNum>
  <w:abstractNum w:abstractNumId="176">
    <w:nsid w:val="1DE8725A"/>
    <w:multiLevelType w:val="hybridMultilevel"/>
    <w:lvl w:ilvl="0">
      <w:lvlJc w:val="left"/>
      <w:lvlText w:val="(%1)"/>
      <w:numFmt w:val="decimal"/>
      <w:start w:val="1"/>
    </w:lvl>
  </w:abstractNum>
  <w:abstractNum w:abstractNumId="177">
    <w:nsid w:val="6A37288A"/>
    <w:multiLevelType w:val="hybridMultilevel"/>
    <w:lvl w:ilvl="0">
      <w:lvlJc w:val="left"/>
      <w:lvlText w:val="•"/>
      <w:numFmt w:val="bullet"/>
      <w:start w:val="1"/>
    </w:lvl>
  </w:abstractNum>
  <w:abstractNum w:abstractNumId="178">
    <w:nsid w:val="8F8B73F"/>
    <w:multiLevelType w:val="hybridMultilevel"/>
    <w:lvl w:ilvl="0">
      <w:lvlJc w:val="left"/>
      <w:lvlText w:val="•"/>
      <w:numFmt w:val="bullet"/>
      <w:start w:val="1"/>
    </w:lvl>
  </w:abstractNum>
  <w:abstractNum w:abstractNumId="179">
    <w:nsid w:val="CA6B462"/>
    <w:multiLevelType w:val="hybridMultilevel"/>
    <w:lvl w:ilvl="0">
      <w:lvlJc w:val="left"/>
      <w:lvlText w:val="•"/>
      <w:numFmt w:val="bullet"/>
      <w:start w:val="1"/>
    </w:lvl>
  </w:abstractNum>
  <w:abstractNum w:abstractNumId="180">
    <w:nsid w:val="763CB680"/>
    <w:multiLevelType w:val="hybridMultilevel"/>
    <w:lvl w:ilvl="0">
      <w:lvlJc w:val="left"/>
      <w:lvlText w:val="(%1)"/>
      <w:numFmt w:val="decimal"/>
      <w:start w:val="1"/>
    </w:lvl>
  </w:abstractNum>
  <w:abstractNum w:abstractNumId="181">
    <w:nsid w:val="15B71329"/>
    <w:multiLevelType w:val="hybridMultilevel"/>
    <w:lvl w:ilvl="0">
      <w:lvlJc w:val="left"/>
      <w:lvlText w:val="(%1)"/>
      <w:numFmt w:val="decimal"/>
      <w:start w:val="5"/>
    </w:lvl>
  </w:abstractNum>
  <w:abstractNum w:abstractNumId="182">
    <w:nsid w:val="3DA97044"/>
    <w:multiLevelType w:val="hybridMultilevel"/>
    <w:lvl w:ilvl="0">
      <w:lvlJc w:val="left"/>
      <w:lvlText w:val="(%1)"/>
      <w:numFmt w:val="decimal"/>
      <w:start w:val="7"/>
    </w:lvl>
  </w:abstractNum>
  <w:abstractNum w:abstractNumId="183">
    <w:nsid w:val="1CDCE2DE"/>
    <w:multiLevelType w:val="hybridMultilevel"/>
    <w:lvl w:ilvl="0">
      <w:lvlJc w:val="left"/>
      <w:lvlText w:val="%1"/>
      <w:numFmt w:val="decimal"/>
      <w:start w:val="1"/>
    </w:lvl>
    <w:lvl w:ilvl="1">
      <w:lvlJc w:val="left"/>
      <w:lvlText w:val="(%2)"/>
      <w:numFmt w:val="lowerLetter"/>
      <w:start w:val="1"/>
    </w:lvl>
  </w:abstractNum>
  <w:abstractNum w:abstractNumId="184">
    <w:nsid w:val="69D3947C"/>
    <w:multiLevelType w:val="hybridMultilevel"/>
    <w:lvl w:ilvl="0">
      <w:lvlJc w:val="left"/>
      <w:lvlText w:val="(%1)"/>
      <w:numFmt w:val="decimal"/>
      <w:start w:val="8"/>
    </w:lvl>
    <w:lvl w:ilvl="1">
      <w:lvlJc w:val="left"/>
      <w:lvlText w:val="%2"/>
      <w:numFmt w:val="lowerLetter"/>
      <w:start w:val="1"/>
    </w:lvl>
  </w:abstractNum>
  <w:abstractNum w:abstractNumId="185">
    <w:nsid w:val="2539DFA5"/>
    <w:multiLevelType w:val="hybridMultilevel"/>
    <w:lvl w:ilvl="0">
      <w:lvlJc w:val="left"/>
      <w:lvlText w:val="(%1)"/>
      <w:numFmt w:val="lowerLetter"/>
      <w:start w:val="1"/>
    </w:lvl>
  </w:abstractNum>
  <w:abstractNum w:abstractNumId="186">
    <w:nsid w:val="2DB88089"/>
    <w:multiLevelType w:val="hybridMultilevel"/>
    <w:lvl w:ilvl="0">
      <w:lvlJc w:val="left"/>
      <w:lvlText w:val="%1"/>
      <w:numFmt w:val="decimal"/>
      <w:start w:val="1"/>
    </w:lvl>
    <w:lvl w:ilvl="1">
      <w:lvlJc w:val="left"/>
      <w:lvlText w:val="(%2)"/>
      <w:numFmt w:val="lowerLetter"/>
      <w:start w:val="3"/>
    </w:lvl>
  </w:abstractNum>
  <w:abstractNum w:abstractNumId="187">
    <w:nsid w:val="706B674E"/>
    <w:multiLevelType w:val="hybridMultilevel"/>
    <w:lvl w:ilvl="0">
      <w:lvlJc w:val="left"/>
      <w:lvlText w:val="(%1)"/>
      <w:numFmt w:val="decimal"/>
      <w:start w:val="9"/>
    </w:lvl>
    <w:lvl w:ilvl="1">
      <w:lvlJc w:val="left"/>
      <w:lvlText w:val="%2"/>
      <w:numFmt w:val="lowerLetter"/>
      <w:start w:val="1"/>
    </w:lvl>
  </w:abstractNum>
  <w:abstractNum w:abstractNumId="188">
    <w:nsid w:val="2C106A57"/>
    <w:multiLevelType w:val="hybridMultilevel"/>
    <w:lvl w:ilvl="0">
      <w:lvlJc w:val="left"/>
      <w:lvlText w:val="(%1)"/>
      <w:numFmt w:val="decimal"/>
      <w:start w:val="1"/>
    </w:lvl>
  </w:abstractNum>
  <w:abstractNum w:abstractNumId="189">
    <w:nsid w:val="684EED59"/>
    <w:multiLevelType w:val="hybridMultilevel"/>
    <w:lvl w:ilvl="0">
      <w:lvlJc w:val="left"/>
      <w:lvlText w:val="(%1)"/>
      <w:numFmt w:val="decimal"/>
      <w:start w:val="4"/>
    </w:lvl>
  </w:abstractNum>
  <w:abstractNum w:abstractNumId="190">
    <w:nsid w:val="545EE5D3"/>
    <w:multiLevelType w:val="hybridMultilevel"/>
    <w:lvl w:ilvl="0">
      <w:lvlJc w:val="left"/>
      <w:lvlText w:val="(%1)"/>
      <w:numFmt w:val="decimal"/>
      <w:start w:val="1"/>
    </w:lvl>
  </w:abstractNum>
  <w:abstractNum w:abstractNumId="191">
    <w:nsid w:val="4A66051"/>
    <w:multiLevelType w:val="hybridMultilevel"/>
    <w:lvl w:ilvl="0">
      <w:lvlJc w:val="left"/>
      <w:lvlText w:val="(%1)"/>
      <w:numFmt w:val="decimal"/>
      <w:start w:val="20"/>
    </w:lvl>
  </w:abstractNum>
  <w:abstractNum w:abstractNumId="192">
    <w:nsid w:val="20F4BDAD"/>
    <w:multiLevelType w:val="hybridMultilevel"/>
    <w:lvl w:ilvl="0">
      <w:lvlJc w:val="left"/>
      <w:lvlText w:val="(%1)"/>
      <w:numFmt w:val="decimal"/>
      <w:start w:val="1"/>
    </w:lvl>
  </w:abstractNum>
  <w:abstractNum w:abstractNumId="193">
    <w:nsid w:val="639DEFAC"/>
    <w:multiLevelType w:val="hybridMultilevel"/>
    <w:lvl w:ilvl="0">
      <w:lvlJc w:val="left"/>
      <w:lvlText w:val="(%1)"/>
      <w:numFmt w:val="decimal"/>
      <w:start w:val="1"/>
    </w:lvl>
  </w:abstractNum>
  <w:abstractNum w:abstractNumId="194">
    <w:nsid w:val="501F9786"/>
    <w:multiLevelType w:val="hybridMultilevel"/>
    <w:lvl w:ilvl="0">
      <w:lvlJc w:val="left"/>
      <w:lvlText w:val="•"/>
      <w:numFmt w:val="bullet"/>
      <w:start w:val="1"/>
    </w:lvl>
  </w:abstractNum>
  <w:abstractNum w:abstractNumId="195">
    <w:nsid w:val="6B057295"/>
    <w:multiLevelType w:val="hybridMultilevel"/>
    <w:lvl w:ilvl="0">
      <w:lvlJc w:val="left"/>
      <w:lvlText w:val="•"/>
      <w:numFmt w:val="bullet"/>
      <w:start w:val="1"/>
    </w:lvl>
  </w:abstractNum>
  <w:abstractNum w:abstractNumId="196">
    <w:nsid w:val="2771AC80"/>
    <w:multiLevelType w:val="hybridMultilevel"/>
    <w:lvl w:ilvl="0">
      <w:lvlJc w:val="left"/>
      <w:lvlText w:val="(%1)"/>
      <w:numFmt w:val="decimal"/>
      <w:start w:val="1"/>
    </w:lvl>
  </w:abstractNum>
  <w:abstractNum w:abstractNumId="197">
    <w:nsid w:val="1C4A08EC"/>
    <w:multiLevelType w:val="hybridMultilevel"/>
    <w:lvl w:ilvl="0">
      <w:lvlJc w:val="left"/>
      <w:lvlText w:val="•"/>
      <w:numFmt w:val="bullet"/>
      <w:start w:val="1"/>
    </w:lvl>
  </w:abstractNum>
  <w:abstractNum w:abstractNumId="198">
    <w:nsid w:val="1958BD17"/>
    <w:multiLevelType w:val="hybridMultilevel"/>
    <w:lvl w:ilvl="0">
      <w:lvlJc w:val="left"/>
      <w:lvlText w:val="•"/>
      <w:numFmt w:val="bullet"/>
      <w:start w:val="1"/>
    </w:lvl>
  </w:abstractNum>
  <w:abstractNum w:abstractNumId="199">
    <w:nsid w:val="4E647FE4"/>
    <w:multiLevelType w:val="hybridMultilevel"/>
    <w:lvl w:ilvl="0">
      <w:lvlJc w:val="left"/>
      <w:lvlText w:val="(%1)"/>
      <w:numFmt w:val="decimal"/>
      <w:start w:val="1"/>
    </w:lvl>
  </w:abstractNum>
  <w:abstractNum w:abstractNumId="200">
    <w:nsid w:val="E0BB885"/>
    <w:multiLevelType w:val="hybridMultilevel"/>
    <w:lvl w:ilvl="0">
      <w:lvlJc w:val="left"/>
      <w:lvlText w:val="•"/>
      <w:numFmt w:val="bullet"/>
      <w:start w:val="1"/>
    </w:lvl>
  </w:abstractNum>
  <w:abstractNum w:abstractNumId="201">
    <w:nsid w:val="565976F1"/>
    <w:multiLevelType w:val="hybridMultilevel"/>
    <w:lvl w:ilvl="0">
      <w:lvlJc w:val="left"/>
      <w:lvlText w:val="•"/>
      <w:numFmt w:val="bullet"/>
      <w:start w:val="1"/>
    </w:lvl>
  </w:abstractNum>
  <w:abstractNum w:abstractNumId="202">
    <w:nsid w:val="64212B8C"/>
    <w:multiLevelType w:val="hybridMultilevel"/>
    <w:lvl w:ilvl="0">
      <w:lvlJc w:val="left"/>
      <w:lvlText w:val="(%1)"/>
      <w:numFmt w:val="decimal"/>
      <w:start w:val="1"/>
    </w:lvl>
  </w:abstractNum>
  <w:abstractNum w:abstractNumId="203">
    <w:nsid w:val="5C17530C"/>
    <w:multiLevelType w:val="hybridMultilevel"/>
    <w:lvl w:ilvl="0">
      <w:lvlJc w:val="left"/>
      <w:lvlText w:val="•"/>
      <w:numFmt w:val="bullet"/>
      <w:start w:val="1"/>
    </w:lvl>
    <w:lvl w:ilvl="1">
      <w:lvlJc w:val="left"/>
      <w:lvlText w:val="•"/>
      <w:numFmt w:val="bullet"/>
      <w:start w:val="1"/>
    </w:lvl>
  </w:abstractNum>
  <w:abstractNum w:abstractNumId="204">
    <w:nsid w:val="19A52566"/>
    <w:multiLevelType w:val="hybridMultilevel"/>
    <w:lvl w:ilvl="0">
      <w:lvlJc w:val="left"/>
      <w:lvlText w:val="•"/>
      <w:numFmt w:val="bullet"/>
      <w:start w:val="1"/>
    </w:lvl>
  </w:abstractNum>
  <w:abstractNum w:abstractNumId="205">
    <w:nsid w:val="335A1DF1"/>
    <w:multiLevelType w:val="hybridMultilevel"/>
    <w:lvl w:ilvl="0">
      <w:lvlJc w:val="left"/>
      <w:lvlText w:val="(%1)"/>
      <w:numFmt w:val="decimal"/>
      <w:start w:val="1"/>
    </w:lvl>
  </w:abstractNum>
  <w:abstractNum w:abstractNumId="206">
    <w:nsid w:val="28677B7C"/>
    <w:multiLevelType w:val="hybridMultilevel"/>
    <w:lvl w:ilvl="0">
      <w:lvlJc w:val="left"/>
      <w:lvlText w:val="(%1)"/>
      <w:numFmt w:val="decimal"/>
      <w:start w:val="1"/>
    </w:lvl>
  </w:abstractNum>
  <w:abstractNum w:abstractNumId="207">
    <w:nsid w:val="378D97C0"/>
    <w:multiLevelType w:val="hybridMultilevel"/>
    <w:lvl w:ilvl="0">
      <w:lvlJc w:val="left"/>
      <w:lvlText w:val="(%1)"/>
      <w:numFmt w:val="decimal"/>
      <w:start w:val="2"/>
    </w:lvl>
  </w:abstractNum>
  <w:abstractNum w:abstractNumId="208">
    <w:nsid w:val="1D91467C"/>
    <w:multiLevelType w:val="hybridMultilevel"/>
    <w:lvl w:ilvl="0">
      <w:lvlJc w:val="left"/>
      <w:lvlText w:val="(%1)"/>
      <w:numFmt w:val="decimal"/>
      <w:start w:val="5"/>
    </w:lvl>
  </w:abstractNum>
  <w:abstractNum w:abstractNumId="209">
    <w:nsid w:val="316032BB"/>
    <w:multiLevelType w:val="hybridMultilevel"/>
    <w:lvl w:ilvl="0">
      <w:lvlJc w:val="left"/>
      <w:lvlText w:val="(%1)"/>
      <w:numFmt w:val="decimal"/>
      <w:start w:val="6"/>
    </w:lvl>
  </w:abstractNum>
  <w:abstractNum w:abstractNumId="210">
    <w:nsid w:val="44344C22"/>
    <w:multiLevelType w:val="hybridMultilevel"/>
    <w:lvl w:ilvl="0">
      <w:lvlJc w:val="left"/>
      <w:lvlText w:val="(%1)"/>
      <w:numFmt w:val="decimal"/>
      <w:start w:val="7"/>
    </w:lvl>
  </w:abstractNum>
  <w:abstractNum w:abstractNumId="211">
    <w:nsid w:val="13CDFCFC"/>
    <w:multiLevelType w:val="hybridMultilevel"/>
    <w:lvl w:ilvl="0">
      <w:lvlJc w:val="left"/>
      <w:lvlText w:val="•"/>
      <w:numFmt w:val="bullet"/>
      <w:start w:val="1"/>
    </w:lvl>
  </w:abstractNum>
  <w:abstractNum w:abstractNumId="212">
    <w:nsid w:val="471745E4"/>
    <w:multiLevelType w:val="hybridMultilevel"/>
    <w:lvl w:ilvl="0">
      <w:lvlJc w:val="left"/>
      <w:lvlText w:val="•"/>
      <w:numFmt w:val="bullet"/>
      <w:start w:val="1"/>
    </w:lvl>
  </w:abstractNum>
  <w:abstractNum w:abstractNumId="213">
    <w:nsid w:val="1DDBC66"/>
    <w:multiLevelType w:val="hybridMultilevel"/>
    <w:lvl w:ilvl="0">
      <w:lvlJc w:val="left"/>
      <w:lvlText w:val="•"/>
      <w:numFmt w:val="bullet"/>
      <w:start w:val="1"/>
    </w:lvl>
  </w:abstractNum>
  <w:abstractNum w:abstractNumId="214">
    <w:nsid w:val="30AADFDA"/>
    <w:multiLevelType w:val="hybridMultilevel"/>
    <w:lvl w:ilvl="0">
      <w:lvlJc w:val="left"/>
      <w:lvlText w:val="•"/>
      <w:numFmt w:val="bullet"/>
      <w:start w:val="1"/>
    </w:lvl>
  </w:abstractNum>
  <w:abstractNum w:abstractNumId="215">
    <w:nsid w:val="30EADA61"/>
    <w:multiLevelType w:val="hybridMultilevel"/>
    <w:lvl w:ilvl="0">
      <w:lvlJc w:val="left"/>
      <w:lvlText w:val="•"/>
      <w:numFmt w:val="bullet"/>
      <w:start w:val="1"/>
    </w:lvl>
  </w:abstractNum>
  <w:abstractNum w:abstractNumId="216">
    <w:nsid w:val="27179C0B"/>
    <w:multiLevelType w:val="hybridMultilevel"/>
    <w:lvl w:ilvl="0">
      <w:lvlJc w:val="left"/>
      <w:lvlText w:val="•"/>
      <w:numFmt w:val="bullet"/>
      <w:start w:val="1"/>
    </w:lvl>
  </w:abstractNum>
  <w:abstractNum w:abstractNumId="217">
    <w:nsid w:val="5E636063"/>
    <w:multiLevelType w:val="hybridMultilevel"/>
    <w:lvl w:ilvl="0">
      <w:lvlJc w:val="left"/>
      <w:lvlText w:val="(%1)"/>
      <w:numFmt w:val="decimal"/>
      <w:start w:val="1"/>
    </w:lvl>
  </w:abstractNum>
  <w:abstractNum w:abstractNumId="218">
    <w:nsid w:val="215641AF"/>
    <w:multiLevelType w:val="hybridMultilevel"/>
    <w:lvl w:ilvl="0">
      <w:lvlJc w:val="left"/>
      <w:lvlText w:val="(%1)"/>
      <w:numFmt w:val="decimal"/>
      <w:start w:val="1"/>
    </w:lvl>
  </w:abstractNum>
  <w:abstractNum w:abstractNumId="219">
    <w:nsid w:val="53280662"/>
    <w:multiLevelType w:val="hybridMultilevel"/>
    <w:lvl w:ilvl="0">
      <w:lvlJc w:val="left"/>
      <w:lvlText w:val="•"/>
      <w:numFmt w:val="bullet"/>
      <w:start w:val="1"/>
    </w:lvl>
  </w:abstractNum>
  <w:abstractNum w:abstractNumId="220">
    <w:nsid w:val="46B24DBC"/>
    <w:multiLevelType w:val="hybridMultilevel"/>
    <w:lvl w:ilvl="0">
      <w:lvlJc w:val="left"/>
      <w:lvlText w:val="(%1)"/>
      <w:numFmt w:val="decimal"/>
      <w:start w:val="1"/>
    </w:lvl>
  </w:abstractNum>
  <w:abstractNum w:abstractNumId="221">
    <w:nsid w:val="75B52783"/>
    <w:multiLevelType w:val="hybridMultilevel"/>
    <w:lvl w:ilvl="0">
      <w:lvlJc w:val="left"/>
      <w:lvlText w:val="*"/>
      <w:numFmt w:val="bullet"/>
      <w:start w:val="1"/>
    </w:lvl>
  </w:abstractNum>
  <w:abstractNum w:abstractNumId="222">
    <w:nsid w:val="57CE66B4"/>
    <w:multiLevelType w:val="hybridMultilevel"/>
    <w:lvl w:ilvl="0">
      <w:lvlJc w:val="left"/>
      <w:lvlText w:val="(%1)"/>
      <w:numFmt w:val="decimal"/>
      <w:start w:val="1"/>
    </w:lvl>
  </w:abstractNum>
  <w:abstractNum w:abstractNumId="223">
    <w:nsid w:val="67A70B69"/>
    <w:multiLevelType w:val="hybridMultilevel"/>
    <w:lvl w:ilvl="0">
      <w:lvlJc w:val="left"/>
      <w:lvlText w:val="(%1)"/>
      <w:numFmt w:val="decimal"/>
      <w:start w:val="15"/>
    </w:lvl>
  </w:abstractNum>
  <w:abstractNum w:abstractNumId="224">
    <w:nsid w:val="5953172F"/>
    <w:multiLevelType w:val="hybridMultilevel"/>
    <w:lvl w:ilvl="0">
      <w:lvlJc w:val="left"/>
      <w:lvlText w:val="(%1)"/>
      <w:numFmt w:val="decimal"/>
      <w:start w:val="17"/>
    </w:lvl>
  </w:abstractNum>
  <w:abstractNum w:abstractNumId="225">
    <w:nsid w:val="27EDFE3A"/>
    <w:multiLevelType w:val="hybridMultilevel"/>
    <w:lvl w:ilvl="0">
      <w:lvlJc w:val="left"/>
      <w:lvlText w:val="(%1)"/>
      <w:numFmt w:val="decimal"/>
      <w:start w:val="3"/>
    </w:lvl>
  </w:abstractNum>
  <w:abstractNum w:abstractNumId="226">
    <w:nsid w:val="52AC7DFF"/>
    <w:multiLevelType w:val="hybridMultilevel"/>
    <w:lvl w:ilvl="0">
      <w:lvlJc w:val="left"/>
      <w:lvlText w:val="*"/>
      <w:numFmt w:val="bullet"/>
      <w:start w:val="1"/>
    </w:lvl>
  </w:abstractNum>
  <w:abstractNum w:abstractNumId="227">
    <w:nsid w:val="C4C3AF"/>
    <w:multiLevelType w:val="hybridMultilevel"/>
    <w:lvl w:ilvl="0">
      <w:lvlJc w:val="left"/>
      <w:lvlText w:val="(%1)"/>
      <w:numFmt w:val="decimal"/>
      <w:start w:val="1"/>
    </w:lvl>
  </w:abstractNum>
  <w:abstractNum w:abstractNumId="228">
    <w:nsid w:val="44380727"/>
    <w:multiLevelType w:val="hybridMultilevel"/>
    <w:lvl w:ilvl="0">
      <w:lvlJc w:val="left"/>
      <w:lvlText w:val="(%1)"/>
      <w:numFmt w:val="decimal"/>
      <w:start w:val="3"/>
    </w:lvl>
  </w:abstractNum>
  <w:abstractNum w:abstractNumId="229">
    <w:nsid w:val="6C053B16"/>
    <w:multiLevelType w:val="hybridMultilevel"/>
    <w:lvl w:ilvl="0">
      <w:lvlJc w:val="left"/>
      <w:lvlText w:val="(%1)"/>
      <w:numFmt w:val="decimal"/>
      <w:start w:val="1"/>
    </w:lvl>
  </w:abstractNum>
  <w:abstractNum w:abstractNumId="230">
    <w:nsid w:val="4F294393"/>
    <w:multiLevelType w:val="hybridMultilevel"/>
    <w:lvl w:ilvl="0">
      <w:lvlJc w:val="left"/>
      <w:lvlText w:val="(%1)"/>
      <w:numFmt w:val="decimal"/>
      <w:start w:val="4"/>
    </w:lvl>
  </w:abstractNum>
  <w:abstractNum w:abstractNumId="231">
    <w:nsid w:val="5243BFAC"/>
    <w:multiLevelType w:val="hybridMultilevel"/>
    <w:lvl w:ilvl="0">
      <w:lvlJc w:val="left"/>
      <w:lvlText w:val="(%1)"/>
      <w:numFmt w:val="decimal"/>
      <w:start w:val="1"/>
    </w:lvl>
  </w:abstractNum>
  <w:abstractNum w:abstractNumId="232">
    <w:nsid w:val="425EB207"/>
    <w:multiLevelType w:val="hybridMultilevel"/>
    <w:lvl w:ilvl="0">
      <w:lvlJc w:val="left"/>
      <w:lvlText w:val="(%1)"/>
      <w:numFmt w:val="decimal"/>
      <w:start w:val="1"/>
    </w:lvl>
  </w:abstractNum>
  <w:abstractNum w:abstractNumId="233">
    <w:nsid w:val="334A6F1F"/>
    <w:multiLevelType w:val="hybridMultilevel"/>
    <w:lvl w:ilvl="0">
      <w:lvlJc w:val="left"/>
      <w:lvlText w:val="(%1)"/>
      <w:numFmt w:val="decimal"/>
      <w:start w:val="6"/>
    </w:lvl>
  </w:abstractNum>
  <w:abstractNum w:abstractNumId="234">
    <w:nsid w:val="2E5B12B8"/>
    <w:multiLevelType w:val="hybridMultilevel"/>
    <w:lvl w:ilvl="0">
      <w:lvlJc w:val="left"/>
      <w:lvlText w:val="(%1)"/>
      <w:numFmt w:val="decimal"/>
      <w:start w:val="1"/>
    </w:lvl>
  </w:abstractNum>
  <w:abstractNum w:abstractNumId="235">
    <w:nsid w:val="5C03D76D"/>
    <w:multiLevelType w:val="hybridMultilevel"/>
    <w:lvl w:ilvl="0">
      <w:lvlJc w:val="left"/>
      <w:lvlText w:val="(%1)"/>
      <w:numFmt w:val="decimal"/>
      <w:start w:val="1"/>
    </w:lvl>
  </w:abstractNum>
  <w:abstractNum w:abstractNumId="236">
    <w:nsid w:val="66A48D11"/>
    <w:multiLevelType w:val="hybridMultilevel"/>
    <w:lvl w:ilvl="0">
      <w:lvlJc w:val="left"/>
      <w:lvlText w:val="(%1)"/>
      <w:numFmt w:val="decimal"/>
      <w:start w:val="3"/>
    </w:lvl>
  </w:abstractNum>
  <w:abstractNum w:abstractNumId="237">
    <w:nsid w:val="56C28E3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jpe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jpeg"/><Relationship Id="rId261" Type="http://schemas.openxmlformats.org/officeDocument/2006/relationships/image" Target="media/image254.jpeg"/><Relationship Id="rId262" Type="http://schemas.openxmlformats.org/officeDocument/2006/relationships/image" Target="media/image255.jpe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jpeg"/><Relationship Id="rId266" Type="http://schemas.openxmlformats.org/officeDocument/2006/relationships/image" Target="media/image259.jpeg"/><Relationship Id="rId267" Type="http://schemas.openxmlformats.org/officeDocument/2006/relationships/image" Target="media/image260.jpeg"/><Relationship Id="rId268" Type="http://schemas.openxmlformats.org/officeDocument/2006/relationships/image" Target="media/image261.jpeg"/><Relationship Id="rId269" Type="http://schemas.openxmlformats.org/officeDocument/2006/relationships/image" Target="media/image262.jpeg"/><Relationship Id="rId270" Type="http://schemas.openxmlformats.org/officeDocument/2006/relationships/image" Target="media/image263.jpe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jpeg"/><Relationship Id="rId276" Type="http://schemas.openxmlformats.org/officeDocument/2006/relationships/image" Target="media/image269.jpeg"/><Relationship Id="rId277" Type="http://schemas.openxmlformats.org/officeDocument/2006/relationships/image" Target="media/image270.jpeg"/><Relationship Id="rId278" Type="http://schemas.openxmlformats.org/officeDocument/2006/relationships/image" Target="media/image271.jpeg"/><Relationship Id="rId279" Type="http://schemas.openxmlformats.org/officeDocument/2006/relationships/image" Target="media/image272.jpeg"/><Relationship Id="rId280" Type="http://schemas.openxmlformats.org/officeDocument/2006/relationships/image" Target="media/image273.jpe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jpeg"/><Relationship Id="rId285" Type="http://schemas.openxmlformats.org/officeDocument/2006/relationships/image" Target="media/image278.jpe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jpeg"/><Relationship Id="rId289" Type="http://schemas.openxmlformats.org/officeDocument/2006/relationships/image" Target="media/image282.jpeg"/><Relationship Id="rId290" Type="http://schemas.openxmlformats.org/officeDocument/2006/relationships/image" Target="media/image283.jpeg"/><Relationship Id="rId291" Type="http://schemas.openxmlformats.org/officeDocument/2006/relationships/image" Target="media/image284.jpeg"/><Relationship Id="rId292" Type="http://schemas.openxmlformats.org/officeDocument/2006/relationships/image" Target="media/image285.jpeg"/><Relationship Id="rId293" Type="http://schemas.openxmlformats.org/officeDocument/2006/relationships/image" Target="media/image286.jpeg"/><Relationship Id="rId294" Type="http://schemas.openxmlformats.org/officeDocument/2006/relationships/image" Target="media/image287.jpeg"/><Relationship Id="rId295" Type="http://schemas.openxmlformats.org/officeDocument/2006/relationships/image" Target="media/image288.jpeg"/><Relationship Id="rId296" Type="http://schemas.openxmlformats.org/officeDocument/2006/relationships/image" Target="media/image289.jpeg"/><Relationship Id="rId297" Type="http://schemas.openxmlformats.org/officeDocument/2006/relationships/image" Target="media/image290.jpeg"/><Relationship Id="rId298" Type="http://schemas.openxmlformats.org/officeDocument/2006/relationships/image" Target="media/image291.jpeg"/><Relationship Id="rId299" Type="http://schemas.openxmlformats.org/officeDocument/2006/relationships/image" Target="media/image292.jpeg"/><Relationship Id="rId300" Type="http://schemas.openxmlformats.org/officeDocument/2006/relationships/image" Target="media/image293.jpeg"/><Relationship Id="rId301" Type="http://schemas.openxmlformats.org/officeDocument/2006/relationships/image" Target="media/image294.jpeg"/><Relationship Id="rId302" Type="http://schemas.openxmlformats.org/officeDocument/2006/relationships/image" Target="media/image295.jpeg"/><Relationship Id="rId303" Type="http://schemas.openxmlformats.org/officeDocument/2006/relationships/image" Target="media/image296.jpeg"/><Relationship Id="rId304" Type="http://schemas.openxmlformats.org/officeDocument/2006/relationships/image" Target="media/image297.jpeg"/><Relationship Id="rId305" Type="http://schemas.openxmlformats.org/officeDocument/2006/relationships/image" Target="media/image298.jpeg"/><Relationship Id="rId306" Type="http://schemas.openxmlformats.org/officeDocument/2006/relationships/image" Target="media/image299.jpeg"/><Relationship Id="rId307" Type="http://schemas.openxmlformats.org/officeDocument/2006/relationships/image" Target="media/image300.jpeg"/><Relationship Id="rId308" Type="http://schemas.openxmlformats.org/officeDocument/2006/relationships/image" Target="media/image301.jpeg"/><Relationship Id="rId309" Type="http://schemas.openxmlformats.org/officeDocument/2006/relationships/image" Target="media/image302.jpeg"/><Relationship Id="rId310" Type="http://schemas.openxmlformats.org/officeDocument/2006/relationships/image" Target="media/image303.jpeg"/><Relationship Id="rId311" Type="http://schemas.openxmlformats.org/officeDocument/2006/relationships/image" Target="media/image304.jpeg"/><Relationship Id="rId312" Type="http://schemas.openxmlformats.org/officeDocument/2006/relationships/image" Target="media/image305.jpeg"/><Relationship Id="rId313" Type="http://schemas.openxmlformats.org/officeDocument/2006/relationships/image" Target="media/image306.jpeg"/><Relationship Id="rId314" Type="http://schemas.openxmlformats.org/officeDocument/2006/relationships/image" Target="media/image307.jpeg"/><Relationship Id="rId315" Type="http://schemas.openxmlformats.org/officeDocument/2006/relationships/image" Target="media/image308.jpeg"/><Relationship Id="rId316" Type="http://schemas.openxmlformats.org/officeDocument/2006/relationships/image" Target="media/image309.jpeg"/><Relationship Id="rId317" Type="http://schemas.openxmlformats.org/officeDocument/2006/relationships/image" Target="media/image310.jpeg"/><Relationship Id="rId318" Type="http://schemas.openxmlformats.org/officeDocument/2006/relationships/image" Target="media/image311.jpeg"/><Relationship Id="rId319" Type="http://schemas.openxmlformats.org/officeDocument/2006/relationships/image" Target="media/image312.jpeg"/><Relationship Id="rId320" Type="http://schemas.openxmlformats.org/officeDocument/2006/relationships/image" Target="media/image313.jpeg"/><Relationship Id="rId321" Type="http://schemas.openxmlformats.org/officeDocument/2006/relationships/image" Target="media/image314.jpeg"/><Relationship Id="rId322" Type="http://schemas.openxmlformats.org/officeDocument/2006/relationships/image" Target="media/image315.jpeg"/><Relationship Id="rId323" Type="http://schemas.openxmlformats.org/officeDocument/2006/relationships/image" Target="media/image316.jpeg"/><Relationship Id="rId324" Type="http://schemas.openxmlformats.org/officeDocument/2006/relationships/image" Target="media/image317.jpeg"/><Relationship Id="rId325" Type="http://schemas.openxmlformats.org/officeDocument/2006/relationships/image" Target="media/image318.jpeg"/><Relationship Id="rId326" Type="http://schemas.openxmlformats.org/officeDocument/2006/relationships/image" Target="media/image319.jpeg"/><Relationship Id="rId327" Type="http://schemas.openxmlformats.org/officeDocument/2006/relationships/image" Target="media/image320.jpeg"/><Relationship Id="rId328" Type="http://schemas.openxmlformats.org/officeDocument/2006/relationships/image" Target="media/image321.jpeg"/><Relationship Id="rId329" Type="http://schemas.openxmlformats.org/officeDocument/2006/relationships/image" Target="media/image322.jpeg"/><Relationship Id="rId330" Type="http://schemas.openxmlformats.org/officeDocument/2006/relationships/image" Target="media/image323.jpeg"/><Relationship Id="rId331" Type="http://schemas.openxmlformats.org/officeDocument/2006/relationships/image" Target="media/image324.jpeg"/><Relationship Id="rId332" Type="http://schemas.openxmlformats.org/officeDocument/2006/relationships/image" Target="media/image325.jpeg"/><Relationship Id="rId333" Type="http://schemas.openxmlformats.org/officeDocument/2006/relationships/image" Target="media/image326.jpeg"/><Relationship Id="rId334" Type="http://schemas.openxmlformats.org/officeDocument/2006/relationships/image" Target="media/image327.jpeg"/><Relationship Id="rId335" Type="http://schemas.openxmlformats.org/officeDocument/2006/relationships/image" Target="media/image328.jpeg"/><Relationship Id="rId336" Type="http://schemas.openxmlformats.org/officeDocument/2006/relationships/image" Target="media/image329.jpeg"/><Relationship Id="rId337" Type="http://schemas.openxmlformats.org/officeDocument/2006/relationships/image" Target="media/image330.jpeg"/><Relationship Id="rId338" Type="http://schemas.openxmlformats.org/officeDocument/2006/relationships/image" Target="media/image331.jpeg"/><Relationship Id="rId339" Type="http://schemas.openxmlformats.org/officeDocument/2006/relationships/image" Target="media/image332.jpeg"/><Relationship Id="rId340" Type="http://schemas.openxmlformats.org/officeDocument/2006/relationships/image" Target="media/image333.jpeg"/><Relationship Id="rId341" Type="http://schemas.openxmlformats.org/officeDocument/2006/relationships/image" Target="media/image334.jpeg"/><Relationship Id="rId342" Type="http://schemas.openxmlformats.org/officeDocument/2006/relationships/image" Target="media/image335.jpeg"/><Relationship Id="rId343" Type="http://schemas.openxmlformats.org/officeDocument/2006/relationships/image" Target="media/image336.jpeg"/><Relationship Id="rId344" Type="http://schemas.openxmlformats.org/officeDocument/2006/relationships/image" Target="media/image337.jpeg"/><Relationship Id="rId345" Type="http://schemas.openxmlformats.org/officeDocument/2006/relationships/image" Target="media/image338.jpeg"/><Relationship Id="rId346" Type="http://schemas.openxmlformats.org/officeDocument/2006/relationships/image" Target="media/image339.jpeg"/><Relationship Id="rId347" Type="http://schemas.openxmlformats.org/officeDocument/2006/relationships/image" Target="media/image340.jpeg"/><Relationship Id="rId348" Type="http://schemas.openxmlformats.org/officeDocument/2006/relationships/image" Target="media/image341.jpe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jpeg"/><Relationship Id="rId352" Type="http://schemas.openxmlformats.org/officeDocument/2006/relationships/image" Target="media/image345.png"/><Relationship Id="rId353" Type="http://schemas.openxmlformats.org/officeDocument/2006/relationships/image" Target="media/image346.jpeg"/><Relationship Id="rId354" Type="http://schemas.openxmlformats.org/officeDocument/2006/relationships/image" Target="media/image347.jpe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jpe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jpe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jpe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jpe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jpe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jpe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jpe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jpe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jpeg"/><Relationship Id="rId400" Type="http://schemas.openxmlformats.org/officeDocument/2006/relationships/image" Target="media/image393.png"/><Relationship Id="rId401" Type="http://schemas.openxmlformats.org/officeDocument/2006/relationships/image" Target="media/image394.jpe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jpeg"/><Relationship Id="rId407" Type="http://schemas.openxmlformats.org/officeDocument/2006/relationships/image" Target="media/image400.png"/><Relationship Id="rId408" Type="http://schemas.openxmlformats.org/officeDocument/2006/relationships/image" Target="media/image401.jpeg"/><Relationship Id="rId409" Type="http://schemas.openxmlformats.org/officeDocument/2006/relationships/image" Target="media/image402.jpeg"/><Relationship Id="rId410" Type="http://schemas.openxmlformats.org/officeDocument/2006/relationships/image" Target="media/image403.jpeg"/><Relationship Id="rId411" Type="http://schemas.openxmlformats.org/officeDocument/2006/relationships/image" Target="media/image404.jpeg"/><Relationship Id="rId412" Type="http://schemas.openxmlformats.org/officeDocument/2006/relationships/image" Target="media/image405.jpeg"/><Relationship Id="rId413" Type="http://schemas.openxmlformats.org/officeDocument/2006/relationships/image" Target="media/image406.jpeg"/><Relationship Id="rId414" Type="http://schemas.openxmlformats.org/officeDocument/2006/relationships/image" Target="media/image407.jpe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jpeg"/><Relationship Id="rId419" Type="http://schemas.openxmlformats.org/officeDocument/2006/relationships/image" Target="media/image412.png"/><Relationship Id="rId420" Type="http://schemas.openxmlformats.org/officeDocument/2006/relationships/image" Target="media/image413.jpe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jpeg"/><Relationship Id="rId425" Type="http://schemas.openxmlformats.org/officeDocument/2006/relationships/image" Target="media/image418.jpeg"/><Relationship Id="rId426" Type="http://schemas.openxmlformats.org/officeDocument/2006/relationships/image" Target="media/image419.jpeg"/><Relationship Id="rId427" Type="http://schemas.openxmlformats.org/officeDocument/2006/relationships/image" Target="media/image420.jpe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jpeg"/><Relationship Id="rId432" Type="http://schemas.openxmlformats.org/officeDocument/2006/relationships/image" Target="media/image425.jpeg"/><Relationship Id="rId433" Type="http://schemas.openxmlformats.org/officeDocument/2006/relationships/image" Target="media/image426.jpeg"/><Relationship Id="rId434" Type="http://schemas.openxmlformats.org/officeDocument/2006/relationships/image" Target="media/image427.png"/><Relationship Id="rId435" Type="http://schemas.openxmlformats.org/officeDocument/2006/relationships/image" Target="media/image428.jpe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jpeg"/><Relationship Id="rId439" Type="http://schemas.openxmlformats.org/officeDocument/2006/relationships/image" Target="media/image432.jpeg"/><Relationship Id="rId440" Type="http://schemas.openxmlformats.org/officeDocument/2006/relationships/image" Target="media/image433.png"/><Relationship Id="rId441" Type="http://schemas.openxmlformats.org/officeDocument/2006/relationships/image" Target="media/image434.jpeg"/><Relationship Id="rId442" Type="http://schemas.openxmlformats.org/officeDocument/2006/relationships/image" Target="media/image435.jpeg"/><Relationship Id="rId443" Type="http://schemas.openxmlformats.org/officeDocument/2006/relationships/image" Target="media/image436.png"/><Relationship Id="rId444" Type="http://schemas.openxmlformats.org/officeDocument/2006/relationships/image" Target="media/image437.jpeg"/><Relationship Id="rId445" Type="http://schemas.openxmlformats.org/officeDocument/2006/relationships/image" Target="media/image438.jpeg"/><Relationship Id="rId446" Type="http://schemas.openxmlformats.org/officeDocument/2006/relationships/image" Target="media/image439.jpeg"/><Relationship Id="rId447" Type="http://schemas.openxmlformats.org/officeDocument/2006/relationships/image" Target="media/image440.jpeg"/><Relationship Id="rId448" Type="http://schemas.openxmlformats.org/officeDocument/2006/relationships/image" Target="media/image441.jpeg"/><Relationship Id="rId449" Type="http://schemas.openxmlformats.org/officeDocument/2006/relationships/image" Target="media/image442.jpeg"/><Relationship Id="rId450" Type="http://schemas.openxmlformats.org/officeDocument/2006/relationships/image" Target="media/image443.jpeg"/><Relationship Id="rId451" Type="http://schemas.openxmlformats.org/officeDocument/2006/relationships/image" Target="media/image444.jpe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jpe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jpe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jpe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jpe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jpe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jpe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jpeg"/><Relationship Id="rId484" Type="http://schemas.openxmlformats.org/officeDocument/2006/relationships/image" Target="media/image477.png"/><Relationship Id="rId485" Type="http://schemas.openxmlformats.org/officeDocument/2006/relationships/image" Target="media/image478.jpe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jpe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jpe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jpe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jpe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jpe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jpe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jpeg"/><Relationship Id="rId519" Type="http://schemas.openxmlformats.org/officeDocument/2006/relationships/image" Target="media/image512.jpe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jpeg"/><Relationship Id="rId525" Type="http://schemas.openxmlformats.org/officeDocument/2006/relationships/image" Target="media/image518.png"/><Relationship Id="rId526" Type="http://schemas.openxmlformats.org/officeDocument/2006/relationships/image" Target="media/image519.jpe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jpeg"/><Relationship Id="rId533" Type="http://schemas.openxmlformats.org/officeDocument/2006/relationships/image" Target="media/image526.jpe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jpe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jpeg"/><Relationship Id="rId542" Type="http://schemas.openxmlformats.org/officeDocument/2006/relationships/image" Target="media/image535.jpeg"/><Relationship Id="rId543" Type="http://schemas.openxmlformats.org/officeDocument/2006/relationships/image" Target="media/image536.jpeg"/><Relationship Id="rId544" Type="http://schemas.openxmlformats.org/officeDocument/2006/relationships/image" Target="media/image537.jpeg"/><Relationship Id="rId545" Type="http://schemas.openxmlformats.org/officeDocument/2006/relationships/image" Target="media/image538.jpeg"/><Relationship Id="rId546" Type="http://schemas.openxmlformats.org/officeDocument/2006/relationships/image" Target="media/image539.jpeg"/><Relationship Id="rId547" Type="http://schemas.openxmlformats.org/officeDocument/2006/relationships/image" Target="media/image540.jpeg"/><Relationship Id="rId548" Type="http://schemas.openxmlformats.org/officeDocument/2006/relationships/image" Target="media/image541.jpeg"/><Relationship Id="rId549" Type="http://schemas.openxmlformats.org/officeDocument/2006/relationships/image" Target="media/image542.jpeg"/><Relationship Id="rId550" Type="http://schemas.openxmlformats.org/officeDocument/2006/relationships/image" Target="media/image543.png"/><Relationship Id="rId551" Type="http://schemas.openxmlformats.org/officeDocument/2006/relationships/image" Target="media/image544.jpeg"/><Relationship Id="rId552" Type="http://schemas.openxmlformats.org/officeDocument/2006/relationships/image" Target="media/image545.jpeg"/><Relationship Id="rId553" Type="http://schemas.openxmlformats.org/officeDocument/2006/relationships/image" Target="media/image546.jpeg"/><Relationship Id="rId554" Type="http://schemas.openxmlformats.org/officeDocument/2006/relationships/image" Target="media/image547.jpeg"/><Relationship Id="rId555" Type="http://schemas.openxmlformats.org/officeDocument/2006/relationships/image" Target="media/image548.jpeg"/><Relationship Id="rId556" Type="http://schemas.openxmlformats.org/officeDocument/2006/relationships/image" Target="media/image549.jpeg"/><Relationship Id="rId557" Type="http://schemas.openxmlformats.org/officeDocument/2006/relationships/image" Target="media/image550.jpeg"/><Relationship Id="rId558" Type="http://schemas.openxmlformats.org/officeDocument/2006/relationships/image" Target="media/image551.jpe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jpeg"/><Relationship Id="rId566" Type="http://schemas.openxmlformats.org/officeDocument/2006/relationships/image" Target="media/image559.jpe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jpeg"/><Relationship Id="rId570" Type="http://schemas.openxmlformats.org/officeDocument/2006/relationships/image" Target="media/image563.jpe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jpeg"/><Relationship Id="rId574" Type="http://schemas.openxmlformats.org/officeDocument/2006/relationships/image" Target="media/image567.png"/><Relationship Id="rId575" Type="http://schemas.openxmlformats.org/officeDocument/2006/relationships/image" Target="media/image568.jpe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jpeg"/><Relationship Id="rId579" Type="http://schemas.openxmlformats.org/officeDocument/2006/relationships/image" Target="media/image572.jpeg"/><Relationship Id="rId580" Type="http://schemas.openxmlformats.org/officeDocument/2006/relationships/image" Target="media/image573.jpeg"/><Relationship Id="rId581" Type="http://schemas.openxmlformats.org/officeDocument/2006/relationships/image" Target="media/image574.jpe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jpeg"/><Relationship Id="rId585" Type="http://schemas.openxmlformats.org/officeDocument/2006/relationships/image" Target="media/image578.jpeg"/><Relationship Id="rId586" Type="http://schemas.openxmlformats.org/officeDocument/2006/relationships/image" Target="media/image579.jpeg"/><Relationship Id="rId587" Type="http://schemas.openxmlformats.org/officeDocument/2006/relationships/image" Target="media/image580.jpeg"/><Relationship Id="rId588" Type="http://schemas.openxmlformats.org/officeDocument/2006/relationships/image" Target="media/image581.jpe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jpeg"/><Relationship Id="rId594" Type="http://schemas.openxmlformats.org/officeDocument/2006/relationships/image" Target="media/image587.jpeg"/><Relationship Id="rId595" Type="http://schemas.openxmlformats.org/officeDocument/2006/relationships/image" Target="media/image588.jpeg"/><Relationship Id="rId596" Type="http://schemas.openxmlformats.org/officeDocument/2006/relationships/image" Target="media/image589.jpeg"/><Relationship Id="rId597" Type="http://schemas.openxmlformats.org/officeDocument/2006/relationships/image" Target="media/image590.jpeg"/><Relationship Id="rId598" Type="http://schemas.openxmlformats.org/officeDocument/2006/relationships/image" Target="media/image591.jpeg"/><Relationship Id="rId599" Type="http://schemas.openxmlformats.org/officeDocument/2006/relationships/image" Target="media/image592.jpeg"/><Relationship Id="rId600" Type="http://schemas.openxmlformats.org/officeDocument/2006/relationships/image" Target="media/image593.png"/><Relationship Id="rId601" Type="http://schemas.openxmlformats.org/officeDocument/2006/relationships/image" Target="media/image594.jpeg"/><Relationship Id="rId602" Type="http://schemas.openxmlformats.org/officeDocument/2006/relationships/image" Target="media/image595.jpeg"/><Relationship Id="rId603" Type="http://schemas.openxmlformats.org/officeDocument/2006/relationships/image" Target="media/image596.jpe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jpe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jpe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jpeg"/><Relationship Id="rId613" Type="http://schemas.openxmlformats.org/officeDocument/2006/relationships/image" Target="media/image606.jpe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jpeg"/><Relationship Id="rId619" Type="http://schemas.openxmlformats.org/officeDocument/2006/relationships/image" Target="media/image612.png"/><Relationship Id="rId620" Type="http://schemas.openxmlformats.org/officeDocument/2006/relationships/image" Target="media/image613.jpe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jpe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jpe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jpe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jpeg"/><Relationship Id="rId640" Type="http://schemas.openxmlformats.org/officeDocument/2006/relationships/image" Target="media/image633.jpeg"/><Relationship Id="rId641" Type="http://schemas.openxmlformats.org/officeDocument/2006/relationships/image" Target="media/image634.jpeg"/><Relationship Id="rId642" Type="http://schemas.openxmlformats.org/officeDocument/2006/relationships/image" Target="media/image635.jpeg"/><Relationship Id="rId643" Type="http://schemas.openxmlformats.org/officeDocument/2006/relationships/image" Target="media/image636.png"/><Relationship Id="rId644" Type="http://schemas.openxmlformats.org/officeDocument/2006/relationships/image" Target="media/image637.jpeg"/><Relationship Id="rId645" Type="http://schemas.openxmlformats.org/officeDocument/2006/relationships/image" Target="media/image638.jpeg"/><Relationship Id="rId646" Type="http://schemas.openxmlformats.org/officeDocument/2006/relationships/image" Target="media/image639.jpeg"/><Relationship Id="rId647" Type="http://schemas.openxmlformats.org/officeDocument/2006/relationships/image" Target="media/image640.jpeg"/><Relationship Id="rId648" Type="http://schemas.openxmlformats.org/officeDocument/2006/relationships/image" Target="media/image641.jpeg"/><Relationship Id="rId649" Type="http://schemas.openxmlformats.org/officeDocument/2006/relationships/image" Target="media/image642.jpe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jpe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jpe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jpeg"/><Relationship Id="rId662" Type="http://schemas.openxmlformats.org/officeDocument/2006/relationships/image" Target="media/image655.png"/><Relationship Id="rId663" Type="http://schemas.openxmlformats.org/officeDocument/2006/relationships/image" Target="media/image656.jpe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jpeg"/><Relationship Id="rId668" Type="http://schemas.openxmlformats.org/officeDocument/2006/relationships/image" Target="media/image661.png"/><Relationship Id="rId669" Type="http://schemas.openxmlformats.org/officeDocument/2006/relationships/image" Target="media/image662.jpeg"/><Relationship Id="rId670" Type="http://schemas.openxmlformats.org/officeDocument/2006/relationships/image" Target="media/image663.png"/><Relationship Id="rId671" Type="http://schemas.openxmlformats.org/officeDocument/2006/relationships/image" Target="media/image664.jpeg"/><Relationship Id="rId672" Type="http://schemas.openxmlformats.org/officeDocument/2006/relationships/image" Target="media/image665.jpe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jpeg"/><Relationship Id="rId678" Type="http://schemas.openxmlformats.org/officeDocument/2006/relationships/image" Target="media/image671.png"/><Relationship Id="rId679" Type="http://schemas.openxmlformats.org/officeDocument/2006/relationships/image" Target="media/image672.jpe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jpeg"/><Relationship Id="rId684" Type="http://schemas.openxmlformats.org/officeDocument/2006/relationships/image" Target="media/image677.jpe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jpeg"/><Relationship Id="rId689" Type="http://schemas.openxmlformats.org/officeDocument/2006/relationships/image" Target="media/image682.png"/><Relationship Id="rId690" Type="http://schemas.openxmlformats.org/officeDocument/2006/relationships/image" Target="media/image683.jpe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jpeg"/><Relationship Id="rId699" Type="http://schemas.openxmlformats.org/officeDocument/2006/relationships/image" Target="media/image692.jpe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jpeg"/><Relationship Id="rId707" Type="http://schemas.openxmlformats.org/officeDocument/2006/relationships/image" Target="media/image700.jpe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jpeg"/><Relationship Id="rId713" Type="http://schemas.openxmlformats.org/officeDocument/2006/relationships/image" Target="media/image706.png"/><Relationship Id="rId714" Type="http://schemas.openxmlformats.org/officeDocument/2006/relationships/image" Target="media/image707.jpe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jpeg"/><Relationship Id="rId720" Type="http://schemas.openxmlformats.org/officeDocument/2006/relationships/image" Target="media/image713.png"/><Relationship Id="rId721" Type="http://schemas.openxmlformats.org/officeDocument/2006/relationships/image" Target="media/image714.jpe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jpeg"/><Relationship Id="rId726" Type="http://schemas.openxmlformats.org/officeDocument/2006/relationships/image" Target="media/image719.png"/><Relationship Id="rId727" Type="http://schemas.openxmlformats.org/officeDocument/2006/relationships/image" Target="media/image720.jpe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jpeg"/><Relationship Id="rId732" Type="http://schemas.openxmlformats.org/officeDocument/2006/relationships/image" Target="media/image725.jpe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jpe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jpe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jpeg"/><Relationship Id="rId747" Type="http://schemas.openxmlformats.org/officeDocument/2006/relationships/image" Target="media/image740.png"/><Relationship Id="rId748" Type="http://schemas.openxmlformats.org/officeDocument/2006/relationships/image" Target="media/image741.jpe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jpeg"/><Relationship Id="rId756" Type="http://schemas.openxmlformats.org/officeDocument/2006/relationships/image" Target="media/image749.png"/><Relationship Id="rId757" Type="http://schemas.openxmlformats.org/officeDocument/2006/relationships/image" Target="media/image750.jpe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jpeg"/><Relationship Id="rId771" Type="http://schemas.openxmlformats.org/officeDocument/2006/relationships/image" Target="media/image764.jpeg"/><Relationship Id="rId772" Type="http://schemas.openxmlformats.org/officeDocument/2006/relationships/image" Target="media/image765.jpeg"/><Relationship Id="rId773" Type="http://schemas.openxmlformats.org/officeDocument/2006/relationships/image" Target="media/image766.jpeg"/><Relationship Id="rId774" Type="http://schemas.openxmlformats.org/officeDocument/2006/relationships/image" Target="media/image767.png"/><Relationship Id="rId775" Type="http://schemas.openxmlformats.org/officeDocument/2006/relationships/image" Target="media/image768.jpeg"/><Relationship Id="rId776" Type="http://schemas.openxmlformats.org/officeDocument/2006/relationships/image" Target="media/image769.jpe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jpeg"/><Relationship Id="rId780" Type="http://schemas.openxmlformats.org/officeDocument/2006/relationships/image" Target="media/image773.jpe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jpeg"/><Relationship Id="rId786" Type="http://schemas.openxmlformats.org/officeDocument/2006/relationships/image" Target="media/image779.png"/><Relationship Id="rId787" Type="http://schemas.openxmlformats.org/officeDocument/2006/relationships/image" Target="media/image780.jpe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jpeg"/><Relationship Id="rId792" Type="http://schemas.openxmlformats.org/officeDocument/2006/relationships/image" Target="media/image785.jpe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jpeg"/><Relationship Id="rId797" Type="http://schemas.openxmlformats.org/officeDocument/2006/relationships/image" Target="media/image790.jpe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jpeg"/><Relationship Id="rId802" Type="http://schemas.openxmlformats.org/officeDocument/2006/relationships/image" Target="media/image795.jpeg"/><Relationship Id="rId803" Type="http://schemas.openxmlformats.org/officeDocument/2006/relationships/image" Target="media/image796.jpe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jpe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jpe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jpeg"/><Relationship Id="rId818" Type="http://schemas.openxmlformats.org/officeDocument/2006/relationships/image" Target="media/image811.jpe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jpeg"/><Relationship Id="rId824" Type="http://schemas.openxmlformats.org/officeDocument/2006/relationships/image" Target="media/image817.jpe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jpeg"/><Relationship Id="rId830" Type="http://schemas.openxmlformats.org/officeDocument/2006/relationships/image" Target="media/image823.jpe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jpeg"/><Relationship Id="rId837" Type="http://schemas.openxmlformats.org/officeDocument/2006/relationships/image" Target="media/image830.jpe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jpe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jpeg"/><Relationship Id="rId844" Type="http://schemas.openxmlformats.org/officeDocument/2006/relationships/image" Target="media/image837.jpe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jpeg"/><Relationship Id="rId849" Type="http://schemas.openxmlformats.org/officeDocument/2006/relationships/image" Target="media/image842.png"/><Relationship Id="rId850" Type="http://schemas.openxmlformats.org/officeDocument/2006/relationships/image" Target="media/image843.jpe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jpeg"/><Relationship Id="rId856" Type="http://schemas.openxmlformats.org/officeDocument/2006/relationships/image" Target="media/image849.png"/><Relationship Id="rId857" Type="http://schemas.openxmlformats.org/officeDocument/2006/relationships/image" Target="media/image850.jpe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jpe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jpe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jpeg"/><Relationship Id="rId871" Type="http://schemas.openxmlformats.org/officeDocument/2006/relationships/image" Target="media/image864.jpe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jpe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2026-04-10T06:10:22Z</dcterms:created>
  <dcterms:modified xsi:type="dcterms:W3CDTF">2026-04-10T06:10:22Z</dcterms:modified>
</cp:coreProperties>
</file>