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787758.xml.htm"/>
      <w:bookmarkStart w:id="1" w:name="kswkform4_17857877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West Kenneth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S. MINT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Pres/CEO Process Technologies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799"/>
        <w:gridCol w:w="452"/>
        <w:gridCol w:w="838"/>
        <w:gridCol w:w="1232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2,535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215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239.89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2,320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373.8586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401(k) plan</w:t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85"/>
        <w:gridCol w:w="51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(1)(3)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Restricted Stock Units were granted under the 2016 Stock Incentive Plan of Honeywell International Inc. and its Affiliates and were adjusted to reflect the spin-off of Solstice Advanced Materials Inc. from Honeywell International Inc. ("Honeywell Technologies") on October 30, 2025, and further adjusted to reflect the spin-off of Honeywell Aerospace Inc. from Honeywell Technologies on June 29, 2026 and the reverse stock split of Honeywell Technologies.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Instrument converts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the reinvestment of dividend equivalents into 46 additional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Restricted Stock Units were granted under the 2016 Stock Incentive Plan of Honeywell International Inc. and its Affiliates with all units fully vested on July 30,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Kent for Kenneth J. West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4222" TargetMode="External"/><Relationship Id="rId5" Type="http://schemas.openxmlformats.org/officeDocument/2006/relationships/hyperlink" Target="http://www.sec.gov/cgi-bin/browse-edgar?action=getcompany&amp;CIK=0000773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718</Words>
  <Characters>3901</Characters>
  <CharactersWithSpaces>4524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