
<file path=[Content_Types].xml><?xml version="1.0" encoding="utf-8"?>
<Types xmlns="http://schemas.openxmlformats.org/package/2006/content-types">
  <Default Extension="xml" ContentType="application/xml"/>
  <Default Extension="rels" ContentType="application/vnd.openxmlformats-package.relationships+xml"/>
  <Default Extension="png" ContentType="image/png"/>
  <Default Extension="jpeg" ContentType="image/jpeg"/>
  <Override PartName="/_rels/.rels" ContentType="application/vnd.openxmlformats-package.relationships+xml"/>
  <Override PartName="/docProps/core.xml" ContentType="application/vnd.openxmlformats-package.core-properties+xml"/>
  <Override PartName="/docProps/app.xml" ContentType="application/vnd.openxmlformats-officedocument.extended-properties+xml"/>
  <Override PartName="/word/_rels/document.xml.rels" ContentType="application/vnd.openxmlformats-package.relationships+xml"/>
  <Override PartName="/word/document.xml" ContentType="application/vnd.openxmlformats-officedocument.wordprocessingml.document.main+xml"/>
  <Override PartName="/word/media/image1.jpeg" ContentType="image/jpeg"/>
  <Override PartName="/word/styles.xml" ContentType="application/vnd.openxmlformats-officedocument.wordprocessingml.styles+xml"/>
  <Override PartName="/word/fontTable.xml" ContentType="application/vnd.openxmlformats-officedocument.wordprocessingml.fontTable+xml"/>
  <Override PartName="/word/settings.xml" ContentType="application/vnd.openxmlformats-officedocument.wordprocessingml.settings+xml"/>
</Types>
</file>

<file path=_rels/.rels><?xml version="1.0" encoding="UTF-8"?>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officeDocument" Target="word/document.xml"/>
</Relationships>
</file>

<file path=word/document.xml><?xml version="1.0" encoding="utf-8"?>
<w:document xmlns:o="urn:schemas-microsoft-com:office:office" xmlns:r="http://schemas.openxmlformats.org/officeDocument/2006/relationships" xmlns:v="urn:schemas-microsoft-com:vml" xmlns:w="http://schemas.openxmlformats.org/wordprocessingml/2006/main" xmlns:w10="urn:schemas-microsoft-com:office:word" xmlns:wp="http://schemas.openxmlformats.org/drawingml/2006/wordprocessingDrawing" xmlns:wps="http://schemas.microsoft.com/office/word/2010/wordprocessingShape" xmlns:wpg="http://schemas.microsoft.com/office/word/2010/wordprocessingGroup" xmlns:mc="http://schemas.openxmlformats.org/markup-compatibility/2006" xmlns:wp14="http://schemas.microsoft.com/office/word/2010/wordprocessingDrawing" xmlns:w14="http://schemas.microsoft.com/office/word/2010/wordml" xmlns:w15="http://schemas.microsoft.com/office/word/2012/wordml" mc:Ignorable="w14 wp14 w15">
  <w:body>
    <w:p>
      <w:pPr>
        <w:pStyle w:val="TextBody"/>
        <w:bidi w:val="0"/>
        <w:jc w:val="left"/>
        <w:rPr/>
      </w:pPr>
      <w:r>
        <w:rPr/>
      </w:r>
    </w:p>
    <w:p>
      <w:pPr>
        <w:sectPr>
          <w:type w:val="nextPage"/>
          <w:pgSz w:w="11906" w:h="16838"/>
          <w:pgMar w:left="1134" w:right="567" w:gutter="0" w:header="0" w:top="567" w:footer="0" w:bottom="567"/>
          <w:pgNumType w:fmt="decimal"/>
          <w:formProt w:val="false"/>
          <w:textDirection w:val="lrTb"/>
          <w:docGrid w:type="default" w:linePitch="600" w:charSpace="32768"/>
        </w:sectPr>
      </w:pPr>
    </w:p>
    <w:p>
      <w:pPr>
        <w:pStyle w:val="TextBody"/>
        <w:bidi w:val="0"/>
        <w:spacing w:before="0" w:after="0"/>
        <w:jc w:val="left"/>
        <w:rPr/>
      </w:pPr>
      <w:r>
        <w:rPr/>
      </w:r>
    </w:p>
    <w:p>
      <w:pPr>
        <w:pStyle w:val="TextBody"/>
        <w:bidi w:val="0"/>
        <w:spacing w:lineRule="auto" w:line="288" w:before="0" w:after="0"/>
        <w:jc w:val="left"/>
        <w:rPr>
          <w:rFonts w:ascii="Arial;sans-serif" w:hAnsi="Arial;sans-serif"/>
          <w:b w:val="false"/>
          <w:color w:val="000000"/>
          <w:sz w:val="24"/>
        </w:rPr>
      </w:pPr>
      <w:r>
        <w:rPr>
          <w:rFonts w:ascii="Arial;sans-serif" w:hAnsi="Arial;sans-serif"/>
          <w:b w:val="false"/>
          <w:color w:val="000000"/>
          <w:sz w:val="24"/>
        </w:rPr>
        <w:t>UNITED STATES</w:t>
      </w:r>
    </w:p>
    <w:p>
      <w:pPr>
        <w:pStyle w:val="TextBody"/>
        <w:bidi w:val="0"/>
        <w:spacing w:lineRule="auto" w:line="288" w:before="0" w:after="0"/>
        <w:jc w:val="center"/>
        <w:rPr>
          <w:rFonts w:ascii="Arial;sans-serif" w:hAnsi="Arial;sans-serif"/>
          <w:b w:val="false"/>
          <w:color w:val="000000"/>
          <w:sz w:val="24"/>
        </w:rPr>
      </w:pPr>
      <w:r>
        <w:rPr>
          <w:rFonts w:ascii="Arial;sans-serif" w:hAnsi="Arial;sans-serif"/>
          <w:b w:val="false"/>
          <w:color w:val="000000"/>
          <w:sz w:val="24"/>
        </w:rPr>
        <w:t>SECURITIES AND EXCHANGE COMMISSION</w:t>
      </w:r>
    </w:p>
    <w:p>
      <w:pPr>
        <w:pStyle w:val="TextBody"/>
        <w:bidi w:val="0"/>
        <w:spacing w:lineRule="auto" w:line="288" w:before="0" w:after="0"/>
        <w:jc w:val="center"/>
        <w:rPr>
          <w:rFonts w:ascii="Arial;sans-serif" w:hAnsi="Arial;sans-serif"/>
          <w:b w:val="false"/>
          <w:color w:val="000000"/>
          <w:sz w:val="24"/>
        </w:rPr>
      </w:pPr>
      <w:r>
        <w:rPr>
          <w:rFonts w:ascii="Arial;sans-serif" w:hAnsi="Arial;sans-serif"/>
          <w:b w:val="false"/>
          <w:color w:val="000000"/>
          <w:sz w:val="24"/>
        </w:rPr>
        <w:t>WASHINGTON, D.C. 20549</w:t>
      </w:r>
    </w:p>
    <w:p>
      <w:pPr>
        <w:pStyle w:val="TextBody"/>
        <w:bidi w:val="0"/>
        <w:spacing w:lineRule="auto" w:line="288" w:before="0" w:after="0"/>
        <w:jc w:val="center"/>
        <w:rPr>
          <w:color w:val="000000"/>
        </w:rPr>
      </w:pPr>
      <w:r>
        <w:rPr>
          <w:color w:val="000000"/>
        </w:rPr>
        <w:t> </w:t>
      </w:r>
    </w:p>
    <w:p>
      <w:pPr>
        <w:pStyle w:val="TextBody"/>
        <w:bidi w:val="0"/>
        <w:spacing w:lineRule="auto" w:line="288" w:before="0" w:after="0"/>
        <w:jc w:val="center"/>
        <w:rPr>
          <w:rFonts w:ascii="Arial;sans-serif" w:hAnsi="Arial;sans-serif"/>
          <w:b/>
          <w:color w:val="000000"/>
          <w:sz w:val="24"/>
        </w:rPr>
      </w:pPr>
      <w:r>
        <w:rPr>
          <w:rFonts w:ascii="Arial;sans-serif" w:hAnsi="Arial;sans-serif"/>
          <w:b/>
          <w:color w:val="000000"/>
          <w:sz w:val="24"/>
        </w:rPr>
        <w:t xml:space="preserve">Form 8-K </w:t>
      </w:r>
    </w:p>
    <w:p>
      <w:pPr>
        <w:pStyle w:val="TextBody"/>
        <w:bidi w:val="0"/>
        <w:spacing w:before="0" w:after="0"/>
        <w:jc w:val="center"/>
        <w:rPr/>
      </w:pPr>
      <w:r>
        <w:rPr/>
      </w:r>
    </w:p>
    <w:p>
      <w:pPr>
        <w:pStyle w:val="TextBody"/>
        <w:bidi w:val="0"/>
        <w:spacing w:lineRule="auto" w:line="288" w:before="0" w:after="0"/>
        <w:jc w:val="center"/>
        <w:rPr>
          <w:rFonts w:ascii="Arial;sans-serif" w:hAnsi="Arial;sans-serif"/>
          <w:b w:val="false"/>
          <w:color w:val="000000"/>
          <w:sz w:val="20"/>
        </w:rPr>
      </w:pPr>
      <w:r>
        <w:rPr>
          <w:rFonts w:ascii="Arial;sans-serif" w:hAnsi="Arial;sans-serif"/>
          <w:b w:val="false"/>
          <w:color w:val="000000"/>
          <w:sz w:val="20"/>
        </w:rPr>
        <w:t>CURRENT REPORT</w:t>
      </w:r>
    </w:p>
    <w:p>
      <w:pPr>
        <w:pStyle w:val="TextBody"/>
        <w:bidi w:val="0"/>
        <w:spacing w:lineRule="auto" w:line="288" w:before="0" w:after="0"/>
        <w:jc w:val="center"/>
        <w:rPr>
          <w:rFonts w:ascii="Arial;sans-serif" w:hAnsi="Arial;sans-serif"/>
          <w:b w:val="false"/>
          <w:color w:val="000000"/>
          <w:sz w:val="20"/>
        </w:rPr>
      </w:pPr>
      <w:r>
        <w:rPr>
          <w:rFonts w:ascii="Arial;sans-serif" w:hAnsi="Arial;sans-serif"/>
          <w:b w:val="false"/>
          <w:color w:val="000000"/>
          <w:sz w:val="20"/>
        </w:rPr>
        <w:t>PURSUANT TO SECTION 13 OR 15(D) OF THE SECURITIES EXCHANGE ACT OF 1934</w:t>
      </w:r>
    </w:p>
    <w:p>
      <w:pPr>
        <w:pStyle w:val="TextBody"/>
        <w:bidi w:val="0"/>
        <w:spacing w:lineRule="auto" w:line="288" w:before="0" w:after="0"/>
        <w:jc w:val="center"/>
        <w:rPr>
          <w:rFonts w:ascii="Arial;sans-serif" w:hAnsi="Arial;sans-serif"/>
          <w:b w:val="false"/>
          <w:color w:val="000000"/>
          <w:sz w:val="20"/>
        </w:rPr>
      </w:pPr>
      <w:r>
        <w:rPr>
          <w:rFonts w:ascii="Arial;sans-serif" w:hAnsi="Arial;sans-serif"/>
          <w:b w:val="false"/>
          <w:color w:val="000000"/>
          <w:sz w:val="20"/>
        </w:rPr>
        <w:t xml:space="preserve">DATE OF REPORT – January 30, 2024 </w:t>
      </w:r>
    </w:p>
    <w:p>
      <w:pPr>
        <w:pStyle w:val="TextBody"/>
        <w:bidi w:val="0"/>
        <w:spacing w:lineRule="auto" w:line="288" w:before="0" w:after="0"/>
        <w:jc w:val="center"/>
        <w:rPr>
          <w:rFonts w:ascii="Arial;sans-serif" w:hAnsi="Arial;sans-serif"/>
          <w:b w:val="false"/>
          <w:color w:val="000000"/>
          <w:sz w:val="20"/>
        </w:rPr>
      </w:pPr>
      <w:r>
        <w:rPr>
          <w:rFonts w:ascii="Arial;sans-serif" w:hAnsi="Arial;sans-serif"/>
          <w:b w:val="false"/>
          <w:color w:val="000000"/>
          <w:sz w:val="20"/>
        </w:rPr>
        <w:t>(Date of earliest event reported)</w:t>
      </w:r>
    </w:p>
    <w:p>
      <w:pPr>
        <w:pStyle w:val="TextBody"/>
        <w:bidi w:val="0"/>
        <w:spacing w:lineRule="auto" w:line="288" w:before="0" w:after="0"/>
        <w:jc w:val="center"/>
        <w:rPr>
          <w:color w:val="000000"/>
        </w:rPr>
      </w:pPr>
      <w:r>
        <w:rPr>
          <w:color w:val="000000"/>
        </w:rPr>
        <w:t> </w:t>
      </w:r>
    </w:p>
    <w:p>
      <w:pPr>
        <w:pStyle w:val="TextBody"/>
        <w:bidi w:val="0"/>
        <w:spacing w:lineRule="auto" w:line="288" w:before="0" w:after="0"/>
        <w:jc w:val="center"/>
        <w:rPr>
          <w:rFonts w:ascii="Arial;sans-serif" w:hAnsi="Arial;sans-serif"/>
          <w:b/>
          <w:color w:val="000000"/>
          <w:sz w:val="40"/>
        </w:rPr>
      </w:pPr>
      <w:r>
        <w:rPr>
          <w:rFonts w:ascii="Arial;sans-serif" w:hAnsi="Arial;sans-serif"/>
          <w:b/>
          <w:color w:val="000000"/>
          <w:sz w:val="40"/>
        </w:rPr>
        <w:t>HONEYWELL INTERNATIONAL INC.</w:t>
      </w:r>
    </w:p>
    <w:p>
      <w:pPr>
        <w:pStyle w:val="TextBody"/>
        <w:bidi w:val="0"/>
        <w:spacing w:lineRule="auto" w:line="288" w:before="0" w:after="0"/>
        <w:jc w:val="center"/>
        <w:rPr>
          <w:rFonts w:ascii="Arial;sans-serif" w:hAnsi="Arial;sans-serif"/>
          <w:b w:val="false"/>
          <w:color w:val="000000"/>
          <w:sz w:val="20"/>
        </w:rPr>
      </w:pPr>
      <w:r>
        <w:rPr>
          <w:rFonts w:ascii="Arial;sans-serif" w:hAnsi="Arial;sans-serif"/>
          <w:b w:val="false"/>
          <w:color w:val="000000"/>
          <w:sz w:val="20"/>
        </w:rPr>
        <w:t>(Exact name of Registrant as specified in its Charter)</w:t>
      </w:r>
    </w:p>
    <w:p>
      <w:pPr>
        <w:pStyle w:val="TextBody"/>
        <w:bidi w:val="0"/>
        <w:spacing w:lineRule="auto" w:line="288" w:before="0" w:after="0"/>
        <w:jc w:val="center"/>
        <w:rPr>
          <w:color w:val="000000"/>
        </w:rPr>
      </w:pPr>
      <w:r>
        <w:rPr>
          <w:color w:val="000000"/>
        </w:rPr>
        <w:t> </w:t>
      </w:r>
    </w:p>
    <w:tbl>
      <w:tblPr>
        <w:tblW w:w="7769" w:type="dxa"/>
        <w:jc w:val="center"/>
        <w:tblInd w:w="0" w:type="dxa"/>
        <w:tblLayout w:type="fixed"/>
        <w:tblCellMar>
          <w:top w:w="28" w:type="dxa"/>
          <w:left w:w="28" w:type="dxa"/>
          <w:bottom w:w="28" w:type="dxa"/>
          <w:right w:w="28" w:type="dxa"/>
        </w:tblCellMar>
      </w:tblPr>
      <w:tblGrid>
        <w:gridCol w:w="935"/>
        <w:gridCol w:w="819"/>
        <w:gridCol w:w="826"/>
        <w:gridCol w:w="802"/>
        <w:gridCol w:w="802"/>
        <w:gridCol w:w="810"/>
        <w:gridCol w:w="810"/>
        <w:gridCol w:w="810"/>
        <w:gridCol w:w="1155"/>
      </w:tblGrid>
      <w:tr>
        <w:trPr/>
        <w:tc>
          <w:tcPr>
            <w:tcW w:w="935" w:type="dxa"/>
            <w:tcBorders/>
            <w:vAlign w:val="center"/>
          </w:tcPr>
          <w:p>
            <w:pPr>
              <w:pStyle w:val="TableContents"/>
              <w:bidi w:val="0"/>
              <w:spacing w:before="0" w:after="283"/>
              <w:jc w:val="left"/>
              <w:rPr>
                <w:sz w:val="4"/>
                <w:szCs w:val="4"/>
              </w:rPr>
            </w:pPr>
            <w:r>
              <w:rPr>
                <w:sz w:val="4"/>
                <w:szCs w:val="4"/>
              </w:rPr>
            </w:r>
          </w:p>
        </w:tc>
        <w:tc>
          <w:tcPr>
            <w:tcW w:w="819" w:type="dxa"/>
            <w:tcBorders/>
            <w:vAlign w:val="center"/>
          </w:tcPr>
          <w:p>
            <w:pPr>
              <w:pStyle w:val="TableContents"/>
              <w:bidi w:val="0"/>
              <w:spacing w:before="0" w:after="283"/>
              <w:jc w:val="left"/>
              <w:rPr>
                <w:sz w:val="4"/>
                <w:szCs w:val="4"/>
              </w:rPr>
            </w:pPr>
            <w:r>
              <w:rPr>
                <w:sz w:val="4"/>
                <w:szCs w:val="4"/>
              </w:rPr>
            </w:r>
          </w:p>
        </w:tc>
        <w:tc>
          <w:tcPr>
            <w:tcW w:w="826" w:type="dxa"/>
            <w:tcBorders/>
            <w:vAlign w:val="center"/>
          </w:tcPr>
          <w:p>
            <w:pPr>
              <w:pStyle w:val="TableContents"/>
              <w:bidi w:val="0"/>
              <w:spacing w:before="0" w:after="283"/>
              <w:jc w:val="left"/>
              <w:rPr>
                <w:sz w:val="4"/>
                <w:szCs w:val="4"/>
              </w:rPr>
            </w:pPr>
            <w:r>
              <w:rPr>
                <w:sz w:val="4"/>
                <w:szCs w:val="4"/>
              </w:rPr>
            </w:r>
          </w:p>
        </w:tc>
        <w:tc>
          <w:tcPr>
            <w:tcW w:w="802" w:type="dxa"/>
            <w:tcBorders/>
            <w:vAlign w:val="center"/>
          </w:tcPr>
          <w:p>
            <w:pPr>
              <w:pStyle w:val="TableContents"/>
              <w:bidi w:val="0"/>
              <w:spacing w:before="0" w:after="283"/>
              <w:jc w:val="left"/>
              <w:rPr>
                <w:sz w:val="4"/>
                <w:szCs w:val="4"/>
              </w:rPr>
            </w:pPr>
            <w:r>
              <w:rPr>
                <w:sz w:val="4"/>
                <w:szCs w:val="4"/>
              </w:rPr>
            </w:r>
          </w:p>
        </w:tc>
        <w:tc>
          <w:tcPr>
            <w:tcW w:w="802" w:type="dxa"/>
            <w:tcBorders/>
            <w:vAlign w:val="center"/>
          </w:tcPr>
          <w:p>
            <w:pPr>
              <w:pStyle w:val="TableContents"/>
              <w:bidi w:val="0"/>
              <w:spacing w:before="0" w:after="283"/>
              <w:jc w:val="left"/>
              <w:rPr>
                <w:sz w:val="4"/>
                <w:szCs w:val="4"/>
              </w:rPr>
            </w:pPr>
            <w:r>
              <w:rPr>
                <w:sz w:val="4"/>
                <w:szCs w:val="4"/>
              </w:rPr>
            </w:r>
          </w:p>
        </w:tc>
        <w:tc>
          <w:tcPr>
            <w:tcW w:w="810" w:type="dxa"/>
            <w:tcBorders/>
            <w:vAlign w:val="center"/>
          </w:tcPr>
          <w:p>
            <w:pPr>
              <w:pStyle w:val="TableContents"/>
              <w:bidi w:val="0"/>
              <w:spacing w:before="0" w:after="283"/>
              <w:jc w:val="left"/>
              <w:rPr>
                <w:sz w:val="4"/>
                <w:szCs w:val="4"/>
              </w:rPr>
            </w:pPr>
            <w:r>
              <w:rPr>
                <w:sz w:val="4"/>
                <w:szCs w:val="4"/>
              </w:rPr>
            </w:r>
          </w:p>
        </w:tc>
        <w:tc>
          <w:tcPr>
            <w:tcW w:w="810" w:type="dxa"/>
            <w:tcBorders/>
            <w:vAlign w:val="center"/>
          </w:tcPr>
          <w:p>
            <w:pPr>
              <w:pStyle w:val="TableContents"/>
              <w:bidi w:val="0"/>
              <w:spacing w:before="0" w:after="283"/>
              <w:jc w:val="left"/>
              <w:rPr>
                <w:sz w:val="4"/>
                <w:szCs w:val="4"/>
              </w:rPr>
            </w:pPr>
            <w:r>
              <w:rPr>
                <w:sz w:val="4"/>
                <w:szCs w:val="4"/>
              </w:rPr>
            </w:r>
          </w:p>
        </w:tc>
        <w:tc>
          <w:tcPr>
            <w:tcW w:w="810" w:type="dxa"/>
            <w:tcBorders/>
            <w:vAlign w:val="center"/>
          </w:tcPr>
          <w:p>
            <w:pPr>
              <w:pStyle w:val="TableContents"/>
              <w:bidi w:val="0"/>
              <w:spacing w:before="0" w:after="283"/>
              <w:jc w:val="left"/>
              <w:rPr>
                <w:sz w:val="4"/>
                <w:szCs w:val="4"/>
              </w:rPr>
            </w:pPr>
            <w:r>
              <w:rPr>
                <w:sz w:val="4"/>
                <w:szCs w:val="4"/>
              </w:rPr>
            </w:r>
          </w:p>
        </w:tc>
        <w:tc>
          <w:tcPr>
            <w:tcW w:w="1155" w:type="dxa"/>
            <w:tcBorders/>
            <w:vAlign w:val="center"/>
          </w:tcPr>
          <w:p>
            <w:pPr>
              <w:pStyle w:val="TableContents"/>
              <w:bidi w:val="0"/>
              <w:spacing w:before="0" w:after="283"/>
              <w:jc w:val="left"/>
              <w:rPr>
                <w:sz w:val="4"/>
                <w:szCs w:val="4"/>
              </w:rPr>
            </w:pPr>
            <w:r>
              <w:rPr>
                <w:sz w:val="4"/>
                <w:szCs w:val="4"/>
              </w:rPr>
            </w:r>
          </w:p>
        </w:tc>
      </w:tr>
      <w:tr>
        <w:trPr/>
        <w:tc>
          <w:tcPr>
            <w:tcW w:w="2580" w:type="dxa"/>
            <w:gridSpan w:val="3"/>
            <w:tcBorders/>
            <w:tcMar>
              <w:top w:w="0" w:type="dxa"/>
              <w:left w:w="0" w:type="dxa"/>
              <w:bottom w:w="0" w:type="dxa"/>
              <w:right w:w="0" w:type="dxa"/>
            </w:tcMar>
            <w:vAlign w:val="center"/>
          </w:tcPr>
          <w:p>
            <w:pPr>
              <w:pStyle w:val="TableContents"/>
              <w:bidi w:val="0"/>
              <w:spacing w:lineRule="auto" w:line="240" w:before="0" w:after="283"/>
              <w:jc w:val="center"/>
              <w:rPr>
                <w:rFonts w:ascii="Arial;sans-serif" w:hAnsi="Arial;sans-serif"/>
                <w:b w:val="false"/>
                <w:color w:val="000000"/>
                <w:sz w:val="20"/>
              </w:rPr>
            </w:pPr>
            <w:r>
              <w:rPr>
                <w:rFonts w:ascii="Arial;sans-serif" w:hAnsi="Arial;sans-serif"/>
                <w:b w:val="false"/>
                <w:color w:val="000000"/>
                <w:sz w:val="20"/>
              </w:rPr>
              <w:t>Delaware</w:t>
            </w:r>
          </w:p>
        </w:tc>
        <w:tc>
          <w:tcPr>
            <w:tcW w:w="2414" w:type="dxa"/>
            <w:gridSpan w:val="3"/>
            <w:tcBorders/>
            <w:tcMar>
              <w:top w:w="0" w:type="dxa"/>
              <w:left w:w="0" w:type="dxa"/>
              <w:bottom w:w="0" w:type="dxa"/>
              <w:right w:w="0" w:type="dxa"/>
            </w:tcMar>
            <w:vAlign w:val="center"/>
          </w:tcPr>
          <w:p>
            <w:pPr>
              <w:pStyle w:val="TableContents"/>
              <w:bidi w:val="0"/>
              <w:spacing w:lineRule="auto" w:line="240" w:before="0" w:after="283"/>
              <w:jc w:val="center"/>
              <w:rPr>
                <w:rFonts w:ascii="Arial;sans-serif" w:hAnsi="Arial;sans-serif"/>
                <w:b w:val="false"/>
                <w:color w:val="000000"/>
                <w:sz w:val="20"/>
              </w:rPr>
            </w:pPr>
            <w:r>
              <w:rPr>
                <w:rFonts w:ascii="Arial;sans-serif" w:hAnsi="Arial;sans-serif"/>
                <w:b w:val="false"/>
                <w:color w:val="000000"/>
                <w:sz w:val="20"/>
              </w:rPr>
              <w:t>1-8974</w:t>
            </w:r>
          </w:p>
        </w:tc>
        <w:tc>
          <w:tcPr>
            <w:tcW w:w="2775" w:type="dxa"/>
            <w:gridSpan w:val="3"/>
            <w:tcBorders/>
            <w:tcMar>
              <w:top w:w="0" w:type="dxa"/>
              <w:left w:w="0" w:type="dxa"/>
              <w:bottom w:w="0" w:type="dxa"/>
              <w:right w:w="0" w:type="dxa"/>
            </w:tcMar>
            <w:vAlign w:val="center"/>
          </w:tcPr>
          <w:p>
            <w:pPr>
              <w:pStyle w:val="TableContents"/>
              <w:bidi w:val="0"/>
              <w:spacing w:lineRule="auto" w:line="240" w:before="0" w:after="283"/>
              <w:jc w:val="center"/>
              <w:rPr>
                <w:rFonts w:ascii="Arial;sans-serif" w:hAnsi="Arial;sans-serif"/>
                <w:b w:val="false"/>
                <w:color w:val="000000"/>
                <w:sz w:val="20"/>
              </w:rPr>
            </w:pPr>
            <w:r>
              <w:rPr>
                <w:rFonts w:ascii="Arial;sans-serif" w:hAnsi="Arial;sans-serif"/>
                <w:b w:val="false"/>
                <w:color w:val="000000"/>
                <w:sz w:val="20"/>
              </w:rPr>
              <w:t>22-2640650</w:t>
            </w:r>
          </w:p>
        </w:tc>
      </w:tr>
      <w:tr>
        <w:trPr/>
        <w:tc>
          <w:tcPr>
            <w:tcW w:w="2580" w:type="dxa"/>
            <w:gridSpan w:val="3"/>
            <w:tcBorders/>
            <w:tcMar>
              <w:top w:w="0" w:type="dxa"/>
              <w:left w:w="0" w:type="dxa"/>
              <w:bottom w:w="0" w:type="dxa"/>
              <w:right w:w="0" w:type="dxa"/>
            </w:tcMar>
            <w:vAlign w:val="center"/>
          </w:tcPr>
          <w:p>
            <w:pPr>
              <w:pStyle w:val="TableContents"/>
              <w:bidi w:val="0"/>
              <w:spacing w:lineRule="auto" w:line="240" w:before="0" w:after="283"/>
              <w:jc w:val="center"/>
              <w:rPr>
                <w:rFonts w:ascii="Arial;sans-serif" w:hAnsi="Arial;sans-serif"/>
                <w:b w:val="false"/>
                <w:color w:val="000000"/>
                <w:sz w:val="20"/>
              </w:rPr>
            </w:pPr>
            <w:r>
              <w:rPr>
                <w:rFonts w:ascii="Arial;sans-serif" w:hAnsi="Arial;sans-serif"/>
                <w:b w:val="false"/>
                <w:color w:val="000000"/>
                <w:sz w:val="20"/>
              </w:rPr>
              <w:t>(State or other jurisdiction of</w:t>
              <w:br/>
              <w:t>incorporation)</w:t>
            </w:r>
          </w:p>
        </w:tc>
        <w:tc>
          <w:tcPr>
            <w:tcW w:w="2414" w:type="dxa"/>
            <w:gridSpan w:val="3"/>
            <w:tcBorders/>
            <w:tcMar>
              <w:top w:w="0" w:type="dxa"/>
              <w:left w:w="0" w:type="dxa"/>
              <w:bottom w:w="0" w:type="dxa"/>
              <w:right w:w="0" w:type="dxa"/>
            </w:tcMar>
            <w:vAlign w:val="center"/>
          </w:tcPr>
          <w:p>
            <w:pPr>
              <w:pStyle w:val="TableContents"/>
              <w:bidi w:val="0"/>
              <w:spacing w:lineRule="auto" w:line="240" w:before="0" w:after="283"/>
              <w:jc w:val="center"/>
              <w:rPr>
                <w:rFonts w:ascii="Arial;sans-serif" w:hAnsi="Arial;sans-serif"/>
                <w:b w:val="false"/>
                <w:color w:val="000000"/>
                <w:sz w:val="20"/>
              </w:rPr>
            </w:pPr>
            <w:r>
              <w:rPr>
                <w:rFonts w:ascii="Arial;sans-serif" w:hAnsi="Arial;sans-serif"/>
                <w:b w:val="false"/>
                <w:color w:val="000000"/>
                <w:sz w:val="20"/>
              </w:rPr>
              <w:t>(Commission File Number)</w:t>
            </w:r>
          </w:p>
        </w:tc>
        <w:tc>
          <w:tcPr>
            <w:tcW w:w="2775" w:type="dxa"/>
            <w:gridSpan w:val="3"/>
            <w:tcBorders/>
            <w:tcMar>
              <w:top w:w="0" w:type="dxa"/>
              <w:left w:w="0" w:type="dxa"/>
              <w:bottom w:w="0" w:type="dxa"/>
              <w:right w:w="0" w:type="dxa"/>
            </w:tcMar>
            <w:vAlign w:val="center"/>
          </w:tcPr>
          <w:p>
            <w:pPr>
              <w:pStyle w:val="TableContents"/>
              <w:bidi w:val="0"/>
              <w:spacing w:lineRule="auto" w:line="240" w:before="0" w:after="283"/>
              <w:jc w:val="center"/>
              <w:rPr>
                <w:rFonts w:ascii="Arial;sans-serif" w:hAnsi="Arial;sans-serif"/>
                <w:b w:val="false"/>
                <w:color w:val="000000"/>
                <w:sz w:val="20"/>
              </w:rPr>
            </w:pPr>
            <w:r>
              <w:rPr>
                <w:rFonts w:ascii="Arial;sans-serif" w:hAnsi="Arial;sans-serif"/>
                <w:b w:val="false"/>
                <w:color w:val="000000"/>
                <w:sz w:val="20"/>
              </w:rPr>
              <w:t>(I.R.S. Employer Identification</w:t>
              <w:br/>
              <w:t>Number)</w:t>
            </w:r>
          </w:p>
        </w:tc>
      </w:tr>
    </w:tbl>
    <w:p>
      <w:pPr>
        <w:pStyle w:val="TextBody"/>
        <w:bidi w:val="0"/>
        <w:spacing w:before="0" w:after="0"/>
        <w:jc w:val="left"/>
        <w:rPr/>
      </w:pPr>
      <w:r>
        <w:rPr/>
      </w:r>
    </w:p>
    <w:p>
      <w:pPr>
        <w:pStyle w:val="TextBody"/>
        <w:bidi w:val="0"/>
        <w:spacing w:lineRule="auto" w:line="288" w:before="0" w:after="0"/>
        <w:jc w:val="center"/>
        <w:rPr/>
      </w:pPr>
      <w:r>
        <w:rPr>
          <w:rFonts w:ascii="Arial;sans-serif" w:hAnsi="Arial;sans-serif"/>
          <w:b w:val="false"/>
          <w:color w:val="000000"/>
          <w:sz w:val="20"/>
        </w:rPr>
        <w:t>855 S. MINT STREET, CHARLOTTE, NC</w:t>
      </w:r>
      <w:r>
        <w:rPr>
          <w:rFonts w:ascii="Arial;sans-serif" w:hAnsi="Arial;sans-serif"/>
          <w:b w:val="false"/>
          <w:color w:val="FFFFFF"/>
          <w:sz w:val="20"/>
        </w:rPr>
        <w:t>..................................................</w:t>
      </w:r>
      <w:r>
        <w:rPr>
          <w:rFonts w:ascii="Arial;sans-serif" w:hAnsi="Arial;sans-serif"/>
          <w:b w:val="false"/>
          <w:color w:val="000000"/>
          <w:sz w:val="20"/>
        </w:rPr>
        <w:t>28202</w:t>
      </w:r>
    </w:p>
    <w:p>
      <w:pPr>
        <w:pStyle w:val="TextBody"/>
        <w:bidi w:val="0"/>
        <w:spacing w:lineRule="auto" w:line="288" w:before="0" w:after="0"/>
        <w:jc w:val="center"/>
        <w:rPr/>
      </w:pPr>
      <w:r>
        <w:rPr>
          <w:rFonts w:ascii="Arial;sans-serif" w:hAnsi="Arial;sans-serif"/>
          <w:b w:val="false"/>
          <w:color w:val="FFFFFF"/>
          <w:sz w:val="20"/>
        </w:rPr>
        <w:t>......</w:t>
      </w:r>
      <w:r>
        <w:rPr>
          <w:rFonts w:ascii="Arial;sans-serif" w:hAnsi="Arial;sans-serif"/>
          <w:b w:val="false"/>
          <w:color w:val="000000"/>
          <w:sz w:val="20"/>
        </w:rPr>
        <w:t>(Address of principal executive offices)</w:t>
      </w:r>
      <w:r>
        <w:rPr>
          <w:rFonts w:ascii="Arial;sans-serif" w:hAnsi="Arial;sans-serif"/>
          <w:b w:val="false"/>
          <w:color w:val="FFFFFF"/>
          <w:sz w:val="20"/>
        </w:rPr>
        <w:t>.................................................</w:t>
      </w:r>
      <w:r>
        <w:rPr>
          <w:rFonts w:ascii="Arial;sans-serif" w:hAnsi="Arial;sans-serif"/>
          <w:b w:val="false"/>
          <w:color w:val="000000"/>
          <w:sz w:val="20"/>
        </w:rPr>
        <w:t>(Zip Code)</w:t>
      </w:r>
    </w:p>
    <w:p>
      <w:pPr>
        <w:pStyle w:val="TextBody"/>
        <w:bidi w:val="0"/>
        <w:spacing w:before="0" w:after="0"/>
        <w:jc w:val="left"/>
        <w:rPr/>
      </w:pPr>
      <w:r>
        <w:rPr/>
      </w:r>
    </w:p>
    <w:p>
      <w:pPr>
        <w:pStyle w:val="TextBody"/>
        <w:bidi w:val="0"/>
        <w:spacing w:lineRule="auto" w:line="288" w:before="0" w:after="0"/>
        <w:jc w:val="center"/>
        <w:rPr>
          <w:color w:val="000000"/>
        </w:rPr>
      </w:pPr>
      <w:r>
        <w:rPr>
          <w:color w:val="000000"/>
        </w:rPr>
        <w:t> </w:t>
      </w:r>
      <w:r>
        <w:rPr>
          <w:rFonts w:ascii="Arial;sans-serif" w:hAnsi="Arial;sans-serif"/>
          <w:b w:val="false"/>
          <w:color w:val="000000"/>
          <w:sz w:val="20"/>
        </w:rPr>
        <w:t xml:space="preserve">Registrant’s telephone number, including area code: (704) 627-6200 </w:t>
      </w:r>
    </w:p>
    <w:p>
      <w:pPr>
        <w:pStyle w:val="TextBody"/>
        <w:bidi w:val="0"/>
        <w:spacing w:before="0" w:after="0"/>
        <w:jc w:val="center"/>
        <w:rPr/>
      </w:pPr>
      <w:r>
        <w:rPr/>
      </w:r>
    </w:p>
    <w:p>
      <w:pPr>
        <w:pStyle w:val="TextBody"/>
        <w:bidi w:val="0"/>
        <w:spacing w:lineRule="auto" w:line="288" w:before="0" w:after="0"/>
        <w:jc w:val="left"/>
        <w:rPr>
          <w:rFonts w:ascii="Arial;sans-serif" w:hAnsi="Arial;sans-serif"/>
          <w:b w:val="false"/>
          <w:color w:val="000000"/>
          <w:sz w:val="20"/>
        </w:rPr>
      </w:pPr>
      <w:r>
        <w:rPr>
          <w:rFonts w:ascii="Arial;sans-serif" w:hAnsi="Arial;sans-serif"/>
          <w:b w:val="false"/>
          <w:color w:val="000000"/>
          <w:sz w:val="20"/>
        </w:rPr>
        <w:t>Check the appropriate box below if the Form 8-K filing is intended to simultaneously satisfy the filing obligation of the registrant under any of the following provisions: </w:t>
      </w:r>
    </w:p>
    <w:tbl>
      <w:tblPr>
        <w:tblW w:w="10121" w:type="dxa"/>
        <w:jc w:val="left"/>
        <w:tblInd w:w="0" w:type="dxa"/>
        <w:tblLayout w:type="fixed"/>
        <w:tblCellMar>
          <w:top w:w="28" w:type="dxa"/>
          <w:left w:w="28" w:type="dxa"/>
          <w:bottom w:w="28" w:type="dxa"/>
          <w:right w:w="28" w:type="dxa"/>
        </w:tblCellMar>
      </w:tblPr>
      <w:tblGrid>
        <w:gridCol w:w="124"/>
        <w:gridCol w:w="109"/>
        <w:gridCol w:w="109"/>
        <w:gridCol w:w="2860"/>
        <w:gridCol w:w="2860"/>
        <w:gridCol w:w="4059"/>
      </w:tblGrid>
      <w:tr>
        <w:trPr/>
        <w:tc>
          <w:tcPr>
            <w:tcW w:w="124"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860" w:type="dxa"/>
            <w:tcBorders/>
            <w:vAlign w:val="center"/>
          </w:tcPr>
          <w:p>
            <w:pPr>
              <w:pStyle w:val="TableContents"/>
              <w:bidi w:val="0"/>
              <w:spacing w:before="0" w:after="283"/>
              <w:jc w:val="left"/>
              <w:rPr>
                <w:sz w:val="4"/>
                <w:szCs w:val="4"/>
              </w:rPr>
            </w:pPr>
            <w:r>
              <w:rPr>
                <w:sz w:val="4"/>
                <w:szCs w:val="4"/>
              </w:rPr>
            </w:r>
          </w:p>
        </w:tc>
        <w:tc>
          <w:tcPr>
            <w:tcW w:w="2860" w:type="dxa"/>
            <w:tcBorders/>
            <w:vAlign w:val="center"/>
          </w:tcPr>
          <w:p>
            <w:pPr>
              <w:pStyle w:val="TableContents"/>
              <w:bidi w:val="0"/>
              <w:spacing w:before="0" w:after="283"/>
              <w:jc w:val="left"/>
              <w:rPr>
                <w:sz w:val="4"/>
                <w:szCs w:val="4"/>
              </w:rPr>
            </w:pPr>
            <w:r>
              <w:rPr>
                <w:sz w:val="4"/>
                <w:szCs w:val="4"/>
              </w:rPr>
            </w:r>
          </w:p>
        </w:tc>
        <w:tc>
          <w:tcPr>
            <w:tcW w:w="4059" w:type="dxa"/>
            <w:tcBorders/>
            <w:vAlign w:val="center"/>
          </w:tcPr>
          <w:p>
            <w:pPr>
              <w:pStyle w:val="TableContents"/>
              <w:bidi w:val="0"/>
              <w:spacing w:before="0" w:after="283"/>
              <w:jc w:val="left"/>
              <w:rPr>
                <w:sz w:val="4"/>
                <w:szCs w:val="4"/>
              </w:rPr>
            </w:pPr>
            <w:r>
              <w:rPr>
                <w:sz w:val="4"/>
                <w:szCs w:val="4"/>
              </w:rPr>
            </w:r>
          </w:p>
        </w:tc>
      </w:tr>
      <w:tr>
        <w:trPr/>
        <w:tc>
          <w:tcPr>
            <w:tcW w:w="342" w:type="dxa"/>
            <w:gridSpan w:val="3"/>
            <w:tcBorders/>
            <w:tcMar>
              <w:top w:w="0" w:type="dxa"/>
              <w:left w:w="0" w:type="dxa"/>
              <w:bottom w:w="0" w:type="dxa"/>
              <w:right w:w="0" w:type="dxa"/>
            </w:tcMar>
            <w:vAlign w:val="center"/>
          </w:tcPr>
          <w:p>
            <w:pPr>
              <w:pStyle w:val="TableContents"/>
              <w:bidi w:val="0"/>
              <w:spacing w:lineRule="auto" w:line="240" w:before="0" w:after="283"/>
              <w:jc w:val="left"/>
              <w:rPr>
                <w:color w:val="000000"/>
              </w:rPr>
            </w:pPr>
            <w:r>
              <w:rPr>
                <w:color w:val="000000"/>
              </w:rPr>
              <w:t>☐</w:t>
            </w:r>
          </w:p>
        </w:tc>
        <w:tc>
          <w:tcPr>
            <w:tcW w:w="9779"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20"/>
              </w:rPr>
            </w:pPr>
            <w:r>
              <w:rPr>
                <w:rFonts w:ascii="Arial;sans-serif" w:hAnsi="Arial;sans-serif"/>
                <w:b w:val="false"/>
                <w:color w:val="000000"/>
                <w:sz w:val="20"/>
              </w:rPr>
              <w:t>Written communications pursuant to Rule 425 under the Securities Act (17 CFR 230.425)</w:t>
            </w:r>
          </w:p>
        </w:tc>
      </w:tr>
      <w:tr>
        <w:trPr/>
        <w:tc>
          <w:tcPr>
            <w:tcW w:w="342" w:type="dxa"/>
            <w:gridSpan w:val="3"/>
            <w:tcBorders/>
            <w:tcMar>
              <w:top w:w="0" w:type="dxa"/>
              <w:left w:w="0" w:type="dxa"/>
              <w:bottom w:w="0" w:type="dxa"/>
              <w:right w:w="0" w:type="dxa"/>
            </w:tcMar>
            <w:vAlign w:val="center"/>
          </w:tcPr>
          <w:p>
            <w:pPr>
              <w:pStyle w:val="TableContents"/>
              <w:bidi w:val="0"/>
              <w:spacing w:lineRule="auto" w:line="240" w:before="0" w:after="283"/>
              <w:jc w:val="left"/>
              <w:rPr>
                <w:color w:val="000000"/>
              </w:rPr>
            </w:pPr>
            <w:r>
              <w:rPr>
                <w:color w:val="000000"/>
              </w:rPr>
              <w:t>☐</w:t>
            </w:r>
          </w:p>
        </w:tc>
        <w:tc>
          <w:tcPr>
            <w:tcW w:w="9779"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20"/>
              </w:rPr>
            </w:pPr>
            <w:r>
              <w:rPr>
                <w:rFonts w:ascii="Arial;sans-serif" w:hAnsi="Arial;sans-serif"/>
                <w:b w:val="false"/>
                <w:color w:val="000000"/>
                <w:sz w:val="20"/>
              </w:rPr>
              <w:t>Soliciting material pursuant to Rule 14a-12 under the Exchange Act (17 CFR 240.14a-12)</w:t>
            </w:r>
          </w:p>
        </w:tc>
      </w:tr>
      <w:tr>
        <w:trPr/>
        <w:tc>
          <w:tcPr>
            <w:tcW w:w="342" w:type="dxa"/>
            <w:gridSpan w:val="3"/>
            <w:tcBorders/>
            <w:tcMar>
              <w:top w:w="0" w:type="dxa"/>
              <w:left w:w="0" w:type="dxa"/>
              <w:bottom w:w="0" w:type="dxa"/>
              <w:right w:w="0" w:type="dxa"/>
            </w:tcMar>
            <w:vAlign w:val="center"/>
          </w:tcPr>
          <w:p>
            <w:pPr>
              <w:pStyle w:val="TableContents"/>
              <w:bidi w:val="0"/>
              <w:spacing w:lineRule="auto" w:line="240" w:before="0" w:after="283"/>
              <w:jc w:val="left"/>
              <w:rPr>
                <w:color w:val="000000"/>
              </w:rPr>
            </w:pPr>
            <w:r>
              <w:rPr>
                <w:color w:val="000000"/>
              </w:rPr>
              <w:t>☐</w:t>
            </w:r>
          </w:p>
        </w:tc>
        <w:tc>
          <w:tcPr>
            <w:tcW w:w="9779"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20"/>
              </w:rPr>
            </w:pPr>
            <w:r>
              <w:rPr>
                <w:rFonts w:ascii="Arial;sans-serif" w:hAnsi="Arial;sans-serif"/>
                <w:b w:val="false"/>
                <w:color w:val="000000"/>
                <w:sz w:val="20"/>
              </w:rPr>
              <w:t>Pre-commencement communications pursuant to Rule 14d-2(b) under the Exchange Act (17 CFR 240.14d-2(b))</w:t>
            </w:r>
          </w:p>
        </w:tc>
      </w:tr>
      <w:tr>
        <w:trPr/>
        <w:tc>
          <w:tcPr>
            <w:tcW w:w="342" w:type="dxa"/>
            <w:gridSpan w:val="3"/>
            <w:tcBorders/>
            <w:tcMar>
              <w:top w:w="0" w:type="dxa"/>
              <w:left w:w="0" w:type="dxa"/>
              <w:bottom w:w="0" w:type="dxa"/>
              <w:right w:w="0" w:type="dxa"/>
            </w:tcMar>
            <w:vAlign w:val="center"/>
          </w:tcPr>
          <w:p>
            <w:pPr>
              <w:pStyle w:val="TableContents"/>
              <w:bidi w:val="0"/>
              <w:spacing w:lineRule="auto" w:line="240" w:before="0" w:after="283"/>
              <w:jc w:val="left"/>
              <w:rPr>
                <w:color w:val="000000"/>
              </w:rPr>
            </w:pPr>
            <w:r>
              <w:rPr>
                <w:color w:val="000000"/>
              </w:rPr>
              <w:t>☐</w:t>
            </w:r>
          </w:p>
        </w:tc>
        <w:tc>
          <w:tcPr>
            <w:tcW w:w="9779"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20"/>
              </w:rPr>
            </w:pPr>
            <w:r>
              <w:rPr>
                <w:rFonts w:ascii="Arial;sans-serif" w:hAnsi="Arial;sans-serif"/>
                <w:b w:val="false"/>
                <w:color w:val="000000"/>
                <w:sz w:val="20"/>
              </w:rPr>
              <w:t>Pre-commencement communications pursuant to Rule 13e-4(c) under the Exchange Act (17 CFR 240.13e-4(c))</w:t>
            </w:r>
          </w:p>
        </w:tc>
      </w:tr>
    </w:tbl>
    <w:p>
      <w:pPr>
        <w:pStyle w:val="TextBody"/>
        <w:bidi w:val="0"/>
        <w:spacing w:before="0" w:after="0"/>
        <w:jc w:val="left"/>
        <w:rPr/>
      </w:pPr>
      <w:r>
        <w:rPr/>
      </w:r>
    </w:p>
    <w:p>
      <w:pPr>
        <w:pStyle w:val="TextBody"/>
        <w:bidi w:val="0"/>
        <w:spacing w:lineRule="auto" w:line="288" w:before="0" w:after="0"/>
        <w:jc w:val="left"/>
        <w:rPr>
          <w:rFonts w:ascii="Arial;sans-serif" w:hAnsi="Arial;sans-serif"/>
          <w:b w:val="false"/>
          <w:color w:val="000000"/>
          <w:sz w:val="20"/>
        </w:rPr>
      </w:pPr>
      <w:r>
        <w:rPr>
          <w:rFonts w:ascii="Arial;sans-serif" w:hAnsi="Arial;sans-serif"/>
          <w:b w:val="false"/>
          <w:color w:val="000000"/>
          <w:sz w:val="20"/>
        </w:rPr>
        <w:t>Securities registered pursuant to Section 12(b) of the Act:</w:t>
      </w:r>
    </w:p>
    <w:tbl>
      <w:tblPr>
        <w:tblW w:w="9877" w:type="dxa"/>
        <w:jc w:val="left"/>
        <w:tblInd w:w="0" w:type="dxa"/>
        <w:tblLayout w:type="fixed"/>
        <w:tblCellMar>
          <w:top w:w="28" w:type="dxa"/>
          <w:left w:w="28" w:type="dxa"/>
          <w:bottom w:w="28" w:type="dxa"/>
          <w:right w:w="28" w:type="dxa"/>
        </w:tblCellMar>
      </w:tblPr>
      <w:tblGrid>
        <w:gridCol w:w="1276"/>
        <w:gridCol w:w="1118"/>
        <w:gridCol w:w="1131"/>
        <w:gridCol w:w="109"/>
        <w:gridCol w:w="109"/>
        <w:gridCol w:w="109"/>
        <w:gridCol w:w="564"/>
        <w:gridCol w:w="564"/>
        <w:gridCol w:w="566"/>
        <w:gridCol w:w="109"/>
        <w:gridCol w:w="109"/>
        <w:gridCol w:w="109"/>
        <w:gridCol w:w="1170"/>
        <w:gridCol w:w="1170"/>
        <w:gridCol w:w="1664"/>
      </w:tblGrid>
      <w:tr>
        <w:trPr/>
        <w:tc>
          <w:tcPr>
            <w:tcW w:w="1276" w:type="dxa"/>
            <w:tcBorders/>
            <w:vAlign w:val="center"/>
          </w:tcPr>
          <w:p>
            <w:pPr>
              <w:pStyle w:val="TableContents"/>
              <w:bidi w:val="0"/>
              <w:spacing w:before="0" w:after="283"/>
              <w:jc w:val="left"/>
              <w:rPr>
                <w:sz w:val="4"/>
                <w:szCs w:val="4"/>
              </w:rPr>
            </w:pPr>
            <w:r>
              <w:rPr>
                <w:sz w:val="4"/>
                <w:szCs w:val="4"/>
              </w:rPr>
            </w:r>
          </w:p>
        </w:tc>
        <w:tc>
          <w:tcPr>
            <w:tcW w:w="1118" w:type="dxa"/>
            <w:tcBorders/>
            <w:vAlign w:val="center"/>
          </w:tcPr>
          <w:p>
            <w:pPr>
              <w:pStyle w:val="TableContents"/>
              <w:bidi w:val="0"/>
              <w:spacing w:before="0" w:after="283"/>
              <w:jc w:val="left"/>
              <w:rPr>
                <w:sz w:val="4"/>
                <w:szCs w:val="4"/>
              </w:rPr>
            </w:pPr>
            <w:r>
              <w:rPr>
                <w:sz w:val="4"/>
                <w:szCs w:val="4"/>
              </w:rPr>
            </w:r>
          </w:p>
        </w:tc>
        <w:tc>
          <w:tcPr>
            <w:tcW w:w="1131"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564" w:type="dxa"/>
            <w:tcBorders/>
            <w:vAlign w:val="center"/>
          </w:tcPr>
          <w:p>
            <w:pPr>
              <w:pStyle w:val="TableContents"/>
              <w:bidi w:val="0"/>
              <w:spacing w:before="0" w:after="283"/>
              <w:jc w:val="left"/>
              <w:rPr>
                <w:sz w:val="4"/>
                <w:szCs w:val="4"/>
              </w:rPr>
            </w:pPr>
            <w:r>
              <w:rPr>
                <w:sz w:val="4"/>
                <w:szCs w:val="4"/>
              </w:rPr>
            </w:r>
          </w:p>
        </w:tc>
        <w:tc>
          <w:tcPr>
            <w:tcW w:w="564" w:type="dxa"/>
            <w:tcBorders/>
            <w:vAlign w:val="center"/>
          </w:tcPr>
          <w:p>
            <w:pPr>
              <w:pStyle w:val="TableContents"/>
              <w:bidi w:val="0"/>
              <w:spacing w:before="0" w:after="283"/>
              <w:jc w:val="left"/>
              <w:rPr>
                <w:sz w:val="4"/>
                <w:szCs w:val="4"/>
              </w:rPr>
            </w:pPr>
            <w:r>
              <w:rPr>
                <w:sz w:val="4"/>
                <w:szCs w:val="4"/>
              </w:rPr>
            </w:r>
          </w:p>
        </w:tc>
        <w:tc>
          <w:tcPr>
            <w:tcW w:w="566"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170" w:type="dxa"/>
            <w:tcBorders/>
            <w:vAlign w:val="center"/>
          </w:tcPr>
          <w:p>
            <w:pPr>
              <w:pStyle w:val="TableContents"/>
              <w:bidi w:val="0"/>
              <w:spacing w:before="0" w:after="283"/>
              <w:jc w:val="left"/>
              <w:rPr>
                <w:sz w:val="4"/>
                <w:szCs w:val="4"/>
              </w:rPr>
            </w:pPr>
            <w:r>
              <w:rPr>
                <w:sz w:val="4"/>
                <w:szCs w:val="4"/>
              </w:rPr>
            </w:r>
          </w:p>
        </w:tc>
        <w:tc>
          <w:tcPr>
            <w:tcW w:w="1170" w:type="dxa"/>
            <w:tcBorders/>
            <w:vAlign w:val="center"/>
          </w:tcPr>
          <w:p>
            <w:pPr>
              <w:pStyle w:val="TableContents"/>
              <w:bidi w:val="0"/>
              <w:spacing w:before="0" w:after="283"/>
              <w:jc w:val="left"/>
              <w:rPr>
                <w:sz w:val="4"/>
                <w:szCs w:val="4"/>
              </w:rPr>
            </w:pPr>
            <w:r>
              <w:rPr>
                <w:sz w:val="4"/>
                <w:szCs w:val="4"/>
              </w:rPr>
            </w:r>
          </w:p>
        </w:tc>
        <w:tc>
          <w:tcPr>
            <w:tcW w:w="1664" w:type="dxa"/>
            <w:tcBorders/>
            <w:vAlign w:val="center"/>
          </w:tcPr>
          <w:p>
            <w:pPr>
              <w:pStyle w:val="TableContents"/>
              <w:bidi w:val="0"/>
              <w:spacing w:before="0" w:after="283"/>
              <w:jc w:val="left"/>
              <w:rPr>
                <w:sz w:val="4"/>
                <w:szCs w:val="4"/>
              </w:rPr>
            </w:pPr>
            <w:r>
              <w:rPr>
                <w:sz w:val="4"/>
                <w:szCs w:val="4"/>
              </w:rPr>
            </w:r>
          </w:p>
        </w:tc>
      </w:tr>
      <w:tr>
        <w:trPr/>
        <w:tc>
          <w:tcPr>
            <w:tcW w:w="3525" w:type="dxa"/>
            <w:gridSpan w:val="3"/>
            <w:tcBorders/>
            <w:tcMar>
              <w:top w:w="0" w:type="dxa"/>
              <w:left w:w="0" w:type="dxa"/>
              <w:bottom w:w="0" w:type="dxa"/>
              <w:right w:w="0" w:type="dxa"/>
            </w:tcMar>
            <w:vAlign w:val="center"/>
          </w:tcPr>
          <w:p>
            <w:pPr>
              <w:pStyle w:val="TableContents"/>
              <w:bidi w:val="0"/>
              <w:spacing w:lineRule="auto" w:line="240" w:before="0" w:after="283"/>
              <w:jc w:val="center"/>
              <w:rPr>
                <w:rFonts w:ascii="Arial;sans-serif" w:hAnsi="Arial;sans-serif"/>
                <w:b w:val="false"/>
                <w:color w:val="000000"/>
                <w:sz w:val="20"/>
              </w:rPr>
            </w:pPr>
            <w:r>
              <w:rPr>
                <w:rFonts w:ascii="Arial;sans-serif" w:hAnsi="Arial;sans-serif"/>
                <w:b w:val="false"/>
                <w:color w:val="000000"/>
                <w:sz w:val="20"/>
              </w:rPr>
              <w:t>Title of each class</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694" w:type="dxa"/>
            <w:gridSpan w:val="3"/>
            <w:tcBorders/>
            <w:tcMar>
              <w:top w:w="0" w:type="dxa"/>
              <w:left w:w="0" w:type="dxa"/>
              <w:bottom w:w="0" w:type="dxa"/>
              <w:right w:w="0" w:type="dxa"/>
            </w:tcMar>
            <w:vAlign w:val="center"/>
          </w:tcPr>
          <w:p>
            <w:pPr>
              <w:pStyle w:val="TableContents"/>
              <w:bidi w:val="0"/>
              <w:spacing w:lineRule="auto" w:line="240" w:before="0" w:after="283"/>
              <w:jc w:val="center"/>
              <w:rPr>
                <w:rFonts w:ascii="Arial;sans-serif" w:hAnsi="Arial;sans-serif"/>
                <w:b w:val="false"/>
                <w:color w:val="000000"/>
                <w:sz w:val="20"/>
              </w:rPr>
            </w:pPr>
            <w:r>
              <w:rPr>
                <w:rFonts w:ascii="Arial;sans-serif" w:hAnsi="Arial;sans-serif"/>
                <w:b w:val="false"/>
                <w:color w:val="000000"/>
                <w:sz w:val="20"/>
              </w:rPr>
              <w:t>Trading Symbol(s)</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004" w:type="dxa"/>
            <w:gridSpan w:val="3"/>
            <w:tcBorders/>
            <w:tcMar>
              <w:top w:w="0" w:type="dxa"/>
              <w:left w:w="0" w:type="dxa"/>
              <w:bottom w:w="0" w:type="dxa"/>
              <w:right w:w="0" w:type="dxa"/>
            </w:tcMar>
            <w:vAlign w:val="center"/>
          </w:tcPr>
          <w:p>
            <w:pPr>
              <w:pStyle w:val="TableContents"/>
              <w:bidi w:val="0"/>
              <w:spacing w:lineRule="auto" w:line="240" w:before="0" w:after="283"/>
              <w:jc w:val="center"/>
              <w:rPr>
                <w:rFonts w:ascii="Arial;sans-serif" w:hAnsi="Arial;sans-serif"/>
                <w:b w:val="false"/>
                <w:color w:val="000000"/>
                <w:sz w:val="20"/>
              </w:rPr>
            </w:pPr>
            <w:r>
              <w:rPr>
                <w:rFonts w:ascii="Arial;sans-serif" w:hAnsi="Arial;sans-serif"/>
                <w:b w:val="false"/>
                <w:color w:val="000000"/>
                <w:sz w:val="20"/>
              </w:rPr>
              <w:t>Name of each exchange on which registered</w:t>
            </w:r>
          </w:p>
        </w:tc>
      </w:tr>
      <w:tr>
        <w:trPr/>
        <w:tc>
          <w:tcPr>
            <w:tcW w:w="3525"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center"/>
              <w:rPr>
                <w:rFonts w:ascii="Arial;sans-serif" w:hAnsi="Arial;sans-serif"/>
                <w:b w:val="false"/>
                <w:color w:val="000000"/>
                <w:sz w:val="20"/>
              </w:rPr>
            </w:pPr>
            <w:r>
              <w:rPr>
                <w:rFonts w:ascii="Arial;sans-serif" w:hAnsi="Arial;sans-serif"/>
                <w:b w:val="false"/>
                <w:color w:val="000000"/>
                <w:sz w:val="20"/>
              </w:rPr>
              <w:t>Common Stock, par value $1 per share</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694"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center"/>
              <w:rPr>
                <w:rFonts w:ascii="Arial;sans-serif" w:hAnsi="Arial;sans-serif"/>
                <w:b w:val="false"/>
                <w:color w:val="000000"/>
                <w:sz w:val="20"/>
              </w:rPr>
            </w:pPr>
            <w:r>
              <w:rPr>
                <w:rFonts w:ascii="Arial;sans-serif" w:hAnsi="Arial;sans-serif"/>
                <w:b w:val="false"/>
                <w:color w:val="000000"/>
                <w:sz w:val="20"/>
              </w:rPr>
              <w:t>HON</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004"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center"/>
              <w:rPr>
                <w:rFonts w:ascii="Arial;sans-serif" w:hAnsi="Arial;sans-serif"/>
                <w:b w:val="false"/>
                <w:color w:val="000000"/>
                <w:sz w:val="20"/>
              </w:rPr>
            </w:pPr>
            <w:r>
              <w:rPr>
                <w:rFonts w:ascii="Arial;sans-serif" w:hAnsi="Arial;sans-serif"/>
                <w:b w:val="false"/>
                <w:color w:val="000000"/>
                <w:sz w:val="20"/>
              </w:rPr>
              <w:t>The Nasdaq Stock Market LLC</w:t>
            </w:r>
          </w:p>
        </w:tc>
      </w:tr>
      <w:tr>
        <w:trPr/>
        <w:tc>
          <w:tcPr>
            <w:tcW w:w="3525" w:type="dxa"/>
            <w:gridSpan w:val="3"/>
            <w:tcBorders/>
            <w:tcMar>
              <w:top w:w="0" w:type="dxa"/>
              <w:left w:w="0" w:type="dxa"/>
              <w:bottom w:w="0" w:type="dxa"/>
              <w:right w:w="0" w:type="dxa"/>
            </w:tcMar>
            <w:vAlign w:val="center"/>
          </w:tcPr>
          <w:p>
            <w:pPr>
              <w:pStyle w:val="TableContents"/>
              <w:bidi w:val="0"/>
              <w:spacing w:lineRule="auto" w:line="240" w:before="0" w:after="283"/>
              <w:jc w:val="center"/>
              <w:rPr>
                <w:rFonts w:ascii="Arial;sans-serif" w:hAnsi="Arial;sans-serif"/>
                <w:b w:val="false"/>
                <w:color w:val="000000"/>
                <w:sz w:val="20"/>
              </w:rPr>
            </w:pPr>
            <w:r>
              <w:rPr>
                <w:rFonts w:ascii="Arial;sans-serif" w:hAnsi="Arial;sans-serif"/>
                <w:b w:val="false"/>
                <w:color w:val="000000"/>
                <w:sz w:val="20"/>
              </w:rPr>
              <w:t>0.000% Senior Notes due 2024</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694" w:type="dxa"/>
            <w:gridSpan w:val="3"/>
            <w:tcBorders/>
            <w:tcMar>
              <w:top w:w="0" w:type="dxa"/>
              <w:left w:w="0" w:type="dxa"/>
              <w:bottom w:w="0" w:type="dxa"/>
              <w:right w:w="0" w:type="dxa"/>
            </w:tcMar>
            <w:vAlign w:val="center"/>
          </w:tcPr>
          <w:p>
            <w:pPr>
              <w:pStyle w:val="TableContents"/>
              <w:bidi w:val="0"/>
              <w:spacing w:lineRule="auto" w:line="240" w:before="0" w:after="283"/>
              <w:jc w:val="center"/>
              <w:rPr>
                <w:rFonts w:ascii="Arial;sans-serif" w:hAnsi="Arial;sans-serif"/>
                <w:b w:val="false"/>
                <w:color w:val="000000"/>
                <w:sz w:val="20"/>
              </w:rPr>
            </w:pPr>
            <w:r>
              <w:rPr>
                <w:rFonts w:ascii="Arial;sans-serif" w:hAnsi="Arial;sans-serif"/>
                <w:b w:val="false"/>
                <w:color w:val="000000"/>
                <w:sz w:val="20"/>
              </w:rPr>
              <w:t>HON 24A</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004" w:type="dxa"/>
            <w:gridSpan w:val="3"/>
            <w:tcBorders/>
            <w:tcMar>
              <w:top w:w="0" w:type="dxa"/>
              <w:left w:w="0" w:type="dxa"/>
              <w:bottom w:w="0" w:type="dxa"/>
              <w:right w:w="0" w:type="dxa"/>
            </w:tcMar>
            <w:vAlign w:val="center"/>
          </w:tcPr>
          <w:p>
            <w:pPr>
              <w:pStyle w:val="TableContents"/>
              <w:bidi w:val="0"/>
              <w:spacing w:lineRule="auto" w:line="240" w:before="0" w:after="283"/>
              <w:jc w:val="center"/>
              <w:rPr>
                <w:rFonts w:ascii="Arial;sans-serif" w:hAnsi="Arial;sans-serif"/>
                <w:b w:val="false"/>
                <w:color w:val="000000"/>
                <w:sz w:val="20"/>
              </w:rPr>
            </w:pPr>
            <w:r>
              <w:rPr>
                <w:rFonts w:ascii="Arial;sans-serif" w:hAnsi="Arial;sans-serif"/>
                <w:b w:val="false"/>
                <w:color w:val="000000"/>
                <w:sz w:val="20"/>
              </w:rPr>
              <w:t>The Nasdaq Stock Market LLC</w:t>
            </w:r>
          </w:p>
        </w:tc>
      </w:tr>
      <w:tr>
        <w:trPr/>
        <w:tc>
          <w:tcPr>
            <w:tcW w:w="3525" w:type="dxa"/>
            <w:gridSpan w:val="3"/>
            <w:tcBorders/>
            <w:tcMar>
              <w:top w:w="0" w:type="dxa"/>
              <w:left w:w="0" w:type="dxa"/>
              <w:bottom w:w="0" w:type="dxa"/>
              <w:right w:w="0" w:type="dxa"/>
            </w:tcMar>
            <w:vAlign w:val="center"/>
          </w:tcPr>
          <w:p>
            <w:pPr>
              <w:pStyle w:val="TableContents"/>
              <w:bidi w:val="0"/>
              <w:spacing w:lineRule="auto" w:line="240" w:before="0" w:after="283"/>
              <w:jc w:val="center"/>
              <w:rPr>
                <w:rFonts w:ascii="Arial;sans-serif" w:hAnsi="Arial;sans-serif"/>
                <w:b w:val="false"/>
                <w:color w:val="000000"/>
                <w:sz w:val="20"/>
              </w:rPr>
            </w:pPr>
            <w:r>
              <w:rPr>
                <w:rFonts w:ascii="Arial;sans-serif" w:hAnsi="Arial;sans-serif"/>
                <w:b w:val="false"/>
                <w:color w:val="000000"/>
                <w:sz w:val="20"/>
              </w:rPr>
              <w:t>3.500% Senior Notes due 2027</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694" w:type="dxa"/>
            <w:gridSpan w:val="3"/>
            <w:tcBorders/>
            <w:tcMar>
              <w:top w:w="0" w:type="dxa"/>
              <w:left w:w="0" w:type="dxa"/>
              <w:bottom w:w="0" w:type="dxa"/>
              <w:right w:w="0" w:type="dxa"/>
            </w:tcMar>
            <w:vAlign w:val="center"/>
          </w:tcPr>
          <w:p>
            <w:pPr>
              <w:pStyle w:val="TableContents"/>
              <w:bidi w:val="0"/>
              <w:spacing w:lineRule="auto" w:line="240" w:before="0" w:after="283"/>
              <w:jc w:val="center"/>
              <w:rPr>
                <w:rFonts w:ascii="Arial;sans-serif" w:hAnsi="Arial;sans-serif"/>
                <w:b w:val="false"/>
                <w:color w:val="000000"/>
                <w:sz w:val="20"/>
              </w:rPr>
            </w:pPr>
            <w:r>
              <w:rPr>
                <w:rFonts w:ascii="Arial;sans-serif" w:hAnsi="Arial;sans-serif"/>
                <w:b w:val="false"/>
                <w:color w:val="000000"/>
                <w:sz w:val="20"/>
              </w:rPr>
              <w:t>HON 27</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004" w:type="dxa"/>
            <w:gridSpan w:val="3"/>
            <w:tcBorders/>
            <w:tcMar>
              <w:top w:w="0" w:type="dxa"/>
              <w:left w:w="0" w:type="dxa"/>
              <w:bottom w:w="0" w:type="dxa"/>
              <w:right w:w="0" w:type="dxa"/>
            </w:tcMar>
            <w:vAlign w:val="center"/>
          </w:tcPr>
          <w:p>
            <w:pPr>
              <w:pStyle w:val="TableContents"/>
              <w:bidi w:val="0"/>
              <w:spacing w:lineRule="auto" w:line="240" w:before="0" w:after="283"/>
              <w:jc w:val="center"/>
              <w:rPr>
                <w:rFonts w:ascii="Arial;sans-serif" w:hAnsi="Arial;sans-serif"/>
                <w:b w:val="false"/>
                <w:color w:val="000000"/>
                <w:sz w:val="20"/>
              </w:rPr>
            </w:pPr>
            <w:r>
              <w:rPr>
                <w:rFonts w:ascii="Arial;sans-serif" w:hAnsi="Arial;sans-serif"/>
                <w:b w:val="false"/>
                <w:color w:val="000000"/>
                <w:sz w:val="20"/>
              </w:rPr>
              <w:t>The Nasdaq Stock Market LLC</w:t>
            </w:r>
          </w:p>
        </w:tc>
      </w:tr>
      <w:tr>
        <w:trPr/>
        <w:tc>
          <w:tcPr>
            <w:tcW w:w="3525" w:type="dxa"/>
            <w:gridSpan w:val="3"/>
            <w:tcBorders/>
            <w:tcMar>
              <w:top w:w="0" w:type="dxa"/>
              <w:left w:w="0" w:type="dxa"/>
              <w:bottom w:w="0" w:type="dxa"/>
              <w:right w:w="0" w:type="dxa"/>
            </w:tcMar>
            <w:vAlign w:val="center"/>
          </w:tcPr>
          <w:p>
            <w:pPr>
              <w:pStyle w:val="TableContents"/>
              <w:bidi w:val="0"/>
              <w:spacing w:lineRule="auto" w:line="240" w:before="0" w:after="283"/>
              <w:jc w:val="center"/>
              <w:rPr>
                <w:rFonts w:ascii="Arial;sans-serif" w:hAnsi="Arial;sans-serif"/>
                <w:b w:val="false"/>
                <w:color w:val="000000"/>
                <w:sz w:val="20"/>
              </w:rPr>
            </w:pPr>
            <w:r>
              <w:rPr>
                <w:rFonts w:ascii="Arial;sans-serif" w:hAnsi="Arial;sans-serif"/>
                <w:b w:val="false"/>
                <w:color w:val="000000"/>
                <w:sz w:val="20"/>
              </w:rPr>
              <w:t>2.250% Senior Notes due 2028</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694" w:type="dxa"/>
            <w:gridSpan w:val="3"/>
            <w:tcBorders/>
            <w:tcMar>
              <w:top w:w="0" w:type="dxa"/>
              <w:left w:w="0" w:type="dxa"/>
              <w:bottom w:w="0" w:type="dxa"/>
              <w:right w:w="0" w:type="dxa"/>
            </w:tcMar>
            <w:vAlign w:val="center"/>
          </w:tcPr>
          <w:p>
            <w:pPr>
              <w:pStyle w:val="TableContents"/>
              <w:bidi w:val="0"/>
              <w:spacing w:lineRule="auto" w:line="240" w:before="0" w:after="283"/>
              <w:jc w:val="center"/>
              <w:rPr>
                <w:rFonts w:ascii="Arial;sans-serif" w:hAnsi="Arial;sans-serif"/>
                <w:b w:val="false"/>
                <w:color w:val="000000"/>
                <w:sz w:val="20"/>
              </w:rPr>
            </w:pPr>
            <w:r>
              <w:rPr>
                <w:rFonts w:ascii="Arial;sans-serif" w:hAnsi="Arial;sans-serif"/>
                <w:b w:val="false"/>
                <w:color w:val="000000"/>
                <w:sz w:val="20"/>
              </w:rPr>
              <w:t>HON 28A</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004" w:type="dxa"/>
            <w:gridSpan w:val="3"/>
            <w:tcBorders/>
            <w:tcMar>
              <w:top w:w="0" w:type="dxa"/>
              <w:left w:w="0" w:type="dxa"/>
              <w:bottom w:w="0" w:type="dxa"/>
              <w:right w:w="0" w:type="dxa"/>
            </w:tcMar>
            <w:vAlign w:val="center"/>
          </w:tcPr>
          <w:p>
            <w:pPr>
              <w:pStyle w:val="TableContents"/>
              <w:bidi w:val="0"/>
              <w:spacing w:lineRule="auto" w:line="240" w:before="0" w:after="283"/>
              <w:jc w:val="center"/>
              <w:rPr>
                <w:rFonts w:ascii="Arial;sans-serif" w:hAnsi="Arial;sans-serif"/>
                <w:b w:val="false"/>
                <w:color w:val="000000"/>
                <w:sz w:val="20"/>
              </w:rPr>
            </w:pPr>
            <w:r>
              <w:rPr>
                <w:rFonts w:ascii="Arial;sans-serif" w:hAnsi="Arial;sans-serif"/>
                <w:b w:val="false"/>
                <w:color w:val="000000"/>
                <w:sz w:val="20"/>
              </w:rPr>
              <w:t>The Nasdaq Stock Market LLC</w:t>
            </w:r>
          </w:p>
        </w:tc>
      </w:tr>
      <w:tr>
        <w:trPr/>
        <w:tc>
          <w:tcPr>
            <w:tcW w:w="3525" w:type="dxa"/>
            <w:gridSpan w:val="3"/>
            <w:tcBorders/>
            <w:tcMar>
              <w:top w:w="0" w:type="dxa"/>
              <w:left w:w="0" w:type="dxa"/>
              <w:bottom w:w="0" w:type="dxa"/>
              <w:right w:w="0" w:type="dxa"/>
            </w:tcMar>
            <w:vAlign w:val="center"/>
          </w:tcPr>
          <w:p>
            <w:pPr>
              <w:pStyle w:val="TableContents"/>
              <w:bidi w:val="0"/>
              <w:spacing w:lineRule="auto" w:line="240" w:before="0" w:after="283"/>
              <w:jc w:val="center"/>
              <w:rPr>
                <w:rFonts w:ascii="Arial;sans-serif" w:hAnsi="Arial;sans-serif"/>
                <w:b w:val="false"/>
                <w:color w:val="000000"/>
                <w:sz w:val="20"/>
              </w:rPr>
            </w:pPr>
            <w:r>
              <w:rPr>
                <w:rFonts w:ascii="Arial;sans-serif" w:hAnsi="Arial;sans-serif"/>
                <w:b w:val="false"/>
                <w:color w:val="000000"/>
                <w:sz w:val="20"/>
              </w:rPr>
              <w:t>0.750% Senior Notes due 2032</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694" w:type="dxa"/>
            <w:gridSpan w:val="3"/>
            <w:tcBorders/>
            <w:tcMar>
              <w:top w:w="0" w:type="dxa"/>
              <w:left w:w="0" w:type="dxa"/>
              <w:bottom w:w="0" w:type="dxa"/>
              <w:right w:w="0" w:type="dxa"/>
            </w:tcMar>
            <w:vAlign w:val="center"/>
          </w:tcPr>
          <w:p>
            <w:pPr>
              <w:pStyle w:val="TableContents"/>
              <w:bidi w:val="0"/>
              <w:spacing w:lineRule="auto" w:line="240" w:before="0" w:after="283"/>
              <w:jc w:val="center"/>
              <w:rPr>
                <w:rFonts w:ascii="Arial;sans-serif" w:hAnsi="Arial;sans-serif"/>
                <w:b w:val="false"/>
                <w:color w:val="000000"/>
                <w:sz w:val="20"/>
              </w:rPr>
            </w:pPr>
            <w:r>
              <w:rPr>
                <w:rFonts w:ascii="Arial;sans-serif" w:hAnsi="Arial;sans-serif"/>
                <w:b w:val="false"/>
                <w:color w:val="000000"/>
                <w:sz w:val="20"/>
              </w:rPr>
              <w:t>HON 32</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004" w:type="dxa"/>
            <w:gridSpan w:val="3"/>
            <w:tcBorders/>
            <w:tcMar>
              <w:top w:w="0" w:type="dxa"/>
              <w:left w:w="0" w:type="dxa"/>
              <w:bottom w:w="0" w:type="dxa"/>
              <w:right w:w="0" w:type="dxa"/>
            </w:tcMar>
            <w:vAlign w:val="center"/>
          </w:tcPr>
          <w:p>
            <w:pPr>
              <w:pStyle w:val="TableContents"/>
              <w:bidi w:val="0"/>
              <w:spacing w:lineRule="auto" w:line="240" w:before="0" w:after="283"/>
              <w:jc w:val="center"/>
              <w:rPr>
                <w:rFonts w:ascii="Arial;sans-serif" w:hAnsi="Arial;sans-serif"/>
                <w:b w:val="false"/>
                <w:color w:val="000000"/>
                <w:sz w:val="20"/>
              </w:rPr>
            </w:pPr>
            <w:r>
              <w:rPr>
                <w:rFonts w:ascii="Arial;sans-serif" w:hAnsi="Arial;sans-serif"/>
                <w:b w:val="false"/>
                <w:color w:val="000000"/>
                <w:sz w:val="20"/>
              </w:rPr>
              <w:t>The Nasdaq Stock Market LLC</w:t>
            </w:r>
          </w:p>
        </w:tc>
      </w:tr>
      <w:tr>
        <w:trPr/>
        <w:tc>
          <w:tcPr>
            <w:tcW w:w="3525" w:type="dxa"/>
            <w:gridSpan w:val="3"/>
            <w:tcBorders/>
            <w:tcMar>
              <w:top w:w="0" w:type="dxa"/>
              <w:left w:w="0" w:type="dxa"/>
              <w:bottom w:w="0" w:type="dxa"/>
              <w:right w:w="0" w:type="dxa"/>
            </w:tcMar>
            <w:vAlign w:val="center"/>
          </w:tcPr>
          <w:p>
            <w:pPr>
              <w:pStyle w:val="TableContents"/>
              <w:bidi w:val="0"/>
              <w:spacing w:lineRule="auto" w:line="240" w:before="0" w:after="283"/>
              <w:jc w:val="center"/>
              <w:rPr>
                <w:rFonts w:ascii="Arial;sans-serif" w:hAnsi="Arial;sans-serif"/>
                <w:b w:val="false"/>
                <w:color w:val="000000"/>
                <w:sz w:val="20"/>
              </w:rPr>
            </w:pPr>
            <w:r>
              <w:rPr>
                <w:rFonts w:ascii="Arial;sans-serif" w:hAnsi="Arial;sans-serif"/>
                <w:b w:val="false"/>
                <w:color w:val="000000"/>
                <w:sz w:val="20"/>
              </w:rPr>
              <w:t>3.750% Senior Notes due 2032</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694" w:type="dxa"/>
            <w:gridSpan w:val="3"/>
            <w:tcBorders/>
            <w:tcMar>
              <w:top w:w="0" w:type="dxa"/>
              <w:left w:w="0" w:type="dxa"/>
              <w:bottom w:w="0" w:type="dxa"/>
              <w:right w:w="0" w:type="dxa"/>
            </w:tcMar>
            <w:vAlign w:val="center"/>
          </w:tcPr>
          <w:p>
            <w:pPr>
              <w:pStyle w:val="TableContents"/>
              <w:bidi w:val="0"/>
              <w:spacing w:lineRule="auto" w:line="240" w:before="0" w:after="283"/>
              <w:jc w:val="center"/>
              <w:rPr>
                <w:rFonts w:ascii="Arial;sans-serif" w:hAnsi="Arial;sans-serif"/>
                <w:b w:val="false"/>
                <w:color w:val="000000"/>
                <w:sz w:val="20"/>
              </w:rPr>
            </w:pPr>
            <w:r>
              <w:rPr>
                <w:rFonts w:ascii="Arial;sans-serif" w:hAnsi="Arial;sans-serif"/>
                <w:b w:val="false"/>
                <w:color w:val="000000"/>
                <w:sz w:val="20"/>
              </w:rPr>
              <w:t>HON 32A</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004" w:type="dxa"/>
            <w:gridSpan w:val="3"/>
            <w:tcBorders/>
            <w:tcMar>
              <w:top w:w="0" w:type="dxa"/>
              <w:left w:w="0" w:type="dxa"/>
              <w:bottom w:w="0" w:type="dxa"/>
              <w:right w:w="0" w:type="dxa"/>
            </w:tcMar>
            <w:vAlign w:val="center"/>
          </w:tcPr>
          <w:p>
            <w:pPr>
              <w:pStyle w:val="TableContents"/>
              <w:bidi w:val="0"/>
              <w:spacing w:lineRule="auto" w:line="240" w:before="0" w:after="283"/>
              <w:jc w:val="center"/>
              <w:rPr>
                <w:rFonts w:ascii="Arial;sans-serif" w:hAnsi="Arial;sans-serif"/>
                <w:b w:val="false"/>
                <w:color w:val="000000"/>
                <w:sz w:val="20"/>
              </w:rPr>
            </w:pPr>
            <w:r>
              <w:rPr>
                <w:rFonts w:ascii="Arial;sans-serif" w:hAnsi="Arial;sans-serif"/>
                <w:b w:val="false"/>
                <w:color w:val="000000"/>
                <w:sz w:val="20"/>
              </w:rPr>
              <w:t>The Nasdaq Stock Market LLC</w:t>
            </w:r>
          </w:p>
        </w:tc>
      </w:tr>
      <w:tr>
        <w:trPr/>
        <w:tc>
          <w:tcPr>
            <w:tcW w:w="3525" w:type="dxa"/>
            <w:gridSpan w:val="3"/>
            <w:tcBorders/>
            <w:tcMar>
              <w:top w:w="0" w:type="dxa"/>
              <w:left w:w="0" w:type="dxa"/>
              <w:bottom w:w="0" w:type="dxa"/>
              <w:right w:w="0" w:type="dxa"/>
            </w:tcMar>
            <w:vAlign w:val="center"/>
          </w:tcPr>
          <w:p>
            <w:pPr>
              <w:pStyle w:val="TableContents"/>
              <w:bidi w:val="0"/>
              <w:spacing w:lineRule="auto" w:line="240" w:before="0" w:after="283"/>
              <w:jc w:val="center"/>
              <w:rPr>
                <w:rFonts w:ascii="Arial;sans-serif" w:hAnsi="Arial;sans-serif"/>
                <w:b w:val="false"/>
                <w:color w:val="000000"/>
                <w:sz w:val="20"/>
              </w:rPr>
            </w:pPr>
            <w:r>
              <w:rPr>
                <w:rFonts w:ascii="Arial;sans-serif" w:hAnsi="Arial;sans-serif"/>
                <w:b w:val="false"/>
                <w:color w:val="000000"/>
                <w:sz w:val="20"/>
              </w:rPr>
              <w:t>4.125% Senior Notes due 2034</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694" w:type="dxa"/>
            <w:gridSpan w:val="3"/>
            <w:tcBorders/>
            <w:tcMar>
              <w:top w:w="0" w:type="dxa"/>
              <w:left w:w="0" w:type="dxa"/>
              <w:bottom w:w="0" w:type="dxa"/>
              <w:right w:w="0" w:type="dxa"/>
            </w:tcMar>
            <w:vAlign w:val="center"/>
          </w:tcPr>
          <w:p>
            <w:pPr>
              <w:pStyle w:val="TableContents"/>
              <w:bidi w:val="0"/>
              <w:spacing w:lineRule="auto" w:line="240" w:before="0" w:after="283"/>
              <w:jc w:val="center"/>
              <w:rPr>
                <w:rFonts w:ascii="Arial;sans-serif" w:hAnsi="Arial;sans-serif"/>
                <w:b w:val="false"/>
                <w:color w:val="000000"/>
                <w:sz w:val="20"/>
              </w:rPr>
            </w:pPr>
            <w:r>
              <w:rPr>
                <w:rFonts w:ascii="Arial;sans-serif" w:hAnsi="Arial;sans-serif"/>
                <w:b w:val="false"/>
                <w:color w:val="000000"/>
                <w:sz w:val="20"/>
              </w:rPr>
              <w:t>HON 34</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004" w:type="dxa"/>
            <w:gridSpan w:val="3"/>
            <w:tcBorders/>
            <w:tcMar>
              <w:top w:w="0" w:type="dxa"/>
              <w:left w:w="0" w:type="dxa"/>
              <w:bottom w:w="0" w:type="dxa"/>
              <w:right w:w="0" w:type="dxa"/>
            </w:tcMar>
            <w:vAlign w:val="center"/>
          </w:tcPr>
          <w:p>
            <w:pPr>
              <w:pStyle w:val="TableContents"/>
              <w:bidi w:val="0"/>
              <w:spacing w:lineRule="auto" w:line="240" w:before="0" w:after="283"/>
              <w:jc w:val="center"/>
              <w:rPr>
                <w:rFonts w:ascii="Arial;sans-serif" w:hAnsi="Arial;sans-serif"/>
                <w:b w:val="false"/>
                <w:color w:val="000000"/>
                <w:sz w:val="20"/>
              </w:rPr>
            </w:pPr>
            <w:r>
              <w:rPr>
                <w:rFonts w:ascii="Arial;sans-serif" w:hAnsi="Arial;sans-serif"/>
                <w:b w:val="false"/>
                <w:color w:val="000000"/>
                <w:sz w:val="20"/>
              </w:rPr>
              <w:t>The Nasdaq Stock Market LLC</w:t>
            </w:r>
          </w:p>
        </w:tc>
      </w:tr>
    </w:tbl>
    <w:p>
      <w:pPr>
        <w:pStyle w:val="TextBody"/>
        <w:bidi w:val="0"/>
        <w:spacing w:lineRule="auto" w:line="288" w:before="0" w:after="0"/>
        <w:jc w:val="left"/>
        <w:rPr>
          <w:color w:val="000000"/>
        </w:rPr>
      </w:pPr>
      <w:r>
        <w:rPr>
          <w:color w:val="000000"/>
        </w:rPr>
        <w:t> </w:t>
      </w:r>
    </w:p>
    <w:p>
      <w:pPr>
        <w:pStyle w:val="TextBody"/>
        <w:bidi w:val="0"/>
        <w:spacing w:lineRule="auto" w:line="288" w:before="0" w:after="0"/>
        <w:jc w:val="left"/>
        <w:rPr>
          <w:rFonts w:ascii="Arial;sans-serif" w:hAnsi="Arial;sans-serif"/>
          <w:b w:val="false"/>
          <w:color w:val="000000"/>
          <w:sz w:val="20"/>
        </w:rPr>
      </w:pPr>
      <w:r>
        <w:rPr>
          <w:rFonts w:ascii="Arial;sans-serif" w:hAnsi="Arial;sans-serif"/>
          <w:b w:val="false"/>
          <w:color w:val="000000"/>
          <w:sz w:val="20"/>
        </w:rPr>
        <w:t>Indicate by check mark whether the registrant is an emerging growth company as defined in Rule 405 of the Securities Act of 1933 (§230.405 of this chapter) or Rule 12b-2 of the Securities Exchange Act of 1934 (§240.12b-2 of this chapter).</w:t>
      </w:r>
    </w:p>
    <w:p>
      <w:pPr>
        <w:pStyle w:val="TextBody"/>
        <w:bidi w:val="0"/>
        <w:spacing w:lineRule="auto" w:line="288" w:before="0" w:after="0"/>
        <w:jc w:val="right"/>
        <w:rPr/>
      </w:pPr>
      <w:r>
        <w:rPr>
          <w:rFonts w:ascii="Arial;sans-serif" w:hAnsi="Arial;sans-serif"/>
          <w:b w:val="false"/>
          <w:color w:val="000000"/>
          <w:sz w:val="20"/>
        </w:rPr>
        <w:t>Emerging Growth Company</w:t>
      </w:r>
      <w:r>
        <w:rPr>
          <w:color w:val="000000"/>
        </w:rPr>
        <w:t xml:space="preserve"> ☐ </w:t>
      </w:r>
    </w:p>
    <w:p>
      <w:pPr>
        <w:pStyle w:val="TextBody"/>
        <w:bidi w:val="0"/>
        <w:spacing w:lineRule="auto" w:line="288" w:before="0" w:after="0"/>
        <w:jc w:val="left"/>
        <w:rPr>
          <w:color w:val="000000"/>
        </w:rPr>
      </w:pPr>
      <w:r>
        <w:rPr>
          <w:color w:val="000000"/>
        </w:rPr>
        <w:t> </w:t>
      </w:r>
    </w:p>
    <w:p>
      <w:pPr>
        <w:pStyle w:val="TextBody"/>
        <w:bidi w:val="0"/>
        <w:spacing w:lineRule="auto" w:line="288" w:before="0" w:after="0"/>
        <w:jc w:val="left"/>
        <w:rPr/>
      </w:pPr>
      <w:r>
        <w:rPr>
          <w:rFonts w:ascii="Arial;sans-serif" w:hAnsi="Arial;sans-serif"/>
          <w:b w:val="false"/>
          <w:color w:val="000000"/>
          <w:sz w:val="20"/>
        </w:rPr>
        <w:t>If an emerging growth company, indicate by check mark if the registrant has elected not to use the extended transition period for complying with any new or revised financial accounting standards provided pursuant to Section 13(a) of the Exchange Act.</w:t>
      </w:r>
      <w:r>
        <w:rPr>
          <w:color w:val="000000"/>
        </w:rPr>
        <w:t xml:space="preserve"> ☐ </w:t>
      </w:r>
    </w:p>
    <w:p>
      <w:pPr>
        <w:pStyle w:val="TextBody"/>
        <w:bidi w:val="0"/>
        <w:spacing w:before="0" w:after="0"/>
        <w:jc w:val="left"/>
        <w:rPr/>
      </w:pPr>
      <w:r>
        <w:rPr/>
      </w:r>
    </w:p>
    <w:p>
      <w:pPr>
        <w:pStyle w:val="HorizontalLine"/>
        <w:pBdr>
          <w:bottom w:val="double" w:sz="2" w:space="0" w:color="808080"/>
        </w:pBdr>
        <w:bidi w:val="0"/>
        <w:spacing w:before="0" w:after="283"/>
        <w:jc w:val="left"/>
        <w:rPr/>
      </w:pPr>
      <w:r>
        <w:rPr/>
      </w:r>
      <w:r>
        <mc:AlternateContent>
          <mc:Choice Requires="wps">
            <w:drawing>
              <wp:anchor behindDoc="0" distT="0" distB="0" distL="0" distR="0" simplePos="0" locked="0" layoutInCell="1" allowOverlap="1" relativeHeight="2">
                <wp:simplePos x="0" y="0"/>
                <wp:positionH relativeFrom="character">
                  <wp:align>left</wp:align>
                </wp:positionH>
                <wp:positionV relativeFrom="line">
                  <wp:posOffset>635</wp:posOffset>
                </wp:positionV>
                <wp:extent cx="6480175" cy="175260"/>
                <wp:effectExtent l="0" t="0" r="0" b="0"/>
                <wp:wrapNone/>
                <wp:docPr id="1" name="Frame1"/>
                <a:graphic xmlns:a="http://schemas.openxmlformats.org/drawingml/2006/main">
                  <a:graphicData uri="http://schemas.microsoft.com/office/word/2010/wordprocessingShape">
                    <wps:wsp>
                      <wps:cNvSpPr txBox="1"/>
                      <wps:spPr>
                        <a:xfrm>
                          <a:off x="0" y="0"/>
                          <a:ext cx="6480175" cy="175260"/>
                        </a:xfrm>
                        <a:prstGeom prst="rect"/>
                        <a:solidFill>
                          <a:srgbClr val="FFFFFF"/>
                        </a:solidFill>
                      </wps:spPr>
                      <wps:txbx>
                        <w:txbxContent>
                          <w:p>
                            <w:pPr>
                              <w:pStyle w:val="TextBody"/>
                              <w:bidi w:val="0"/>
                              <w:spacing w:before="0" w:after="0"/>
                              <w:jc w:val="center"/>
                              <w:rPr/>
                            </w:pPr>
                            <w:r>
                              <w:rPr/>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before="0" w:after="0"/>
                        <w:jc w:val="center"/>
                        <w:rPr/>
                      </w:pPr>
                      <w:r>
                        <w:rPr/>
                      </w:r>
                    </w:p>
                  </w:txbxContent>
                </v:textbox>
                <w10:wrap type="none"/>
              </v:rect>
            </w:pict>
          </mc:Fallback>
        </mc:AlternateContent>
      </w:r>
    </w:p>
    <w:p>
      <w:pPr>
        <w:pStyle w:val="TextBody"/>
        <w:bidi w:val="0"/>
        <w:spacing w:before="0" w:after="0"/>
        <w:jc w:val="left"/>
        <w:rPr/>
      </w:pPr>
      <w:r>
        <w:rPr/>
      </w:r>
    </w:p>
    <w:p>
      <w:pPr>
        <w:pStyle w:val="TextBody"/>
        <w:bidi w:val="0"/>
        <w:spacing w:lineRule="auto" w:line="276" w:before="0" w:after="0"/>
        <w:jc w:val="left"/>
        <w:rPr>
          <w:rFonts w:ascii="Arial;sans-serif" w:hAnsi="Arial;sans-serif"/>
          <w:b/>
          <w:color w:val="000000"/>
          <w:sz w:val="20"/>
        </w:rPr>
      </w:pPr>
      <w:r>
        <w:rPr>
          <w:rFonts w:ascii="Arial;sans-serif" w:hAnsi="Arial;sans-serif"/>
          <w:b/>
          <w:color w:val="000000"/>
          <w:sz w:val="20"/>
        </w:rPr>
        <w:t>Item 5.02     Departure of Directors or Certain Officers; Election of Directors; Appointment of Certain Officers; Compensatory Arrangements of Certain Officers</w:t>
      </w:r>
    </w:p>
    <w:p>
      <w:pPr>
        <w:pStyle w:val="TextBody"/>
        <w:bidi w:val="0"/>
        <w:spacing w:before="0" w:after="0"/>
        <w:jc w:val="left"/>
        <w:rPr/>
      </w:pPr>
      <w:r>
        <w:rPr/>
      </w:r>
    </w:p>
    <w:p>
      <w:pPr>
        <w:pStyle w:val="TextBody"/>
        <w:bidi w:val="0"/>
        <w:spacing w:lineRule="auto" w:line="288" w:before="0" w:after="0"/>
        <w:jc w:val="left"/>
        <w:rPr>
          <w:rFonts w:ascii="Arial;sans-serif" w:hAnsi="Arial;sans-serif"/>
          <w:b w:val="false"/>
          <w:color w:val="000000"/>
          <w:sz w:val="20"/>
        </w:rPr>
      </w:pPr>
      <w:r>
        <w:rPr>
          <w:rFonts w:ascii="Arial;sans-serif" w:hAnsi="Arial;sans-serif"/>
          <w:b w:val="false"/>
          <w:color w:val="000000"/>
          <w:sz w:val="20"/>
        </w:rPr>
        <w:t xml:space="preserve">On January 30, 2024, the Board of Directors (the “Board”) of Honeywell International Inc. (the “Company”) unanimously elected the Company’s Chief Executive Officer and a current director, Mr. Vimal Kapur, age 58, to succeed Mr. Darius Adamczyk as Chairman of the Board, effective as of June 7, 2024. At such time, Mr. Adamczyk will retire from the Board and serve as Senior Advisor to the Company. </w:t>
      </w:r>
    </w:p>
    <w:p>
      <w:pPr>
        <w:pStyle w:val="TextBody"/>
        <w:bidi w:val="0"/>
        <w:spacing w:before="0" w:after="0"/>
        <w:jc w:val="left"/>
        <w:rPr/>
      </w:pPr>
      <w:r>
        <w:rPr/>
      </w:r>
    </w:p>
    <w:p>
      <w:pPr>
        <w:pStyle w:val="TextBody"/>
        <w:bidi w:val="0"/>
        <w:spacing w:lineRule="auto" w:line="288" w:before="0" w:after="0"/>
        <w:jc w:val="left"/>
        <w:rPr>
          <w:rFonts w:ascii="Arial;sans-serif" w:hAnsi="Arial;sans-serif"/>
          <w:b w:val="false"/>
          <w:color w:val="000000"/>
          <w:sz w:val="20"/>
        </w:rPr>
      </w:pPr>
      <w:r>
        <w:rPr>
          <w:rFonts w:ascii="Arial;sans-serif" w:hAnsi="Arial;sans-serif"/>
          <w:b w:val="false"/>
          <w:color w:val="000000"/>
          <w:sz w:val="20"/>
        </w:rPr>
        <w:t xml:space="preserve">In addition, the Company’s independent directors have unanimously elected Mr. William S. Ayer to succeed Mr. D. Scott Davis as independent Lead Director, effective as of the Company’s Annual Meeting of Shareowners on May 14, 2024. Following that change, Mr. Davis will remain on the Board as an independent director and Chairman of the Audit Committee. </w:t>
      </w:r>
    </w:p>
    <w:p>
      <w:pPr>
        <w:pStyle w:val="TextBody"/>
        <w:bidi w:val="0"/>
        <w:spacing w:before="0" w:after="0"/>
        <w:jc w:val="left"/>
        <w:rPr/>
      </w:pPr>
      <w:r>
        <w:rPr/>
      </w:r>
    </w:p>
    <w:p>
      <w:pPr>
        <w:pStyle w:val="TextBody"/>
        <w:bidi w:val="0"/>
        <w:spacing w:lineRule="auto" w:line="288" w:before="0" w:after="0"/>
        <w:jc w:val="left"/>
        <w:rPr>
          <w:rFonts w:ascii="Arial;sans-serif" w:hAnsi="Arial;sans-serif"/>
          <w:b w:val="false"/>
          <w:color w:val="000000"/>
          <w:sz w:val="20"/>
        </w:rPr>
      </w:pPr>
      <w:r>
        <w:rPr>
          <w:rFonts w:ascii="Arial;sans-serif" w:hAnsi="Arial;sans-serif"/>
          <w:b w:val="false"/>
          <w:color w:val="000000"/>
          <w:sz w:val="20"/>
        </w:rPr>
        <w:t>Mr. Kapur’s and Mr. Ayer’s elections to the new roles above are subject to their election to the Board at the Company’s Annual Meeting of Shareowners on May 14, 2024. There are no arrangements or understandings between Mr. Kapur and any other persons pursuant to which he was elected Chairman of the Board. There is no family relationship between Mr. Kapur and any director, executive officer, or person nominated or chosen by the Company to become a director or executive officer of the Company. The Company has not entered into any transactions with Mr. Kapur that would require disclosure pursuant to Item 404(a) of Regulation S-K under the Securities Exchange Act of 1934, as amended (the “Exchange Act”).</w:t>
      </w:r>
    </w:p>
    <w:p>
      <w:pPr>
        <w:pStyle w:val="TextBody"/>
        <w:bidi w:val="0"/>
        <w:spacing w:before="0" w:after="0"/>
        <w:jc w:val="both"/>
        <w:rPr/>
      </w:pPr>
      <w:r>
        <w:rPr/>
      </w:r>
    </w:p>
    <w:p>
      <w:pPr>
        <w:pStyle w:val="TextBody"/>
        <w:bidi w:val="0"/>
        <w:spacing w:lineRule="auto" w:line="276" w:before="0" w:after="0"/>
        <w:jc w:val="both"/>
        <w:rPr>
          <w:rFonts w:ascii="Arial;sans-serif" w:hAnsi="Arial;sans-serif"/>
          <w:b/>
          <w:color w:val="000000"/>
          <w:sz w:val="20"/>
        </w:rPr>
      </w:pPr>
      <w:r>
        <w:rPr>
          <w:rFonts w:ascii="Arial;sans-serif" w:hAnsi="Arial;sans-serif"/>
          <w:b/>
          <w:color w:val="000000"/>
          <w:sz w:val="20"/>
        </w:rPr>
        <w:t>Item 7.01     Regulation FD Disclosure</w:t>
      </w:r>
    </w:p>
    <w:p>
      <w:pPr>
        <w:pStyle w:val="TextBody"/>
        <w:bidi w:val="0"/>
        <w:spacing w:before="0" w:after="0"/>
        <w:jc w:val="both"/>
        <w:rPr/>
      </w:pPr>
      <w:r>
        <w:rPr/>
      </w:r>
    </w:p>
    <w:p>
      <w:pPr>
        <w:pStyle w:val="TextBody"/>
        <w:bidi w:val="0"/>
        <w:spacing w:lineRule="auto" w:line="268" w:before="0" w:after="0"/>
        <w:jc w:val="left"/>
        <w:rPr>
          <w:rFonts w:ascii="Arial;sans-serif" w:hAnsi="Arial;sans-serif"/>
          <w:b w:val="false"/>
          <w:color w:val="000000"/>
          <w:sz w:val="20"/>
        </w:rPr>
      </w:pPr>
      <w:r>
        <w:rPr>
          <w:rFonts w:ascii="Arial;sans-serif" w:hAnsi="Arial;sans-serif"/>
          <w:b w:val="false"/>
          <w:color w:val="000000"/>
          <w:sz w:val="20"/>
        </w:rPr>
        <w:t xml:space="preserve">The Company issued the press release attached hereto as Exhibit 99.1 with respect to the matters set forth in Item 5.02 above. The information in Item 7.01 of this Current Report on Form 8-K is being furnished and shall not be deemed “filed” for the purposes of Section 18 of the Exchange Act, or otherwise subject to the liabilities of that section, and shall not be deemed incorporated by reference into any filing made under the Securities Act of 1933, as amended, or the Exchange Act, except as otherwise expressly stated in such filing. </w:t>
      </w:r>
    </w:p>
    <w:p>
      <w:pPr>
        <w:pStyle w:val="TextBody"/>
        <w:bidi w:val="0"/>
        <w:spacing w:before="0" w:after="0"/>
        <w:jc w:val="both"/>
        <w:rPr/>
      </w:pPr>
      <w:r>
        <w:rPr/>
      </w:r>
    </w:p>
    <w:p>
      <w:pPr>
        <w:pStyle w:val="TextBody"/>
        <w:bidi w:val="0"/>
        <w:spacing w:lineRule="auto" w:line="276" w:before="0" w:after="0"/>
        <w:jc w:val="both"/>
        <w:rPr>
          <w:rFonts w:ascii="Arial;sans-serif" w:hAnsi="Arial;sans-serif"/>
          <w:b/>
          <w:color w:val="000000"/>
          <w:sz w:val="20"/>
        </w:rPr>
      </w:pPr>
      <w:r>
        <w:rPr>
          <w:rFonts w:ascii="Arial;sans-serif" w:hAnsi="Arial;sans-serif"/>
          <w:b/>
          <w:color w:val="000000"/>
          <w:sz w:val="20"/>
        </w:rPr>
        <w:t>Item 9.01    Financial Statements and Exhibits</w:t>
      </w:r>
    </w:p>
    <w:p>
      <w:pPr>
        <w:pStyle w:val="TextBody"/>
        <w:bidi w:val="0"/>
        <w:spacing w:before="0" w:after="0"/>
        <w:jc w:val="left"/>
        <w:rPr/>
      </w:pPr>
      <w:r>
        <w:rPr/>
      </w:r>
    </w:p>
    <w:p>
      <w:pPr>
        <w:pStyle w:val="TextBody"/>
        <w:bidi w:val="0"/>
        <w:spacing w:lineRule="auto" w:line="288" w:before="0" w:after="0"/>
        <w:jc w:val="left"/>
        <w:rPr>
          <w:rFonts w:ascii="Arial;sans-serif" w:hAnsi="Arial;sans-serif"/>
          <w:b/>
          <w:color w:val="000000"/>
          <w:sz w:val="20"/>
        </w:rPr>
      </w:pPr>
      <w:r>
        <w:rPr>
          <w:rFonts w:ascii="Arial;sans-serif" w:hAnsi="Arial;sans-serif"/>
          <w:b/>
          <w:color w:val="000000"/>
          <w:sz w:val="20"/>
        </w:rPr>
        <w:t>(d) Exhibits</w:t>
      </w:r>
    </w:p>
    <w:p>
      <w:pPr>
        <w:pStyle w:val="TextBody"/>
        <w:bidi w:val="0"/>
        <w:spacing w:before="0" w:after="0"/>
        <w:jc w:val="left"/>
        <w:rPr/>
      </w:pPr>
      <w:r>
        <w:rPr/>
      </w:r>
    </w:p>
    <w:p>
      <w:pPr>
        <w:pStyle w:val="TextBody"/>
        <w:bidi w:val="0"/>
        <w:spacing w:lineRule="auto" w:line="288" w:before="0" w:after="0"/>
        <w:jc w:val="left"/>
        <w:rPr>
          <w:rFonts w:ascii="Arial;sans-serif" w:hAnsi="Arial;sans-serif"/>
          <w:b w:val="false"/>
          <w:color w:val="000000"/>
          <w:sz w:val="20"/>
        </w:rPr>
      </w:pPr>
      <w:r>
        <w:rPr>
          <w:rFonts w:ascii="Arial;sans-serif" w:hAnsi="Arial;sans-serif"/>
          <w:b w:val="false"/>
          <w:color w:val="000000"/>
          <w:sz w:val="20"/>
        </w:rPr>
        <w:t>The following exhibits are filed as part of this report:</w:t>
      </w:r>
    </w:p>
    <w:p>
      <w:pPr>
        <w:pStyle w:val="TextBody"/>
        <w:bidi w:val="0"/>
        <w:spacing w:before="0" w:after="0"/>
        <w:jc w:val="left"/>
        <w:rPr/>
      </w:pPr>
      <w:r>
        <w:rPr/>
      </w:r>
    </w:p>
    <w:tbl>
      <w:tblPr>
        <w:tblW w:w="10205" w:type="dxa"/>
        <w:jc w:val="left"/>
        <w:tblInd w:w="0" w:type="dxa"/>
        <w:tblLayout w:type="fixed"/>
        <w:tblCellMar>
          <w:top w:w="28" w:type="dxa"/>
          <w:left w:w="28" w:type="dxa"/>
          <w:bottom w:w="28" w:type="dxa"/>
          <w:right w:w="28" w:type="dxa"/>
        </w:tblCellMar>
      </w:tblPr>
      <w:tblGrid>
        <w:gridCol w:w="322"/>
        <w:gridCol w:w="283"/>
        <w:gridCol w:w="285"/>
        <w:gridCol w:w="109"/>
        <w:gridCol w:w="109"/>
        <w:gridCol w:w="109"/>
        <w:gridCol w:w="2630"/>
        <w:gridCol w:w="2630"/>
        <w:gridCol w:w="3728"/>
      </w:tblGrid>
      <w:tr>
        <w:trPr/>
        <w:tc>
          <w:tcPr>
            <w:tcW w:w="322" w:type="dxa"/>
            <w:tcBorders/>
            <w:vAlign w:val="center"/>
          </w:tcPr>
          <w:p>
            <w:pPr>
              <w:pStyle w:val="TableContents"/>
              <w:bidi w:val="0"/>
              <w:spacing w:before="0" w:after="283"/>
              <w:jc w:val="left"/>
              <w:rPr>
                <w:sz w:val="4"/>
                <w:szCs w:val="4"/>
              </w:rPr>
            </w:pPr>
            <w:r>
              <w:rPr>
                <w:sz w:val="4"/>
                <w:szCs w:val="4"/>
              </w:rPr>
            </w:r>
          </w:p>
        </w:tc>
        <w:tc>
          <w:tcPr>
            <w:tcW w:w="283" w:type="dxa"/>
            <w:tcBorders/>
            <w:vAlign w:val="center"/>
          </w:tcPr>
          <w:p>
            <w:pPr>
              <w:pStyle w:val="TableContents"/>
              <w:bidi w:val="0"/>
              <w:spacing w:before="0" w:after="283"/>
              <w:jc w:val="left"/>
              <w:rPr>
                <w:sz w:val="4"/>
                <w:szCs w:val="4"/>
              </w:rPr>
            </w:pPr>
            <w:r>
              <w:rPr>
                <w:sz w:val="4"/>
                <w:szCs w:val="4"/>
              </w:rPr>
            </w:r>
          </w:p>
        </w:tc>
        <w:tc>
          <w:tcPr>
            <w:tcW w:w="285"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630" w:type="dxa"/>
            <w:tcBorders/>
            <w:vAlign w:val="center"/>
          </w:tcPr>
          <w:p>
            <w:pPr>
              <w:pStyle w:val="TableContents"/>
              <w:bidi w:val="0"/>
              <w:spacing w:before="0" w:after="283"/>
              <w:jc w:val="left"/>
              <w:rPr>
                <w:sz w:val="4"/>
                <w:szCs w:val="4"/>
              </w:rPr>
            </w:pPr>
            <w:r>
              <w:rPr>
                <w:sz w:val="4"/>
                <w:szCs w:val="4"/>
              </w:rPr>
            </w:r>
          </w:p>
        </w:tc>
        <w:tc>
          <w:tcPr>
            <w:tcW w:w="2630" w:type="dxa"/>
            <w:tcBorders/>
            <w:vAlign w:val="center"/>
          </w:tcPr>
          <w:p>
            <w:pPr>
              <w:pStyle w:val="TableContents"/>
              <w:bidi w:val="0"/>
              <w:spacing w:before="0" w:after="283"/>
              <w:jc w:val="left"/>
              <w:rPr>
                <w:sz w:val="4"/>
                <w:szCs w:val="4"/>
              </w:rPr>
            </w:pPr>
            <w:r>
              <w:rPr>
                <w:sz w:val="4"/>
                <w:szCs w:val="4"/>
              </w:rPr>
            </w:r>
          </w:p>
        </w:tc>
        <w:tc>
          <w:tcPr>
            <w:tcW w:w="3728" w:type="dxa"/>
            <w:tcBorders/>
            <w:vAlign w:val="center"/>
          </w:tcPr>
          <w:p>
            <w:pPr>
              <w:pStyle w:val="TableContents"/>
              <w:bidi w:val="0"/>
              <w:spacing w:before="0" w:after="283"/>
              <w:jc w:val="left"/>
              <w:rPr>
                <w:sz w:val="4"/>
                <w:szCs w:val="4"/>
              </w:rPr>
            </w:pPr>
            <w:r>
              <w:rPr>
                <w:sz w:val="4"/>
                <w:szCs w:val="4"/>
              </w:rPr>
            </w:r>
          </w:p>
        </w:tc>
      </w:tr>
      <w:tr>
        <w:trPr/>
        <w:tc>
          <w:tcPr>
            <w:tcW w:w="890" w:type="dxa"/>
            <w:gridSpan w:val="3"/>
            <w:tcBorders/>
            <w:tcMar>
              <w:top w:w="0" w:type="dxa"/>
              <w:left w:w="0" w:type="dxa"/>
              <w:bottom w:w="0" w:type="dxa"/>
              <w:right w:w="0" w:type="dxa"/>
            </w:tcMar>
            <w:vAlign w:val="center"/>
          </w:tcPr>
          <w:p>
            <w:pPr>
              <w:pStyle w:val="TableContents"/>
              <w:bidi w:val="0"/>
              <w:spacing w:lineRule="auto" w:line="276" w:before="0" w:after="0"/>
              <w:jc w:val="center"/>
              <w:rPr>
                <w:rFonts w:ascii="Arial;sans-serif" w:hAnsi="Arial;sans-serif"/>
                <w:b/>
                <w:color w:val="000000"/>
                <w:sz w:val="20"/>
              </w:rPr>
            </w:pPr>
            <w:r>
              <w:rPr>
                <w:rFonts w:ascii="Arial;sans-serif" w:hAnsi="Arial;sans-serif"/>
                <w:b/>
                <w:color w:val="000000"/>
                <w:sz w:val="20"/>
              </w:rPr>
              <w:t>Exhibit #</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988" w:type="dxa"/>
            <w:gridSpan w:val="3"/>
            <w:tcBorders/>
            <w:tcMar>
              <w:top w:w="0" w:type="dxa"/>
              <w:left w:w="0" w:type="dxa"/>
              <w:bottom w:w="0" w:type="dxa"/>
              <w:right w:w="0" w:type="dxa"/>
            </w:tcMar>
            <w:vAlign w:val="center"/>
          </w:tcPr>
          <w:p>
            <w:pPr>
              <w:pStyle w:val="TableContents"/>
              <w:bidi w:val="0"/>
              <w:spacing w:lineRule="auto" w:line="276" w:before="0" w:after="0"/>
              <w:jc w:val="left"/>
              <w:rPr>
                <w:rFonts w:ascii="Arial;sans-serif" w:hAnsi="Arial;sans-serif"/>
                <w:b/>
                <w:color w:val="000000"/>
                <w:sz w:val="20"/>
              </w:rPr>
            </w:pPr>
            <w:r>
              <w:rPr>
                <w:rFonts w:ascii="Arial;sans-serif" w:hAnsi="Arial;sans-serif"/>
                <w:b/>
                <w:color w:val="000000"/>
                <w:sz w:val="20"/>
              </w:rPr>
              <w:t>Description</w:t>
            </w:r>
          </w:p>
        </w:tc>
      </w:tr>
      <w:tr>
        <w:trPr/>
        <w:tc>
          <w:tcPr>
            <w:tcW w:w="890"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76" w:before="0" w:after="283"/>
              <w:jc w:val="right"/>
              <w:rPr>
                <w:rFonts w:ascii="Arial;sans-serif" w:hAnsi="Arial;sans-serif"/>
                <w:b w:val="false"/>
                <w:color w:val="000000"/>
                <w:sz w:val="20"/>
              </w:rPr>
            </w:pPr>
            <w:r>
              <w:rPr>
                <w:rFonts w:ascii="Arial;sans-serif" w:hAnsi="Arial;sans-serif"/>
                <w:b w:val="false"/>
                <w:color w:val="000000"/>
                <w:sz w:val="20"/>
              </w:rPr>
              <w:t>99.1</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988"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40" w:before="0" w:after="0"/>
              <w:jc w:val="left"/>
              <w:rPr/>
            </w:pPr>
            <w:hyperlink w:anchor="exhibit99-pressrelease2124.htm">
              <w:r>
                <w:rPr>
                  <w:rStyle w:val="InternetLink"/>
                  <w:rFonts w:ascii="Arial;sans-serif" w:hAnsi="Arial;sans-serif"/>
                  <w:b w:val="false"/>
                  <w:color w:val="0000FF"/>
                  <w:sz w:val="20"/>
                  <w:u w:val="single"/>
                </w:rPr>
                <w:t>Press Release dated February 1, 2024, entitled "Honeywell Elects Vimal Kapur as Chairman and William S. Ayer as Independent Lead Director."</w:t>
              </w:r>
            </w:hyperlink>
          </w:p>
        </w:tc>
      </w:tr>
      <w:tr>
        <w:trPr/>
        <w:tc>
          <w:tcPr>
            <w:tcW w:w="890" w:type="dxa"/>
            <w:gridSpan w:val="3"/>
            <w:tcBorders/>
            <w:tcMar>
              <w:top w:w="0" w:type="dxa"/>
              <w:left w:w="0" w:type="dxa"/>
              <w:bottom w:w="0" w:type="dxa"/>
              <w:right w:w="0" w:type="dxa"/>
            </w:tcMar>
            <w:vAlign w:val="center"/>
          </w:tcPr>
          <w:p>
            <w:pPr>
              <w:pStyle w:val="TableContents"/>
              <w:bidi w:val="0"/>
              <w:spacing w:lineRule="auto" w:line="276" w:before="0" w:after="283"/>
              <w:jc w:val="right"/>
              <w:rPr>
                <w:rFonts w:ascii="Arial;sans-serif" w:hAnsi="Arial;sans-serif"/>
                <w:b w:val="false"/>
                <w:color w:val="000000"/>
                <w:sz w:val="20"/>
              </w:rPr>
            </w:pPr>
            <w:r>
              <w:rPr>
                <w:rFonts w:ascii="Arial;sans-serif" w:hAnsi="Arial;sans-serif"/>
                <w:b w:val="false"/>
                <w:color w:val="000000"/>
                <w:sz w:val="20"/>
              </w:rPr>
              <w:t>104</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988" w:type="dxa"/>
            <w:gridSpan w:val="3"/>
            <w:tcBorders/>
            <w:tcMar>
              <w:top w:w="0" w:type="dxa"/>
              <w:left w:w="0" w:type="dxa"/>
              <w:bottom w:w="0" w:type="dxa"/>
              <w:right w:w="0" w:type="dxa"/>
            </w:tcMar>
            <w:vAlign w:val="center"/>
          </w:tcPr>
          <w:p>
            <w:pPr>
              <w:pStyle w:val="TableContents"/>
              <w:bidi w:val="0"/>
              <w:spacing w:lineRule="auto" w:line="276" w:before="0" w:after="0"/>
              <w:jc w:val="left"/>
              <w:rPr>
                <w:rFonts w:ascii="Arial;sans-serif" w:hAnsi="Arial;sans-serif"/>
                <w:b w:val="false"/>
                <w:color w:val="000000"/>
                <w:sz w:val="20"/>
              </w:rPr>
            </w:pPr>
            <w:r>
              <w:rPr>
                <w:rFonts w:ascii="Arial;sans-serif" w:hAnsi="Arial;sans-serif"/>
                <w:b w:val="false"/>
                <w:color w:val="000000"/>
                <w:sz w:val="20"/>
              </w:rPr>
              <w:t>Cover Page Interactive Data File (the cover page XBRL tags are embedded within the Inline XBRL document).</w:t>
            </w:r>
          </w:p>
        </w:tc>
      </w:tr>
    </w:tbl>
    <w:p>
      <w:pPr>
        <w:pStyle w:val="HorizontalLine"/>
        <w:pBdr>
          <w:bottom w:val="double" w:sz="2" w:space="0" w:color="808080"/>
        </w:pBdr>
        <w:bidi w:val="0"/>
        <w:spacing w:before="0" w:after="283"/>
        <w:jc w:val="left"/>
        <w:rPr/>
      </w:pPr>
      <w:r>
        <w:rPr/>
      </w:r>
      <w:r>
        <mc:AlternateContent>
          <mc:Choice Requires="wps">
            <w:drawing>
              <wp:anchor behindDoc="0" distT="0" distB="0" distL="0" distR="0" simplePos="0" locked="0" layoutInCell="1" allowOverlap="1" relativeHeight="4">
                <wp:simplePos x="0" y="0"/>
                <wp:positionH relativeFrom="character">
                  <wp:align>left</wp:align>
                </wp:positionH>
                <wp:positionV relativeFrom="line">
                  <wp:posOffset>635</wp:posOffset>
                </wp:positionV>
                <wp:extent cx="6480175" cy="175260"/>
                <wp:effectExtent l="0" t="0" r="0" b="0"/>
                <wp:wrapNone/>
                <wp:docPr id="2" name="Frame2"/>
                <a:graphic xmlns:a="http://schemas.openxmlformats.org/drawingml/2006/main">
                  <a:graphicData uri="http://schemas.microsoft.com/office/word/2010/wordprocessingShape">
                    <wps:wsp>
                      <wps:cNvSpPr txBox="1"/>
                      <wps:spPr>
                        <a:xfrm>
                          <a:off x="0" y="0"/>
                          <a:ext cx="6480175" cy="175260"/>
                        </a:xfrm>
                        <a:prstGeom prst="rect"/>
                        <a:solidFill>
                          <a:srgbClr val="FFFFFF"/>
                        </a:solidFill>
                      </wps:spPr>
                      <wps:txbx>
                        <w:txbxContent>
                          <w:p>
                            <w:pPr>
                              <w:pStyle w:val="TextBody"/>
                              <w:bidi w:val="0"/>
                              <w:spacing w:before="0" w:after="0"/>
                              <w:jc w:val="center"/>
                              <w:rPr/>
                            </w:pPr>
                            <w:r>
                              <w:rPr/>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before="0" w:after="0"/>
                        <w:jc w:val="center"/>
                        <w:rPr/>
                      </w:pPr>
                      <w:r>
                        <w:rPr/>
                      </w:r>
                    </w:p>
                  </w:txbxContent>
                </v:textbox>
                <w10:wrap type="none"/>
              </v:rect>
            </w:pict>
          </mc:Fallback>
        </mc:AlternateContent>
      </w:r>
    </w:p>
    <w:p>
      <w:pPr>
        <w:pStyle w:val="TextBody"/>
        <w:bidi w:val="0"/>
        <w:spacing w:before="0" w:after="0"/>
        <w:jc w:val="left"/>
        <w:rPr/>
      </w:pPr>
      <w:r>
        <w:rPr/>
      </w:r>
    </w:p>
    <w:p>
      <w:pPr>
        <w:pStyle w:val="TextBody"/>
        <w:bidi w:val="0"/>
        <w:spacing w:before="0" w:after="0"/>
        <w:jc w:val="center"/>
        <w:rPr/>
      </w:pPr>
      <w:r>
        <w:rPr/>
      </w:r>
    </w:p>
    <w:p>
      <w:pPr>
        <w:pStyle w:val="TextBody"/>
        <w:bidi w:val="0"/>
        <w:spacing w:lineRule="auto" w:line="288" w:before="0" w:after="0"/>
        <w:jc w:val="center"/>
        <w:rPr>
          <w:rFonts w:ascii="Arial;sans-serif" w:hAnsi="Arial;sans-serif"/>
          <w:b/>
          <w:color w:val="000000"/>
          <w:sz w:val="20"/>
        </w:rPr>
      </w:pPr>
      <w:r>
        <w:rPr>
          <w:rFonts w:ascii="Arial;sans-serif" w:hAnsi="Arial;sans-serif"/>
          <w:b/>
          <w:color w:val="000000"/>
          <w:sz w:val="20"/>
        </w:rPr>
        <w:t>SIGNATURE</w:t>
      </w:r>
    </w:p>
    <w:p>
      <w:pPr>
        <w:pStyle w:val="TextBody"/>
        <w:bidi w:val="0"/>
        <w:spacing w:lineRule="auto" w:line="288" w:before="0" w:after="0"/>
        <w:jc w:val="left"/>
        <w:rPr>
          <w:color w:val="000000"/>
        </w:rPr>
      </w:pPr>
      <w:r>
        <w:rPr>
          <w:color w:val="000000"/>
        </w:rPr>
        <w:t> </w:t>
      </w:r>
    </w:p>
    <w:p>
      <w:pPr>
        <w:pStyle w:val="TextBody"/>
        <w:bidi w:val="0"/>
        <w:spacing w:lineRule="auto" w:line="288" w:before="0" w:after="0"/>
        <w:ind w:left="0" w:right="0" w:firstLine="720"/>
        <w:jc w:val="left"/>
        <w:rPr>
          <w:rFonts w:ascii="Arial;sans-serif" w:hAnsi="Arial;sans-serif"/>
          <w:b w:val="false"/>
          <w:color w:val="000000"/>
          <w:sz w:val="20"/>
        </w:rPr>
      </w:pPr>
      <w:r>
        <w:rPr>
          <w:rFonts w:ascii="Arial;sans-serif" w:hAnsi="Arial;sans-serif"/>
          <w:b w:val="false"/>
          <w:color w:val="000000"/>
          <w:sz w:val="20"/>
        </w:rPr>
        <w:t>Pursuant to the requirements of the Securities Exchange Act of 1934, as amended, the Registrant has duly caused this report to be signed on its behalf by the undersigned hereunto duly authorized.</w:t>
      </w:r>
    </w:p>
    <w:p>
      <w:pPr>
        <w:pStyle w:val="TextBody"/>
        <w:bidi w:val="0"/>
        <w:spacing w:before="0" w:after="0"/>
        <w:ind w:left="0" w:right="0" w:firstLine="720"/>
        <w:jc w:val="left"/>
        <w:rPr/>
      </w:pPr>
      <w:r>
        <w:rPr/>
      </w:r>
    </w:p>
    <w:p>
      <w:pPr>
        <w:pStyle w:val="TextBody"/>
        <w:bidi w:val="0"/>
        <w:spacing w:lineRule="auto" w:line="288" w:before="0" w:after="0"/>
        <w:jc w:val="left"/>
        <w:rPr>
          <w:color w:val="000000"/>
        </w:rPr>
      </w:pPr>
      <w:r>
        <w:rPr>
          <w:color w:val="000000"/>
        </w:rPr>
        <w:t> </w:t>
      </w:r>
    </w:p>
    <w:tbl>
      <w:tblPr>
        <w:tblW w:w="6397" w:type="dxa"/>
        <w:jc w:val="left"/>
        <w:tblInd w:w="0" w:type="dxa"/>
        <w:tblLayout w:type="fixed"/>
        <w:tblCellMar>
          <w:top w:w="28" w:type="dxa"/>
          <w:left w:w="28" w:type="dxa"/>
          <w:bottom w:w="28" w:type="dxa"/>
          <w:right w:w="28" w:type="dxa"/>
        </w:tblCellMar>
      </w:tblPr>
      <w:tblGrid>
        <w:gridCol w:w="211"/>
        <w:gridCol w:w="186"/>
        <w:gridCol w:w="188"/>
        <w:gridCol w:w="524"/>
        <w:gridCol w:w="524"/>
        <w:gridCol w:w="526"/>
        <w:gridCol w:w="109"/>
        <w:gridCol w:w="109"/>
        <w:gridCol w:w="109"/>
        <w:gridCol w:w="586"/>
        <w:gridCol w:w="586"/>
        <w:gridCol w:w="586"/>
        <w:gridCol w:w="586"/>
        <w:gridCol w:w="586"/>
        <w:gridCol w:w="595"/>
        <w:gridCol w:w="113"/>
        <w:gridCol w:w="113"/>
        <w:gridCol w:w="160"/>
      </w:tblGrid>
      <w:tr>
        <w:trPr/>
        <w:tc>
          <w:tcPr>
            <w:tcW w:w="211" w:type="dxa"/>
            <w:tcBorders/>
            <w:vAlign w:val="center"/>
          </w:tcPr>
          <w:p>
            <w:pPr>
              <w:pStyle w:val="TableContents"/>
              <w:bidi w:val="0"/>
              <w:spacing w:before="0" w:after="283"/>
              <w:jc w:val="left"/>
              <w:rPr>
                <w:sz w:val="4"/>
                <w:szCs w:val="4"/>
              </w:rPr>
            </w:pPr>
            <w:r>
              <w:rPr>
                <w:sz w:val="4"/>
                <w:szCs w:val="4"/>
              </w:rPr>
            </w:r>
          </w:p>
        </w:tc>
        <w:tc>
          <w:tcPr>
            <w:tcW w:w="186" w:type="dxa"/>
            <w:tcBorders/>
            <w:vAlign w:val="center"/>
          </w:tcPr>
          <w:p>
            <w:pPr>
              <w:pStyle w:val="TableContents"/>
              <w:bidi w:val="0"/>
              <w:spacing w:before="0" w:after="283"/>
              <w:jc w:val="left"/>
              <w:rPr>
                <w:sz w:val="4"/>
                <w:szCs w:val="4"/>
              </w:rPr>
            </w:pPr>
            <w:r>
              <w:rPr>
                <w:sz w:val="4"/>
                <w:szCs w:val="4"/>
              </w:rPr>
            </w:r>
          </w:p>
        </w:tc>
        <w:tc>
          <w:tcPr>
            <w:tcW w:w="188" w:type="dxa"/>
            <w:tcBorders/>
            <w:vAlign w:val="center"/>
          </w:tcPr>
          <w:p>
            <w:pPr>
              <w:pStyle w:val="TableContents"/>
              <w:bidi w:val="0"/>
              <w:spacing w:before="0" w:after="283"/>
              <w:jc w:val="left"/>
              <w:rPr>
                <w:sz w:val="4"/>
                <w:szCs w:val="4"/>
              </w:rPr>
            </w:pPr>
            <w:r>
              <w:rPr>
                <w:sz w:val="4"/>
                <w:szCs w:val="4"/>
              </w:rPr>
            </w:r>
          </w:p>
        </w:tc>
        <w:tc>
          <w:tcPr>
            <w:tcW w:w="524" w:type="dxa"/>
            <w:tcBorders/>
            <w:vAlign w:val="center"/>
          </w:tcPr>
          <w:p>
            <w:pPr>
              <w:pStyle w:val="TableContents"/>
              <w:bidi w:val="0"/>
              <w:spacing w:before="0" w:after="283"/>
              <w:jc w:val="left"/>
              <w:rPr>
                <w:sz w:val="4"/>
                <w:szCs w:val="4"/>
              </w:rPr>
            </w:pPr>
            <w:r>
              <w:rPr>
                <w:sz w:val="4"/>
                <w:szCs w:val="4"/>
              </w:rPr>
            </w:r>
          </w:p>
        </w:tc>
        <w:tc>
          <w:tcPr>
            <w:tcW w:w="524" w:type="dxa"/>
            <w:tcBorders/>
            <w:vAlign w:val="center"/>
          </w:tcPr>
          <w:p>
            <w:pPr>
              <w:pStyle w:val="TableContents"/>
              <w:bidi w:val="0"/>
              <w:spacing w:before="0" w:after="283"/>
              <w:jc w:val="left"/>
              <w:rPr>
                <w:sz w:val="4"/>
                <w:szCs w:val="4"/>
              </w:rPr>
            </w:pPr>
            <w:r>
              <w:rPr>
                <w:sz w:val="4"/>
                <w:szCs w:val="4"/>
              </w:rPr>
            </w:r>
          </w:p>
        </w:tc>
        <w:tc>
          <w:tcPr>
            <w:tcW w:w="526"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586" w:type="dxa"/>
            <w:tcBorders/>
            <w:vAlign w:val="center"/>
          </w:tcPr>
          <w:p>
            <w:pPr>
              <w:pStyle w:val="TableContents"/>
              <w:bidi w:val="0"/>
              <w:spacing w:before="0" w:after="283"/>
              <w:jc w:val="left"/>
              <w:rPr>
                <w:sz w:val="4"/>
                <w:szCs w:val="4"/>
              </w:rPr>
            </w:pPr>
            <w:r>
              <w:rPr>
                <w:sz w:val="4"/>
                <w:szCs w:val="4"/>
              </w:rPr>
            </w:r>
          </w:p>
        </w:tc>
        <w:tc>
          <w:tcPr>
            <w:tcW w:w="586" w:type="dxa"/>
            <w:tcBorders/>
            <w:vAlign w:val="center"/>
          </w:tcPr>
          <w:p>
            <w:pPr>
              <w:pStyle w:val="TableContents"/>
              <w:bidi w:val="0"/>
              <w:spacing w:before="0" w:after="283"/>
              <w:jc w:val="left"/>
              <w:rPr>
                <w:sz w:val="4"/>
                <w:szCs w:val="4"/>
              </w:rPr>
            </w:pPr>
            <w:r>
              <w:rPr>
                <w:sz w:val="4"/>
                <w:szCs w:val="4"/>
              </w:rPr>
            </w:r>
          </w:p>
        </w:tc>
        <w:tc>
          <w:tcPr>
            <w:tcW w:w="586" w:type="dxa"/>
            <w:tcBorders/>
            <w:vAlign w:val="center"/>
          </w:tcPr>
          <w:p>
            <w:pPr>
              <w:pStyle w:val="TableContents"/>
              <w:bidi w:val="0"/>
              <w:spacing w:before="0" w:after="283"/>
              <w:jc w:val="left"/>
              <w:rPr>
                <w:sz w:val="4"/>
                <w:szCs w:val="4"/>
              </w:rPr>
            </w:pPr>
            <w:r>
              <w:rPr>
                <w:sz w:val="4"/>
                <w:szCs w:val="4"/>
              </w:rPr>
            </w:r>
          </w:p>
        </w:tc>
        <w:tc>
          <w:tcPr>
            <w:tcW w:w="586" w:type="dxa"/>
            <w:tcBorders/>
            <w:vAlign w:val="center"/>
          </w:tcPr>
          <w:p>
            <w:pPr>
              <w:pStyle w:val="TableContents"/>
              <w:bidi w:val="0"/>
              <w:spacing w:before="0" w:after="283"/>
              <w:jc w:val="left"/>
              <w:rPr>
                <w:sz w:val="4"/>
                <w:szCs w:val="4"/>
              </w:rPr>
            </w:pPr>
            <w:r>
              <w:rPr>
                <w:sz w:val="4"/>
                <w:szCs w:val="4"/>
              </w:rPr>
            </w:r>
          </w:p>
        </w:tc>
        <w:tc>
          <w:tcPr>
            <w:tcW w:w="586" w:type="dxa"/>
            <w:tcBorders/>
            <w:vAlign w:val="center"/>
          </w:tcPr>
          <w:p>
            <w:pPr>
              <w:pStyle w:val="TableContents"/>
              <w:bidi w:val="0"/>
              <w:spacing w:before="0" w:after="283"/>
              <w:jc w:val="left"/>
              <w:rPr>
                <w:sz w:val="4"/>
                <w:szCs w:val="4"/>
              </w:rPr>
            </w:pPr>
            <w:r>
              <w:rPr>
                <w:sz w:val="4"/>
                <w:szCs w:val="4"/>
              </w:rPr>
            </w:r>
          </w:p>
        </w:tc>
        <w:tc>
          <w:tcPr>
            <w:tcW w:w="595" w:type="dxa"/>
            <w:tcBorders/>
            <w:vAlign w:val="center"/>
          </w:tcPr>
          <w:p>
            <w:pPr>
              <w:pStyle w:val="TableContents"/>
              <w:bidi w:val="0"/>
              <w:spacing w:before="0" w:after="283"/>
              <w:jc w:val="left"/>
              <w:rPr>
                <w:sz w:val="4"/>
                <w:szCs w:val="4"/>
              </w:rPr>
            </w:pPr>
            <w:r>
              <w:rPr>
                <w:sz w:val="4"/>
                <w:szCs w:val="4"/>
              </w:rPr>
            </w:r>
          </w:p>
        </w:tc>
        <w:tc>
          <w:tcPr>
            <w:tcW w:w="113" w:type="dxa"/>
            <w:tcBorders/>
            <w:vAlign w:val="center"/>
          </w:tcPr>
          <w:p>
            <w:pPr>
              <w:pStyle w:val="TableContents"/>
              <w:bidi w:val="0"/>
              <w:spacing w:before="0" w:after="283"/>
              <w:jc w:val="left"/>
              <w:rPr>
                <w:sz w:val="4"/>
                <w:szCs w:val="4"/>
              </w:rPr>
            </w:pPr>
            <w:r>
              <w:rPr>
                <w:sz w:val="4"/>
                <w:szCs w:val="4"/>
              </w:rPr>
            </w:r>
          </w:p>
        </w:tc>
        <w:tc>
          <w:tcPr>
            <w:tcW w:w="113" w:type="dxa"/>
            <w:tcBorders/>
            <w:vAlign w:val="center"/>
          </w:tcPr>
          <w:p>
            <w:pPr>
              <w:pStyle w:val="TableContents"/>
              <w:bidi w:val="0"/>
              <w:spacing w:before="0" w:after="283"/>
              <w:jc w:val="left"/>
              <w:rPr>
                <w:sz w:val="4"/>
                <w:szCs w:val="4"/>
              </w:rPr>
            </w:pPr>
            <w:r>
              <w:rPr>
                <w:sz w:val="4"/>
                <w:szCs w:val="4"/>
              </w:rPr>
            </w:r>
          </w:p>
        </w:tc>
        <w:tc>
          <w:tcPr>
            <w:tcW w:w="160" w:type="dxa"/>
            <w:tcBorders/>
            <w:vAlign w:val="center"/>
          </w:tcPr>
          <w:p>
            <w:pPr>
              <w:pStyle w:val="TableContents"/>
              <w:bidi w:val="0"/>
              <w:spacing w:before="0" w:after="283"/>
              <w:jc w:val="left"/>
              <w:rPr>
                <w:sz w:val="4"/>
                <w:szCs w:val="4"/>
              </w:rPr>
            </w:pPr>
            <w:r>
              <w:rPr>
                <w:sz w:val="4"/>
                <w:szCs w:val="4"/>
              </w:rPr>
            </w:r>
          </w:p>
        </w:tc>
      </w:tr>
      <w:tr>
        <w:trPr/>
        <w:tc>
          <w:tcPr>
            <w:tcW w:w="585" w:type="dxa"/>
            <w:gridSpan w:val="3"/>
            <w:tcBorders/>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20"/>
              </w:rPr>
            </w:pPr>
            <w:r>
              <w:rPr>
                <w:rFonts w:ascii="Arial;sans-serif" w:hAnsi="Arial;sans-serif"/>
                <w:b w:val="false"/>
                <w:color w:val="000000"/>
                <w:sz w:val="20"/>
              </w:rPr>
              <w:t>Date:</w:t>
            </w:r>
          </w:p>
        </w:tc>
        <w:tc>
          <w:tcPr>
            <w:tcW w:w="1574"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20"/>
              </w:rPr>
            </w:pPr>
            <w:r>
              <w:rPr>
                <w:rFonts w:ascii="Arial;sans-serif" w:hAnsi="Arial;sans-serif"/>
                <w:b w:val="false"/>
                <w:color w:val="000000"/>
                <w:sz w:val="20"/>
              </w:rPr>
              <w:t>February 1, 2024</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525" w:type="dxa"/>
            <w:gridSpan w:val="6"/>
            <w:tcBorders/>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20"/>
              </w:rPr>
            </w:pPr>
            <w:r>
              <w:rPr>
                <w:rFonts w:ascii="Arial;sans-serif" w:hAnsi="Arial;sans-serif"/>
                <w:b w:val="false"/>
                <w:color w:val="000000"/>
                <w:sz w:val="20"/>
              </w:rPr>
              <w:t>HONEYWELL INTERNATIONAL INC.</w:t>
            </w:r>
          </w:p>
        </w:tc>
        <w:tc>
          <w:tcPr>
            <w:tcW w:w="386" w:type="dxa"/>
            <w:gridSpan w:val="3"/>
            <w:tcBorders/>
            <w:tcMar>
              <w:top w:w="0" w:type="dxa"/>
              <w:left w:w="0" w:type="dxa"/>
              <w:bottom w:w="0" w:type="dxa"/>
              <w:right w:w="0" w:type="dxa"/>
            </w:tcMar>
            <w:vAlign w:val="center"/>
          </w:tcPr>
          <w:p>
            <w:pPr>
              <w:pStyle w:val="TableContents"/>
              <w:bidi w:val="0"/>
              <w:spacing w:lineRule="auto" w:line="240" w:before="0" w:after="283"/>
              <w:jc w:val="left"/>
              <w:rPr>
                <w:color w:val="000000"/>
              </w:rPr>
            </w:pPr>
            <w:r>
              <w:rPr>
                <w:color w:val="000000"/>
              </w:rPr>
              <w:t> </w:t>
            </w:r>
          </w:p>
        </w:tc>
      </w:tr>
      <w:tr>
        <w:trPr/>
        <w:tc>
          <w:tcPr>
            <w:tcW w:w="585"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574" w:type="dxa"/>
            <w:gridSpan w:val="3"/>
            <w:tcBorders/>
            <w:tcMar>
              <w:top w:w="0" w:type="dxa"/>
              <w:left w:w="0" w:type="dxa"/>
              <w:bottom w:w="0" w:type="dxa"/>
              <w:right w:w="0" w:type="dxa"/>
            </w:tcMar>
            <w:vAlign w:val="center"/>
          </w:tcPr>
          <w:p>
            <w:pPr>
              <w:pStyle w:val="TableContents"/>
              <w:bidi w:val="0"/>
              <w:spacing w:lineRule="auto" w:line="240" w:before="0" w:after="283"/>
              <w:jc w:val="left"/>
              <w:rPr>
                <w:color w:val="000000"/>
              </w:rPr>
            </w:pPr>
            <w:r>
              <w:rPr>
                <w:color w:val="000000"/>
              </w:rPr>
              <w:t> </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758" w:type="dxa"/>
            <w:gridSpan w:val="3"/>
            <w:tcBorders/>
            <w:tcMar>
              <w:top w:w="0" w:type="dxa"/>
              <w:left w:w="0" w:type="dxa"/>
              <w:bottom w:w="0" w:type="dxa"/>
              <w:right w:w="0" w:type="dxa"/>
            </w:tcMar>
            <w:vAlign w:val="center"/>
          </w:tcPr>
          <w:p>
            <w:pPr>
              <w:pStyle w:val="TableContents"/>
              <w:bidi w:val="0"/>
              <w:spacing w:lineRule="auto" w:line="240" w:before="0" w:after="283"/>
              <w:jc w:val="left"/>
              <w:rPr>
                <w:color w:val="000000"/>
              </w:rPr>
            </w:pPr>
            <w:r>
              <w:rPr>
                <w:color w:val="000000"/>
              </w:rPr>
              <w:t> </w:t>
            </w:r>
          </w:p>
        </w:tc>
        <w:tc>
          <w:tcPr>
            <w:tcW w:w="1767" w:type="dxa"/>
            <w:gridSpan w:val="3"/>
            <w:tcBorders/>
            <w:tcMar>
              <w:top w:w="0" w:type="dxa"/>
              <w:left w:w="0" w:type="dxa"/>
              <w:bottom w:w="0" w:type="dxa"/>
              <w:right w:w="0" w:type="dxa"/>
            </w:tcMar>
            <w:vAlign w:val="center"/>
          </w:tcPr>
          <w:p>
            <w:pPr>
              <w:pStyle w:val="TableContents"/>
              <w:bidi w:val="0"/>
              <w:spacing w:lineRule="auto" w:line="240" w:before="0" w:after="283"/>
              <w:jc w:val="left"/>
              <w:rPr>
                <w:color w:val="000000"/>
              </w:rPr>
            </w:pPr>
            <w:r>
              <w:rPr>
                <w:color w:val="000000"/>
              </w:rPr>
              <w:t> </w:t>
            </w:r>
          </w:p>
        </w:tc>
        <w:tc>
          <w:tcPr>
            <w:tcW w:w="386" w:type="dxa"/>
            <w:gridSpan w:val="3"/>
            <w:tcBorders/>
            <w:tcMar>
              <w:top w:w="0" w:type="dxa"/>
              <w:left w:w="0" w:type="dxa"/>
              <w:bottom w:w="0" w:type="dxa"/>
              <w:right w:w="0" w:type="dxa"/>
            </w:tcMar>
            <w:vAlign w:val="center"/>
          </w:tcPr>
          <w:p>
            <w:pPr>
              <w:pStyle w:val="TableContents"/>
              <w:bidi w:val="0"/>
              <w:spacing w:lineRule="auto" w:line="240" w:before="0" w:after="283"/>
              <w:jc w:val="left"/>
              <w:rPr>
                <w:color w:val="000000"/>
              </w:rPr>
            </w:pPr>
            <w:r>
              <w:rPr>
                <w:color w:val="000000"/>
              </w:rPr>
              <w:t> </w:t>
            </w:r>
          </w:p>
        </w:tc>
      </w:tr>
      <w:tr>
        <w:trPr/>
        <w:tc>
          <w:tcPr>
            <w:tcW w:w="585"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574" w:type="dxa"/>
            <w:gridSpan w:val="3"/>
            <w:tcBorders/>
            <w:tcMar>
              <w:top w:w="0" w:type="dxa"/>
              <w:left w:w="0" w:type="dxa"/>
              <w:bottom w:w="0" w:type="dxa"/>
              <w:right w:w="0" w:type="dxa"/>
            </w:tcMar>
            <w:vAlign w:val="center"/>
          </w:tcPr>
          <w:p>
            <w:pPr>
              <w:pStyle w:val="TableContents"/>
              <w:bidi w:val="0"/>
              <w:spacing w:lineRule="auto" w:line="240" w:before="0" w:after="283"/>
              <w:jc w:val="left"/>
              <w:rPr>
                <w:color w:val="000000"/>
              </w:rPr>
            </w:pPr>
            <w:r>
              <w:rPr>
                <w:color w:val="000000"/>
              </w:rPr>
              <w:t> </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911" w:type="dxa"/>
            <w:gridSpan w:val="9"/>
            <w:tcBorders/>
            <w:tcMar>
              <w:top w:w="0" w:type="dxa"/>
              <w:left w:w="0" w:type="dxa"/>
              <w:bottom w:w="0" w:type="dxa"/>
              <w:right w:w="0" w:type="dxa"/>
            </w:tcMar>
            <w:vAlign w:val="center"/>
          </w:tcPr>
          <w:p>
            <w:pPr>
              <w:pStyle w:val="TableContents"/>
              <w:bidi w:val="0"/>
              <w:spacing w:lineRule="auto" w:line="240" w:before="0" w:after="0"/>
              <w:jc w:val="left"/>
              <w:rPr/>
            </w:pPr>
            <w:r>
              <w:rPr>
                <w:rFonts w:ascii="Arial;sans-serif" w:hAnsi="Arial;sans-serif"/>
                <w:b w:val="false"/>
                <w:color w:val="000000"/>
                <w:sz w:val="20"/>
              </w:rPr>
              <w:t>By: </w:t>
            </w:r>
            <w:r>
              <w:rPr>
                <w:rFonts w:ascii="Arial;sans-serif" w:hAnsi="Arial;sans-serif"/>
                <w:b w:val="false"/>
                <w:color w:val="000000"/>
                <w:sz w:val="20"/>
                <w:u w:val="single"/>
              </w:rPr>
              <w:t>/s/ Anne T. Madden</w:t>
            </w:r>
          </w:p>
        </w:tc>
      </w:tr>
      <w:tr>
        <w:trPr/>
        <w:tc>
          <w:tcPr>
            <w:tcW w:w="585"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574" w:type="dxa"/>
            <w:gridSpan w:val="3"/>
            <w:tcBorders/>
            <w:tcMar>
              <w:top w:w="0" w:type="dxa"/>
              <w:left w:w="0" w:type="dxa"/>
              <w:bottom w:w="0" w:type="dxa"/>
              <w:right w:w="0" w:type="dxa"/>
            </w:tcMar>
            <w:vAlign w:val="center"/>
          </w:tcPr>
          <w:p>
            <w:pPr>
              <w:pStyle w:val="TableContents"/>
              <w:bidi w:val="0"/>
              <w:spacing w:lineRule="auto" w:line="240" w:before="0" w:after="283"/>
              <w:jc w:val="left"/>
              <w:rPr>
                <w:color w:val="000000"/>
              </w:rPr>
            </w:pPr>
            <w:r>
              <w:rPr>
                <w:color w:val="000000"/>
              </w:rPr>
              <w:t> </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911" w:type="dxa"/>
            <w:gridSpan w:val="9"/>
            <w:tcBorders/>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20"/>
              </w:rPr>
            </w:pPr>
            <w:r>
              <w:rPr>
                <w:rFonts w:ascii="Arial;sans-serif" w:hAnsi="Arial;sans-serif"/>
                <w:b w:val="false"/>
                <w:color w:val="000000"/>
                <w:sz w:val="20"/>
              </w:rPr>
              <w:t>Anne T. Madden</w:t>
            </w:r>
          </w:p>
        </w:tc>
      </w:tr>
      <w:tr>
        <w:trPr/>
        <w:tc>
          <w:tcPr>
            <w:tcW w:w="585"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574" w:type="dxa"/>
            <w:gridSpan w:val="3"/>
            <w:tcBorders/>
            <w:tcMar>
              <w:top w:w="0" w:type="dxa"/>
              <w:left w:w="0" w:type="dxa"/>
              <w:bottom w:w="0" w:type="dxa"/>
              <w:right w:w="0" w:type="dxa"/>
            </w:tcMar>
            <w:vAlign w:val="center"/>
          </w:tcPr>
          <w:p>
            <w:pPr>
              <w:pStyle w:val="TableContents"/>
              <w:bidi w:val="0"/>
              <w:spacing w:lineRule="auto" w:line="240" w:before="0" w:after="283"/>
              <w:jc w:val="left"/>
              <w:rPr>
                <w:color w:val="000000"/>
              </w:rPr>
            </w:pPr>
            <w:r>
              <w:rPr>
                <w:color w:val="000000"/>
              </w:rPr>
              <w:t> </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911" w:type="dxa"/>
            <w:gridSpan w:val="9"/>
            <w:tcBorders/>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20"/>
              </w:rPr>
            </w:pPr>
            <w:r>
              <w:rPr>
                <w:rFonts w:ascii="Arial;sans-serif" w:hAnsi="Arial;sans-serif"/>
                <w:b w:val="false"/>
                <w:color w:val="000000"/>
                <w:sz w:val="20"/>
              </w:rPr>
              <w:t>Senior Vice President and General Counsel</w:t>
            </w:r>
          </w:p>
        </w:tc>
      </w:tr>
      <w:tr>
        <w:trPr/>
        <w:tc>
          <w:tcPr>
            <w:tcW w:w="585"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574" w:type="dxa"/>
            <w:gridSpan w:val="3"/>
            <w:tcBorders/>
            <w:tcMar>
              <w:top w:w="0" w:type="dxa"/>
              <w:left w:w="0" w:type="dxa"/>
              <w:bottom w:w="0" w:type="dxa"/>
              <w:right w:w="0" w:type="dxa"/>
            </w:tcMar>
            <w:vAlign w:val="center"/>
          </w:tcPr>
          <w:p>
            <w:pPr>
              <w:pStyle w:val="TableContents"/>
              <w:bidi w:val="0"/>
              <w:spacing w:lineRule="auto" w:line="240" w:before="0" w:after="283"/>
              <w:jc w:val="left"/>
              <w:rPr>
                <w:color w:val="000000"/>
              </w:rPr>
            </w:pPr>
            <w:r>
              <w:rPr>
                <w:color w:val="000000"/>
              </w:rPr>
              <w:t> </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758" w:type="dxa"/>
            <w:gridSpan w:val="3"/>
            <w:tcBorders/>
            <w:tcMar>
              <w:top w:w="0" w:type="dxa"/>
              <w:left w:w="0" w:type="dxa"/>
              <w:bottom w:w="0" w:type="dxa"/>
              <w:right w:w="0" w:type="dxa"/>
            </w:tcMar>
            <w:vAlign w:val="center"/>
          </w:tcPr>
          <w:p>
            <w:pPr>
              <w:pStyle w:val="TableContents"/>
              <w:bidi w:val="0"/>
              <w:spacing w:lineRule="auto" w:line="240" w:before="0" w:after="283"/>
              <w:jc w:val="left"/>
              <w:rPr>
                <w:color w:val="000000"/>
              </w:rPr>
            </w:pPr>
            <w:r>
              <w:rPr>
                <w:color w:val="000000"/>
              </w:rPr>
              <w:t> </w:t>
            </w:r>
          </w:p>
        </w:tc>
        <w:tc>
          <w:tcPr>
            <w:tcW w:w="1767" w:type="dxa"/>
            <w:gridSpan w:val="3"/>
            <w:tcBorders/>
            <w:tcMar>
              <w:top w:w="0" w:type="dxa"/>
              <w:left w:w="0" w:type="dxa"/>
              <w:bottom w:w="0" w:type="dxa"/>
              <w:right w:w="0" w:type="dxa"/>
            </w:tcMar>
            <w:vAlign w:val="center"/>
          </w:tcPr>
          <w:p>
            <w:pPr>
              <w:pStyle w:val="TableContents"/>
              <w:bidi w:val="0"/>
              <w:spacing w:lineRule="auto" w:line="240" w:before="0" w:after="283"/>
              <w:jc w:val="left"/>
              <w:rPr>
                <w:color w:val="000000"/>
              </w:rPr>
            </w:pPr>
            <w:r>
              <w:rPr>
                <w:color w:val="000000"/>
              </w:rPr>
              <w:t> </w:t>
            </w:r>
          </w:p>
        </w:tc>
        <w:tc>
          <w:tcPr>
            <w:tcW w:w="386" w:type="dxa"/>
            <w:gridSpan w:val="3"/>
            <w:tcBorders/>
            <w:tcMar>
              <w:top w:w="0" w:type="dxa"/>
              <w:left w:w="0" w:type="dxa"/>
              <w:bottom w:w="0" w:type="dxa"/>
              <w:right w:w="0" w:type="dxa"/>
            </w:tcMar>
            <w:vAlign w:val="center"/>
          </w:tcPr>
          <w:p>
            <w:pPr>
              <w:pStyle w:val="TableContents"/>
              <w:bidi w:val="0"/>
              <w:spacing w:lineRule="auto" w:line="240" w:before="0" w:after="283"/>
              <w:jc w:val="left"/>
              <w:rPr>
                <w:color w:val="000000"/>
              </w:rPr>
            </w:pPr>
            <w:r>
              <w:rPr>
                <w:color w:val="000000"/>
              </w:rPr>
              <w:t> </w:t>
            </w:r>
          </w:p>
        </w:tc>
      </w:tr>
    </w:tbl>
    <w:p>
      <w:pPr>
        <w:pStyle w:val="TextBody"/>
        <w:bidi w:val="0"/>
        <w:spacing w:before="0" w:after="283"/>
        <w:jc w:val="left"/>
        <w:rPr/>
      </w:pPr>
      <w:r>
        <w:rPr/>
      </w:r>
    </w:p>
    <w:p>
      <w:pPr>
        <w:pStyle w:val="TextBody"/>
        <w:bidi w:val="0"/>
        <w:jc w:val="left"/>
        <w:rPr/>
      </w:pPr>
      <w:r>
        <w:rPr/>
      </w:r>
      <w:r>
        <w:br w:type="page"/>
      </w:r>
    </w:p>
    <w:p>
      <w:pPr>
        <w:sectPr>
          <w:type w:val="continuous"/>
          <w:pgSz w:w="11906" w:h="16838"/>
          <w:pgMar w:left="1134" w:right="567" w:gutter="0" w:header="0" w:top="567" w:footer="0" w:bottom="567"/>
          <w:pgNumType w:fmt="decimal"/>
          <w:formProt w:val="false"/>
          <w:textDirection w:val="lrTb"/>
          <w:docGrid w:type="default" w:linePitch="600" w:charSpace="32768"/>
        </w:sectPr>
      </w:pPr>
    </w:p>
    <w:p>
      <w:pPr>
        <w:pStyle w:val="TextBody"/>
        <w:bidi w:val="0"/>
        <w:spacing w:before="0" w:after="0"/>
        <w:jc w:val="left"/>
        <w:rPr/>
      </w:pPr>
      <w:r>
        <w:rPr/>
      </w:r>
      <w:r>
        <mc:AlternateContent>
          <mc:Choice Requires="wps">
            <w:drawing>
              <wp:anchor behindDoc="0" distT="0" distB="0" distL="0" distR="0" simplePos="0" locked="0" layoutInCell="1" allowOverlap="1" relativeHeight="5">
                <wp:simplePos x="0" y="0"/>
                <wp:positionH relativeFrom="character">
                  <wp:align>left</wp:align>
                </wp:positionH>
                <wp:positionV relativeFrom="line">
                  <wp:posOffset>635</wp:posOffset>
                </wp:positionV>
                <wp:extent cx="6480175" cy="175260"/>
                <wp:effectExtent l="0" t="0" r="0" b="0"/>
                <wp:wrapNone/>
                <wp:docPr id="3" name="Frame3"/>
                <a:graphic xmlns:a="http://schemas.openxmlformats.org/drawingml/2006/main">
                  <a:graphicData uri="http://schemas.microsoft.com/office/word/2010/wordprocessingShape">
                    <wps:wsp>
                      <wps:cNvSpPr txBox="1"/>
                      <wps:spPr>
                        <a:xfrm>
                          <a:off x="0" y="0"/>
                          <a:ext cx="6480175" cy="175260"/>
                        </a:xfrm>
                        <a:prstGeom prst="rect"/>
                        <a:solidFill>
                          <a:srgbClr val="FFFFFF"/>
                        </a:solidFill>
                      </wps:spPr>
                      <wps:txbx>
                        <w:txbxContent>
                          <w:p>
                            <w:pPr>
                              <w:pStyle w:val="TextBody"/>
                              <w:bidi w:val="0"/>
                              <w:spacing w:before="0" w:after="0"/>
                              <w:jc w:val="center"/>
                              <w:rPr/>
                            </w:pPr>
                            <w:r>
                              <w:rPr/>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before="0" w:after="0"/>
                        <w:jc w:val="center"/>
                        <w:rPr/>
                      </w:pPr>
                      <w:r>
                        <w:rPr/>
                      </w:r>
                    </w:p>
                  </w:txbxContent>
                </v:textbox>
                <w10:wrap type="none"/>
              </v:rect>
            </w:pict>
          </mc:Fallback>
        </mc:AlternateContent>
      </w:r>
    </w:p>
    <w:p>
      <w:pPr>
        <w:pStyle w:val="TextBody"/>
        <w:bidi w:val="0"/>
        <w:spacing w:before="0" w:after="0"/>
        <w:jc w:val="left"/>
        <w:rPr/>
      </w:pPr>
      <w:r>
        <w:rPr/>
      </w:r>
    </w:p>
    <w:p>
      <w:pPr>
        <w:pStyle w:val="TextBody"/>
        <w:bidi w:val="0"/>
        <w:spacing w:lineRule="auto" w:line="333" w:before="0" w:after="0"/>
        <w:jc w:val="right"/>
        <w:rPr>
          <w:rFonts w:ascii="Arial;sans-serif" w:hAnsi="Arial;sans-serif"/>
          <w:b/>
          <w:color w:val="000000"/>
          <w:sz w:val="20"/>
        </w:rPr>
      </w:pPr>
      <w:r>
        <w:rPr>
          <w:rFonts w:ascii="Arial;sans-serif" w:hAnsi="Arial;sans-serif"/>
          <w:b/>
          <w:color w:val="000000"/>
          <w:sz w:val="20"/>
        </w:rPr>
        <w:t>Exhibit 99.1</w:t>
      </w:r>
    </w:p>
    <w:p>
      <w:pPr>
        <w:pStyle w:val="TextBody"/>
        <w:bidi w:val="0"/>
        <w:spacing w:lineRule="auto" w:line="333" w:before="0" w:after="0"/>
        <w:jc w:val="left"/>
        <w:rPr/>
      </w:pPr>
      <w:r>
        <w:rPr/>
        <w:drawing>
          <wp:inline distT="0" distB="0" distL="0" distR="0">
            <wp:extent cx="1952625" cy="390525"/>
            <wp:effectExtent l="0" t="0" r="0" b="0"/>
            <wp:docPr id="4" name="Image1"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4" name="Image1" descr=""/>
                    <pic:cNvPicPr>
                      <a:picLocks noChangeAspect="1" noChangeArrowheads="1"/>
                    </pic:cNvPicPr>
                  </pic:nvPicPr>
                  <pic:blipFill>
                    <a:blip r:embed="rId2"/>
                    <a:stretch>
                      <a:fillRect/>
                    </a:stretch>
                  </pic:blipFill>
                  <pic:spPr bwMode="auto">
                    <a:xfrm>
                      <a:off x="0" y="0"/>
                      <a:ext cx="1952625" cy="390525"/>
                    </a:xfrm>
                    <a:prstGeom prst="rect">
                      <a:avLst/>
                    </a:prstGeom>
                  </pic:spPr>
                </pic:pic>
              </a:graphicData>
            </a:graphic>
          </wp:inline>
        </w:drawing>
      </w:r>
      <w:r>
        <w:rPr>
          <w:color w:val="000000"/>
        </w:rPr>
        <w:t> </w:t>
      </w:r>
    </w:p>
    <w:tbl>
      <w:tblPr>
        <w:tblW w:w="5522" w:type="dxa"/>
        <w:jc w:val="left"/>
        <w:tblInd w:w="0" w:type="dxa"/>
        <w:tblLayout w:type="fixed"/>
        <w:tblCellMar>
          <w:top w:w="28" w:type="dxa"/>
          <w:left w:w="28" w:type="dxa"/>
          <w:bottom w:w="28" w:type="dxa"/>
          <w:right w:w="28" w:type="dxa"/>
        </w:tblCellMar>
      </w:tblPr>
      <w:tblGrid>
        <w:gridCol w:w="982"/>
        <w:gridCol w:w="865"/>
        <w:gridCol w:w="869"/>
        <w:gridCol w:w="821"/>
        <w:gridCol w:w="821"/>
        <w:gridCol w:w="1164"/>
      </w:tblGrid>
      <w:tr>
        <w:trPr/>
        <w:tc>
          <w:tcPr>
            <w:tcW w:w="982" w:type="dxa"/>
            <w:tcBorders/>
            <w:vAlign w:val="center"/>
          </w:tcPr>
          <w:p>
            <w:pPr>
              <w:pStyle w:val="TableContents"/>
              <w:bidi w:val="0"/>
              <w:spacing w:before="0" w:after="283"/>
              <w:jc w:val="left"/>
              <w:rPr>
                <w:sz w:val="4"/>
                <w:szCs w:val="4"/>
              </w:rPr>
            </w:pPr>
            <w:r>
              <w:rPr>
                <w:sz w:val="4"/>
                <w:szCs w:val="4"/>
              </w:rPr>
            </w:r>
          </w:p>
        </w:tc>
        <w:tc>
          <w:tcPr>
            <w:tcW w:w="865" w:type="dxa"/>
            <w:tcBorders/>
            <w:vAlign w:val="center"/>
          </w:tcPr>
          <w:p>
            <w:pPr>
              <w:pStyle w:val="TableContents"/>
              <w:bidi w:val="0"/>
              <w:spacing w:before="0" w:after="283"/>
              <w:jc w:val="left"/>
              <w:rPr>
                <w:sz w:val="4"/>
                <w:szCs w:val="4"/>
              </w:rPr>
            </w:pPr>
            <w:r>
              <w:rPr>
                <w:sz w:val="4"/>
                <w:szCs w:val="4"/>
              </w:rPr>
            </w:r>
          </w:p>
        </w:tc>
        <w:tc>
          <w:tcPr>
            <w:tcW w:w="869" w:type="dxa"/>
            <w:tcBorders/>
            <w:vAlign w:val="center"/>
          </w:tcPr>
          <w:p>
            <w:pPr>
              <w:pStyle w:val="TableContents"/>
              <w:bidi w:val="0"/>
              <w:spacing w:before="0" w:after="283"/>
              <w:jc w:val="left"/>
              <w:rPr>
                <w:sz w:val="4"/>
                <w:szCs w:val="4"/>
              </w:rPr>
            </w:pPr>
            <w:r>
              <w:rPr>
                <w:sz w:val="4"/>
                <w:szCs w:val="4"/>
              </w:rPr>
            </w:r>
          </w:p>
        </w:tc>
        <w:tc>
          <w:tcPr>
            <w:tcW w:w="821" w:type="dxa"/>
            <w:tcBorders/>
            <w:vAlign w:val="center"/>
          </w:tcPr>
          <w:p>
            <w:pPr>
              <w:pStyle w:val="TableContents"/>
              <w:bidi w:val="0"/>
              <w:spacing w:before="0" w:after="283"/>
              <w:jc w:val="left"/>
              <w:rPr>
                <w:sz w:val="4"/>
                <w:szCs w:val="4"/>
              </w:rPr>
            </w:pPr>
            <w:r>
              <w:rPr>
                <w:sz w:val="4"/>
                <w:szCs w:val="4"/>
              </w:rPr>
            </w:r>
          </w:p>
        </w:tc>
        <w:tc>
          <w:tcPr>
            <w:tcW w:w="821" w:type="dxa"/>
            <w:tcBorders/>
            <w:vAlign w:val="center"/>
          </w:tcPr>
          <w:p>
            <w:pPr>
              <w:pStyle w:val="TableContents"/>
              <w:bidi w:val="0"/>
              <w:spacing w:before="0" w:after="283"/>
              <w:jc w:val="left"/>
              <w:rPr>
                <w:sz w:val="4"/>
                <w:szCs w:val="4"/>
              </w:rPr>
            </w:pPr>
            <w:r>
              <w:rPr>
                <w:sz w:val="4"/>
                <w:szCs w:val="4"/>
              </w:rPr>
            </w:r>
          </w:p>
        </w:tc>
        <w:tc>
          <w:tcPr>
            <w:tcW w:w="1164" w:type="dxa"/>
            <w:tcBorders/>
            <w:vAlign w:val="center"/>
          </w:tcPr>
          <w:p>
            <w:pPr>
              <w:pStyle w:val="TableContents"/>
              <w:bidi w:val="0"/>
              <w:spacing w:before="0" w:after="283"/>
              <w:jc w:val="left"/>
              <w:rPr>
                <w:sz w:val="4"/>
                <w:szCs w:val="4"/>
              </w:rPr>
            </w:pPr>
            <w:r>
              <w:rPr>
                <w:sz w:val="4"/>
                <w:szCs w:val="4"/>
              </w:rPr>
            </w:r>
          </w:p>
        </w:tc>
      </w:tr>
      <w:tr>
        <w:trPr/>
        <w:tc>
          <w:tcPr>
            <w:tcW w:w="2716" w:type="dxa"/>
            <w:gridSpan w:val="3"/>
            <w:tcBorders/>
            <w:tcMar>
              <w:top w:w="0" w:type="dxa"/>
              <w:left w:w="0" w:type="dxa"/>
              <w:bottom w:w="0" w:type="dxa"/>
              <w:right w:w="0" w:type="dxa"/>
            </w:tcMar>
            <w:vAlign w:val="center"/>
          </w:tcPr>
          <w:p>
            <w:pPr>
              <w:pStyle w:val="TableContents"/>
              <w:bidi w:val="0"/>
              <w:spacing w:lineRule="auto" w:line="240" w:before="75" w:after="283"/>
              <w:jc w:val="left"/>
              <w:rPr>
                <w:color w:val="000000"/>
              </w:rPr>
            </w:pPr>
            <w:r>
              <w:rPr>
                <w:color w:val="000000"/>
              </w:rPr>
              <w:t> </w:t>
            </w:r>
          </w:p>
          <w:p>
            <w:pPr>
              <w:pStyle w:val="TableContents"/>
              <w:bidi w:val="0"/>
              <w:spacing w:lineRule="auto" w:line="240" w:before="0" w:after="30"/>
              <w:jc w:val="left"/>
              <w:rPr>
                <w:rFonts w:ascii="Arial;sans-serif" w:hAnsi="Arial;sans-serif"/>
                <w:b w:val="false"/>
                <w:color w:val="000000"/>
                <w:sz w:val="20"/>
              </w:rPr>
            </w:pPr>
            <w:r>
              <w:rPr>
                <w:rFonts w:ascii="Arial;sans-serif" w:hAnsi="Arial;sans-serif"/>
                <w:b w:val="false"/>
                <w:color w:val="000000"/>
                <w:sz w:val="20"/>
              </w:rPr>
              <w:t>Contacts:</w:t>
            </w:r>
          </w:p>
        </w:tc>
        <w:tc>
          <w:tcPr>
            <w:tcW w:w="2806" w:type="dxa"/>
            <w:gridSpan w:val="3"/>
            <w:tcBorders/>
            <w:tcMar>
              <w:top w:w="0" w:type="dxa"/>
              <w:left w:w="0" w:type="dxa"/>
              <w:bottom w:w="0" w:type="dxa"/>
              <w:right w:w="0" w:type="dxa"/>
            </w:tcMar>
            <w:vAlign w:val="center"/>
          </w:tcPr>
          <w:p>
            <w:pPr>
              <w:pStyle w:val="TableContents"/>
              <w:bidi w:val="0"/>
              <w:spacing w:lineRule="auto" w:line="240" w:before="0" w:after="283"/>
              <w:jc w:val="left"/>
              <w:rPr>
                <w:color w:val="000000"/>
              </w:rPr>
            </w:pPr>
            <w:r>
              <w:rPr>
                <w:color w:val="000000"/>
              </w:rPr>
              <w:t> </w:t>
            </w:r>
          </w:p>
        </w:tc>
      </w:tr>
      <w:tr>
        <w:trPr/>
        <w:tc>
          <w:tcPr>
            <w:tcW w:w="2716"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806" w:type="dxa"/>
            <w:gridSpan w:val="3"/>
            <w:tcBorders/>
            <w:tcMar>
              <w:top w:w="0" w:type="dxa"/>
              <w:left w:w="0" w:type="dxa"/>
              <w:bottom w:w="0" w:type="dxa"/>
              <w:right w:w="0" w:type="dxa"/>
            </w:tcMar>
            <w:vAlign w:val="center"/>
          </w:tcPr>
          <w:p>
            <w:pPr>
              <w:pStyle w:val="TableContents"/>
              <w:bidi w:val="0"/>
              <w:spacing w:lineRule="auto" w:line="240" w:before="0" w:after="283"/>
              <w:jc w:val="left"/>
              <w:rPr>
                <w:color w:val="000000"/>
              </w:rPr>
            </w:pPr>
            <w:r>
              <w:rPr>
                <w:color w:val="000000"/>
              </w:rPr>
              <w:t> </w:t>
            </w:r>
          </w:p>
        </w:tc>
      </w:tr>
      <w:tr>
        <w:trPr/>
        <w:tc>
          <w:tcPr>
            <w:tcW w:w="2716"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color w:val="000000"/>
                <w:sz w:val="20"/>
              </w:rPr>
            </w:pPr>
            <w:r>
              <w:rPr>
                <w:rFonts w:ascii="Arial;sans-serif" w:hAnsi="Arial;sans-serif"/>
                <w:b/>
                <w:color w:val="000000"/>
                <w:sz w:val="20"/>
              </w:rPr>
              <w:t>Media</w:t>
            </w:r>
          </w:p>
        </w:tc>
        <w:tc>
          <w:tcPr>
            <w:tcW w:w="2806"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color w:val="000000"/>
                <w:sz w:val="20"/>
              </w:rPr>
            </w:pPr>
            <w:r>
              <w:rPr>
                <w:rFonts w:ascii="Arial;sans-serif" w:hAnsi="Arial;sans-serif"/>
                <w:b/>
                <w:color w:val="000000"/>
                <w:sz w:val="20"/>
              </w:rPr>
              <w:t>Investor Relations</w:t>
            </w:r>
          </w:p>
        </w:tc>
      </w:tr>
      <w:tr>
        <w:trPr/>
        <w:tc>
          <w:tcPr>
            <w:tcW w:w="2716"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20"/>
              </w:rPr>
            </w:pPr>
            <w:r>
              <w:rPr>
                <w:rFonts w:ascii="Arial;sans-serif" w:hAnsi="Arial;sans-serif"/>
                <w:b w:val="false"/>
                <w:color w:val="000000"/>
                <w:sz w:val="20"/>
              </w:rPr>
              <w:t>Stacey Jones</w:t>
            </w:r>
          </w:p>
        </w:tc>
        <w:tc>
          <w:tcPr>
            <w:tcW w:w="2806"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20"/>
              </w:rPr>
            </w:pPr>
            <w:r>
              <w:rPr>
                <w:rFonts w:ascii="Arial;sans-serif" w:hAnsi="Arial;sans-serif"/>
                <w:b w:val="false"/>
                <w:color w:val="000000"/>
                <w:sz w:val="20"/>
              </w:rPr>
              <w:t>Sean Meakim</w:t>
            </w:r>
          </w:p>
        </w:tc>
      </w:tr>
      <w:tr>
        <w:trPr/>
        <w:tc>
          <w:tcPr>
            <w:tcW w:w="2716"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20"/>
              </w:rPr>
            </w:pPr>
            <w:r>
              <w:rPr>
                <w:rFonts w:ascii="Arial;sans-serif" w:hAnsi="Arial;sans-serif"/>
                <w:b w:val="false"/>
                <w:color w:val="000000"/>
                <w:sz w:val="20"/>
              </w:rPr>
              <w:t>(980) 378-6258</w:t>
            </w:r>
          </w:p>
        </w:tc>
        <w:tc>
          <w:tcPr>
            <w:tcW w:w="2806"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20"/>
              </w:rPr>
            </w:pPr>
            <w:r>
              <w:rPr>
                <w:rFonts w:ascii="Arial;sans-serif" w:hAnsi="Arial;sans-serif"/>
                <w:b w:val="false"/>
                <w:color w:val="000000"/>
                <w:sz w:val="20"/>
              </w:rPr>
              <w:t>(704) 627-6200</w:t>
            </w:r>
          </w:p>
        </w:tc>
      </w:tr>
      <w:tr>
        <w:trPr/>
        <w:tc>
          <w:tcPr>
            <w:tcW w:w="2716"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20"/>
                <w:u w:val="single"/>
              </w:rPr>
            </w:pPr>
            <w:r>
              <w:rPr>
                <w:rFonts w:ascii="Arial;sans-serif" w:hAnsi="Arial;sans-serif"/>
                <w:b w:val="false"/>
                <w:color w:val="000000"/>
                <w:sz w:val="20"/>
                <w:u w:val="single"/>
              </w:rPr>
              <w:t>stacey.jones@honeywell.com</w:t>
            </w:r>
          </w:p>
        </w:tc>
        <w:tc>
          <w:tcPr>
            <w:tcW w:w="2806"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20"/>
                <w:u w:val="single"/>
              </w:rPr>
            </w:pPr>
            <w:r>
              <w:rPr>
                <w:rFonts w:ascii="Arial;sans-serif" w:hAnsi="Arial;sans-serif"/>
                <w:b w:val="false"/>
                <w:color w:val="000000"/>
                <w:sz w:val="20"/>
                <w:u w:val="single"/>
              </w:rPr>
              <w:t>sean.meakim@honeywell.com</w:t>
            </w:r>
          </w:p>
        </w:tc>
      </w:tr>
    </w:tbl>
    <w:p>
      <w:pPr>
        <w:pStyle w:val="TextBody"/>
        <w:bidi w:val="0"/>
        <w:spacing w:lineRule="auto" w:line="333" w:before="20" w:after="283"/>
        <w:jc w:val="center"/>
        <w:rPr>
          <w:color w:val="000000"/>
        </w:rPr>
      </w:pPr>
      <w:r>
        <w:rPr>
          <w:color w:val="000000"/>
        </w:rPr>
        <w:t> </w:t>
      </w:r>
    </w:p>
    <w:p>
      <w:pPr>
        <w:pStyle w:val="TextBody"/>
        <w:bidi w:val="0"/>
        <w:spacing w:lineRule="auto" w:line="276" w:before="0" w:after="0"/>
        <w:jc w:val="center"/>
        <w:rPr>
          <w:rFonts w:ascii="Arial;sans-serif" w:hAnsi="Arial;sans-serif"/>
          <w:b/>
          <w:color w:val="000000"/>
          <w:sz w:val="24"/>
        </w:rPr>
      </w:pPr>
      <w:r>
        <w:rPr>
          <w:rFonts w:ascii="Arial;sans-serif" w:hAnsi="Arial;sans-serif"/>
          <w:b/>
          <w:color w:val="000000"/>
          <w:sz w:val="24"/>
        </w:rPr>
        <w:t xml:space="preserve">HONEYWELL ELECTS VIMAL KAPUR AS CHAIRMAN AND </w:t>
      </w:r>
    </w:p>
    <w:p>
      <w:pPr>
        <w:pStyle w:val="TextBody"/>
        <w:bidi w:val="0"/>
        <w:spacing w:lineRule="auto" w:line="240" w:before="0" w:after="0"/>
        <w:jc w:val="center"/>
        <w:rPr>
          <w:rFonts w:ascii="Arial;sans-serif" w:hAnsi="Arial;sans-serif"/>
          <w:b/>
          <w:color w:val="000000"/>
          <w:sz w:val="24"/>
        </w:rPr>
      </w:pPr>
      <w:r>
        <w:rPr>
          <w:rFonts w:ascii="Arial;sans-serif" w:hAnsi="Arial;sans-serif"/>
          <w:b/>
          <w:color w:val="000000"/>
          <w:sz w:val="24"/>
        </w:rPr>
        <w:t xml:space="preserve">WILLIAM S. AYER AS INDEPENDENT LEAD DIRECTOR </w:t>
      </w:r>
    </w:p>
    <w:p>
      <w:pPr>
        <w:pStyle w:val="TextBody"/>
        <w:bidi w:val="0"/>
        <w:spacing w:before="0" w:after="0"/>
        <w:jc w:val="center"/>
        <w:rPr/>
      </w:pPr>
      <w:r>
        <w:rPr/>
      </w:r>
    </w:p>
    <w:p>
      <w:pPr>
        <w:pStyle w:val="TextBody"/>
        <w:bidi w:val="0"/>
        <w:spacing w:lineRule="auto" w:line="240" w:before="0" w:after="0"/>
        <w:ind w:left="0" w:right="0" w:hanging="360"/>
        <w:jc w:val="left"/>
        <w:rPr/>
      </w:pPr>
      <w:r>
        <w:rPr>
          <w:color w:val="000000"/>
        </w:rPr>
        <w:t>•</w:t>
      </w:r>
      <w:r>
        <w:rPr>
          <w:rFonts w:ascii="Arial;sans-serif" w:hAnsi="Arial;sans-serif"/>
          <w:b w:val="false"/>
          <w:i/>
          <w:color w:val="000000"/>
          <w:sz w:val="20"/>
        </w:rPr>
        <w:t>Kapur to commence new role, effective June 2024</w:t>
      </w:r>
    </w:p>
    <w:p>
      <w:pPr>
        <w:pStyle w:val="TextBody"/>
        <w:bidi w:val="0"/>
        <w:spacing w:lineRule="auto" w:line="240" w:before="0" w:after="0"/>
        <w:ind w:left="0" w:right="0" w:hanging="360"/>
        <w:jc w:val="left"/>
        <w:rPr/>
      </w:pPr>
      <w:r>
        <w:rPr>
          <w:color w:val="000000"/>
        </w:rPr>
        <w:t>•</w:t>
      </w:r>
      <w:r>
        <w:rPr>
          <w:rFonts w:ascii="Arial;sans-serif" w:hAnsi="Arial;sans-serif"/>
          <w:b w:val="false"/>
          <w:i/>
          <w:color w:val="000000"/>
          <w:sz w:val="20"/>
        </w:rPr>
        <w:t>Ayer, former Chair and CEO of Alaska Airlines, to succeed D. Scott Davis as Independent Lead Director, effective May 2024</w:t>
      </w:r>
    </w:p>
    <w:p>
      <w:pPr>
        <w:pStyle w:val="TextBody"/>
        <w:bidi w:val="0"/>
        <w:spacing w:lineRule="auto" w:line="240" w:before="0" w:after="0"/>
        <w:ind w:left="0" w:right="0" w:hanging="360"/>
        <w:jc w:val="left"/>
        <w:rPr/>
      </w:pPr>
      <w:r>
        <w:rPr>
          <w:color w:val="000000"/>
        </w:rPr>
        <w:t>•</w:t>
      </w:r>
      <w:r>
        <w:rPr>
          <w:rFonts w:ascii="Arial;sans-serif" w:hAnsi="Arial;sans-serif"/>
          <w:b w:val="false"/>
          <w:i/>
          <w:color w:val="000000"/>
          <w:sz w:val="20"/>
        </w:rPr>
        <w:t>Executive Chairman Darius Adamczyk to step down from the board, effective June 2024</w:t>
      </w:r>
    </w:p>
    <w:p>
      <w:pPr>
        <w:pStyle w:val="TextBody"/>
        <w:bidi w:val="0"/>
        <w:spacing w:before="0" w:after="0"/>
        <w:jc w:val="left"/>
        <w:rPr/>
      </w:pPr>
      <w:r>
        <w:rPr/>
      </w:r>
    </w:p>
    <w:p>
      <w:pPr>
        <w:pStyle w:val="TextBody"/>
        <w:bidi w:val="0"/>
        <w:spacing w:lineRule="auto" w:line="417" w:before="0" w:after="0"/>
        <w:ind w:left="0" w:right="0" w:firstLine="720"/>
        <w:jc w:val="left"/>
        <w:rPr/>
      </w:pPr>
      <w:r>
        <w:rPr>
          <w:rFonts w:ascii="Arial;sans-serif" w:hAnsi="Arial;sans-serif"/>
          <w:b w:val="false"/>
          <w:color w:val="000000"/>
          <w:sz w:val="20"/>
        </w:rPr>
        <w:t>CHARLOTTE, N.C. February 1, 2024</w:t>
      </w:r>
      <w:r>
        <w:rPr>
          <w:color w:val="000000"/>
        </w:rPr>
        <w:t xml:space="preserve"> </w:t>
      </w:r>
      <w:r>
        <w:rPr>
          <w:rFonts w:ascii="Arial;sans-serif" w:hAnsi="Arial;sans-serif"/>
          <w:b w:val="false"/>
          <w:color w:val="000000"/>
          <w:sz w:val="20"/>
        </w:rPr>
        <w:t>-- Honeywell (</w:t>
      </w:r>
      <w:r>
        <w:rPr>
          <w:rFonts w:ascii="Arial;sans-serif" w:hAnsi="Arial;sans-serif"/>
          <w:b/>
          <w:color w:val="000000"/>
          <w:sz w:val="20"/>
        </w:rPr>
        <w:t>NASDAQ: HON</w:t>
      </w:r>
      <w:r>
        <w:rPr>
          <w:rFonts w:ascii="Arial;sans-serif" w:hAnsi="Arial;sans-serif"/>
          <w:b w:val="false"/>
          <w:color w:val="000000"/>
          <w:sz w:val="20"/>
        </w:rPr>
        <w:t>) today announced that its Board of Directors has elected CEO Vimal Kapur to take on the additional role of chairman when current executive chairman Darius Adamczyk retires from the board as of June 7, 2024. William S. Ayer has also been elected to succeed D. Scott Davis as independent lead director beginning as of the company’s annual meeting on May 14, 2024. Davis, who has served as lead director since 2020, will continue to serve as an independent director and as Chair of the Audit Committee.</w:t>
      </w:r>
    </w:p>
    <w:p>
      <w:pPr>
        <w:pStyle w:val="TextBody"/>
        <w:bidi w:val="0"/>
        <w:spacing w:lineRule="auto" w:line="417" w:before="0" w:after="0"/>
        <w:ind w:left="0" w:right="0" w:firstLine="720"/>
        <w:jc w:val="left"/>
        <w:rPr>
          <w:color w:val="000000"/>
        </w:rPr>
      </w:pPr>
      <w:r>
        <w:rPr>
          <w:color w:val="000000"/>
        </w:rPr>
        <w:t>“</w:t>
      </w:r>
      <w:r>
        <w:rPr>
          <w:rFonts w:ascii="Arial;sans-serif" w:hAnsi="Arial;sans-serif"/>
          <w:b w:val="false"/>
          <w:color w:val="000000"/>
          <w:sz w:val="20"/>
        </w:rPr>
        <w:t xml:space="preserve">The board is unified in its view that Vimal will provide decisive strategic leadership and strong execution of Honeywell's growth plans, capital deployment, succession planning and continuing operational excellence, said Davis, Honeywell’s independent lead director. “Additionally, we are confident that the robust governance authorities and responsibilities of our independent lead director, combined with Bill’s thoughtful and extensive leadership, will enable our highly independent, diverse, and experienced board to provide effective support and oversight.” </w:t>
      </w:r>
    </w:p>
    <w:p>
      <w:pPr>
        <w:pStyle w:val="TextBody"/>
        <w:bidi w:val="0"/>
        <w:spacing w:lineRule="auto" w:line="417" w:before="0" w:after="0"/>
        <w:ind w:left="0" w:right="0" w:firstLine="720"/>
        <w:jc w:val="left"/>
        <w:rPr>
          <w:rFonts w:ascii="Arial;sans-serif" w:hAnsi="Arial;sans-serif"/>
          <w:b w:val="false"/>
          <w:color w:val="000000"/>
          <w:sz w:val="20"/>
        </w:rPr>
      </w:pPr>
      <w:r>
        <w:rPr>
          <w:rFonts w:ascii="Arial;sans-serif" w:hAnsi="Arial;sans-serif"/>
          <w:b w:val="false"/>
          <w:color w:val="000000"/>
          <w:sz w:val="20"/>
        </w:rPr>
        <w:t>Adamczyk, who was Honeywell's chairman and CEO until June 2023 when he became executive chairman, said, "I would like to thank Scott for his service to Honeywell as lead director. His independent perspectives and counsel as Honeywell successfully navigated the unprecedented macro challenges of the past four years, and his leadership throughout the CEO succession planning and smooth transition process have been invaluable to me, Vimal and the entire management team."</w:t>
      </w:r>
    </w:p>
    <w:p>
      <w:pPr>
        <w:pStyle w:val="TextBody"/>
        <w:bidi w:val="0"/>
        <w:spacing w:lineRule="auto" w:line="417" w:before="0" w:after="0"/>
        <w:ind w:left="0" w:right="0" w:firstLine="720"/>
        <w:jc w:val="left"/>
        <w:rPr>
          <w:rFonts w:ascii="Arial;sans-serif" w:hAnsi="Arial;sans-serif"/>
          <w:b w:val="false"/>
          <w:color w:val="000000"/>
          <w:sz w:val="20"/>
        </w:rPr>
      </w:pPr>
      <w:r>
        <w:rPr>
          <w:rFonts w:ascii="Arial;sans-serif" w:hAnsi="Arial;sans-serif"/>
          <w:b w:val="false"/>
          <w:color w:val="000000"/>
          <w:sz w:val="20"/>
        </w:rPr>
        <w:t xml:space="preserve">"It is a privilege and honor to be named chairman with the full support of Darius and our independent directors," Kapur said. "I look forward to working with Bill, our outstanding board and leadership team and our talented people to continue accelerating Honeywell’s growth aligned with three powerful megatrends--automation, the future of aviation and energy transition--each of which is underpinned by robust digitalization capabilities and solutions.” </w:t>
      </w:r>
    </w:p>
    <w:p>
      <w:pPr>
        <w:pStyle w:val="TextBody"/>
        <w:bidi w:val="0"/>
        <w:spacing w:lineRule="auto" w:line="417" w:before="0" w:after="0"/>
        <w:ind w:left="0" w:right="0" w:firstLine="720"/>
        <w:jc w:val="left"/>
        <w:rPr>
          <w:rFonts w:ascii="Arial;sans-serif" w:hAnsi="Arial;sans-serif"/>
          <w:b w:val="false"/>
          <w:color w:val="000000"/>
          <w:sz w:val="20"/>
        </w:rPr>
      </w:pPr>
      <w:r>
        <w:rPr>
          <w:rFonts w:ascii="Arial;sans-serif" w:hAnsi="Arial;sans-serif"/>
          <w:b w:val="false"/>
          <w:color w:val="000000"/>
          <w:sz w:val="20"/>
        </w:rPr>
        <w:t>He added, “Accelerating our innovation playbook, leveraging our financial strength and unlocking greater value through our Accelerator operating system uniquely positions us to blend advanced software with leading physical products and solutions to lead in our end markets.” Kapur, 58, became President and CEO of Honeywell in June 2023 after serving as President and Chief Operating Officer since July 2022.</w:t>
      </w:r>
    </w:p>
    <w:p>
      <w:pPr>
        <w:pStyle w:val="TextBody"/>
        <w:bidi w:val="0"/>
        <w:spacing w:before="0" w:after="283"/>
        <w:jc w:val="left"/>
        <w:rPr/>
      </w:pPr>
      <w:r>
        <w:rPr/>
      </w:r>
    </w:p>
    <w:p>
      <w:pPr>
        <w:pStyle w:val="TextBody"/>
        <w:bidi w:val="0"/>
        <w:spacing w:before="0" w:after="0"/>
        <w:jc w:val="left"/>
        <w:rPr/>
      </w:pPr>
      <w:r>
        <w:rPr/>
      </w:r>
      <w:r>
        <mc:AlternateContent>
          <mc:Choice Requires="wps">
            <w:drawing>
              <wp:anchor behindDoc="0" distT="0" distB="0" distL="0" distR="0" simplePos="0" locked="0" layoutInCell="1" allowOverlap="1" relativeHeight="6">
                <wp:simplePos x="0" y="0"/>
                <wp:positionH relativeFrom="character">
                  <wp:align>left</wp:align>
                </wp:positionH>
                <wp:positionV relativeFrom="line">
                  <wp:posOffset>635</wp:posOffset>
                </wp:positionV>
                <wp:extent cx="6480175" cy="175260"/>
                <wp:effectExtent l="0" t="0" r="0" b="0"/>
                <wp:wrapNone/>
                <wp:docPr id="5" name="Frame4"/>
                <a:graphic xmlns:a="http://schemas.openxmlformats.org/drawingml/2006/main">
                  <a:graphicData uri="http://schemas.microsoft.com/office/word/2010/wordprocessingShape">
                    <wps:wsp>
                      <wps:cNvSpPr txBox="1"/>
                      <wps:spPr>
                        <a:xfrm>
                          <a:off x="0" y="0"/>
                          <a:ext cx="6480175" cy="175260"/>
                        </a:xfrm>
                        <a:prstGeom prst="rect"/>
                        <a:solidFill>
                          <a:srgbClr val="FFFFFF"/>
                        </a:solidFill>
                      </wps:spPr>
                      <wps:txbx>
                        <w:txbxContent>
                          <w:p>
                            <w:pPr>
                              <w:pStyle w:val="TextBody"/>
                              <w:bidi w:val="0"/>
                              <w:spacing w:before="0" w:after="0"/>
                              <w:jc w:val="left"/>
                              <w:rPr/>
                            </w:pPr>
                            <w:r>
                              <w:rPr/>
                            </w:r>
                            <w:r>
                              <w:br w:type="page"/>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before="0" w:after="0"/>
                        <w:jc w:val="left"/>
                        <w:rPr/>
                      </w:pPr>
                      <w:r>
                        <w:rPr/>
                      </w:r>
                    </w:p>
                  </w:txbxContent>
                </v:textbox>
                <w10:wrap type="none"/>
              </v:rect>
            </w:pict>
          </mc:Fallback>
        </mc:AlternateContent>
      </w:r>
    </w:p>
    <w:p>
      <w:pPr>
        <w:pStyle w:val="TextBody"/>
        <w:bidi w:val="0"/>
        <w:spacing w:before="0" w:after="0"/>
        <w:jc w:val="left"/>
        <w:rPr/>
      </w:pPr>
      <w:r>
        <w:rPr/>
      </w:r>
    </w:p>
    <w:p>
      <w:pPr>
        <w:pStyle w:val="TextBody"/>
        <w:bidi w:val="0"/>
        <w:spacing w:lineRule="auto" w:line="417" w:before="0" w:after="0"/>
        <w:ind w:left="0" w:right="0" w:firstLine="720"/>
        <w:jc w:val="left"/>
        <w:rPr>
          <w:color w:val="000000"/>
        </w:rPr>
      </w:pPr>
      <w:r>
        <w:rPr>
          <w:color w:val="000000"/>
        </w:rPr>
        <w:t>“</w:t>
      </w:r>
      <w:r>
        <w:rPr>
          <w:rFonts w:ascii="Arial;sans-serif" w:hAnsi="Arial;sans-serif"/>
          <w:b w:val="false"/>
          <w:color w:val="000000"/>
          <w:sz w:val="20"/>
        </w:rPr>
        <w:t>I would like to thank Darius for his leadership and numerous contributions to position Honeywell for growth. I am also grateful to Scott for his service as lead director over the past four years, and his continued service on the board,” Kapur said. “I would also like to congratulate Bill, who as chair of the Corporate Governance and Responsibility Committee, successfully led our robust shareowner engagement program and will continue bringing critical shareowner feedback to the boardroom. His independent perspectives, commitment to best-in-class governance practices, and leadership strengths will be essential as we partner to deliver on Honeywell’s strategic growth objectives.”</w:t>
      </w:r>
    </w:p>
    <w:p>
      <w:pPr>
        <w:pStyle w:val="TextBody"/>
        <w:bidi w:val="0"/>
        <w:spacing w:before="0" w:after="0"/>
        <w:jc w:val="left"/>
        <w:rPr/>
      </w:pPr>
      <w:r>
        <w:rPr/>
      </w:r>
    </w:p>
    <w:p>
      <w:pPr>
        <w:pStyle w:val="TextBody"/>
        <w:bidi w:val="0"/>
        <w:spacing w:lineRule="auto" w:line="417" w:before="0" w:after="0"/>
        <w:jc w:val="left"/>
        <w:rPr>
          <w:rFonts w:ascii="Arial;sans-serif" w:hAnsi="Arial;sans-serif"/>
          <w:b/>
          <w:color w:val="222222"/>
          <w:sz w:val="20"/>
          <w:shd w:fill="FFFFFF" w:val="clear"/>
        </w:rPr>
      </w:pPr>
      <w:r>
        <w:rPr>
          <w:rFonts w:ascii="Arial;sans-serif" w:hAnsi="Arial;sans-serif"/>
          <w:b/>
          <w:color w:val="222222"/>
          <w:sz w:val="20"/>
          <w:shd w:fill="FFFFFF" w:val="clear"/>
        </w:rPr>
        <w:t>About Honeywell</w:t>
      </w:r>
    </w:p>
    <w:p>
      <w:pPr>
        <w:pStyle w:val="TextBody"/>
        <w:bidi w:val="0"/>
        <w:spacing w:lineRule="auto" w:line="417"/>
        <w:jc w:val="left"/>
        <w:rPr/>
      </w:pPr>
      <w:r>
        <w:rPr>
          <w:rFonts w:ascii="Arial;sans-serif" w:hAnsi="Arial;sans-serif"/>
          <w:b w:val="false"/>
          <w:color w:val="222222"/>
          <w:sz w:val="20"/>
          <w:shd w:fill="FFFFFF" w:val="clear"/>
        </w:rPr>
        <w:t xml:space="preserve">Honeywell is an integrated operating company serving a broad range of industries and geographies around the world. Our business is aligned with three powerful megatrends – automation, the future of aviation and energy transition – underpinned by our Honeywell Accelerator operating system and Honeywell Connected Enterprise integrated software platform. As a trusted partner, we help organizations solve the world’s toughest, most complex challenges, providing actionable solutions and innovations through our Aerospace Technologies, Industrial Automation, Building Automation and Energy and Sustainability Solutions business segments that help make the world smarter, safer and more sustainable. For more news and information on Honeywell, please </w:t>
      </w:r>
      <w:r>
        <w:rPr>
          <w:rFonts w:ascii="Arial;sans-serif" w:hAnsi="Arial;sans-serif"/>
          <w:b w:val="false"/>
          <w:color w:val="000000"/>
          <w:sz w:val="20"/>
          <w:shd w:fill="FFFFFF" w:val="clear"/>
        </w:rPr>
        <w:t xml:space="preserve">visit </w:t>
      </w:r>
      <w:r>
        <w:rPr>
          <w:rFonts w:ascii="Arial;sans-serif" w:hAnsi="Arial;sans-serif"/>
          <w:b w:val="false"/>
          <w:color w:val="000000"/>
          <w:sz w:val="20"/>
          <w:u w:val="single"/>
          <w:shd w:fill="FFFFFF" w:val="clear"/>
        </w:rPr>
        <w:t>www.honeywell.com/newsroom</w:t>
      </w:r>
      <w:r>
        <w:rPr>
          <w:rFonts w:ascii="Arial;sans-serif" w:hAnsi="Arial;sans-serif"/>
          <w:b w:val="false"/>
          <w:color w:val="000000"/>
          <w:sz w:val="20"/>
          <w:shd w:fill="FFFFFF" w:val="clear"/>
        </w:rPr>
        <w:t>.</w:t>
      </w:r>
    </w:p>
    <w:p>
      <w:pPr>
        <w:pStyle w:val="TextBody"/>
        <w:bidi w:val="0"/>
        <w:spacing w:before="0" w:after="283"/>
        <w:jc w:val="left"/>
        <w:rPr/>
      </w:pPr>
      <w:r>
        <w:rPr/>
      </w:r>
      <w:r>
        <mc:AlternateContent>
          <mc:Choice Requires="wps">
            <w:drawing>
              <wp:anchor behindDoc="0" distT="0" distB="0" distL="0" distR="0" simplePos="0" locked="0" layoutInCell="1" allowOverlap="1" relativeHeight="7">
                <wp:simplePos x="0" y="0"/>
                <wp:positionH relativeFrom="character">
                  <wp:align>left</wp:align>
                </wp:positionH>
                <wp:positionV relativeFrom="line">
                  <wp:posOffset>635</wp:posOffset>
                </wp:positionV>
                <wp:extent cx="6480175" cy="175260"/>
                <wp:effectExtent l="0" t="0" r="0" b="0"/>
                <wp:wrapNone/>
                <wp:docPr id="6" name="Frame5"/>
                <a:graphic xmlns:a="http://schemas.openxmlformats.org/drawingml/2006/main">
                  <a:graphicData uri="http://schemas.microsoft.com/office/word/2010/wordprocessingShape">
                    <wps:wsp>
                      <wps:cNvSpPr txBox="1"/>
                      <wps:spPr>
                        <a:xfrm>
                          <a:off x="0" y="0"/>
                          <a:ext cx="6480175" cy="175260"/>
                        </a:xfrm>
                        <a:prstGeom prst="rect"/>
                        <a:solidFill>
                          <a:srgbClr val="FFFFFF"/>
                        </a:solidFill>
                      </wps:spPr>
                      <wps:txbx>
                        <w:txbxContent>
                          <w:p>
                            <w:pPr>
                              <w:pStyle w:val="TextBody"/>
                              <w:bidi w:val="0"/>
                              <w:spacing w:before="0" w:after="0"/>
                              <w:jc w:val="left"/>
                              <w:rPr/>
                            </w:pPr>
                            <w:r>
                              <w:rPr/>
                            </w:r>
                            <w:r>
                              <w:br w:type="page"/>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before="0" w:after="0"/>
                        <w:jc w:val="left"/>
                        <w:rPr/>
                      </w:pPr>
                      <w:r>
                        <w:rPr/>
                      </w:r>
                    </w:p>
                  </w:txbxContent>
                </v:textbox>
                <w10:wrap type="none"/>
              </v:rect>
            </w:pict>
          </mc:Fallback>
        </mc:AlternateContent>
      </w:r>
    </w:p>
    <w:sectPr>
      <w:type w:val="continuous"/>
      <w:pgSz w:w="11906" w:h="16838"/>
      <w:pgMar w:left="1134" w:right="567" w:gutter="0" w:header="0" w:top="567" w:footer="0" w:bottom="567"/>
      <w:pgNumType w:fmt="decimal"/>
      <w:formProt w:val="false"/>
      <w:textDirection w:val="lrTb"/>
      <w:docGrid w:type="default" w:linePitch="600" w:charSpace="32768"/>
    </w:sectPr>
  </w:body>
</w:document>
</file>

<file path=word/fontTable.xml><?xml version="1.0" encoding="utf-8"?>
<w:fonts xmlns:w="http://schemas.openxmlformats.org/wordprocessingml/2006/main" xmlns:r="http://schemas.openxmlformats.org/officeDocument/2006/relationships">
  <w:font w:name="Times New Roman">
    <w:charset w:val="00"/>
    <w:family w:val="roman"/>
    <w:pitch w:val="variable"/>
  </w:font>
  <w:font w:name="Symbol">
    <w:charset w:val="02"/>
    <w:family w:val="roman"/>
    <w:pitch w:val="variable"/>
  </w:font>
  <w:font w:name="Arial">
    <w:charset w:val="00"/>
    <w:family w:val="swiss"/>
    <w:pitch w:val="variable"/>
  </w:font>
  <w:font w:name="Liberation Serif">
    <w:altName w:val="Times New Roman"/>
    <w:charset w:val="01"/>
    <w:family w:val="roman"/>
    <w:pitch w:val="variable"/>
  </w:font>
  <w:font w:name="Liberation Sans Unicode MS">
    <w:charset w:val="01"/>
    <w:family w:val="auto"/>
    <w:pitch w:val="variable"/>
  </w:font>
  <w:font w:name="Liberation Sans">
    <w:altName w:val="Arial"/>
    <w:charset w:val="01"/>
    <w:family w:val="swiss"/>
    <w:pitch w:val="variable"/>
  </w:font>
  <w:font w:name="Arial">
    <w:altName w:val="sans-serif"/>
    <w:charset w:val="01"/>
    <w:family w:val="auto"/>
    <w:pitch w:val="default"/>
  </w:font>
</w:fonts>
</file>

<file path=word/settings.xml><?xml version="1.0" encoding="utf-8"?>
<w:settings xmlns:w="http://schemas.openxmlformats.org/wordprocessingml/2006/main">
  <w:zoom w:percent="100"/>
  <w:defaultTabStop w:val="1134"/>
  <w:autoHyphenation w:val="true"/>
  <w:compat>
    <w:compatSetting w:name="compatibilityMode" w:uri="http://schemas.microsoft.com/office/word" w:val="15"/>
  </w:compat>
</w:settings>
</file>

<file path=word/styles.xml><?xml version="1.0" encoding="utf-8"?>
<w:styles xmlns:w="http://schemas.openxmlformats.org/wordprocessingml/2006/main" xmlns:w14="http://schemas.microsoft.com/office/word/2010/wordml" xmlns:mc="http://schemas.openxmlformats.org/markup-compatibility/2006" mc:Ignorable="w14">
  <w:docDefaults>
    <w:rPrDefault>
      <w:rPr>
        <w:rFonts w:ascii="Liberation Serif" w:hAnsi="Liberation Serif" w:eastAsia="Tahoma" w:cs="Noto Sans Devanagari"/>
        <w:sz w:val="24"/>
        <w:szCs w:val="24"/>
        <w:lang w:val="en-US" w:eastAsia="zh-CN" w:bidi="hi-IN"/>
      </w:rPr>
    </w:rPrDefault>
    <w:pPrDefault>
      <w:pPr>
        <w:suppressAutoHyphens w:val="true"/>
      </w:pPr>
    </w:pPrDefault>
  </w:docDefaults>
  <w:style w:type="paragraph" w:styleId="Normal">
    <w:name w:val="Normal"/>
    <w:qFormat/>
    <w:pPr>
      <w:widowControl w:val="false"/>
      <w:kinsoku w:val="true"/>
      <w:overflowPunct w:val="true"/>
      <w:autoSpaceDE w:val="true"/>
      <w:bidi w:val="0"/>
    </w:pPr>
    <w:rPr>
      <w:rFonts w:ascii="Liberation Serif" w:hAnsi="Liberation Serif" w:eastAsia="Tahoma" w:cs="Noto Sans Devanagari"/>
      <w:color w:val="auto"/>
      <w:sz w:val="24"/>
      <w:szCs w:val="24"/>
      <w:lang w:val="en-US" w:eastAsia="zh-CN" w:bidi="hi-IN"/>
    </w:rPr>
  </w:style>
  <w:style w:type="paragraph" w:styleId="Heading1">
    <w:name w:val="Heading 1"/>
    <w:basedOn w:val="Heading"/>
    <w:next w:val="TextBody"/>
    <w:qFormat/>
    <w:pPr/>
    <w:rPr>
      <w:rFonts w:ascii="Liberation Sans Unicode MS" w:hAnsi="Liberation Sans Unicode MS"/>
      <w:b/>
      <w:bCs/>
      <w:sz w:val="48"/>
      <w:szCs w:val="44"/>
    </w:rPr>
  </w:style>
  <w:style w:type="character" w:styleId="EndnoteCharacters">
    <w:name w:val="Endnote Characters"/>
    <w:qFormat/>
    <w:rPr/>
  </w:style>
  <w:style w:type="character" w:styleId="FootnoteCharacters">
    <w:name w:val="Footnote Characters"/>
    <w:qFormat/>
    <w:rPr/>
  </w:style>
  <w:style w:type="character" w:styleId="InternetLink">
    <w:name w:val="Hyperlink"/>
    <w:rPr>
      <w:color w:val="000080"/>
      <w:u w:val="single"/>
    </w:rPr>
  </w:style>
  <w:style w:type="paragraph" w:styleId="HorizontalLine">
    <w:name w:val="Horizontal Line"/>
    <w:basedOn w:val="Normal"/>
    <w:next w:val="TextBody"/>
    <w:qFormat/>
    <w:pPr>
      <w:pBdr>
        <w:bottom w:val="double" w:sz="2" w:space="0" w:color="808080"/>
      </w:pBdr>
      <w:spacing w:before="0" w:after="283"/>
    </w:pPr>
    <w:rPr>
      <w:sz w:val="12"/>
    </w:rPr>
  </w:style>
  <w:style w:type="paragraph" w:styleId="TextBody">
    <w:name w:val="Body Text"/>
    <w:basedOn w:val="Normal"/>
    <w:pPr>
      <w:spacing w:before="0" w:after="283"/>
    </w:pPr>
    <w:rPr/>
  </w:style>
  <w:style w:type="paragraph" w:styleId="Sender">
    <w:name w:val="Envelope Return"/>
    <w:basedOn w:val="Normal"/>
    <w:pPr/>
    <w:rPr>
      <w:i/>
    </w:rPr>
  </w:style>
  <w:style w:type="paragraph" w:styleId="TableContents">
    <w:name w:val="Table Contents"/>
    <w:basedOn w:val="TextBody"/>
    <w:qFormat/>
    <w:pPr/>
    <w:rPr/>
  </w:style>
  <w:style w:type="paragraph" w:styleId="HeaderandFooter">
    <w:name w:val="Header and Footer"/>
    <w:basedOn w:val="Normal"/>
    <w:qFormat/>
    <w:pPr>
      <w:suppressLineNumbers/>
      <w:tabs>
        <w:tab w:val="clear" w:pos="1134"/>
        <w:tab w:val="center" w:pos="4819" w:leader="none"/>
        <w:tab w:val="right" w:pos="9638" w:leader="none"/>
      </w:tabs>
    </w:pPr>
    <w:rPr/>
  </w:style>
  <w:style w:type="paragraph" w:styleId="Footer">
    <w:name w:val="Footer"/>
    <w:basedOn w:val="Normal"/>
    <w:pPr>
      <w:suppressLineNumbers/>
      <w:tabs>
        <w:tab w:val="clear" w:pos="1134"/>
        <w:tab w:val="center" w:pos="4818" w:leader="none"/>
        <w:tab w:val="right" w:pos="9637" w:leader="none"/>
      </w:tabs>
    </w:pPr>
    <w:rPr/>
  </w:style>
  <w:style w:type="paragraph" w:styleId="Header">
    <w:name w:val="Header"/>
    <w:basedOn w:val="Normal"/>
    <w:pPr>
      <w:suppressLineNumbers/>
      <w:tabs>
        <w:tab w:val="clear" w:pos="1134"/>
        <w:tab w:val="center" w:pos="4818" w:leader="none"/>
        <w:tab w:val="right" w:pos="9637" w:leader="none"/>
      </w:tabs>
    </w:pPr>
    <w:rPr/>
  </w:style>
  <w:style w:type="paragraph" w:styleId="Heading">
    <w:name w:val="Heading"/>
    <w:basedOn w:val="Normal"/>
    <w:next w:val="TextBody"/>
    <w:qFormat/>
    <w:pPr>
      <w:keepNext w:val="true"/>
      <w:spacing w:before="240" w:after="283"/>
    </w:pPr>
    <w:rPr>
      <w:rFonts w:ascii="Liberation Sans" w:hAnsi="Liberation Sans"/>
      <w:sz w:val="28"/>
      <w:szCs w:val="28"/>
    </w:rPr>
  </w:style>
  <w:style w:type="paragraph" w:styleId="Index">
    <w:name w:val="Index"/>
    <w:basedOn w:val="Normal"/>
    <w:qFormat/>
    <w:pPr>
      <w:suppressLineNumbers/>
    </w:pPr>
    <w:rPr>
      <w:rFonts w:cs="Noto Sans Devanagari"/>
    </w:rPr>
  </w:style>
  <w:style w:type="paragraph" w:styleId="Caption">
    <w:name w:val="Caption"/>
    <w:basedOn w:val="Normal"/>
    <w:qFormat/>
    <w:pPr>
      <w:suppressLineNumbers/>
      <w:spacing w:before="120" w:after="120"/>
    </w:pPr>
    <w:rPr>
      <w:rFonts w:cs="Noto Sans Devanagari"/>
      <w:i/>
      <w:iCs/>
      <w:sz w:val="24"/>
      <w:szCs w:val="24"/>
    </w:rPr>
  </w:style>
  <w:style w:type="paragraph" w:styleId="List">
    <w:name w:val="List"/>
    <w:basedOn w:val="TextBody"/>
    <w:pPr/>
    <w:rPr>
      <w:rFonts w:cs="Noto Sans Devanagari"/>
    </w:rPr>
  </w:style>
  <w:style w:type="paragraph" w:styleId="TableHeading">
    <w:name w:val="Table Heading"/>
    <w:basedOn w:val="TableContents"/>
    <w:qFormat/>
    <w:pPr>
      <w:suppressLineNumbers/>
      <w:jc w:val="center"/>
    </w:pPr>
    <w:rPr>
      <w:b/>
      <w:bCs/>
    </w:rPr>
  </w:style>
  <w:style w:type="paragraph" w:styleId="FrameContents">
    <w:name w:val="Frame Contents"/>
    <w:basedOn w:val="Normal"/>
    <w:qFormat/>
    <w:pPr/>
    <w:rPr/>
  </w:style>
</w:styles>
</file>

<file path=word/_rels/document.xml.rels><?xml version="1.0" encoding="UTF-8"?>
<Relationships xmlns="http://schemas.openxmlformats.org/package/2006/relationships"><Relationship Id="rId1" Type="http://schemas.openxmlformats.org/officeDocument/2006/relationships/styles" Target="styles.xml"/><Relationship Id="rId2" Type="http://schemas.openxmlformats.org/officeDocument/2006/relationships/image" Target="media/image1.jpeg"/><Relationship Id="rId3" Type="http://schemas.openxmlformats.org/officeDocument/2006/relationships/fontTable" Target="fontTable.xml"/><Relationship Id="rId4" Type="http://schemas.openxmlformats.org/officeDocument/2006/relationships/settings" Target="settings.xml"/>
</Relationships>
</file>

<file path=docProps/app.xml><?xml version="1.0" encoding="utf-8"?>
<Properties xmlns="http://schemas.openxmlformats.org/officeDocument/2006/extended-properties" xmlns:vt="http://schemas.openxmlformats.org/officeDocument/2006/docPropsVTypes">
  <Template/>
  <TotalTime>0</TotalTime>
  <Application>LibreOffice/7.3.7.2$Linux_X86_64 LibreOffice_project/30$Build-2</Application>
  <AppVersion>15.0000</AppVersion>
  <Pages>3</Pages>
  <Words>1477</Words>
  <Characters>8284</Characters>
  <CharactersWithSpaces>9709</CharactersWithSpaces>
  <Paragraphs>126</Paragraphs>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
  <dc:description/>
  <dc:language>en-US</dc:language>
  <cp:lastModifiedBy/>
  <cp:revision>0</cp:revision>
  <dc:subject/>
  <dc:title/>
</cp:coreProperties>
</file>