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-230505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-621030</wp:posOffset>
            </wp:positionV>
            <wp:extent cx="5778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14605</wp:posOffset>
            </wp:positionV>
            <wp:extent cx="6994525" cy="5215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21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Adamczyk Darius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855 S. MINT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 w:line="253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HONEYWELL INTERNATIONAL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HON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9" w:right="660" w:firstLine="9"/>
        <w:spacing w:after="0" w:line="236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500" w:space="329"/>
            <w:col w:w="3351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4,543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195,043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2,020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192.34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193,023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1,782.7839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4,543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-1831340</wp:posOffset>
            </wp:positionV>
            <wp:extent cx="29210" cy="1837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3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reinvestment of dividend equivalents into 319 additional restricted stock units.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1"/>
        <w:spacing w:after="0" w:line="245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under the 2016 Stock Incentive Plan of Honeywell International Inc. and its Affiliates with vesting of 33%, 33% and 34% on each of February 26, 2021, February 26, 2023 and February 26, 2025, respectively.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Excludes reinvestment of dividend equivalents during the vesting period.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Su Ping Lu for Darius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2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Adamczyk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5056" TargetMode="External"/><Relationship Id="rId13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2023-03-01T03:48:50Z</dcterms:created>
  <dcterms:modified xsi:type="dcterms:W3CDTF">2023-03-01T03:48:50Z</dcterms:modified>
</cp:coreProperties>
</file>