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4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260" w:type="dxa"/>
            <w:vAlign w:val="bottom"/>
            <w:gridSpan w:val="17"/>
            <w:vMerge w:val="restart"/>
          </w:tcPr>
          <w:p>
            <w:pPr>
              <w:jc w:val="center"/>
              <w:ind w:left="10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AYER WILLIAM 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198.66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05/18/2033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-6292850</wp:posOffset>
            </wp:positionV>
            <wp:extent cx="7045325" cy="6306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30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6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exempt grant of non-qualified stock options under the 2016 Stock Plan for Non-Employee Directors of Honeywell International Inc. that vest in four equal annual installments, with the first installment vesting on April 15, 2024.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 Ping Lu for William S. Ayer 05/23/2023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-9525</wp:posOffset>
            </wp:positionV>
            <wp:extent cx="189103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188789" TargetMode="External"/><Relationship Id="rId9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2023-05-23T18:41:05Z</dcterms:created>
  <dcterms:modified xsi:type="dcterms:W3CDTF">2023-05-23T18:41:05Z</dcterms:modified>
</cp:coreProperties>
</file>