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1300"/>
        <w:spacing w:after="0"/>
        <w:tabs>
          <w:tab w:leader="none" w:pos="3080" w:val="left"/>
        </w:tabs>
        <w:rPr>
          <w:sz w:val="20"/>
          <w:szCs w:val="20"/>
          <w:color w:val="auto"/>
        </w:rPr>
      </w:pPr>
      <w:r>
        <w:rPr>
          <w:rFonts w:ascii="Courier New" w:cs="Courier New" w:eastAsia="Courier New" w:hAnsi="Courier New"/>
          <w:sz w:val="14"/>
          <w:szCs w:val="14"/>
          <w:color w:val="auto"/>
        </w:rPr>
        <w:t>Section 240.14a-101</w:t>
        <w:tab/>
        <w:t>Schedule 14A.</w:t>
      </w:r>
    </w:p>
    <w:p>
      <w:pPr>
        <w:spacing w:after="0" w:line="7" w:lineRule="exact"/>
        <w:rPr>
          <w:sz w:val="24"/>
          <w:szCs w:val="24"/>
          <w:color w:val="auto"/>
        </w:rPr>
      </w:pPr>
    </w:p>
    <w:p>
      <w:pPr>
        <w:ind w:left="860"/>
        <w:spacing w:after="0"/>
        <w:tabs>
          <w:tab w:leader="none" w:pos="3520" w:val="left"/>
        </w:tabs>
        <w:rPr>
          <w:sz w:val="20"/>
          <w:szCs w:val="20"/>
          <w:color w:val="auto"/>
        </w:rPr>
      </w:pPr>
      <w:r>
        <w:rPr>
          <w:rFonts w:ascii="Courier New" w:cs="Courier New" w:eastAsia="Courier New" w:hAnsi="Courier New"/>
          <w:sz w:val="14"/>
          <w:szCs w:val="14"/>
          <w:color w:val="auto"/>
        </w:rPr>
        <w:t>Information required in proxy</w:t>
        <w:tab/>
        <w:t>statement.</w:t>
      </w:r>
    </w:p>
    <w:p>
      <w:pPr>
        <w:spacing w:after="0" w:line="7"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Schedule 14A Information</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7"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Exchange Act of 1934</w:t>
      </w:r>
    </w:p>
    <w:p>
      <w:pPr>
        <w:spacing w:after="0" w:line="7" w:lineRule="exact"/>
        <w:rPr>
          <w:sz w:val="24"/>
          <w:szCs w:val="24"/>
          <w:color w:val="auto"/>
        </w:rPr>
      </w:pPr>
    </w:p>
    <w:p>
      <w:pPr>
        <w:ind w:left="2080"/>
        <w:spacing w:after="0"/>
        <w:tabs>
          <w:tab w:leader="none" w:pos="3440" w:val="left"/>
        </w:tabs>
        <w:rPr>
          <w:sz w:val="20"/>
          <w:szCs w:val="20"/>
          <w:color w:val="auto"/>
        </w:rPr>
      </w:pPr>
      <w:r>
        <w:rPr>
          <w:rFonts w:ascii="Courier New" w:cs="Courier New" w:eastAsia="Courier New" w:hAnsi="Courier New"/>
          <w:sz w:val="14"/>
          <w:szCs w:val="14"/>
          <w:color w:val="auto"/>
        </w:rPr>
        <w:t>(Amendment No.</w:t>
      </w:r>
      <w:r>
        <w:rPr>
          <w:sz w:val="20"/>
          <w:szCs w:val="20"/>
          <w:color w:val="auto"/>
        </w:rPr>
        <w:tab/>
      </w:r>
      <w:r>
        <w:rPr>
          <w:rFonts w:ascii="Courier New" w:cs="Courier New" w:eastAsia="Courier New" w:hAnsi="Courier New"/>
          <w:sz w:val="13"/>
          <w:szCs w:val="13"/>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the Registrant [X]</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pacing w:after="0" w:line="7"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Preliminary Proxy Statement</w:t>
      </w:r>
    </w:p>
    <w:p>
      <w:pPr>
        <w:spacing w:after="0" w:line="7" w:lineRule="exact"/>
        <w:rPr>
          <w:sz w:val="24"/>
          <w:szCs w:val="24"/>
          <w:color w:val="auto"/>
        </w:rPr>
      </w:pPr>
    </w:p>
    <w:p>
      <w:pPr>
        <w:ind w:left="440" w:right="4719" w:hanging="432"/>
        <w:spacing w:after="0" w:line="250" w:lineRule="auto"/>
        <w:tabs>
          <w:tab w:leader="none" w:pos="182"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for Use of the Commission Only (as permitted by Rule 14a-6(e)(2))</w:t>
      </w:r>
    </w:p>
    <w:p>
      <w:pPr>
        <w:spacing w:after="0" w:line="1" w:lineRule="exact"/>
        <w:rPr>
          <w:sz w:val="24"/>
          <w:szCs w:val="24"/>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Definitive Proxy Statement</w:t>
      </w:r>
    </w:p>
    <w:p>
      <w:pPr>
        <w:spacing w:after="0" w:line="173" w:lineRule="exact"/>
        <w:rPr>
          <w:sz w:val="24"/>
          <w:szCs w:val="24"/>
          <w:color w:val="auto"/>
        </w:rPr>
      </w:pPr>
    </w:p>
    <w:p>
      <w:pPr>
        <w:ind w:left="440" w:right="4219" w:hanging="432"/>
        <w:spacing w:after="0" w:line="255" w:lineRule="auto"/>
        <w:tabs>
          <w:tab w:leader="none" w:pos="182"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Soliciting Material Pursuant to Section 240.14a-11(c) or Section 240.14a-12</w:t>
      </w:r>
    </w:p>
    <w:p>
      <w:pPr>
        <w:spacing w:after="0" w:line="160"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Honeywell International Inc.</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(Name of Registrant as Specified In Its Charter)</w:t>
      </w:r>
    </w:p>
    <w:p>
      <w:pPr>
        <w:spacing w:after="0" w:line="338"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Person(s) Filing Proxy Statement, if other than the Registrant)</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7" w:lineRule="exact"/>
        <w:rPr>
          <w:sz w:val="24"/>
          <w:szCs w:val="24"/>
          <w:color w:val="auto"/>
        </w:rPr>
      </w:pPr>
    </w:p>
    <w:p>
      <w:pPr>
        <w:ind w:left="440" w:hanging="432"/>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fee required</w:t>
      </w:r>
    </w:p>
    <w:p>
      <w:pPr>
        <w:spacing w:after="0" w:line="7" w:lineRule="exact"/>
        <w:rPr>
          <w:sz w:val="24"/>
          <w:szCs w:val="24"/>
          <w:color w:val="auto"/>
        </w:rPr>
      </w:pPr>
    </w:p>
    <w:p>
      <w:pPr>
        <w:ind w:left="960" w:right="4379" w:hanging="952"/>
        <w:spacing w:after="0" w:line="255" w:lineRule="auto"/>
        <w:tabs>
          <w:tab w:leader="none" w:pos="185"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computed on table below per Exchange Act Rules 14a-6(i)(1) and 0-11</w:t>
      </w:r>
    </w:p>
    <w:p>
      <w:pPr>
        <w:spacing w:after="0" w:line="159" w:lineRule="exact"/>
        <w:rPr>
          <w:rFonts w:ascii="Courier New" w:cs="Courier New" w:eastAsia="Courier New" w:hAnsi="Courier New"/>
          <w:sz w:val="14"/>
          <w:szCs w:val="14"/>
          <w:color w:val="auto"/>
        </w:rPr>
      </w:pPr>
    </w:p>
    <w:p>
      <w:pPr>
        <w:ind w:left="960" w:right="4719" w:hanging="521"/>
        <w:spacing w:after="0" w:line="255" w:lineRule="auto"/>
        <w:tabs>
          <w:tab w:leader="none" w:pos="788"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32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960" w:right="4979" w:hanging="521"/>
        <w:spacing w:after="0" w:line="255" w:lineRule="auto"/>
        <w:tabs>
          <w:tab w:leader="none" w:pos="788"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32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960" w:right="4219" w:hanging="521"/>
        <w:spacing w:after="0" w:line="252" w:lineRule="auto"/>
        <w:tabs>
          <w:tab w:leader="none" w:pos="78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32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(4) Proposed maximum aggregate value of transaction:</w:t>
      </w:r>
    </w:p>
    <w:p>
      <w:pPr>
        <w:spacing w:after="0" w:line="33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860" w:hanging="421"/>
        <w:spacing w:after="0"/>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33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Fee paid previously with preliminary materials.</w:t>
      </w:r>
    </w:p>
    <w:p>
      <w:pPr>
        <w:spacing w:after="0" w:line="7" w:lineRule="exact"/>
        <w:rPr>
          <w:sz w:val="24"/>
          <w:szCs w:val="24"/>
          <w:color w:val="auto"/>
        </w:rPr>
      </w:pPr>
    </w:p>
    <w:p>
      <w:pPr>
        <w:ind w:left="440" w:right="4639" w:hanging="432"/>
        <w:spacing w:after="0" w:line="251" w:lineRule="auto"/>
        <w:tabs>
          <w:tab w:leader="none" w:pos="18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4" w:lineRule="exact"/>
        <w:rPr>
          <w:rFonts w:ascii="Courier New" w:cs="Courier New" w:eastAsia="Courier New" w:hAnsi="Courier New"/>
          <w:sz w:val="14"/>
          <w:szCs w:val="14"/>
          <w:color w:val="auto"/>
        </w:rPr>
      </w:pPr>
    </w:p>
    <w:p>
      <w:pPr>
        <w:ind w:left="1220" w:hanging="351"/>
        <w:spacing w:after="0"/>
        <w:tabs>
          <w:tab w:leader="none" w:pos="122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338"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(2) Form, Schedule or Registration Statement No.:</w:t>
      </w:r>
    </w:p>
    <w:p>
      <w:pPr>
        <w:spacing w:after="0" w:line="338"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(3) Filing Party:</w:t>
      </w:r>
    </w:p>
    <w:p>
      <w:pPr>
        <w:spacing w:after="0" w:line="338"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(4) Date Filed:</w:t>
      </w:r>
    </w:p>
    <w:p>
      <w:pPr>
        <w:sectPr>
          <w:pgSz w:w="11900" w:h="16838" w:orient="portrait"/>
          <w:cols w:equalWidth="0" w:num="1">
            <w:col w:w="10159"/>
          </w:cols>
          <w:pgMar w:left="300" w:top="1440"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299"/>
          </w:cols>
          <w:pgMar w:left="1160" w:top="473" w:right="1440" w:bottom="1440" w:gutter="0" w:footer="0" w:header="0"/>
        </w:sectPr>
      </w:pPr>
    </w:p>
    <w:bookmarkStart w:id="2" w:name="page3"/>
    <w:bookmarkEnd w:id="2"/>
    <w:p>
      <w:pPr>
        <w:jc w:val="right"/>
        <w:ind w:right="3259"/>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March 13,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our Shareowners:</w:t>
      </w:r>
    </w:p>
    <w:p>
      <w:pPr>
        <w:spacing w:after="0" w:line="17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You are cordially invited to attend the Annual Meeting of Shareowners of Honeywell, which will be held at 10:00 a.m. on Monday, May 1, 2000 at the Company's headquarters, 101 Columbia Road, Morris Township, New Jersey.</w:t>
      </w:r>
    </w:p>
    <w:p>
      <w:pPr>
        <w:spacing w:after="0" w:line="163"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The accompanying notice of meeting and proxy statement describe the matters to be voted on at the meeting. We will also take the opportunity to review 1999 business results and our outlook for the future.</w:t>
      </w:r>
    </w:p>
    <w:p>
      <w:pPr>
        <w:spacing w:after="0" w:line="163" w:lineRule="exact"/>
        <w:rPr>
          <w:sz w:val="20"/>
          <w:szCs w:val="20"/>
          <w:color w:val="auto"/>
        </w:rPr>
      </w:pPr>
    </w:p>
    <w:p>
      <w:pPr>
        <w:ind w:right="3439" w:firstLine="344"/>
        <w:spacing w:after="0" w:line="251" w:lineRule="auto"/>
        <w:rPr>
          <w:sz w:val="20"/>
          <w:szCs w:val="20"/>
          <w:color w:val="auto"/>
        </w:rPr>
      </w:pPr>
      <w:r>
        <w:rPr>
          <w:rFonts w:ascii="Courier New" w:cs="Courier New" w:eastAsia="Courier New" w:hAnsi="Courier New"/>
          <w:sz w:val="14"/>
          <w:szCs w:val="14"/>
          <w:color w:val="auto"/>
        </w:rPr>
        <w:t>YOUR VOTE IS IMPORTANT. We encourage you to read the proxy statement and vote your shares as soon as possible. A return envelope for your proxy card is enclosed for convenience. Shareowners of record and participants in Company stock plans also have the option of voting via the Internet or by telephone. Specific Instructions on how to vote via the Internet or by telephone are included on the proxy card.</w:t>
      </w:r>
    </w:p>
    <w:p>
      <w:pPr>
        <w:spacing w:after="0" w:line="164"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A map and directions to the Company's headquarters appear at the end of the proxy statement. I look forward to seeing you on May 1.</w:t>
      </w:r>
    </w:p>
    <w:p>
      <w:pPr>
        <w:spacing w:after="0" w:line="160"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Sincerely,</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/s/ MICHAEL R. BONSIGNORE</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MICHAEL R. BONSIGNORE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Chief Executive Officer</w:t>
      </w:r>
    </w:p>
    <w:p>
      <w:pPr>
        <w:sectPr>
          <w:pgSz w:w="11900" w:h="16838" w:orient="portrait"/>
          <w:cols w:equalWidth="0" w:num="1">
            <w:col w:w="10159"/>
          </w:cols>
          <w:pgMar w:left="300" w:top="782" w:right="1440" w:bottom="1440" w:gutter="0" w:footer="0" w:header="0"/>
        </w:sectPr>
      </w:pPr>
    </w:p>
    <w:bookmarkStart w:id="3" w:name="page4"/>
    <w:bookmarkEnd w:id="3"/>
    <w:p>
      <w:pPr>
        <w:spacing w:after="0"/>
        <w:tabs>
          <w:tab w:leader="none" w:pos="5320" w:val="left"/>
        </w:tabs>
        <w:rPr>
          <w:sz w:val="20"/>
          <w:szCs w:val="20"/>
          <w:color w:val="auto"/>
        </w:rPr>
      </w:pPr>
      <w:r>
        <w:rPr>
          <w:rFonts w:ascii="Courier New" w:cs="Courier New" w:eastAsia="Courier New" w:hAnsi="Courier New"/>
          <w:sz w:val="14"/>
          <w:szCs w:val="14"/>
          <w:color w:val="auto"/>
        </w:rPr>
        <w:t>Table of Contents</w:t>
      </w:r>
      <w:r>
        <w:rPr>
          <w:sz w:val="20"/>
          <w:szCs w:val="20"/>
          <w:color w:val="auto"/>
        </w:rPr>
        <w:tab/>
      </w:r>
      <w:r>
        <w:rPr>
          <w:rFonts w:ascii="Courier New" w:cs="Courier New" w:eastAsia="Courier New" w:hAnsi="Courier New"/>
          <w:sz w:val="14"/>
          <w:szCs w:val="14"/>
          <w:color w:val="auto"/>
        </w:rPr>
        <w:t>Page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dot" w:pos="5500" w:val="left"/>
        </w:tabs>
        <w:rPr>
          <w:sz w:val="20"/>
          <w:szCs w:val="20"/>
          <w:color w:val="auto"/>
        </w:rPr>
      </w:pPr>
      <w:r>
        <w:rPr>
          <w:rFonts w:ascii="Courier New" w:cs="Courier New" w:eastAsia="Courier New" w:hAnsi="Courier New"/>
          <w:sz w:val="14"/>
          <w:szCs w:val="14"/>
          <w:color w:val="auto"/>
        </w:rPr>
        <w:t>NOTICE OF MEETING</w:t>
      </w:r>
      <w:r>
        <w:rPr>
          <w:sz w:val="20"/>
          <w:szCs w:val="20"/>
          <w:color w:val="auto"/>
        </w:rPr>
        <w:tab/>
      </w:r>
      <w:r>
        <w:rPr>
          <w:rFonts w:ascii="Courier New" w:cs="Courier New" w:eastAsia="Courier New" w:hAnsi="Courier New"/>
          <w:sz w:val="13"/>
          <w:szCs w:val="13"/>
          <w:color w:val="auto"/>
        </w:rPr>
        <w:t>1</w:t>
      </w:r>
    </w:p>
    <w:p>
      <w:pPr>
        <w:spacing w:after="0" w:line="173" w:lineRule="exact"/>
        <w:rPr>
          <w:sz w:val="20"/>
          <w:szCs w:val="20"/>
          <w:color w:val="auto"/>
        </w:rPr>
      </w:pPr>
    </w:p>
    <w:p>
      <w:pPr>
        <w:spacing w:after="0"/>
        <w:tabs>
          <w:tab w:leader="dot" w:pos="5500" w:val="left"/>
        </w:tabs>
        <w:rPr>
          <w:sz w:val="20"/>
          <w:szCs w:val="20"/>
          <w:color w:val="auto"/>
        </w:rPr>
      </w:pPr>
      <w:r>
        <w:rPr>
          <w:rFonts w:ascii="Courier New" w:cs="Courier New" w:eastAsia="Courier New" w:hAnsi="Courier New"/>
          <w:sz w:val="14"/>
          <w:szCs w:val="14"/>
          <w:color w:val="auto"/>
        </w:rPr>
        <w:t>PROXY STATEMENT</w:t>
      </w:r>
      <w:r>
        <w:rPr>
          <w:sz w:val="20"/>
          <w:szCs w:val="20"/>
          <w:color w:val="auto"/>
        </w:rPr>
        <w:tab/>
      </w:r>
      <w:r>
        <w:rPr>
          <w:rFonts w:ascii="Courier New" w:cs="Courier New" w:eastAsia="Courier New" w:hAnsi="Courier New"/>
          <w:sz w:val="13"/>
          <w:szCs w:val="13"/>
          <w:color w:val="auto"/>
        </w:rPr>
        <w:t>2</w:t>
      </w:r>
    </w:p>
    <w:p>
      <w:pPr>
        <w:spacing w:after="0" w:line="173" w:lineRule="exact"/>
        <w:rPr>
          <w:sz w:val="20"/>
          <w:szCs w:val="20"/>
          <w:color w:val="auto"/>
        </w:rPr>
      </w:pPr>
    </w:p>
    <w:p>
      <w:pPr>
        <w:spacing w:after="0"/>
        <w:tabs>
          <w:tab w:leader="dot" w:pos="5500" w:val="left"/>
        </w:tabs>
        <w:rPr>
          <w:sz w:val="20"/>
          <w:szCs w:val="20"/>
          <w:color w:val="auto"/>
        </w:rPr>
      </w:pPr>
      <w:r>
        <w:rPr>
          <w:rFonts w:ascii="Courier New" w:cs="Courier New" w:eastAsia="Courier New" w:hAnsi="Courier New"/>
          <w:sz w:val="14"/>
          <w:szCs w:val="14"/>
          <w:color w:val="auto"/>
        </w:rPr>
        <w:t>MERGER INFORMATION</w:t>
      </w:r>
      <w:r>
        <w:rPr>
          <w:sz w:val="20"/>
          <w:szCs w:val="20"/>
          <w:color w:val="auto"/>
        </w:rPr>
        <w:tab/>
      </w:r>
      <w:r>
        <w:rPr>
          <w:rFonts w:ascii="Courier New" w:cs="Courier New" w:eastAsia="Courier New" w:hAnsi="Courier New"/>
          <w:sz w:val="13"/>
          <w:szCs w:val="13"/>
          <w:color w:val="auto"/>
        </w:rPr>
        <w:t>2</w:t>
      </w:r>
    </w:p>
    <w:p>
      <w:pPr>
        <w:spacing w:after="0" w:line="173" w:lineRule="exact"/>
        <w:rPr>
          <w:sz w:val="20"/>
          <w:szCs w:val="20"/>
          <w:color w:val="auto"/>
        </w:rPr>
      </w:pPr>
    </w:p>
    <w:p>
      <w:pPr>
        <w:spacing w:after="0"/>
        <w:tabs>
          <w:tab w:leader="dot" w:pos="5500" w:val="left"/>
        </w:tabs>
        <w:rPr>
          <w:sz w:val="20"/>
          <w:szCs w:val="20"/>
          <w:color w:val="auto"/>
        </w:rPr>
      </w:pPr>
      <w:r>
        <w:rPr>
          <w:rFonts w:ascii="Courier New" w:cs="Courier New" w:eastAsia="Courier New" w:hAnsi="Courier New"/>
          <w:sz w:val="14"/>
          <w:szCs w:val="14"/>
          <w:color w:val="auto"/>
        </w:rPr>
        <w:t>VOTING PROCEDURES</w:t>
      </w:r>
      <w:r>
        <w:rPr>
          <w:sz w:val="20"/>
          <w:szCs w:val="20"/>
          <w:color w:val="auto"/>
        </w:rPr>
        <w:tab/>
      </w:r>
      <w:r>
        <w:rPr>
          <w:rFonts w:ascii="Courier New" w:cs="Courier New" w:eastAsia="Courier New" w:hAnsi="Courier New"/>
          <w:sz w:val="13"/>
          <w:szCs w:val="13"/>
          <w:color w:val="auto"/>
        </w:rPr>
        <w:t>2</w:t>
      </w:r>
    </w:p>
    <w:p>
      <w:pPr>
        <w:spacing w:after="0" w:line="173" w:lineRule="exact"/>
        <w:rPr>
          <w:sz w:val="20"/>
          <w:szCs w:val="20"/>
          <w:color w:val="auto"/>
        </w:rPr>
      </w:pPr>
    </w:p>
    <w:p>
      <w:pPr>
        <w:spacing w:after="0"/>
        <w:tabs>
          <w:tab w:leader="dot" w:pos="5500" w:val="left"/>
        </w:tabs>
        <w:rPr>
          <w:sz w:val="20"/>
          <w:szCs w:val="20"/>
          <w:color w:val="auto"/>
        </w:rPr>
      </w:pPr>
      <w:r>
        <w:rPr>
          <w:rFonts w:ascii="Courier New" w:cs="Courier New" w:eastAsia="Courier New" w:hAnsi="Courier New"/>
          <w:sz w:val="14"/>
          <w:szCs w:val="14"/>
          <w:color w:val="auto"/>
        </w:rPr>
        <w:t>ATTENDANCE AT THE ANNUAL MEETING</w:t>
      </w:r>
      <w:r>
        <w:rPr>
          <w:sz w:val="20"/>
          <w:szCs w:val="20"/>
          <w:color w:val="auto"/>
        </w:rPr>
        <w:tab/>
      </w:r>
      <w:r>
        <w:rPr>
          <w:rFonts w:ascii="Courier New" w:cs="Courier New" w:eastAsia="Courier New" w:hAnsi="Courier New"/>
          <w:sz w:val="13"/>
          <w:szCs w:val="13"/>
          <w:color w:val="auto"/>
        </w:rPr>
        <w:t>3</w:t>
      </w:r>
    </w:p>
    <w:p>
      <w:pPr>
        <w:spacing w:after="0" w:line="173" w:lineRule="exact"/>
        <w:rPr>
          <w:sz w:val="20"/>
          <w:szCs w:val="20"/>
          <w:color w:val="auto"/>
        </w:rPr>
      </w:pPr>
    </w:p>
    <w:p>
      <w:pPr>
        <w:spacing w:after="0"/>
        <w:tabs>
          <w:tab w:leader="dot" w:pos="5500" w:val="left"/>
        </w:tabs>
        <w:rPr>
          <w:sz w:val="20"/>
          <w:szCs w:val="20"/>
          <w:color w:val="auto"/>
        </w:rPr>
      </w:pPr>
      <w:r>
        <w:rPr>
          <w:rFonts w:ascii="Courier New" w:cs="Courier New" w:eastAsia="Courier New" w:hAnsi="Courier New"/>
          <w:sz w:val="14"/>
          <w:szCs w:val="14"/>
          <w:color w:val="auto"/>
        </w:rPr>
        <w:t>BOARD MEETINGS -- COMMITTEES OF THE BOARD</w:t>
      </w:r>
      <w:r>
        <w:rPr>
          <w:sz w:val="20"/>
          <w:szCs w:val="20"/>
          <w:color w:val="auto"/>
        </w:rPr>
        <w:tab/>
      </w:r>
      <w:r>
        <w:rPr>
          <w:rFonts w:ascii="Courier New" w:cs="Courier New" w:eastAsia="Courier New" w:hAnsi="Courier New"/>
          <w:sz w:val="13"/>
          <w:szCs w:val="13"/>
          <w:color w:val="auto"/>
        </w:rPr>
        <w:t>3</w:t>
      </w:r>
    </w:p>
    <w:p>
      <w:pPr>
        <w:spacing w:after="0" w:line="173" w:lineRule="exact"/>
        <w:rPr>
          <w:sz w:val="20"/>
          <w:szCs w:val="20"/>
          <w:color w:val="auto"/>
        </w:rPr>
      </w:pPr>
    </w:p>
    <w:p>
      <w:pPr>
        <w:spacing w:after="0"/>
        <w:tabs>
          <w:tab w:leader="dot" w:pos="5500" w:val="left"/>
        </w:tabs>
        <w:rPr>
          <w:sz w:val="20"/>
          <w:szCs w:val="20"/>
          <w:color w:val="auto"/>
        </w:rPr>
      </w:pPr>
      <w:r>
        <w:rPr>
          <w:rFonts w:ascii="Courier New" w:cs="Courier New" w:eastAsia="Courier New" w:hAnsi="Courier New"/>
          <w:sz w:val="14"/>
          <w:szCs w:val="14"/>
          <w:color w:val="auto"/>
        </w:rPr>
        <w:t>ELECTION OF DIRECTORS</w:t>
      </w:r>
      <w:r>
        <w:rPr>
          <w:sz w:val="20"/>
          <w:szCs w:val="20"/>
          <w:color w:val="auto"/>
        </w:rPr>
        <w:tab/>
      </w:r>
      <w:r>
        <w:rPr>
          <w:rFonts w:ascii="Courier New" w:cs="Courier New" w:eastAsia="Courier New" w:hAnsi="Courier New"/>
          <w:sz w:val="13"/>
          <w:szCs w:val="13"/>
          <w:color w:val="auto"/>
        </w:rPr>
        <w:t>5</w:t>
      </w:r>
    </w:p>
    <w:p>
      <w:pPr>
        <w:spacing w:after="0" w:line="173" w:lineRule="exact"/>
        <w:rPr>
          <w:sz w:val="20"/>
          <w:szCs w:val="20"/>
          <w:color w:val="auto"/>
        </w:rPr>
      </w:pPr>
    </w:p>
    <w:p>
      <w:pPr>
        <w:spacing w:after="0"/>
        <w:tabs>
          <w:tab w:leader="dot" w:pos="5420" w:val="left"/>
        </w:tabs>
        <w:rPr>
          <w:sz w:val="20"/>
          <w:szCs w:val="20"/>
          <w:color w:val="auto"/>
        </w:rPr>
      </w:pPr>
      <w:r>
        <w:rPr>
          <w:rFonts w:ascii="Courier New" w:cs="Courier New" w:eastAsia="Courier New" w:hAnsi="Courier New"/>
          <w:sz w:val="14"/>
          <w:szCs w:val="14"/>
          <w:color w:val="auto"/>
        </w:rPr>
        <w:t>DIRECTOR COMPENSATION</w:t>
      </w:r>
      <w:r>
        <w:rPr>
          <w:sz w:val="20"/>
          <w:szCs w:val="20"/>
          <w:color w:val="auto"/>
        </w:rPr>
        <w:tab/>
      </w:r>
      <w:r>
        <w:rPr>
          <w:rFonts w:ascii="Courier New" w:cs="Courier New" w:eastAsia="Courier New" w:hAnsi="Courier New"/>
          <w:sz w:val="13"/>
          <w:szCs w:val="13"/>
          <w:color w:val="auto"/>
        </w:rPr>
        <w:t>10</w:t>
      </w:r>
    </w:p>
    <w:p>
      <w:pPr>
        <w:spacing w:after="0" w:line="173" w:lineRule="exact"/>
        <w:rPr>
          <w:sz w:val="20"/>
          <w:szCs w:val="20"/>
          <w:color w:val="auto"/>
        </w:rPr>
      </w:pPr>
    </w:p>
    <w:p>
      <w:pPr>
        <w:spacing w:after="0"/>
        <w:tabs>
          <w:tab w:leader="dot" w:pos="5420" w:val="left"/>
        </w:tabs>
        <w:rPr>
          <w:sz w:val="20"/>
          <w:szCs w:val="20"/>
          <w:color w:val="auto"/>
        </w:rPr>
      </w:pPr>
      <w:r>
        <w:rPr>
          <w:rFonts w:ascii="Courier New" w:cs="Courier New" w:eastAsia="Courier New" w:hAnsi="Courier New"/>
          <w:sz w:val="14"/>
          <w:szCs w:val="14"/>
          <w:color w:val="auto"/>
        </w:rPr>
        <w:t>APPROVAL OF INDEPENDENT ACCOUNTANTS</w:t>
      </w:r>
      <w:r>
        <w:rPr>
          <w:sz w:val="20"/>
          <w:szCs w:val="20"/>
          <w:color w:val="auto"/>
        </w:rPr>
        <w:tab/>
      </w:r>
      <w:r>
        <w:rPr>
          <w:rFonts w:ascii="Courier New" w:cs="Courier New" w:eastAsia="Courier New" w:hAnsi="Courier New"/>
          <w:sz w:val="13"/>
          <w:szCs w:val="13"/>
          <w:color w:val="auto"/>
        </w:rPr>
        <w:t>11</w:t>
      </w:r>
    </w:p>
    <w:p>
      <w:pPr>
        <w:spacing w:after="0" w:line="173" w:lineRule="exact"/>
        <w:rPr>
          <w:sz w:val="20"/>
          <w:szCs w:val="20"/>
          <w:color w:val="auto"/>
        </w:rPr>
      </w:pPr>
    </w:p>
    <w:p>
      <w:pPr>
        <w:spacing w:after="0"/>
        <w:tabs>
          <w:tab w:leader="dot" w:pos="5420" w:val="left"/>
        </w:tabs>
        <w:rPr>
          <w:sz w:val="20"/>
          <w:szCs w:val="20"/>
          <w:color w:val="auto"/>
        </w:rPr>
      </w:pPr>
      <w:r>
        <w:rPr>
          <w:rFonts w:ascii="Courier New" w:cs="Courier New" w:eastAsia="Courier New" w:hAnsi="Courier New"/>
          <w:sz w:val="14"/>
          <w:szCs w:val="14"/>
          <w:color w:val="auto"/>
        </w:rPr>
        <w:t>STOCK OWNERSHIP INFORMATION</w:t>
      </w:r>
      <w:r>
        <w:rPr>
          <w:sz w:val="20"/>
          <w:szCs w:val="20"/>
          <w:color w:val="auto"/>
        </w:rPr>
        <w:tab/>
      </w:r>
      <w:r>
        <w:rPr>
          <w:rFonts w:ascii="Courier New" w:cs="Courier New" w:eastAsia="Courier New" w:hAnsi="Courier New"/>
          <w:sz w:val="13"/>
          <w:szCs w:val="13"/>
          <w:color w:val="auto"/>
        </w:rPr>
        <w:t>12</w:t>
      </w:r>
    </w:p>
    <w:p>
      <w:pPr>
        <w:spacing w:after="0" w:line="173" w:lineRule="exact"/>
        <w:rPr>
          <w:sz w:val="20"/>
          <w:szCs w:val="20"/>
          <w:color w:val="auto"/>
        </w:rPr>
      </w:pPr>
    </w:p>
    <w:p>
      <w:pPr>
        <w:spacing w:after="0"/>
        <w:tabs>
          <w:tab w:leader="dot" w:pos="5420" w:val="left"/>
        </w:tabs>
        <w:rPr>
          <w:sz w:val="20"/>
          <w:szCs w:val="20"/>
          <w:color w:val="auto"/>
        </w:rPr>
      </w:pPr>
      <w:r>
        <w:rPr>
          <w:rFonts w:ascii="Courier New" w:cs="Courier New" w:eastAsia="Courier New" w:hAnsi="Courier New"/>
          <w:sz w:val="14"/>
          <w:szCs w:val="14"/>
          <w:color w:val="auto"/>
        </w:rPr>
        <w:t>EXECUTIVE COMPENSATION</w:t>
      </w:r>
      <w:r>
        <w:rPr>
          <w:sz w:val="20"/>
          <w:szCs w:val="20"/>
          <w:color w:val="auto"/>
        </w:rPr>
        <w:tab/>
      </w:r>
      <w:r>
        <w:rPr>
          <w:rFonts w:ascii="Courier New" w:cs="Courier New" w:eastAsia="Courier New" w:hAnsi="Courier New"/>
          <w:sz w:val="13"/>
          <w:szCs w:val="13"/>
          <w:color w:val="auto"/>
        </w:rPr>
        <w:t>13</w:t>
      </w:r>
    </w:p>
    <w:p>
      <w:pPr>
        <w:spacing w:after="0" w:line="173" w:lineRule="exact"/>
        <w:rPr>
          <w:sz w:val="20"/>
          <w:szCs w:val="20"/>
          <w:color w:val="auto"/>
        </w:rPr>
      </w:pPr>
    </w:p>
    <w:p>
      <w:pPr>
        <w:spacing w:after="0"/>
        <w:tabs>
          <w:tab w:leader="dot" w:pos="5420" w:val="left"/>
        </w:tabs>
        <w:rPr>
          <w:sz w:val="20"/>
          <w:szCs w:val="20"/>
          <w:color w:val="auto"/>
        </w:rPr>
      </w:pPr>
      <w:r>
        <w:rPr>
          <w:rFonts w:ascii="Courier New" w:cs="Courier New" w:eastAsia="Courier New" w:hAnsi="Courier New"/>
          <w:sz w:val="14"/>
          <w:szCs w:val="14"/>
          <w:color w:val="auto"/>
        </w:rPr>
        <w:t>SHAREOWNER PROPOSALS</w:t>
      </w:r>
      <w:r>
        <w:rPr>
          <w:sz w:val="20"/>
          <w:szCs w:val="20"/>
          <w:color w:val="auto"/>
        </w:rPr>
        <w:tab/>
      </w:r>
      <w:r>
        <w:rPr>
          <w:rFonts w:ascii="Courier New" w:cs="Courier New" w:eastAsia="Courier New" w:hAnsi="Courier New"/>
          <w:sz w:val="13"/>
          <w:szCs w:val="13"/>
          <w:color w:val="auto"/>
        </w:rPr>
        <w:t>21</w:t>
      </w:r>
    </w:p>
    <w:p>
      <w:pPr>
        <w:spacing w:after="0" w:line="173" w:lineRule="exact"/>
        <w:rPr>
          <w:sz w:val="20"/>
          <w:szCs w:val="20"/>
          <w:color w:val="auto"/>
        </w:rPr>
      </w:pPr>
    </w:p>
    <w:p>
      <w:pPr>
        <w:spacing w:after="0"/>
        <w:tabs>
          <w:tab w:leader="dot" w:pos="5420" w:val="left"/>
        </w:tabs>
        <w:rPr>
          <w:sz w:val="20"/>
          <w:szCs w:val="20"/>
          <w:color w:val="auto"/>
        </w:rPr>
      </w:pPr>
      <w:r>
        <w:rPr>
          <w:rFonts w:ascii="Courier New" w:cs="Courier New" w:eastAsia="Courier New" w:hAnsi="Courier New"/>
          <w:sz w:val="14"/>
          <w:szCs w:val="14"/>
          <w:color w:val="auto"/>
        </w:rPr>
        <w:t>OTHER INFORMATION</w:t>
      </w:r>
      <w:r>
        <w:rPr>
          <w:sz w:val="20"/>
          <w:szCs w:val="20"/>
          <w:color w:val="auto"/>
        </w:rPr>
        <w:tab/>
      </w:r>
      <w:r>
        <w:rPr>
          <w:rFonts w:ascii="Courier New" w:cs="Courier New" w:eastAsia="Courier New" w:hAnsi="Courier New"/>
          <w:sz w:val="13"/>
          <w:szCs w:val="13"/>
          <w:color w:val="auto"/>
        </w:rPr>
        <w:t>26</w:t>
      </w:r>
    </w:p>
    <w:p>
      <w:pPr>
        <w:spacing w:after="0" w:line="173" w:lineRule="exact"/>
        <w:rPr>
          <w:sz w:val="20"/>
          <w:szCs w:val="20"/>
          <w:color w:val="auto"/>
        </w:rPr>
      </w:pPr>
    </w:p>
    <w:p>
      <w:pPr>
        <w:ind w:left="360"/>
        <w:spacing w:after="0"/>
        <w:tabs>
          <w:tab w:leader="dot" w:pos="5420" w:val="left"/>
        </w:tabs>
        <w:rPr>
          <w:sz w:val="20"/>
          <w:szCs w:val="20"/>
          <w:color w:val="auto"/>
        </w:rPr>
      </w:pPr>
      <w:r>
        <w:rPr>
          <w:rFonts w:ascii="Courier New" w:cs="Courier New" w:eastAsia="Courier New" w:hAnsi="Courier New"/>
          <w:sz w:val="14"/>
          <w:szCs w:val="14"/>
          <w:color w:val="auto"/>
        </w:rPr>
        <w:t>Shareowner Proposals for 2001 Annual Meeting</w:t>
      </w:r>
      <w:r>
        <w:rPr>
          <w:sz w:val="20"/>
          <w:szCs w:val="20"/>
          <w:color w:val="auto"/>
        </w:rPr>
        <w:tab/>
      </w:r>
      <w:r>
        <w:rPr>
          <w:rFonts w:ascii="Courier New" w:cs="Courier New" w:eastAsia="Courier New" w:hAnsi="Courier New"/>
          <w:sz w:val="13"/>
          <w:szCs w:val="13"/>
          <w:color w:val="auto"/>
        </w:rPr>
        <w:t>26</w:t>
      </w:r>
    </w:p>
    <w:p>
      <w:pPr>
        <w:spacing w:after="0" w:line="173" w:lineRule="exact"/>
        <w:rPr>
          <w:sz w:val="20"/>
          <w:szCs w:val="20"/>
          <w:color w:val="auto"/>
        </w:rPr>
      </w:pPr>
    </w:p>
    <w:p>
      <w:pPr>
        <w:ind w:left="360"/>
        <w:spacing w:after="0"/>
        <w:tabs>
          <w:tab w:leader="dot" w:pos="5420" w:val="left"/>
        </w:tabs>
        <w:rPr>
          <w:sz w:val="20"/>
          <w:szCs w:val="20"/>
          <w:color w:val="auto"/>
        </w:rPr>
      </w:pPr>
      <w:r>
        <w:rPr>
          <w:rFonts w:ascii="Courier New" w:cs="Courier New" w:eastAsia="Courier New" w:hAnsi="Courier New"/>
          <w:sz w:val="14"/>
          <w:szCs w:val="14"/>
          <w:color w:val="auto"/>
        </w:rPr>
        <w:t>Director Nominations</w:t>
      </w:r>
      <w:r>
        <w:rPr>
          <w:sz w:val="20"/>
          <w:szCs w:val="20"/>
          <w:color w:val="auto"/>
        </w:rPr>
        <w:tab/>
      </w:r>
      <w:r>
        <w:rPr>
          <w:rFonts w:ascii="Courier New" w:cs="Courier New" w:eastAsia="Courier New" w:hAnsi="Courier New"/>
          <w:sz w:val="13"/>
          <w:szCs w:val="13"/>
          <w:color w:val="auto"/>
        </w:rPr>
        <w:t>26</w:t>
      </w:r>
    </w:p>
    <w:p>
      <w:pPr>
        <w:spacing w:after="0" w:line="173" w:lineRule="exact"/>
        <w:rPr>
          <w:sz w:val="20"/>
          <w:szCs w:val="20"/>
          <w:color w:val="auto"/>
        </w:rPr>
      </w:pPr>
    </w:p>
    <w:p>
      <w:pPr>
        <w:ind w:left="360"/>
        <w:spacing w:after="0"/>
        <w:tabs>
          <w:tab w:leader="dot" w:pos="5420" w:val="left"/>
        </w:tabs>
        <w:rPr>
          <w:sz w:val="20"/>
          <w:szCs w:val="20"/>
          <w:color w:val="auto"/>
        </w:rPr>
      </w:pPr>
      <w:r>
        <w:rPr>
          <w:rFonts w:ascii="Courier New" w:cs="Courier New" w:eastAsia="Courier New" w:hAnsi="Courier New"/>
          <w:sz w:val="14"/>
          <w:szCs w:val="14"/>
          <w:color w:val="auto"/>
        </w:rPr>
        <w:t>Expenses of Solicitation</w:t>
      </w:r>
      <w:r>
        <w:rPr>
          <w:sz w:val="20"/>
          <w:szCs w:val="20"/>
          <w:color w:val="auto"/>
        </w:rPr>
        <w:tab/>
      </w:r>
      <w:r>
        <w:rPr>
          <w:rFonts w:ascii="Courier New" w:cs="Courier New" w:eastAsia="Courier New" w:hAnsi="Courier New"/>
          <w:sz w:val="13"/>
          <w:szCs w:val="13"/>
          <w:color w:val="auto"/>
        </w:rPr>
        <w:t>26</w:t>
      </w:r>
    </w:p>
    <w:p>
      <w:pPr>
        <w:spacing w:after="0" w:line="173" w:lineRule="exact"/>
        <w:rPr>
          <w:sz w:val="20"/>
          <w:szCs w:val="20"/>
          <w:color w:val="auto"/>
        </w:rPr>
      </w:pPr>
    </w:p>
    <w:p>
      <w:pPr>
        <w:spacing w:after="0"/>
        <w:tabs>
          <w:tab w:leader="dot" w:pos="5320" w:val="left"/>
        </w:tabs>
        <w:rPr>
          <w:sz w:val="20"/>
          <w:szCs w:val="20"/>
          <w:color w:val="auto"/>
        </w:rPr>
      </w:pPr>
      <w:r>
        <w:rPr>
          <w:rFonts w:ascii="Courier New" w:cs="Courier New" w:eastAsia="Courier New" w:hAnsi="Courier New"/>
          <w:sz w:val="14"/>
          <w:szCs w:val="14"/>
          <w:color w:val="auto"/>
        </w:rPr>
        <w:t>DIRECTIONS TO COMPANY HEADQUARTERS</w:t>
      </w:r>
      <w:r>
        <w:rPr>
          <w:sz w:val="20"/>
          <w:szCs w:val="20"/>
          <w:color w:val="auto"/>
        </w:rPr>
        <w:tab/>
      </w:r>
      <w:r>
        <w:rPr>
          <w:rFonts w:ascii="Courier New" w:cs="Courier New" w:eastAsia="Courier New" w:hAnsi="Courier New"/>
          <w:sz w:val="14"/>
          <w:szCs w:val="14"/>
          <w:color w:val="auto"/>
        </w:rPr>
        <w:t>A-1</w:t>
      </w:r>
    </w:p>
    <w:p>
      <w:pPr>
        <w:spacing w:after="0" w:line="200" w:lineRule="exact"/>
        <w:rPr>
          <w:sz w:val="20"/>
          <w:szCs w:val="20"/>
          <w:color w:val="auto"/>
        </w:rPr>
      </w:pPr>
    </w:p>
    <w:p>
      <w:pPr>
        <w:spacing w:after="0" w:line="30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YOUR VOTE IS IMPORTANT</w:t>
      </w:r>
    </w:p>
    <w:p>
      <w:pPr>
        <w:spacing w:after="0" w:line="173" w:lineRule="exact"/>
        <w:rPr>
          <w:sz w:val="20"/>
          <w:szCs w:val="20"/>
          <w:color w:val="auto"/>
        </w:rPr>
      </w:pPr>
    </w:p>
    <w:p>
      <w:pPr>
        <w:ind w:right="3259" w:firstLine="344"/>
        <w:spacing w:after="0" w:line="252" w:lineRule="auto"/>
        <w:rPr>
          <w:sz w:val="20"/>
          <w:szCs w:val="20"/>
          <w:color w:val="auto"/>
        </w:rPr>
      </w:pPr>
      <w:r>
        <w:rPr>
          <w:rFonts w:ascii="Courier New" w:cs="Courier New" w:eastAsia="Courier New" w:hAnsi="Courier New"/>
          <w:sz w:val="14"/>
          <w:szCs w:val="14"/>
          <w:color w:val="auto"/>
        </w:rPr>
        <w:t>If you are a shareowner of record, you can vote your shares via the Internet or by telephone by following the instructions on your proxy card. If voting by mail, please complete, date and sign your proxy card and return it as soon as possible in the enclosed envelope.</w:t>
      </w:r>
    </w:p>
    <w:p>
      <w:pPr>
        <w:sectPr>
          <w:pgSz w:w="11900" w:h="16838" w:orient="portrait"/>
          <w:cols w:equalWidth="0" w:num="1">
            <w:col w:w="10159"/>
          </w:cols>
          <w:pgMar w:left="300" w:top="947" w:right="1440" w:bottom="1440" w:gutter="0" w:footer="0" w:header="0"/>
        </w:sectPr>
      </w:pPr>
    </w:p>
    <w:bookmarkStart w:id="4" w:name="page5"/>
    <w:bookmarkEnd w:id="4"/>
    <w:p>
      <w:pPr>
        <w:jc w:val="right"/>
        <w:ind w:right="3259"/>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NOTICE OF ANNUAL MEETING OF SHAREOWNERS</w:t>
      </w:r>
    </w:p>
    <w:p>
      <w:pPr>
        <w:spacing w:after="0" w:line="17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The Annual Meeting of Shareowners of Honeywell International Inc. will be held on Monday, May 1, 2000 at 10:00 a.m. local time, at the Company's headquarters, 101 Columbia Road, Morris Township, New Jersey to consider and vote on the following matters described in the accompanying proxy statement:</w:t>
      </w:r>
    </w:p>
    <w:p>
      <w:pPr>
        <w:spacing w:after="0" w:line="162" w:lineRule="exact"/>
        <w:rPr>
          <w:sz w:val="20"/>
          <w:szCs w:val="20"/>
          <w:color w:val="auto"/>
        </w:rPr>
      </w:pPr>
    </w:p>
    <w:p>
      <w:pPr>
        <w:ind w:left="620" w:hanging="267"/>
        <w:spacing w:after="0"/>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of four directors;</w:t>
      </w:r>
    </w:p>
    <w:p>
      <w:pPr>
        <w:spacing w:after="0" w:line="172" w:lineRule="exact"/>
        <w:rPr>
          <w:rFonts w:ascii="Courier New" w:cs="Courier New" w:eastAsia="Courier New" w:hAnsi="Courier New"/>
          <w:sz w:val="14"/>
          <w:szCs w:val="14"/>
          <w:color w:val="auto"/>
        </w:rPr>
      </w:pPr>
    </w:p>
    <w:p>
      <w:pPr>
        <w:ind w:left="620" w:hanging="267"/>
        <w:spacing w:after="0"/>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Appointment of PricewaterhouseCoopers LLP as independent accountants for</w:t>
      </w:r>
    </w:p>
    <w:p>
      <w:pPr>
        <w:spacing w:after="0" w:line="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2000;</w:t>
      </w:r>
    </w:p>
    <w:p>
      <w:pPr>
        <w:spacing w:after="0" w:line="172" w:lineRule="exact"/>
        <w:rPr>
          <w:rFonts w:ascii="Courier New" w:cs="Courier New" w:eastAsia="Courier New" w:hAnsi="Courier New"/>
          <w:sz w:val="14"/>
          <w:szCs w:val="14"/>
          <w:color w:val="auto"/>
        </w:rPr>
      </w:pPr>
    </w:p>
    <w:p>
      <w:pPr>
        <w:ind w:left="620" w:hanging="267"/>
        <w:spacing w:after="0"/>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shareowner proposal regarding CEO compensation;</w:t>
      </w:r>
    </w:p>
    <w:p>
      <w:pPr>
        <w:spacing w:after="0" w:line="172" w:lineRule="exact"/>
        <w:rPr>
          <w:rFonts w:ascii="Courier New" w:cs="Courier New" w:eastAsia="Courier New" w:hAnsi="Courier New"/>
          <w:sz w:val="14"/>
          <w:szCs w:val="14"/>
          <w:color w:val="auto"/>
        </w:rPr>
      </w:pPr>
    </w:p>
    <w:p>
      <w:pPr>
        <w:ind w:left="620" w:hanging="267"/>
        <w:spacing w:after="0"/>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shareowner proposal regarding the annual election of directors;</w:t>
      </w:r>
    </w:p>
    <w:p>
      <w:pPr>
        <w:spacing w:after="0" w:line="172" w:lineRule="exact"/>
        <w:rPr>
          <w:rFonts w:ascii="Courier New" w:cs="Courier New" w:eastAsia="Courier New" w:hAnsi="Courier New"/>
          <w:sz w:val="14"/>
          <w:szCs w:val="14"/>
          <w:color w:val="auto"/>
        </w:rPr>
      </w:pPr>
    </w:p>
    <w:p>
      <w:pPr>
        <w:ind w:left="620" w:hanging="267"/>
        <w:spacing w:after="0"/>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shareowner proposal regarding shareowner voting provisions; and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transact any other business that may properly come before the meeting.</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Board of Directors has determined that shareowners of record at the close of business on March 3, 2000 are entitled to notice of and to vote at the meeting.</w:t>
      </w:r>
    </w:p>
    <w:p>
      <w:pPr>
        <w:spacing w:after="0" w:line="16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 KATHLEEN M. GIBSON</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Kathleen M. Gibson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Vice President and 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Honeywell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101 Columbia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Morris Township, NJ 07962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13, 2000</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782" w:right="1440" w:bottom="1440" w:gutter="0" w:footer="0" w:header="0"/>
        </w:sectPr>
      </w:pPr>
    </w:p>
    <w:bookmarkStart w:id="5" w:name="page6"/>
    <w:bookmarkEnd w:id="5"/>
    <w:p>
      <w:pPr>
        <w:ind w:left="2760"/>
        <w:spacing w:after="0"/>
        <w:rPr>
          <w:sz w:val="20"/>
          <w:szCs w:val="20"/>
          <w:color w:val="auto"/>
        </w:rPr>
      </w:pPr>
      <w:r>
        <w:rPr>
          <w:rFonts w:ascii="Courier New" w:cs="Courier New" w:eastAsia="Courier New" w:hAnsi="Courier New"/>
          <w:sz w:val="14"/>
          <w:szCs w:val="14"/>
          <w:color w:val="auto"/>
        </w:rPr>
        <w:t>PROXY STATEMENT</w:t>
      </w:r>
    </w:p>
    <w:p>
      <w:pPr>
        <w:spacing w:after="0" w:line="173" w:lineRule="exact"/>
        <w:rPr>
          <w:sz w:val="20"/>
          <w:szCs w:val="20"/>
          <w:color w:val="auto"/>
        </w:rPr>
      </w:pPr>
    </w:p>
    <w:p>
      <w:pPr>
        <w:ind w:right="3259" w:firstLine="344"/>
        <w:spacing w:after="0" w:line="252" w:lineRule="auto"/>
        <w:rPr>
          <w:sz w:val="20"/>
          <w:szCs w:val="20"/>
          <w:color w:val="auto"/>
        </w:rPr>
      </w:pPr>
      <w:r>
        <w:rPr>
          <w:rFonts w:ascii="Courier New" w:cs="Courier New" w:eastAsia="Courier New" w:hAnsi="Courier New"/>
          <w:sz w:val="14"/>
          <w:szCs w:val="14"/>
          <w:color w:val="auto"/>
        </w:rPr>
        <w:t>This Proxy Statement is being provided to shareowners in connection with the solicitation of proxies by the Board of Directors for use at the Annual Meeting of Shareowners to be held on Monday, May 1, 2000.</w:t>
      </w:r>
    </w:p>
    <w:p>
      <w:pPr>
        <w:spacing w:after="0" w:line="16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MERGER INFORMATION</w:t>
      </w:r>
    </w:p>
    <w:p>
      <w:pPr>
        <w:spacing w:after="0" w:line="173"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The AlliedSignal-Honeywell merger was completed on December 1, 1999, at which time AlliedSignal Inc. changed its name to Honeywell International Inc.</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Michael R. Bonsignore, the former Chairman and Chief Executive Officer of Honeywell Inc. became Chief Executive Officer of Honeywell International on December 1, 1999. Lawrence A. Bossidy, former Chairman and Chief Executive Officer of AlliedSignal Inc., will remain as Chairman of the Board of Honeywell International until his retirement on April 1, 2000. At that time, Mr. Bonsignore will also become Chairman of the Board of the Company.</w:t>
      </w:r>
    </w:p>
    <w:p>
      <w:pPr>
        <w:spacing w:after="0" w:line="164" w:lineRule="exact"/>
        <w:rPr>
          <w:sz w:val="20"/>
          <w:szCs w:val="20"/>
          <w:color w:val="auto"/>
        </w:rPr>
      </w:pPr>
    </w:p>
    <w:p>
      <w:pPr>
        <w:ind w:right="3439" w:firstLine="344"/>
        <w:spacing w:after="0" w:line="252" w:lineRule="auto"/>
        <w:rPr>
          <w:sz w:val="20"/>
          <w:szCs w:val="20"/>
          <w:color w:val="auto"/>
        </w:rPr>
      </w:pPr>
      <w:r>
        <w:rPr>
          <w:rFonts w:ascii="Courier New" w:cs="Courier New" w:eastAsia="Courier New" w:hAnsi="Courier New"/>
          <w:sz w:val="14"/>
          <w:szCs w:val="14"/>
          <w:color w:val="auto"/>
        </w:rPr>
        <w:t>Upon completion of the merger, nine directors of AlliedSignal Inc. and six directors of Honeywell Inc. became directors of Honeywell International. More information on the Board of Directors is provided below.</w:t>
      </w:r>
    </w:p>
    <w:p>
      <w:pPr>
        <w:spacing w:after="0" w:line="16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VOTING PROCEDURES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VOTE IS VERY IMPORTANT</w:t>
      </w:r>
    </w:p>
    <w:p>
      <w:pPr>
        <w:spacing w:after="0" w:line="173"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Whether or not you plan to attend the meeting, please take the time to vote your shares as soon as possible. Your prompt voting via the Internet, telephone or mail may save the Company the expense of a second mailing.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METHODS OF VOTING</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All shareowners may vote by mail.</w:t>
      </w:r>
    </w:p>
    <w:p>
      <w:pPr>
        <w:spacing w:after="0" w:line="173" w:lineRule="exact"/>
        <w:rPr>
          <w:sz w:val="20"/>
          <w:szCs w:val="20"/>
          <w:color w:val="auto"/>
        </w:rPr>
      </w:pPr>
    </w:p>
    <w:p>
      <w:pPr>
        <w:ind w:left="440" w:right="3519"/>
        <w:spacing w:after="0" w:line="255" w:lineRule="auto"/>
        <w:rPr>
          <w:sz w:val="20"/>
          <w:szCs w:val="20"/>
          <w:color w:val="auto"/>
        </w:rPr>
      </w:pPr>
      <w:r>
        <w:rPr>
          <w:rFonts w:ascii="Courier New" w:cs="Courier New" w:eastAsia="Courier New" w:hAnsi="Courier New"/>
          <w:sz w:val="14"/>
          <w:szCs w:val="14"/>
          <w:color w:val="auto"/>
        </w:rPr>
        <w:t>Shareowners of record, as well as shareowners who hold shares in Company stock plans, can vote via the Internet or by telephone.</w:t>
      </w:r>
    </w:p>
    <w:p>
      <w:pPr>
        <w:spacing w:after="0" w:line="160" w:lineRule="exact"/>
        <w:rPr>
          <w:sz w:val="20"/>
          <w:szCs w:val="20"/>
          <w:color w:val="auto"/>
        </w:rPr>
      </w:pPr>
    </w:p>
    <w:p>
      <w:pPr>
        <w:ind w:left="440" w:right="3259"/>
        <w:spacing w:after="0" w:line="255" w:lineRule="auto"/>
        <w:rPr>
          <w:sz w:val="20"/>
          <w:szCs w:val="20"/>
          <w:color w:val="auto"/>
        </w:rPr>
      </w:pPr>
      <w:r>
        <w:rPr>
          <w:rFonts w:ascii="Courier New" w:cs="Courier New" w:eastAsia="Courier New" w:hAnsi="Courier New"/>
          <w:sz w:val="14"/>
          <w:szCs w:val="14"/>
          <w:color w:val="auto"/>
        </w:rPr>
        <w:t>Shareowners who hold their shares through a bank or broker can vote via the Internet or by telephone if the bank or broker offers these options.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see your proxy card for specific voting instructions.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REVOKING YOUR PROXY</w:t>
      </w:r>
    </w:p>
    <w:p>
      <w:pPr>
        <w:spacing w:after="0" w:line="173" w:lineRule="exact"/>
        <w:rPr>
          <w:sz w:val="20"/>
          <w:szCs w:val="20"/>
          <w:color w:val="auto"/>
        </w:rPr>
      </w:pPr>
    </w:p>
    <w:p>
      <w:pPr>
        <w:ind w:right="3779" w:firstLine="344"/>
        <w:spacing w:after="0" w:line="255" w:lineRule="auto"/>
        <w:rPr>
          <w:sz w:val="20"/>
          <w:szCs w:val="20"/>
          <w:color w:val="auto"/>
        </w:rPr>
      </w:pPr>
      <w:r>
        <w:rPr>
          <w:rFonts w:ascii="Courier New" w:cs="Courier New" w:eastAsia="Courier New" w:hAnsi="Courier New"/>
          <w:sz w:val="14"/>
          <w:szCs w:val="14"/>
          <w:color w:val="auto"/>
        </w:rPr>
        <w:t>Whether you vote by mail, telephone or via the Internet, you may later revoke your proxy by:</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sending a written statement to that effect to the Secretary of the Company;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submitting a properly signed proxy with a later date;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voting by telephone or via the Internet at a later time; or</w:t>
      </w:r>
    </w:p>
    <w:p>
      <w:pPr>
        <w:spacing w:after="0" w:line="173" w:lineRule="exact"/>
        <w:rPr>
          <w:sz w:val="20"/>
          <w:szCs w:val="20"/>
          <w:color w:val="auto"/>
        </w:rPr>
      </w:pPr>
    </w:p>
    <w:p>
      <w:pPr>
        <w:ind w:left="440" w:right="3779"/>
        <w:spacing w:after="0" w:line="255" w:lineRule="auto"/>
        <w:rPr>
          <w:sz w:val="20"/>
          <w:szCs w:val="20"/>
          <w:color w:val="auto"/>
        </w:rPr>
      </w:pPr>
      <w:r>
        <w:rPr>
          <w:rFonts w:ascii="Courier New" w:cs="Courier New" w:eastAsia="Courier New" w:hAnsi="Courier New"/>
          <w:sz w:val="14"/>
          <w:szCs w:val="14"/>
          <w:color w:val="auto"/>
        </w:rPr>
        <w:t>voting in person at the Annual Meeting (except for shares held in the savings plans as described on the proxy card).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REQUIRED</w:t>
      </w:r>
    </w:p>
    <w:p>
      <w:pPr>
        <w:spacing w:after="0" w:line="173" w:lineRule="exact"/>
        <w:rPr>
          <w:sz w:val="20"/>
          <w:szCs w:val="20"/>
          <w:color w:val="auto"/>
        </w:rPr>
      </w:pPr>
    </w:p>
    <w:p>
      <w:pPr>
        <w:ind w:right="3259" w:firstLine="344"/>
        <w:spacing w:after="0" w:line="257" w:lineRule="auto"/>
        <w:rPr>
          <w:sz w:val="20"/>
          <w:szCs w:val="20"/>
          <w:color w:val="auto"/>
        </w:rPr>
      </w:pPr>
      <w:r>
        <w:rPr>
          <w:rFonts w:ascii="Courier New" w:cs="Courier New" w:eastAsia="Courier New" w:hAnsi="Courier New"/>
          <w:sz w:val="14"/>
          <w:szCs w:val="14"/>
          <w:color w:val="auto"/>
        </w:rPr>
        <w:t>The vote of a plurality of the shares of Common Stock present or represented and entitled to vote at the Annual Meeting is required for election as a director.</w:t>
      </w:r>
    </w:p>
    <w:p>
      <w:pPr>
        <w:spacing w:after="0" w:line="323" w:lineRule="exact"/>
        <w:rPr>
          <w:sz w:val="20"/>
          <w:szCs w:val="20"/>
          <w:color w:val="auto"/>
        </w:rPr>
      </w:pPr>
    </w:p>
    <w:p>
      <w:pPr>
        <w:jc w:val="both"/>
        <w:ind w:right="3699" w:firstLine="344"/>
        <w:spacing w:after="0" w:line="255" w:lineRule="auto"/>
        <w:rPr>
          <w:sz w:val="20"/>
          <w:szCs w:val="20"/>
          <w:color w:val="auto"/>
        </w:rPr>
      </w:pPr>
      <w:r>
        <w:rPr>
          <w:rFonts w:ascii="Courier New" w:cs="Courier New" w:eastAsia="Courier New" w:hAnsi="Courier New"/>
          <w:sz w:val="14"/>
          <w:szCs w:val="14"/>
          <w:color w:val="auto"/>
        </w:rPr>
        <w:t>The affirmative vote of a majority of shares present or represented and entitled to vote on each of Proposals 2 through 5 is required for approval.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ABSTENTIONS AND BROKER NON-VOTES</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Abstentions are not counted as votes 'for' or 'against' a proposal, but are counted in determining the number of shares present or represented on a proposal. Therefore, since approval of Proposals 2</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616" w:right="1440" w:bottom="1440" w:gutter="0" w:footer="0" w:header="0"/>
        </w:sectPr>
      </w:pPr>
    </w:p>
    <w:bookmarkStart w:id="6" w:name="page7"/>
    <w:bookmarkEnd w:id="6"/>
    <w:p>
      <w:pPr>
        <w:ind w:right="3439"/>
        <w:spacing w:after="0" w:line="251" w:lineRule="auto"/>
        <w:rPr>
          <w:sz w:val="20"/>
          <w:szCs w:val="20"/>
          <w:color w:val="auto"/>
        </w:rPr>
      </w:pPr>
      <w:r>
        <w:rPr>
          <w:rFonts w:ascii="Courier New" w:cs="Courier New" w:eastAsia="Courier New" w:hAnsi="Courier New"/>
          <w:sz w:val="14"/>
          <w:szCs w:val="14"/>
          <w:color w:val="auto"/>
        </w:rPr>
        <w:t>through 5 requires the affirmative vote of a majority of the shares of Common Stock present or represented, abstentions have the same effect as a vote 'against' those proposals. New York Stock Exchange rules prohibit brokers from voting on Proposals 3 through 5 without receiving instructions from the beneficial owner of the shares. In the absence of instructions, shares subject to such 'broker non-votes' will not be counted as voted or as present or represented on those proposals.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BUSINESS</w:t>
      </w:r>
    </w:p>
    <w:p>
      <w:pPr>
        <w:spacing w:after="0" w:line="173" w:lineRule="exact"/>
        <w:rPr>
          <w:sz w:val="20"/>
          <w:szCs w:val="20"/>
          <w:color w:val="auto"/>
        </w:rPr>
      </w:pPr>
    </w:p>
    <w:p>
      <w:pPr>
        <w:ind w:right="3259" w:firstLine="344"/>
        <w:spacing w:after="0" w:line="252" w:lineRule="auto"/>
        <w:rPr>
          <w:sz w:val="20"/>
          <w:szCs w:val="20"/>
          <w:color w:val="auto"/>
        </w:rPr>
      </w:pPr>
      <w:r>
        <w:rPr>
          <w:rFonts w:ascii="Courier New" w:cs="Courier New" w:eastAsia="Courier New" w:hAnsi="Courier New"/>
          <w:sz w:val="14"/>
          <w:szCs w:val="14"/>
          <w:color w:val="auto"/>
        </w:rPr>
        <w:t>The Board knows of no other matters to be presented for shareowner action at the meeting. If other matters are properly brought before the meeting, the persons named as proxies in the accompanying proxy card intend to vote the shares represented by them in accordance with their best judgment.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VOTING POLICY</w:t>
      </w:r>
    </w:p>
    <w:p>
      <w:pPr>
        <w:spacing w:after="0" w:line="173"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It is the Company's policy that any proxy, ballot or other voting material that identifies the particular vote of a shareowner and contains the shareowner's request for confidential treatment will be kept confidential, except in the event of a contested proxy solicitation or as may be required by law. The Company may be informed whether or not a particular shareowner has voted and will have access to any comment written on a proxy, ballot or other material and to the identity of the commenting shareowner. Under the policy, the inspectors of election at any shareowner meeting will be independent parties unaffiliated with the Company.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OUTSTANDING</w:t>
      </w:r>
    </w:p>
    <w:p>
      <w:pPr>
        <w:spacing w:after="0" w:line="173" w:lineRule="exact"/>
        <w:rPr>
          <w:sz w:val="20"/>
          <w:szCs w:val="20"/>
          <w:color w:val="auto"/>
        </w:rPr>
      </w:pPr>
    </w:p>
    <w:p>
      <w:pPr>
        <w:ind w:right="3439" w:firstLine="344"/>
        <w:spacing w:after="0" w:line="252" w:lineRule="auto"/>
        <w:rPr>
          <w:sz w:val="20"/>
          <w:szCs w:val="20"/>
          <w:color w:val="auto"/>
        </w:rPr>
      </w:pPr>
      <w:r>
        <w:rPr>
          <w:rFonts w:ascii="Courier New" w:cs="Courier New" w:eastAsia="Courier New" w:hAnsi="Courier New"/>
          <w:sz w:val="14"/>
          <w:szCs w:val="14"/>
          <w:color w:val="auto"/>
        </w:rPr>
        <w:t>At the close of business on February 25, 2000, there were approximately 796,591,350 shares of Honeywell International common stock outstanding. Each share outstanding as of the March 3, 2000 record date is entitled to one vote.</w:t>
      </w:r>
    </w:p>
    <w:p>
      <w:pPr>
        <w:spacing w:after="0" w:line="16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ATTENDANCE AT THE ANNUAL MEETING</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If you are a shareowner of record who plans to attend the meeting, please mark the appropriate box on your proxy card or follow the instructions provided when you vote by telephone or via the Internet. If your shares are held by a bank, broker or other intermediary and you plan to attend, please send written notification to Honeywell Shareowner Services, P.O. Box 50000, Morris Township, New Jersey 07962, and enclose evidence of your ownership (such as a letter from the bank, broker or intermediary confirming your ownership or a bank or brokerage firm account statement). The names of all those planning to attend will be placed on an admission list held at the registration desk at the entrance to the meeting.</w:t>
      </w:r>
    </w:p>
    <w:p>
      <w:pPr>
        <w:spacing w:after="0" w:line="16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BOARD MEETINGS -- COMMITTEES OF THE BOARD</w:t>
      </w:r>
    </w:p>
    <w:p>
      <w:pPr>
        <w:spacing w:after="0" w:line="173" w:lineRule="exact"/>
        <w:rPr>
          <w:sz w:val="20"/>
          <w:szCs w:val="20"/>
          <w:color w:val="auto"/>
        </w:rPr>
      </w:pPr>
    </w:p>
    <w:p>
      <w:pPr>
        <w:ind w:right="3439" w:firstLine="344"/>
        <w:spacing w:after="0" w:line="252" w:lineRule="auto"/>
        <w:rPr>
          <w:sz w:val="20"/>
          <w:szCs w:val="20"/>
          <w:color w:val="auto"/>
        </w:rPr>
      </w:pPr>
      <w:r>
        <w:rPr>
          <w:rFonts w:ascii="Courier New" w:cs="Courier New" w:eastAsia="Courier New" w:hAnsi="Courier New"/>
          <w:sz w:val="14"/>
          <w:szCs w:val="14"/>
          <w:color w:val="auto"/>
        </w:rPr>
        <w:t>The Board of Directors held eight regular meetings and one special meeting during 1999. The average attendance at meetings of the Board and Board Committees during 1999 was 96%.</w:t>
      </w:r>
    </w:p>
    <w:p>
      <w:pPr>
        <w:spacing w:after="0" w:line="163" w:lineRule="exact"/>
        <w:rPr>
          <w:sz w:val="20"/>
          <w:szCs w:val="20"/>
          <w:color w:val="auto"/>
        </w:rPr>
      </w:pPr>
    </w:p>
    <w:p>
      <w:pPr>
        <w:ind w:right="3439" w:firstLine="344"/>
        <w:spacing w:after="0" w:line="252" w:lineRule="auto"/>
        <w:rPr>
          <w:sz w:val="20"/>
          <w:szCs w:val="20"/>
          <w:color w:val="auto"/>
        </w:rPr>
      </w:pPr>
      <w:r>
        <w:rPr>
          <w:rFonts w:ascii="Courier New" w:cs="Courier New" w:eastAsia="Courier New" w:hAnsi="Courier New"/>
          <w:sz w:val="14"/>
          <w:szCs w:val="14"/>
          <w:color w:val="auto"/>
        </w:rPr>
        <w:t>The Board currently has the following committees: Audit; Corporate Governance; Corporate Responsibility; Management Development and Compensation; Retirement Plans; and Technology. Membership and principal responsibilities of the Board committees are described below.</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COMMITTEE</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members of the Audit Committee are: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Russell Palmer (Chair)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Hans W. Becherer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Marshall N. Carter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Ann M. Fudge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450" w:right="1440" w:bottom="1440" w:gutter="0" w:footer="0" w:header="0"/>
        </w:sectPr>
      </w:pPr>
    </w:p>
    <w:bookmarkStart w:id="7" w:name="page8"/>
    <w:bookmarkEnd w:id="7"/>
    <w:p>
      <w:pPr>
        <w:ind w:left="440"/>
        <w:spacing w:after="0"/>
        <w:rPr>
          <w:sz w:val="20"/>
          <w:szCs w:val="20"/>
          <w:color w:val="auto"/>
        </w:rPr>
      </w:pPr>
      <w:r>
        <w:rPr>
          <w:rFonts w:ascii="Courier New" w:cs="Courier New" w:eastAsia="Courier New" w:hAnsi="Courier New"/>
          <w:sz w:val="14"/>
          <w:szCs w:val="14"/>
          <w:color w:val="auto"/>
        </w:rPr>
        <w:t>James J. Howard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John R. Stafford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Michael W. Wright</w:t>
      </w:r>
    </w:p>
    <w:p>
      <w:pPr>
        <w:spacing w:after="0" w:line="173"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The Audit Committee met five times in 1999. The primary functions of this Committee are to: recommend the firm to be appointed as independent accountants to audit the Company's financial statements and to perform services related to the audit; review the scope and results of the audit with the independent accountants; review with management and the independent accountants the Company's interim and year-end operating results; consider the adequacy of the internal accounting and auditing procedures of the Company; and consider the accountants' independence. At each meeting Committee members meet privately with representatives of PricewaterhouseCoopers LLP, the Company's independent auditors, and with the Director of the Company's Corporate Audit Department.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GOVERNANCE COMMITTEE</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members of the Corporate Governance Committee are: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Bruce Karatz (Chair)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Hans W. Becherer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Jaime Chico Pardo</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Robert P. Luciano</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Russell E. Palmer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Ivan G. Seidenberg</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Michael W. Wright</w:t>
      </w:r>
    </w:p>
    <w:p>
      <w:pPr>
        <w:spacing w:after="0" w:line="173"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The Corporate Governance Committee met three times in 1999. The primary functions of this Committee are to: review policies and make recommendations to the Board, as appropriate, concerning the size and composition of the Board; the qualifications and criteria for election to the Board, and procedures for shareowner nomination of candidates for the Board; retirement from the Board; compensation and benefits of non-employee directors; and to review periodically the overall effectiveness of the Board. The Corporate Governance Committee of the Board of Directors will consider qualified nominees for director recommended by shareowners. Recommendations should be submitted in writing to the attention of the Vice President and Secretary, Honeywell, 101 Columbia Road, Morris Township, New Jersey 07962.</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RESPONSIBILITY COMMITTEE</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members of the Corporate Responsibility Committee are: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Ann M. Fudge (Chair)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Gordon M. Bethune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Marshall N. Carter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James J. Howard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Andrew C. Sigler</w:t>
      </w:r>
    </w:p>
    <w:p>
      <w:pPr>
        <w:spacing w:after="0" w:line="173"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The Corporate Responsibility Committee met three times in 1999. The primary functions of this Committee are to review the policies and programs that are designed to assure the Company's compliance with legal and ethical standards and that affect its role as a responsible corporate citizen, including those relating to human resources issues such as equal employment opportunity, to health, safety and environmental matters and to proper business practices.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DEVELOPMENT AND COMPENSATION COMMITTEE</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members of the Management Development and Compensation Committee are: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Robert P. Luciano (Chair)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Hans W. Becherer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Gordon M. Bethune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450" w:right="1440" w:bottom="1440" w:gutter="0" w:footer="0" w:header="0"/>
        </w:sectPr>
      </w:pPr>
    </w:p>
    <w:bookmarkStart w:id="8" w:name="page9"/>
    <w:bookmarkEnd w:id="8"/>
    <w:p>
      <w:pPr>
        <w:ind w:left="440"/>
        <w:spacing w:after="0"/>
        <w:rPr>
          <w:sz w:val="20"/>
          <w:szCs w:val="20"/>
          <w:color w:val="auto"/>
        </w:rPr>
      </w:pPr>
      <w:r>
        <w:rPr>
          <w:rFonts w:ascii="Courier New" w:cs="Courier New" w:eastAsia="Courier New" w:hAnsi="Courier New"/>
          <w:sz w:val="14"/>
          <w:szCs w:val="14"/>
          <w:color w:val="auto"/>
        </w:rPr>
        <w:t>Bruce Karatz</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Ivan G. Seidenberg</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Andrew C. Sigler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John R. Stafford</w:t>
      </w:r>
    </w:p>
    <w:p>
      <w:pPr>
        <w:spacing w:after="0" w:line="173"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The Management Development and Compensation Committee met six times in 1999. The primary functions of this Committee are to: review and recommend the compensation arrangements for officers; approve compensation arrangements for other senior level employees; consider matters related to management development and succession and recommend individuals for election as officers; and review or take such other action as may be required in connection with the bonus, stock and other benefit plans of the Company and its subsidiaries.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RETIREMENT PLANS COMMITTEE</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members of the Retirement Plans Committee are: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Michael W. Wright (Chair)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Jaime Chico Pardo</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Ann M. Fudge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Robert P. Luciano</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Russell E. Palmer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Andrew C. Sigler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John R. Stafford</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Retirement Plans Committee met three times in 1999. The primary responsibilities of this Committee are to: appoint the trustees for funds under the employee pension benefit plans of the Company and certain subsidiaries; review funding strategies; set investment policy for fund assets; and oversee and appoint members of other committees investing fund assets.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TECHNOLOGY COMMITTEE</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members of the Technology Committee are: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Ivan G. Seidenberg (Chair)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Gordon M. Bethune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Marshall N. Carter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Jaime Chico Pardo</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James J. Howard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Bruce Karatz</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Technology Committee met two times in 1999. The primary functions of this Committee are to review corporate-wide technology matters, including research, development and engineering, and advise the Company with respect to its technology program and budget, proposed changes in corporate strategy where technology is a significant component, and technologies of importance to the Company's existing or new business areas.</w:t>
      </w:r>
    </w:p>
    <w:p>
      <w:pPr>
        <w:spacing w:after="0" w:line="16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ITEM 1 -- ELECTION OF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Company's Board of Directors is divided into three classes that serve staggered three-year terms and are as nearly equal in number as possible. The Board has nominated four candidates for election as directors for a term ending at the 2003 Annual Meeting.</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450" w:right="1440" w:bottom="1440" w:gutter="0" w:footer="0" w:header="0"/>
        </w:sectPr>
      </w:pPr>
    </w:p>
    <w:bookmarkStart w:id="9" w:name="page10"/>
    <w:bookmarkEnd w:id="9"/>
    <w:p>
      <w:pPr>
        <w:ind w:right="3339" w:firstLine="344"/>
        <w:spacing w:after="0" w:line="251" w:lineRule="auto"/>
        <w:rPr>
          <w:sz w:val="20"/>
          <w:szCs w:val="20"/>
          <w:color w:val="auto"/>
        </w:rPr>
      </w:pPr>
      <w:r>
        <w:rPr>
          <w:rFonts w:ascii="Courier New" w:cs="Courier New" w:eastAsia="Courier New" w:hAnsi="Courier New"/>
          <w:sz w:val="14"/>
          <w:szCs w:val="14"/>
          <w:color w:val="auto"/>
        </w:rPr>
        <w:t>All nominees are currently serving as directors. If prior to the Annual Meeting any nominee should become unavailable to serve, the shares represented by a properly signed and returned proxy card or voted by telephone or Internet will be voted for the election of such other person as may be designated by the Board of Directors, or the Board may determine to leave the vacancy temporarily unfilled or reduce the authorized number of directors pursuant to the By-laws. Lawrence A. Bossidy will retire from the Board on April 1, 2000.</w:t>
      </w:r>
    </w:p>
    <w:p>
      <w:pPr>
        <w:spacing w:after="0" w:line="164" w:lineRule="exact"/>
        <w:rPr>
          <w:sz w:val="20"/>
          <w:szCs w:val="20"/>
          <w:color w:val="auto"/>
        </w:rPr>
      </w:pPr>
    </w:p>
    <w:p>
      <w:pPr>
        <w:ind w:right="3439" w:firstLine="344"/>
        <w:spacing w:after="0" w:line="255" w:lineRule="auto"/>
        <w:rPr>
          <w:sz w:val="20"/>
          <w:szCs w:val="20"/>
          <w:color w:val="auto"/>
        </w:rPr>
      </w:pPr>
      <w:r>
        <w:rPr>
          <w:rFonts w:ascii="Courier New" w:cs="Courier New" w:eastAsia="Courier New" w:hAnsi="Courier New"/>
          <w:sz w:val="14"/>
          <w:szCs w:val="14"/>
          <w:color w:val="auto"/>
        </w:rPr>
        <w:t>Certain information regarding each nominee and each director continuing in office after the Annual Meeting is set forth below.</w:t>
      </w:r>
    </w:p>
    <w:p>
      <w:pPr>
        <w:spacing w:after="0" w:line="160"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NOMINEES FOR ELECTION FOR TERM EXPIRING IN 2003</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[Photo]</w:t>
            </w:r>
          </w:p>
        </w:tc>
        <w:tc>
          <w:tcPr>
            <w:tcW w:w="78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HANS W. BECHERER, Chairman and Chief Executive Officer of Deere &amp; Company</w:t>
            </w:r>
          </w:p>
        </w:tc>
      </w:tr>
      <w:tr>
        <w:trPr>
          <w:trHeight w:val="166"/>
        </w:trPr>
        <w:tc>
          <w:tcPr>
            <w:tcW w:w="1260" w:type="dxa"/>
            <w:vAlign w:val="bottom"/>
          </w:tcPr>
          <w:p>
            <w:pPr>
              <w:spacing w:after="0"/>
              <w:rPr>
                <w:sz w:val="14"/>
                <w:szCs w:val="14"/>
                <w:color w:val="auto"/>
              </w:rPr>
            </w:pPr>
          </w:p>
        </w:tc>
        <w:tc>
          <w:tcPr>
            <w:tcW w:w="78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Mr. Becherer began his business career with Deere &amp; Company, a manufacturer of</w:t>
            </w:r>
          </w:p>
        </w:tc>
      </w:tr>
      <w:tr>
        <w:trPr>
          <w:trHeight w:val="166"/>
        </w:trPr>
        <w:tc>
          <w:tcPr>
            <w:tcW w:w="1260" w:type="dxa"/>
            <w:vAlign w:val="bottom"/>
          </w:tcPr>
          <w:p>
            <w:pPr>
              <w:spacing w:after="0"/>
              <w:rPr>
                <w:sz w:val="14"/>
                <w:szCs w:val="14"/>
                <w:color w:val="auto"/>
              </w:rPr>
            </w:pPr>
          </w:p>
        </w:tc>
        <w:tc>
          <w:tcPr>
            <w:tcW w:w="78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mobile power machinery and a supplier of financial services, in 1962. After serving</w:t>
            </w:r>
          </w:p>
        </w:tc>
      </w:tr>
      <w:tr>
        <w:trPr>
          <w:trHeight w:val="166"/>
        </w:trPr>
        <w:tc>
          <w:tcPr>
            <w:tcW w:w="1260" w:type="dxa"/>
            <w:vAlign w:val="bottom"/>
          </w:tcPr>
          <w:p>
            <w:pPr>
              <w:spacing w:after="0"/>
              <w:rPr>
                <w:sz w:val="14"/>
                <w:szCs w:val="14"/>
                <w:color w:val="auto"/>
              </w:rPr>
            </w:pPr>
          </w:p>
        </w:tc>
        <w:tc>
          <w:tcPr>
            <w:tcW w:w="78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in a variety of managerial and executive positions, he became a director of Deere in</w:t>
            </w:r>
          </w:p>
        </w:tc>
      </w:tr>
      <w:tr>
        <w:trPr>
          <w:trHeight w:val="166"/>
        </w:trPr>
        <w:tc>
          <w:tcPr>
            <w:tcW w:w="1260" w:type="dxa"/>
            <w:vAlign w:val="bottom"/>
          </w:tcPr>
          <w:p>
            <w:pPr>
              <w:spacing w:after="0"/>
              <w:rPr>
                <w:sz w:val="14"/>
                <w:szCs w:val="14"/>
                <w:color w:val="auto"/>
              </w:rPr>
            </w:pPr>
          </w:p>
        </w:tc>
        <w:tc>
          <w:tcPr>
            <w:tcW w:w="78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1986 and was elected President and Chief Operating Officer in 1987, President and</w:t>
            </w:r>
          </w:p>
        </w:tc>
      </w:tr>
      <w:tr>
        <w:trPr>
          <w:trHeight w:val="166"/>
        </w:trPr>
        <w:tc>
          <w:tcPr>
            <w:tcW w:w="1260" w:type="dxa"/>
            <w:vAlign w:val="bottom"/>
          </w:tcPr>
          <w:p>
            <w:pPr>
              <w:spacing w:after="0"/>
              <w:rPr>
                <w:sz w:val="14"/>
                <w:szCs w:val="14"/>
                <w:color w:val="auto"/>
              </w:rPr>
            </w:pPr>
          </w:p>
        </w:tc>
        <w:tc>
          <w:tcPr>
            <w:tcW w:w="78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Chief Executive Officer in 1989 and Chairman and Chief Executive Officer in 1990.</w:t>
            </w:r>
          </w:p>
        </w:tc>
      </w:tr>
      <w:tr>
        <w:trPr>
          <w:trHeight w:val="166"/>
        </w:trPr>
        <w:tc>
          <w:tcPr>
            <w:tcW w:w="1260" w:type="dxa"/>
            <w:vAlign w:val="bottom"/>
          </w:tcPr>
          <w:p>
            <w:pPr>
              <w:spacing w:after="0"/>
              <w:rPr>
                <w:sz w:val="14"/>
                <w:szCs w:val="14"/>
                <w:color w:val="auto"/>
              </w:rPr>
            </w:pPr>
          </w:p>
        </w:tc>
        <w:tc>
          <w:tcPr>
            <w:tcW w:w="78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He is also a director of The Chase Manhattan Corporation and Schering-Plough</w:t>
            </w:r>
          </w:p>
        </w:tc>
      </w:tr>
      <w:tr>
        <w:trPr>
          <w:trHeight w:val="166"/>
        </w:trPr>
        <w:tc>
          <w:tcPr>
            <w:tcW w:w="1260" w:type="dxa"/>
            <w:vAlign w:val="bottom"/>
          </w:tcPr>
          <w:p>
            <w:pPr>
              <w:spacing w:after="0"/>
              <w:rPr>
                <w:sz w:val="14"/>
                <w:szCs w:val="14"/>
                <w:color w:val="auto"/>
              </w:rPr>
            </w:pPr>
          </w:p>
        </w:tc>
        <w:tc>
          <w:tcPr>
            <w:tcW w:w="3320" w:type="dxa"/>
            <w:vAlign w:val="bottom"/>
          </w:tcPr>
          <w:p>
            <w:pPr>
              <w:ind w:left="640"/>
              <w:spacing w:after="0"/>
              <w:rPr>
                <w:sz w:val="20"/>
                <w:szCs w:val="20"/>
                <w:color w:val="auto"/>
              </w:rPr>
            </w:pPr>
            <w:r>
              <w:rPr>
                <w:rFonts w:ascii="Courier New" w:cs="Courier New" w:eastAsia="Courier New" w:hAnsi="Courier New"/>
                <w:sz w:val="14"/>
                <w:szCs w:val="14"/>
                <w:color w:val="auto"/>
              </w:rPr>
              <w:t>Corporation.</w:t>
            </w:r>
          </w:p>
        </w:tc>
        <w:tc>
          <w:tcPr>
            <w:tcW w:w="4560" w:type="dxa"/>
            <w:vAlign w:val="bottom"/>
          </w:tcPr>
          <w:p>
            <w:pPr>
              <w:spacing w:after="0"/>
              <w:rPr>
                <w:sz w:val="14"/>
                <w:szCs w:val="14"/>
                <w:color w:val="auto"/>
              </w:rPr>
            </w:pPr>
          </w:p>
        </w:tc>
      </w:tr>
      <w:tr>
        <w:trPr>
          <w:trHeight w:val="331"/>
        </w:trPr>
        <w:tc>
          <w:tcPr>
            <w:tcW w:w="1260" w:type="dxa"/>
            <w:vAlign w:val="bottom"/>
          </w:tcPr>
          <w:p>
            <w:pPr>
              <w:spacing w:after="0"/>
              <w:rPr>
                <w:sz w:val="24"/>
                <w:szCs w:val="24"/>
                <w:color w:val="auto"/>
              </w:rPr>
            </w:pPr>
          </w:p>
        </w:tc>
        <w:tc>
          <w:tcPr>
            <w:tcW w:w="3320" w:type="dxa"/>
            <w:vAlign w:val="bottom"/>
          </w:tcPr>
          <w:p>
            <w:pPr>
              <w:ind w:left="640"/>
              <w:spacing w:after="0"/>
              <w:rPr>
                <w:sz w:val="20"/>
                <w:szCs w:val="20"/>
                <w:color w:val="auto"/>
              </w:rPr>
            </w:pPr>
            <w:r>
              <w:rPr>
                <w:rFonts w:ascii="Courier New" w:cs="Courier New" w:eastAsia="Courier New" w:hAnsi="Courier New"/>
                <w:sz w:val="14"/>
                <w:szCs w:val="14"/>
                <w:color w:val="auto"/>
              </w:rPr>
              <w:t>Director since 1991</w:t>
            </w:r>
          </w:p>
        </w:tc>
        <w:tc>
          <w:tcPr>
            <w:tcW w:w="4560" w:type="dxa"/>
            <w:vAlign w:val="bottom"/>
          </w:tcPr>
          <w:p>
            <w:pPr>
              <w:ind w:left="1020"/>
              <w:spacing w:after="0"/>
              <w:rPr>
                <w:sz w:val="20"/>
                <w:szCs w:val="20"/>
                <w:color w:val="auto"/>
              </w:rPr>
            </w:pPr>
            <w:r>
              <w:rPr>
                <w:rFonts w:ascii="Courier New" w:cs="Courier New" w:eastAsia="Courier New" w:hAnsi="Courier New"/>
                <w:sz w:val="14"/>
                <w:szCs w:val="14"/>
                <w:color w:val="auto"/>
              </w:rPr>
              <w:t>Age 64</w:t>
            </w:r>
          </w:p>
        </w:tc>
      </w:tr>
      <w:tr>
        <w:trPr>
          <w:trHeight w:val="166"/>
        </w:trPr>
        <w:tc>
          <w:tcPr>
            <w:tcW w:w="1260" w:type="dxa"/>
            <w:vAlign w:val="bottom"/>
          </w:tcPr>
          <w:p>
            <w:pPr>
              <w:spacing w:after="0"/>
              <w:rPr>
                <w:sz w:val="14"/>
                <w:szCs w:val="14"/>
                <w:color w:val="auto"/>
              </w:rPr>
            </w:pPr>
          </w:p>
        </w:tc>
        <w:tc>
          <w:tcPr>
            <w:tcW w:w="78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w:t>
            </w: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[Photo]</w:t>
            </w:r>
          </w:p>
        </w:tc>
        <w:tc>
          <w:tcPr>
            <w:tcW w:w="78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GORDON M. BETHUNE, Chairman of the Board and Chief Executive Officer of Continental</w:t>
            </w:r>
          </w:p>
        </w:tc>
      </w:tr>
      <w:tr>
        <w:trPr>
          <w:trHeight w:val="166"/>
        </w:trPr>
        <w:tc>
          <w:tcPr>
            <w:tcW w:w="1260" w:type="dxa"/>
            <w:vAlign w:val="bottom"/>
          </w:tcPr>
          <w:p>
            <w:pPr>
              <w:spacing w:after="0"/>
              <w:rPr>
                <w:sz w:val="14"/>
                <w:szCs w:val="14"/>
                <w:color w:val="auto"/>
              </w:rPr>
            </w:pPr>
          </w:p>
        </w:tc>
        <w:tc>
          <w:tcPr>
            <w:tcW w:w="3320" w:type="dxa"/>
            <w:vAlign w:val="bottom"/>
          </w:tcPr>
          <w:p>
            <w:pPr>
              <w:ind w:left="640"/>
              <w:spacing w:after="0"/>
              <w:rPr>
                <w:sz w:val="20"/>
                <w:szCs w:val="20"/>
                <w:color w:val="auto"/>
              </w:rPr>
            </w:pPr>
            <w:r>
              <w:rPr>
                <w:rFonts w:ascii="Courier New" w:cs="Courier New" w:eastAsia="Courier New" w:hAnsi="Courier New"/>
                <w:sz w:val="14"/>
                <w:szCs w:val="14"/>
                <w:color w:val="auto"/>
              </w:rPr>
              <w:t>Airlines, Inc.</w:t>
            </w:r>
          </w:p>
        </w:tc>
        <w:tc>
          <w:tcPr>
            <w:tcW w:w="4560" w:type="dxa"/>
            <w:vAlign w:val="bottom"/>
          </w:tcPr>
          <w:p>
            <w:pPr>
              <w:spacing w:after="0"/>
              <w:rPr>
                <w:sz w:val="14"/>
                <w:szCs w:val="14"/>
                <w:color w:val="auto"/>
              </w:rPr>
            </w:pPr>
          </w:p>
        </w:tc>
      </w:tr>
      <w:tr>
        <w:trPr>
          <w:trHeight w:val="166"/>
        </w:trPr>
        <w:tc>
          <w:tcPr>
            <w:tcW w:w="1260" w:type="dxa"/>
            <w:vAlign w:val="bottom"/>
          </w:tcPr>
          <w:p>
            <w:pPr>
              <w:spacing w:after="0"/>
              <w:rPr>
                <w:sz w:val="14"/>
                <w:szCs w:val="14"/>
                <w:color w:val="auto"/>
              </w:rPr>
            </w:pPr>
          </w:p>
        </w:tc>
        <w:tc>
          <w:tcPr>
            <w:tcW w:w="78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Mr. Bethune joined Continental Airlines, an international commercial airline</w:t>
            </w:r>
          </w:p>
        </w:tc>
      </w:tr>
      <w:tr>
        <w:trPr>
          <w:trHeight w:val="166"/>
        </w:trPr>
        <w:tc>
          <w:tcPr>
            <w:tcW w:w="1260" w:type="dxa"/>
            <w:vAlign w:val="bottom"/>
          </w:tcPr>
          <w:p>
            <w:pPr>
              <w:spacing w:after="0"/>
              <w:rPr>
                <w:sz w:val="14"/>
                <w:szCs w:val="14"/>
                <w:color w:val="auto"/>
              </w:rPr>
            </w:pPr>
          </w:p>
        </w:tc>
        <w:tc>
          <w:tcPr>
            <w:tcW w:w="78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company, in February 1994 as President and Chief Operating Officer. He was elected</w:t>
            </w:r>
          </w:p>
        </w:tc>
      </w:tr>
      <w:tr>
        <w:trPr>
          <w:trHeight w:val="166"/>
        </w:trPr>
        <w:tc>
          <w:tcPr>
            <w:tcW w:w="1260" w:type="dxa"/>
            <w:vAlign w:val="bottom"/>
          </w:tcPr>
          <w:p>
            <w:pPr>
              <w:spacing w:after="0"/>
              <w:rPr>
                <w:sz w:val="14"/>
                <w:szCs w:val="14"/>
                <w:color w:val="auto"/>
              </w:rPr>
            </w:pPr>
          </w:p>
        </w:tc>
        <w:tc>
          <w:tcPr>
            <w:tcW w:w="78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President and Chief Executive Officer in November 1994 and Chairman of the Board and</w:t>
            </w:r>
          </w:p>
        </w:tc>
      </w:tr>
      <w:tr>
        <w:trPr>
          <w:trHeight w:val="166"/>
        </w:trPr>
        <w:tc>
          <w:tcPr>
            <w:tcW w:w="1260" w:type="dxa"/>
            <w:vAlign w:val="bottom"/>
          </w:tcPr>
          <w:p>
            <w:pPr>
              <w:spacing w:after="0"/>
              <w:rPr>
                <w:sz w:val="14"/>
                <w:szCs w:val="14"/>
                <w:color w:val="auto"/>
              </w:rPr>
            </w:pPr>
          </w:p>
        </w:tc>
        <w:tc>
          <w:tcPr>
            <w:tcW w:w="78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Chief Executive Officer in 1996. From 1988 to 1994, Mr. Bethune served as vice</w:t>
            </w:r>
          </w:p>
        </w:tc>
      </w:tr>
      <w:tr>
        <w:trPr>
          <w:trHeight w:val="166"/>
        </w:trPr>
        <w:tc>
          <w:tcPr>
            <w:tcW w:w="1260" w:type="dxa"/>
            <w:vAlign w:val="bottom"/>
          </w:tcPr>
          <w:p>
            <w:pPr>
              <w:spacing w:after="0"/>
              <w:rPr>
                <w:sz w:val="14"/>
                <w:szCs w:val="14"/>
                <w:color w:val="auto"/>
              </w:rPr>
            </w:pPr>
          </w:p>
        </w:tc>
        <w:tc>
          <w:tcPr>
            <w:tcW w:w="78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president and general manager of various divisions of The Boeing Company, a</w:t>
            </w:r>
          </w:p>
        </w:tc>
      </w:tr>
      <w:tr>
        <w:trPr>
          <w:trHeight w:val="166"/>
        </w:trPr>
        <w:tc>
          <w:tcPr>
            <w:tcW w:w="1260" w:type="dxa"/>
            <w:vAlign w:val="bottom"/>
          </w:tcPr>
          <w:p>
            <w:pPr>
              <w:spacing w:after="0"/>
              <w:rPr>
                <w:sz w:val="14"/>
                <w:szCs w:val="14"/>
                <w:color w:val="auto"/>
              </w:rPr>
            </w:pPr>
          </w:p>
        </w:tc>
        <w:tc>
          <w:tcPr>
            <w:tcW w:w="78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manufacturer of commercial jetliners and military aircraft, and he served most</w:t>
            </w:r>
          </w:p>
        </w:tc>
      </w:tr>
      <w:tr>
        <w:trPr>
          <w:trHeight w:val="166"/>
        </w:trPr>
        <w:tc>
          <w:tcPr>
            <w:tcW w:w="1260" w:type="dxa"/>
            <w:vAlign w:val="bottom"/>
          </w:tcPr>
          <w:p>
            <w:pPr>
              <w:spacing w:after="0"/>
              <w:rPr>
                <w:sz w:val="14"/>
                <w:szCs w:val="14"/>
                <w:color w:val="auto"/>
              </w:rPr>
            </w:pPr>
          </w:p>
        </w:tc>
        <w:tc>
          <w:tcPr>
            <w:tcW w:w="78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recently as vice president and general manager of the Renton Division of the</w:t>
            </w:r>
          </w:p>
        </w:tc>
      </w:tr>
      <w:tr>
        <w:trPr>
          <w:trHeight w:val="166"/>
        </w:trPr>
        <w:tc>
          <w:tcPr>
            <w:tcW w:w="1260" w:type="dxa"/>
            <w:vAlign w:val="bottom"/>
          </w:tcPr>
          <w:p>
            <w:pPr>
              <w:spacing w:after="0"/>
              <w:rPr>
                <w:sz w:val="14"/>
                <w:szCs w:val="14"/>
                <w:color w:val="auto"/>
              </w:rPr>
            </w:pPr>
          </w:p>
        </w:tc>
        <w:tc>
          <w:tcPr>
            <w:tcW w:w="78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Commercial Airplane Group at Boeing. Prior to 1988, Mr. Bethune was senior vice</w:t>
            </w:r>
          </w:p>
        </w:tc>
      </w:tr>
      <w:tr>
        <w:trPr>
          <w:trHeight w:val="166"/>
        </w:trPr>
        <w:tc>
          <w:tcPr>
            <w:tcW w:w="1260" w:type="dxa"/>
            <w:vAlign w:val="bottom"/>
          </w:tcPr>
          <w:p>
            <w:pPr>
              <w:spacing w:after="0"/>
              <w:rPr>
                <w:sz w:val="14"/>
                <w:szCs w:val="14"/>
                <w:color w:val="auto"/>
              </w:rPr>
            </w:pPr>
          </w:p>
        </w:tc>
        <w:tc>
          <w:tcPr>
            <w:tcW w:w="78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president of operations for Piedmont Airlines, and he held senior management</w:t>
            </w:r>
          </w:p>
        </w:tc>
      </w:tr>
      <w:tr>
        <w:trPr>
          <w:trHeight w:val="166"/>
        </w:trPr>
        <w:tc>
          <w:tcPr>
            <w:tcW w:w="1260" w:type="dxa"/>
            <w:vAlign w:val="bottom"/>
          </w:tcPr>
          <w:p>
            <w:pPr>
              <w:spacing w:after="0"/>
              <w:rPr>
                <w:sz w:val="14"/>
                <w:szCs w:val="14"/>
                <w:color w:val="auto"/>
              </w:rPr>
            </w:pPr>
          </w:p>
        </w:tc>
        <w:tc>
          <w:tcPr>
            <w:tcW w:w="78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positions as vice president of engineering and maintenance at Western Air Lines,</w:t>
            </w:r>
          </w:p>
        </w:tc>
      </w:tr>
      <w:tr>
        <w:trPr>
          <w:trHeight w:val="166"/>
        </w:trPr>
        <w:tc>
          <w:tcPr>
            <w:tcW w:w="1260" w:type="dxa"/>
            <w:vAlign w:val="bottom"/>
          </w:tcPr>
          <w:p>
            <w:pPr>
              <w:spacing w:after="0"/>
              <w:rPr>
                <w:sz w:val="14"/>
                <w:szCs w:val="14"/>
                <w:color w:val="auto"/>
              </w:rPr>
            </w:pPr>
          </w:p>
        </w:tc>
        <w:tc>
          <w:tcPr>
            <w:tcW w:w="78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Inc. and at Braniff Airlines. Mr. Bethune is also a director of Sysco Corporation.</w:t>
            </w:r>
          </w:p>
        </w:tc>
      </w:tr>
      <w:tr>
        <w:trPr>
          <w:trHeight w:val="166"/>
        </w:trPr>
        <w:tc>
          <w:tcPr>
            <w:tcW w:w="1260" w:type="dxa"/>
            <w:vAlign w:val="bottom"/>
          </w:tcPr>
          <w:p>
            <w:pPr>
              <w:spacing w:after="0"/>
              <w:rPr>
                <w:sz w:val="14"/>
                <w:szCs w:val="14"/>
                <w:color w:val="auto"/>
              </w:rPr>
            </w:pPr>
          </w:p>
        </w:tc>
        <w:tc>
          <w:tcPr>
            <w:tcW w:w="78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He was a director of Honeywell Inc. from April 1999 to December 1999.</w:t>
            </w:r>
          </w:p>
        </w:tc>
      </w:tr>
      <w:tr>
        <w:trPr>
          <w:trHeight w:val="331"/>
        </w:trPr>
        <w:tc>
          <w:tcPr>
            <w:tcW w:w="1260" w:type="dxa"/>
            <w:vAlign w:val="bottom"/>
          </w:tcPr>
          <w:p>
            <w:pPr>
              <w:spacing w:after="0"/>
              <w:rPr>
                <w:sz w:val="24"/>
                <w:szCs w:val="24"/>
                <w:color w:val="auto"/>
              </w:rPr>
            </w:pPr>
          </w:p>
        </w:tc>
        <w:tc>
          <w:tcPr>
            <w:tcW w:w="3320" w:type="dxa"/>
            <w:vAlign w:val="bottom"/>
          </w:tcPr>
          <w:p>
            <w:pPr>
              <w:ind w:left="640"/>
              <w:spacing w:after="0"/>
              <w:rPr>
                <w:sz w:val="20"/>
                <w:szCs w:val="20"/>
                <w:color w:val="auto"/>
              </w:rPr>
            </w:pPr>
            <w:r>
              <w:rPr>
                <w:rFonts w:ascii="Courier New" w:cs="Courier New" w:eastAsia="Courier New" w:hAnsi="Courier New"/>
                <w:sz w:val="14"/>
                <w:szCs w:val="14"/>
                <w:color w:val="auto"/>
              </w:rPr>
              <w:t>Director since 1999</w:t>
            </w:r>
          </w:p>
        </w:tc>
        <w:tc>
          <w:tcPr>
            <w:tcW w:w="4560" w:type="dxa"/>
            <w:vAlign w:val="bottom"/>
          </w:tcPr>
          <w:p>
            <w:pPr>
              <w:ind w:left="1020"/>
              <w:spacing w:after="0"/>
              <w:rPr>
                <w:sz w:val="20"/>
                <w:szCs w:val="20"/>
                <w:color w:val="auto"/>
              </w:rPr>
            </w:pPr>
            <w:r>
              <w:rPr>
                <w:rFonts w:ascii="Courier New" w:cs="Courier New" w:eastAsia="Courier New" w:hAnsi="Courier New"/>
                <w:sz w:val="14"/>
                <w:szCs w:val="14"/>
                <w:color w:val="auto"/>
              </w:rPr>
              <w:t>Age 58</w:t>
            </w:r>
          </w:p>
        </w:tc>
      </w:tr>
      <w:tr>
        <w:trPr>
          <w:trHeight w:val="166"/>
        </w:trPr>
        <w:tc>
          <w:tcPr>
            <w:tcW w:w="1260" w:type="dxa"/>
            <w:vAlign w:val="bottom"/>
          </w:tcPr>
          <w:p>
            <w:pPr>
              <w:spacing w:after="0"/>
              <w:rPr>
                <w:sz w:val="14"/>
                <w:szCs w:val="14"/>
                <w:color w:val="auto"/>
              </w:rPr>
            </w:pPr>
          </w:p>
        </w:tc>
        <w:tc>
          <w:tcPr>
            <w:tcW w:w="78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w:t>
            </w:r>
          </w:p>
        </w:tc>
      </w:tr>
      <w:tr>
        <w:trPr>
          <w:trHeight w:val="497"/>
        </w:trPr>
        <w:tc>
          <w:tcPr>
            <w:tcW w:w="1260" w:type="dxa"/>
            <w:vAlign w:val="bottom"/>
          </w:tcPr>
          <w:p>
            <w:pPr>
              <w:spacing w:after="0"/>
              <w:rPr>
                <w:sz w:val="24"/>
                <w:szCs w:val="24"/>
                <w:color w:val="auto"/>
              </w:rPr>
            </w:pPr>
          </w:p>
        </w:tc>
        <w:tc>
          <w:tcPr>
            <w:tcW w:w="3320" w:type="dxa"/>
            <w:vAlign w:val="bottom"/>
          </w:tcPr>
          <w:p>
            <w:pPr>
              <w:ind w:left="2100"/>
              <w:spacing w:after="0"/>
              <w:rPr>
                <w:sz w:val="20"/>
                <w:szCs w:val="20"/>
                <w:color w:val="auto"/>
              </w:rPr>
            </w:pPr>
            <w:r>
              <w:rPr>
                <w:rFonts w:ascii="Courier New" w:cs="Courier New" w:eastAsia="Courier New" w:hAnsi="Courier New"/>
                <w:sz w:val="14"/>
                <w:szCs w:val="14"/>
                <w:color w:val="auto"/>
              </w:rPr>
              <w:t>6</w:t>
            </w:r>
          </w:p>
        </w:tc>
        <w:tc>
          <w:tcPr>
            <w:tcW w:w="4560" w:type="dxa"/>
            <w:vAlign w:val="bottom"/>
          </w:tcPr>
          <w:p>
            <w:pPr>
              <w:spacing w:after="0"/>
              <w:rPr>
                <w:sz w:val="24"/>
                <w:szCs w:val="24"/>
                <w:color w:val="auto"/>
              </w:rPr>
            </w:pPr>
          </w:p>
        </w:tc>
      </w:tr>
    </w:tbl>
    <w:p>
      <w:pPr>
        <w:sectPr>
          <w:pgSz w:w="11900" w:h="16838" w:orient="portrait"/>
          <w:cols w:equalWidth="0" w:num="1">
            <w:col w:w="10159"/>
          </w:cols>
          <w:pgMar w:left="300" w:top="451" w:right="1440"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[Photo]</w:t>
            </w: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JAIME CHICO PARDO, Vice Chairman and Chief Executive Officer of Telefonos de</w:t>
            </w:r>
          </w:p>
        </w:tc>
      </w:tr>
      <w:tr>
        <w:trPr>
          <w:trHeight w:val="166"/>
        </w:trPr>
        <w:tc>
          <w:tcPr>
            <w:tcW w:w="1000" w:type="dxa"/>
            <w:vAlign w:val="bottom"/>
          </w:tcPr>
          <w:p>
            <w:pPr>
              <w:spacing w:after="0"/>
              <w:rPr>
                <w:sz w:val="14"/>
                <w:szCs w:val="14"/>
                <w:color w:val="auto"/>
              </w:rPr>
            </w:pPr>
          </w:p>
        </w:tc>
        <w:tc>
          <w:tcPr>
            <w:tcW w:w="3840" w:type="dxa"/>
            <w:vAlign w:val="bottom"/>
          </w:tcPr>
          <w:p>
            <w:pPr>
              <w:ind w:left="900"/>
              <w:spacing w:after="0"/>
              <w:rPr>
                <w:sz w:val="20"/>
                <w:szCs w:val="20"/>
                <w:color w:val="auto"/>
              </w:rPr>
            </w:pPr>
            <w:r>
              <w:rPr>
                <w:rFonts w:ascii="Courier New" w:cs="Courier New" w:eastAsia="Courier New" w:hAnsi="Courier New"/>
                <w:sz w:val="14"/>
                <w:szCs w:val="14"/>
                <w:color w:val="auto"/>
              </w:rPr>
              <w:t>Mexico, S.A. de C.V. (TELMEX)</w:t>
            </w:r>
          </w:p>
        </w:tc>
        <w:tc>
          <w:tcPr>
            <w:tcW w:w="360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Mr. Chico Pardo joined TELMEX, a telecommunications company based in Mexico</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City, as its Chief Executive Officer in 1995. From 1993 to 1995, Mr. Chico</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Pardo was President and Chief Executive Officer of Grupo Condumex, S.A. de</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C.V., a manufacturer of products for the construction, automobile and</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telecommunications industries. Prior to 1993, Mr. Chico Pardo was President</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and Chief Executive Officer of Euzkadi/General Tire de Mexico, a</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manufacturer of automotive and truck tires. Mr. Chico Pardo is also</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Vice-Chairman of Carso Global Telecom and a director of Grupo Carso and</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Grupo Financiero Inbursa. He was a director of Honeywell Inc. from September</w:t>
            </w:r>
          </w:p>
        </w:tc>
      </w:tr>
      <w:tr>
        <w:trPr>
          <w:trHeight w:val="166"/>
        </w:trPr>
        <w:tc>
          <w:tcPr>
            <w:tcW w:w="1000" w:type="dxa"/>
            <w:vAlign w:val="bottom"/>
          </w:tcPr>
          <w:p>
            <w:pPr>
              <w:spacing w:after="0"/>
              <w:rPr>
                <w:sz w:val="14"/>
                <w:szCs w:val="14"/>
                <w:color w:val="auto"/>
              </w:rPr>
            </w:pPr>
          </w:p>
        </w:tc>
        <w:tc>
          <w:tcPr>
            <w:tcW w:w="3840" w:type="dxa"/>
            <w:vAlign w:val="bottom"/>
          </w:tcPr>
          <w:p>
            <w:pPr>
              <w:ind w:left="900"/>
              <w:spacing w:after="0"/>
              <w:rPr>
                <w:sz w:val="20"/>
                <w:szCs w:val="20"/>
                <w:color w:val="auto"/>
              </w:rPr>
            </w:pPr>
            <w:r>
              <w:rPr>
                <w:rFonts w:ascii="Courier New" w:cs="Courier New" w:eastAsia="Courier New" w:hAnsi="Courier New"/>
                <w:sz w:val="14"/>
                <w:szCs w:val="14"/>
                <w:color w:val="auto"/>
              </w:rPr>
              <w:t>1998 to December 1999.</w:t>
            </w:r>
          </w:p>
        </w:tc>
        <w:tc>
          <w:tcPr>
            <w:tcW w:w="3600" w:type="dxa"/>
            <w:vAlign w:val="bottom"/>
          </w:tcPr>
          <w:p>
            <w:pPr>
              <w:spacing w:after="0"/>
              <w:rPr>
                <w:sz w:val="14"/>
                <w:szCs w:val="14"/>
                <w:color w:val="auto"/>
              </w:rPr>
            </w:pPr>
          </w:p>
        </w:tc>
      </w:tr>
      <w:tr>
        <w:trPr>
          <w:trHeight w:val="331"/>
        </w:trPr>
        <w:tc>
          <w:tcPr>
            <w:tcW w:w="1000" w:type="dxa"/>
            <w:vAlign w:val="bottom"/>
          </w:tcPr>
          <w:p>
            <w:pPr>
              <w:spacing w:after="0"/>
              <w:rPr>
                <w:sz w:val="24"/>
                <w:szCs w:val="24"/>
                <w:color w:val="auto"/>
              </w:rPr>
            </w:pPr>
          </w:p>
        </w:tc>
        <w:tc>
          <w:tcPr>
            <w:tcW w:w="3840" w:type="dxa"/>
            <w:vAlign w:val="bottom"/>
          </w:tcPr>
          <w:p>
            <w:pPr>
              <w:ind w:left="900"/>
              <w:spacing w:after="0"/>
              <w:rPr>
                <w:sz w:val="20"/>
                <w:szCs w:val="20"/>
                <w:color w:val="auto"/>
              </w:rPr>
            </w:pPr>
            <w:r>
              <w:rPr>
                <w:rFonts w:ascii="Courier New" w:cs="Courier New" w:eastAsia="Courier New" w:hAnsi="Courier New"/>
                <w:sz w:val="14"/>
                <w:szCs w:val="14"/>
                <w:color w:val="auto"/>
              </w:rPr>
              <w:t>Director since 1999</w:t>
            </w:r>
          </w:p>
        </w:tc>
        <w:tc>
          <w:tcPr>
            <w:tcW w:w="3600" w:type="dxa"/>
            <w:vAlign w:val="bottom"/>
          </w:tcPr>
          <w:p>
            <w:pPr>
              <w:ind w:left="420"/>
              <w:spacing w:after="0"/>
              <w:rPr>
                <w:sz w:val="20"/>
                <w:szCs w:val="20"/>
                <w:color w:val="auto"/>
              </w:rPr>
            </w:pPr>
            <w:r>
              <w:rPr>
                <w:rFonts w:ascii="Courier New" w:cs="Courier New" w:eastAsia="Courier New" w:hAnsi="Courier New"/>
                <w:sz w:val="14"/>
                <w:szCs w:val="14"/>
                <w:color w:val="auto"/>
              </w:rPr>
              <w:t>Age 50</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[Photo]</w:t>
            </w: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ANN M. FUDGE, Executive Vice President of Kraft Foods, Inc.</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Ms. Fudge joined General Foods USA in 1986 and held several planning and</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marketing positions before being appointed Executive Vice President and</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General Manager of the Dinners and Enhancers Division in 1991. In 1994, she</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was named President of Kraft General Foods' Maxwell House Coffee Company. In</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1995, Ms. Fudge assumed her current position, while continuing to head the</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Maxwell House Coffee Division as General Manager. She became President of</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Kraft's Maxwell House and Post Division in 1997. Kraft is the multinational</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food business of Phillip Morris Companies Inc. Ms. Fudge is a director of</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General Electric Company and Liz Claiborne, Inc.</w:t>
            </w:r>
          </w:p>
        </w:tc>
      </w:tr>
      <w:tr>
        <w:trPr>
          <w:trHeight w:val="331"/>
        </w:trPr>
        <w:tc>
          <w:tcPr>
            <w:tcW w:w="1000" w:type="dxa"/>
            <w:vAlign w:val="bottom"/>
          </w:tcPr>
          <w:p>
            <w:pPr>
              <w:spacing w:after="0"/>
              <w:rPr>
                <w:sz w:val="24"/>
                <w:szCs w:val="24"/>
                <w:color w:val="auto"/>
              </w:rPr>
            </w:pPr>
          </w:p>
        </w:tc>
        <w:tc>
          <w:tcPr>
            <w:tcW w:w="3840" w:type="dxa"/>
            <w:vAlign w:val="bottom"/>
          </w:tcPr>
          <w:p>
            <w:pPr>
              <w:ind w:left="900"/>
              <w:spacing w:after="0"/>
              <w:rPr>
                <w:sz w:val="20"/>
                <w:szCs w:val="20"/>
                <w:color w:val="auto"/>
              </w:rPr>
            </w:pPr>
            <w:r>
              <w:rPr>
                <w:rFonts w:ascii="Courier New" w:cs="Courier New" w:eastAsia="Courier New" w:hAnsi="Courier New"/>
                <w:sz w:val="14"/>
                <w:szCs w:val="14"/>
                <w:color w:val="auto"/>
              </w:rPr>
              <w:t>Director since 1993</w:t>
            </w:r>
          </w:p>
        </w:tc>
        <w:tc>
          <w:tcPr>
            <w:tcW w:w="3600" w:type="dxa"/>
            <w:vAlign w:val="bottom"/>
          </w:tcPr>
          <w:p>
            <w:pPr>
              <w:ind w:left="420"/>
              <w:spacing w:after="0"/>
              <w:rPr>
                <w:sz w:val="20"/>
                <w:szCs w:val="20"/>
                <w:color w:val="auto"/>
              </w:rPr>
            </w:pPr>
            <w:r>
              <w:rPr>
                <w:rFonts w:ascii="Courier New" w:cs="Courier New" w:eastAsia="Courier New" w:hAnsi="Courier New"/>
                <w:sz w:val="14"/>
                <w:szCs w:val="14"/>
                <w:color w:val="auto"/>
              </w:rPr>
              <w:t>Age 48</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w:t>
            </w:r>
          </w:p>
        </w:tc>
      </w:tr>
      <w:tr>
        <w:trPr>
          <w:trHeight w:val="331"/>
        </w:trPr>
        <w:tc>
          <w:tcPr>
            <w:tcW w:w="1000" w:type="dxa"/>
            <w:vAlign w:val="bottom"/>
          </w:tcPr>
          <w:p>
            <w:pPr>
              <w:spacing w:after="0"/>
              <w:rPr>
                <w:sz w:val="24"/>
                <w:szCs w:val="24"/>
                <w:color w:val="auto"/>
              </w:rPr>
            </w:pPr>
          </w:p>
        </w:tc>
        <w:tc>
          <w:tcPr>
            <w:tcW w:w="744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INCUMBENT DIRECTORS CONTINUING IN OFFICE FOR TERM EXPIRING IN 2001</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[Photo]</w:t>
            </w: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JAMES J. HOWARD, Chairman of the Board, President and Chief Executive</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Officer of Northern States Power Company</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Mr. Howard has been Chairman and Chief Executive Officer of Northern States</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Power, an energy company, since 1988, and President since 1994. Prior to</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1987, Mr. Howard was President and Chief Operating Officer of Ameritech</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Corporation. Mr. Howard is also a director of Ecolab, Inc., the Federal</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Reserve Bank of Minneapolis, ReliaStar Financial and Walgreen Company. He</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was a director of Honeywell Inc. from July 1990 to December 1999.</w:t>
            </w:r>
          </w:p>
        </w:tc>
      </w:tr>
      <w:tr>
        <w:trPr>
          <w:trHeight w:val="331"/>
        </w:trPr>
        <w:tc>
          <w:tcPr>
            <w:tcW w:w="1000" w:type="dxa"/>
            <w:vAlign w:val="bottom"/>
          </w:tcPr>
          <w:p>
            <w:pPr>
              <w:spacing w:after="0"/>
              <w:rPr>
                <w:sz w:val="24"/>
                <w:szCs w:val="24"/>
                <w:color w:val="auto"/>
              </w:rPr>
            </w:pPr>
          </w:p>
        </w:tc>
        <w:tc>
          <w:tcPr>
            <w:tcW w:w="3840" w:type="dxa"/>
            <w:vAlign w:val="bottom"/>
          </w:tcPr>
          <w:p>
            <w:pPr>
              <w:ind w:left="900"/>
              <w:spacing w:after="0"/>
              <w:rPr>
                <w:sz w:val="20"/>
                <w:szCs w:val="20"/>
                <w:color w:val="auto"/>
              </w:rPr>
            </w:pPr>
            <w:r>
              <w:rPr>
                <w:rFonts w:ascii="Courier New" w:cs="Courier New" w:eastAsia="Courier New" w:hAnsi="Courier New"/>
                <w:sz w:val="14"/>
                <w:szCs w:val="14"/>
                <w:color w:val="auto"/>
              </w:rPr>
              <w:t>Director since 1999</w:t>
            </w:r>
          </w:p>
        </w:tc>
        <w:tc>
          <w:tcPr>
            <w:tcW w:w="3600" w:type="dxa"/>
            <w:vAlign w:val="bottom"/>
          </w:tcPr>
          <w:p>
            <w:pPr>
              <w:ind w:left="420"/>
              <w:spacing w:after="0"/>
              <w:rPr>
                <w:sz w:val="20"/>
                <w:szCs w:val="20"/>
                <w:color w:val="auto"/>
              </w:rPr>
            </w:pPr>
            <w:r>
              <w:rPr>
                <w:rFonts w:ascii="Courier New" w:cs="Courier New" w:eastAsia="Courier New" w:hAnsi="Courier New"/>
                <w:sz w:val="14"/>
                <w:szCs w:val="14"/>
                <w:color w:val="auto"/>
              </w:rPr>
              <w:t>Age 64</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w:t>
            </w:r>
          </w:p>
        </w:tc>
      </w:tr>
      <w:tr>
        <w:trPr>
          <w:trHeight w:val="497"/>
        </w:trPr>
        <w:tc>
          <w:tcPr>
            <w:tcW w:w="1000" w:type="dxa"/>
            <w:vAlign w:val="bottom"/>
          </w:tcPr>
          <w:p>
            <w:pPr>
              <w:spacing w:after="0"/>
              <w:rPr>
                <w:sz w:val="24"/>
                <w:szCs w:val="24"/>
                <w:color w:val="auto"/>
              </w:rPr>
            </w:pPr>
          </w:p>
        </w:tc>
        <w:tc>
          <w:tcPr>
            <w:tcW w:w="3840" w:type="dxa"/>
            <w:vAlign w:val="bottom"/>
          </w:tcPr>
          <w:p>
            <w:pPr>
              <w:ind w:left="2360"/>
              <w:spacing w:after="0"/>
              <w:rPr>
                <w:sz w:val="20"/>
                <w:szCs w:val="20"/>
                <w:color w:val="auto"/>
              </w:rPr>
            </w:pPr>
            <w:r>
              <w:rPr>
                <w:rFonts w:ascii="Courier New" w:cs="Courier New" w:eastAsia="Courier New" w:hAnsi="Courier New"/>
                <w:sz w:val="14"/>
                <w:szCs w:val="14"/>
                <w:color w:val="auto"/>
              </w:rPr>
              <w:t>7</w:t>
            </w:r>
          </w:p>
        </w:tc>
        <w:tc>
          <w:tcPr>
            <w:tcW w:w="3600" w:type="dxa"/>
            <w:vAlign w:val="bottom"/>
          </w:tcPr>
          <w:p>
            <w:pPr>
              <w:spacing w:after="0"/>
              <w:rPr>
                <w:sz w:val="24"/>
                <w:szCs w:val="24"/>
                <w:color w:val="auto"/>
              </w:rPr>
            </w:pPr>
          </w:p>
        </w:tc>
      </w:tr>
    </w:tbl>
    <w:p>
      <w:pPr>
        <w:sectPr>
          <w:pgSz w:w="11900" w:h="16838" w:orient="portrait"/>
          <w:cols w:equalWidth="0" w:num="1">
            <w:col w:w="10159"/>
          </w:cols>
          <w:pgMar w:left="300" w:top="1113" w:right="1440"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[Photo]</w:t>
            </w: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BRUCE KARATZ, Chairman of the Board, President and Chief Executive Officer</w:t>
            </w:r>
          </w:p>
        </w:tc>
      </w:tr>
      <w:tr>
        <w:trPr>
          <w:trHeight w:val="166"/>
        </w:trPr>
        <w:tc>
          <w:tcPr>
            <w:tcW w:w="1260" w:type="dxa"/>
            <w:vAlign w:val="bottom"/>
          </w:tcPr>
          <w:p>
            <w:pPr>
              <w:spacing w:after="0"/>
              <w:rPr>
                <w:sz w:val="14"/>
                <w:szCs w:val="14"/>
                <w:color w:val="auto"/>
              </w:rPr>
            </w:pPr>
          </w:p>
        </w:tc>
        <w:tc>
          <w:tcPr>
            <w:tcW w:w="3920" w:type="dxa"/>
            <w:vAlign w:val="bottom"/>
          </w:tcPr>
          <w:p>
            <w:pPr>
              <w:ind w:left="640"/>
              <w:spacing w:after="0"/>
              <w:rPr>
                <w:sz w:val="20"/>
                <w:szCs w:val="20"/>
                <w:color w:val="auto"/>
              </w:rPr>
            </w:pPr>
            <w:r>
              <w:rPr>
                <w:rFonts w:ascii="Courier New" w:cs="Courier New" w:eastAsia="Courier New" w:hAnsi="Courier New"/>
                <w:sz w:val="14"/>
                <w:szCs w:val="14"/>
                <w:color w:val="auto"/>
              </w:rPr>
              <w:t>of Kaufman and Broad Home Corporation</w:t>
            </w:r>
          </w:p>
        </w:tc>
        <w:tc>
          <w:tcPr>
            <w:tcW w:w="3260" w:type="dxa"/>
            <w:vAlign w:val="bottom"/>
          </w:tcPr>
          <w:p>
            <w:pPr>
              <w:spacing w:after="0"/>
              <w:rPr>
                <w:sz w:val="14"/>
                <w:szCs w:val="14"/>
                <w:color w:val="auto"/>
              </w:rPr>
            </w:pP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Mr. Karatz was elected President and Chief Executive Officer of Kaufman and</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Broad Home Corporation, an international residential and commercial builder,</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in 1986, and Chairman of the Board in 1993. Mr. Karatz is also a director of</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The Kroger Co. and National Golf Properties, Inc. Chairman, California</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Business Roundtable and Trustee of the Rand Corporation. He was a director</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of Honeywell Inc. from July 1992 to December 1999.</w:t>
            </w:r>
          </w:p>
        </w:tc>
      </w:tr>
      <w:tr>
        <w:trPr>
          <w:trHeight w:val="331"/>
        </w:trPr>
        <w:tc>
          <w:tcPr>
            <w:tcW w:w="1260" w:type="dxa"/>
            <w:vAlign w:val="bottom"/>
          </w:tcPr>
          <w:p>
            <w:pPr>
              <w:spacing w:after="0"/>
              <w:rPr>
                <w:sz w:val="24"/>
                <w:szCs w:val="24"/>
                <w:color w:val="auto"/>
              </w:rPr>
            </w:pPr>
          </w:p>
        </w:tc>
        <w:tc>
          <w:tcPr>
            <w:tcW w:w="3920" w:type="dxa"/>
            <w:vAlign w:val="bottom"/>
          </w:tcPr>
          <w:p>
            <w:pPr>
              <w:ind w:left="640"/>
              <w:spacing w:after="0"/>
              <w:rPr>
                <w:sz w:val="20"/>
                <w:szCs w:val="20"/>
                <w:color w:val="auto"/>
              </w:rPr>
            </w:pPr>
            <w:r>
              <w:rPr>
                <w:rFonts w:ascii="Courier New" w:cs="Courier New" w:eastAsia="Courier New" w:hAnsi="Courier New"/>
                <w:sz w:val="14"/>
                <w:szCs w:val="14"/>
                <w:color w:val="auto"/>
              </w:rPr>
              <w:t>Director since 1999</w:t>
            </w:r>
          </w:p>
        </w:tc>
        <w:tc>
          <w:tcPr>
            <w:tcW w:w="3260" w:type="dxa"/>
            <w:vAlign w:val="bottom"/>
          </w:tcPr>
          <w:p>
            <w:pPr>
              <w:ind w:left="80"/>
              <w:spacing w:after="0"/>
              <w:rPr>
                <w:sz w:val="20"/>
                <w:szCs w:val="20"/>
                <w:color w:val="auto"/>
              </w:rPr>
            </w:pPr>
            <w:r>
              <w:rPr>
                <w:rFonts w:ascii="Courier New" w:cs="Courier New" w:eastAsia="Courier New" w:hAnsi="Courier New"/>
                <w:sz w:val="14"/>
                <w:szCs w:val="14"/>
                <w:color w:val="auto"/>
              </w:rPr>
              <w:t>Age 54</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w:t>
            </w: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[Photo]</w:t>
            </w: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RUSSELL E. PALMER, Chairman and Chief Executive Officer of the Palmer Group</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Mr. Palmer established The Palmer Group, a private investment firm, in 1990,</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after serving seven years as Dean of The Wharton School of the University of</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Pennsylvania. He previously served as Managing Director and Chief Executive</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Officer of Touche Ross International and Managing Partner and Chief</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Executive Officer of Touche Ross &amp; Co. (USA) (now Deloitte and Touche). He</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is a director of Federal Home Loan Mortgage Corporation, GTE Corporation,</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The May Department Stores Company and Safeguard Scientifics, Inc.</w:t>
            </w:r>
          </w:p>
        </w:tc>
      </w:tr>
      <w:tr>
        <w:trPr>
          <w:trHeight w:val="331"/>
        </w:trPr>
        <w:tc>
          <w:tcPr>
            <w:tcW w:w="1260" w:type="dxa"/>
            <w:vAlign w:val="bottom"/>
          </w:tcPr>
          <w:p>
            <w:pPr>
              <w:spacing w:after="0"/>
              <w:rPr>
                <w:sz w:val="24"/>
                <w:szCs w:val="24"/>
                <w:color w:val="auto"/>
              </w:rPr>
            </w:pPr>
          </w:p>
        </w:tc>
        <w:tc>
          <w:tcPr>
            <w:tcW w:w="3920" w:type="dxa"/>
            <w:vAlign w:val="bottom"/>
          </w:tcPr>
          <w:p>
            <w:pPr>
              <w:ind w:left="640"/>
              <w:spacing w:after="0"/>
              <w:rPr>
                <w:sz w:val="20"/>
                <w:szCs w:val="20"/>
                <w:color w:val="auto"/>
              </w:rPr>
            </w:pPr>
            <w:r>
              <w:rPr>
                <w:rFonts w:ascii="Courier New" w:cs="Courier New" w:eastAsia="Courier New" w:hAnsi="Courier New"/>
                <w:sz w:val="14"/>
                <w:szCs w:val="14"/>
                <w:color w:val="auto"/>
              </w:rPr>
              <w:t>Director since 1987</w:t>
            </w:r>
          </w:p>
        </w:tc>
        <w:tc>
          <w:tcPr>
            <w:tcW w:w="3260" w:type="dxa"/>
            <w:vAlign w:val="bottom"/>
          </w:tcPr>
          <w:p>
            <w:pPr>
              <w:ind w:left="80"/>
              <w:spacing w:after="0"/>
              <w:rPr>
                <w:sz w:val="20"/>
                <w:szCs w:val="20"/>
                <w:color w:val="auto"/>
              </w:rPr>
            </w:pPr>
            <w:r>
              <w:rPr>
                <w:rFonts w:ascii="Courier New" w:cs="Courier New" w:eastAsia="Courier New" w:hAnsi="Courier New"/>
                <w:sz w:val="14"/>
                <w:szCs w:val="14"/>
                <w:color w:val="auto"/>
              </w:rPr>
              <w:t>Age 65</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w:t>
            </w: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[Photo]</w:t>
            </w: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IVAN G. SEIDENBERG, Chairman and Chief Executive Officer of Bell Atlantic</w:t>
            </w:r>
          </w:p>
        </w:tc>
      </w:tr>
      <w:tr>
        <w:trPr>
          <w:trHeight w:val="166"/>
        </w:trPr>
        <w:tc>
          <w:tcPr>
            <w:tcW w:w="1260" w:type="dxa"/>
            <w:vAlign w:val="bottom"/>
          </w:tcPr>
          <w:p>
            <w:pPr>
              <w:spacing w:after="0"/>
              <w:rPr>
                <w:sz w:val="14"/>
                <w:szCs w:val="14"/>
                <w:color w:val="auto"/>
              </w:rPr>
            </w:pPr>
          </w:p>
        </w:tc>
        <w:tc>
          <w:tcPr>
            <w:tcW w:w="3920" w:type="dxa"/>
            <w:vAlign w:val="bottom"/>
          </w:tcPr>
          <w:p>
            <w:pPr>
              <w:ind w:left="640"/>
              <w:spacing w:after="0"/>
              <w:rPr>
                <w:sz w:val="20"/>
                <w:szCs w:val="20"/>
                <w:color w:val="auto"/>
              </w:rPr>
            </w:pPr>
            <w:r>
              <w:rPr>
                <w:rFonts w:ascii="Courier New" w:cs="Courier New" w:eastAsia="Courier New" w:hAnsi="Courier New"/>
                <w:sz w:val="14"/>
                <w:szCs w:val="14"/>
                <w:color w:val="auto"/>
              </w:rPr>
              <w:t>Corporation</w:t>
            </w:r>
          </w:p>
        </w:tc>
        <w:tc>
          <w:tcPr>
            <w:tcW w:w="3260" w:type="dxa"/>
            <w:vAlign w:val="bottom"/>
          </w:tcPr>
          <w:p>
            <w:pPr>
              <w:spacing w:after="0"/>
              <w:rPr>
                <w:sz w:val="14"/>
                <w:szCs w:val="14"/>
                <w:color w:val="auto"/>
              </w:rPr>
            </w:pP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Mr. Seidenberg assumed his current position with Bell Atlantic Corporation,</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a telecommunications and information services provider, in January 1999. He</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previously served as Vice Chairman, President and Chief Executive Officer</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since June 1998, and Vice Chairman, President and Chief Operating Officer</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following the merger of NYNEX Corporation and Bell Atlantic in 1997. He</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joined NYNEX in 1983 and served in several senior management positions</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before becoming a director and Vice Chairman of the Board in 1991, President</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and Chief Operating Officer in 1994, and Chairman and Chief Executive</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Officer in 1995. He is also a director of American Home Products</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Corporation, Boston Properties, Inc., CVS Corporation and Viacom Inc.</w:t>
            </w:r>
          </w:p>
        </w:tc>
      </w:tr>
      <w:tr>
        <w:trPr>
          <w:trHeight w:val="331"/>
        </w:trPr>
        <w:tc>
          <w:tcPr>
            <w:tcW w:w="1260" w:type="dxa"/>
            <w:vAlign w:val="bottom"/>
          </w:tcPr>
          <w:p>
            <w:pPr>
              <w:spacing w:after="0"/>
              <w:rPr>
                <w:sz w:val="24"/>
                <w:szCs w:val="24"/>
                <w:color w:val="auto"/>
              </w:rPr>
            </w:pPr>
          </w:p>
        </w:tc>
        <w:tc>
          <w:tcPr>
            <w:tcW w:w="3920" w:type="dxa"/>
            <w:vAlign w:val="bottom"/>
          </w:tcPr>
          <w:p>
            <w:pPr>
              <w:ind w:left="640"/>
              <w:spacing w:after="0"/>
              <w:rPr>
                <w:sz w:val="20"/>
                <w:szCs w:val="20"/>
                <w:color w:val="auto"/>
              </w:rPr>
            </w:pPr>
            <w:r>
              <w:rPr>
                <w:rFonts w:ascii="Courier New" w:cs="Courier New" w:eastAsia="Courier New" w:hAnsi="Courier New"/>
                <w:sz w:val="14"/>
                <w:szCs w:val="14"/>
                <w:color w:val="auto"/>
              </w:rPr>
              <w:t>Director since 1995</w:t>
            </w:r>
          </w:p>
        </w:tc>
        <w:tc>
          <w:tcPr>
            <w:tcW w:w="3260" w:type="dxa"/>
            <w:vAlign w:val="bottom"/>
          </w:tcPr>
          <w:p>
            <w:pPr>
              <w:ind w:left="80"/>
              <w:spacing w:after="0"/>
              <w:rPr>
                <w:sz w:val="20"/>
                <w:szCs w:val="20"/>
                <w:color w:val="auto"/>
              </w:rPr>
            </w:pPr>
            <w:r>
              <w:rPr>
                <w:rFonts w:ascii="Courier New" w:cs="Courier New" w:eastAsia="Courier New" w:hAnsi="Courier New"/>
                <w:sz w:val="14"/>
                <w:szCs w:val="14"/>
                <w:color w:val="auto"/>
              </w:rPr>
              <w:t>Age 53</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w:t>
            </w:r>
          </w:p>
        </w:tc>
      </w:tr>
      <w:tr>
        <w:trPr>
          <w:trHeight w:val="497"/>
        </w:trPr>
        <w:tc>
          <w:tcPr>
            <w:tcW w:w="1260" w:type="dxa"/>
            <w:vAlign w:val="bottom"/>
          </w:tcPr>
          <w:p>
            <w:pPr>
              <w:spacing w:after="0"/>
              <w:rPr>
                <w:sz w:val="24"/>
                <w:szCs w:val="24"/>
                <w:color w:val="auto"/>
              </w:rPr>
            </w:pPr>
          </w:p>
        </w:tc>
        <w:tc>
          <w:tcPr>
            <w:tcW w:w="3920" w:type="dxa"/>
            <w:vAlign w:val="bottom"/>
          </w:tcPr>
          <w:p>
            <w:pPr>
              <w:ind w:left="2100"/>
              <w:spacing w:after="0"/>
              <w:rPr>
                <w:sz w:val="20"/>
                <w:szCs w:val="20"/>
                <w:color w:val="auto"/>
              </w:rPr>
            </w:pPr>
            <w:r>
              <w:rPr>
                <w:rFonts w:ascii="Courier New" w:cs="Courier New" w:eastAsia="Courier New" w:hAnsi="Courier New"/>
                <w:sz w:val="14"/>
                <w:szCs w:val="14"/>
                <w:color w:val="auto"/>
              </w:rPr>
              <w:t>8</w:t>
            </w:r>
          </w:p>
        </w:tc>
        <w:tc>
          <w:tcPr>
            <w:tcW w:w="3260" w:type="dxa"/>
            <w:vAlign w:val="bottom"/>
          </w:tcPr>
          <w:p>
            <w:pPr>
              <w:spacing w:after="0"/>
              <w:rPr>
                <w:sz w:val="24"/>
                <w:szCs w:val="24"/>
                <w:color w:val="auto"/>
              </w:rPr>
            </w:pPr>
          </w:p>
        </w:tc>
      </w:tr>
    </w:tbl>
    <w:p>
      <w:pPr>
        <w:sectPr>
          <w:pgSz w:w="11900" w:h="16838" w:orient="portrait"/>
          <w:cols w:equalWidth="0" w:num="1">
            <w:col w:w="10159"/>
          </w:cols>
          <w:pgMar w:left="300" w:top="1113" w:right="1440"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[Photo]</w:t>
            </w: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ANDREW C. SIGLER, Retired Chairman and Chief Executive Officer of Champion</w:t>
            </w:r>
          </w:p>
        </w:tc>
      </w:tr>
      <w:tr>
        <w:trPr>
          <w:trHeight w:val="166"/>
        </w:trPr>
        <w:tc>
          <w:tcPr>
            <w:tcW w:w="1000" w:type="dxa"/>
            <w:vAlign w:val="bottom"/>
          </w:tcPr>
          <w:p>
            <w:pPr>
              <w:spacing w:after="0"/>
              <w:rPr>
                <w:sz w:val="14"/>
                <w:szCs w:val="14"/>
                <w:color w:val="auto"/>
              </w:rPr>
            </w:pPr>
          </w:p>
        </w:tc>
        <w:tc>
          <w:tcPr>
            <w:tcW w:w="3880" w:type="dxa"/>
            <w:vAlign w:val="bottom"/>
          </w:tcPr>
          <w:p>
            <w:pPr>
              <w:ind w:left="900"/>
              <w:spacing w:after="0"/>
              <w:rPr>
                <w:sz w:val="20"/>
                <w:szCs w:val="20"/>
                <w:color w:val="auto"/>
              </w:rPr>
            </w:pPr>
            <w:r>
              <w:rPr>
                <w:rFonts w:ascii="Courier New" w:cs="Courier New" w:eastAsia="Courier New" w:hAnsi="Courier New"/>
                <w:sz w:val="14"/>
                <w:szCs w:val="14"/>
                <w:color w:val="auto"/>
              </w:rPr>
              <w:t>International Corporation</w:t>
            </w:r>
          </w:p>
        </w:tc>
        <w:tc>
          <w:tcPr>
            <w:tcW w:w="356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Mr. Sigler began his career at Champion International Corporation, a paper</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and forest products company, in 1956. He was elected President and Chief</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Executive Officer in 1974 and served as Chairman and Chief Executive Officer</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from 1979 until his retirement in 1996. He is a director of The Chase</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Manhattan Corporation and General Electric Company.</w:t>
            </w:r>
          </w:p>
        </w:tc>
      </w:tr>
      <w:tr>
        <w:trPr>
          <w:trHeight w:val="331"/>
        </w:trPr>
        <w:tc>
          <w:tcPr>
            <w:tcW w:w="1000" w:type="dxa"/>
            <w:vAlign w:val="bottom"/>
          </w:tcPr>
          <w:p>
            <w:pPr>
              <w:spacing w:after="0"/>
              <w:rPr>
                <w:sz w:val="24"/>
                <w:szCs w:val="24"/>
                <w:color w:val="auto"/>
              </w:rPr>
            </w:pPr>
          </w:p>
        </w:tc>
        <w:tc>
          <w:tcPr>
            <w:tcW w:w="3880" w:type="dxa"/>
            <w:vAlign w:val="bottom"/>
          </w:tcPr>
          <w:p>
            <w:pPr>
              <w:ind w:left="900"/>
              <w:spacing w:after="0"/>
              <w:rPr>
                <w:sz w:val="20"/>
                <w:szCs w:val="20"/>
                <w:color w:val="auto"/>
              </w:rPr>
            </w:pPr>
            <w:r>
              <w:rPr>
                <w:rFonts w:ascii="Courier New" w:cs="Courier New" w:eastAsia="Courier New" w:hAnsi="Courier New"/>
                <w:sz w:val="14"/>
                <w:szCs w:val="14"/>
                <w:color w:val="auto"/>
              </w:rPr>
              <w:t>Director since 1994</w:t>
            </w:r>
          </w:p>
        </w:tc>
        <w:tc>
          <w:tcPr>
            <w:tcW w:w="3560" w:type="dxa"/>
            <w:vAlign w:val="bottom"/>
          </w:tcPr>
          <w:p>
            <w:pPr>
              <w:ind w:left="380"/>
              <w:spacing w:after="0"/>
              <w:rPr>
                <w:sz w:val="20"/>
                <w:szCs w:val="20"/>
                <w:color w:val="auto"/>
              </w:rPr>
            </w:pPr>
            <w:r>
              <w:rPr>
                <w:rFonts w:ascii="Courier New" w:cs="Courier New" w:eastAsia="Courier New" w:hAnsi="Courier New"/>
                <w:sz w:val="14"/>
                <w:szCs w:val="14"/>
                <w:color w:val="auto"/>
              </w:rPr>
              <w:t>Age 68</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w:t>
            </w:r>
          </w:p>
        </w:tc>
      </w:tr>
      <w:tr>
        <w:trPr>
          <w:trHeight w:val="331"/>
        </w:trPr>
        <w:tc>
          <w:tcPr>
            <w:tcW w:w="1000" w:type="dxa"/>
            <w:vAlign w:val="bottom"/>
          </w:tcPr>
          <w:p>
            <w:pPr>
              <w:spacing w:after="0"/>
              <w:rPr>
                <w:sz w:val="24"/>
                <w:szCs w:val="24"/>
                <w:color w:val="auto"/>
              </w:rPr>
            </w:pPr>
          </w:p>
        </w:tc>
        <w:tc>
          <w:tcPr>
            <w:tcW w:w="744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INCUMBENT DIRECTORS CONTINUING IN OFFICE FOR TERM EXPIRING IN 2002</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[Photo]</w:t>
            </w: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MICHAEL R. BONSIGNORE, Chief Executive Officer. Elected to become Chairman</w:t>
            </w:r>
          </w:p>
        </w:tc>
      </w:tr>
      <w:tr>
        <w:trPr>
          <w:trHeight w:val="166"/>
        </w:trPr>
        <w:tc>
          <w:tcPr>
            <w:tcW w:w="1000" w:type="dxa"/>
            <w:vAlign w:val="bottom"/>
          </w:tcPr>
          <w:p>
            <w:pPr>
              <w:spacing w:after="0"/>
              <w:rPr>
                <w:sz w:val="14"/>
                <w:szCs w:val="14"/>
                <w:color w:val="auto"/>
              </w:rPr>
            </w:pPr>
          </w:p>
        </w:tc>
        <w:tc>
          <w:tcPr>
            <w:tcW w:w="3880" w:type="dxa"/>
            <w:vAlign w:val="bottom"/>
          </w:tcPr>
          <w:p>
            <w:pPr>
              <w:ind w:left="900"/>
              <w:spacing w:after="0"/>
              <w:rPr>
                <w:sz w:val="20"/>
                <w:szCs w:val="20"/>
                <w:color w:val="auto"/>
              </w:rPr>
            </w:pPr>
            <w:r>
              <w:rPr>
                <w:rFonts w:ascii="Courier New" w:cs="Courier New" w:eastAsia="Courier New" w:hAnsi="Courier New"/>
                <w:sz w:val="14"/>
                <w:szCs w:val="14"/>
                <w:color w:val="auto"/>
              </w:rPr>
              <w:t>of the Board on April 1, 2000.</w:t>
            </w:r>
          </w:p>
        </w:tc>
        <w:tc>
          <w:tcPr>
            <w:tcW w:w="356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Mr. Bonsignore began his business career at Honeywell Inc. in 1969. He held</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various marketing and operations management positions and became Vice</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President of Marine Systems in 1981. In 1983, Mr. Bonsignore was appointed</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President of Honeywell Europe, based in Brussels, Belgium. In 1987, Mr.</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Bonsignore returned to Minneapolis as Executive Vice President,</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International, and was elected President of this business in May 1987. In</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1990, Mr. Bonsignore was elected Executive Vice President and Chief</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Operating Officer for the International and Home &amp; Building Control</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businesses, and was also elected to Honeywell Inc.'s Board of Directors. Mr.</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Bonsignore was elected Chairman of the Board and Chief Executive Officer of</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Honeywell Inc. in 1993. Mr. Bonsignore is also a director of Medtronic, Inc.</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He was a director of Honeywell Inc. from November 1990 to December 1999.</w:t>
            </w:r>
          </w:p>
        </w:tc>
      </w:tr>
      <w:tr>
        <w:trPr>
          <w:trHeight w:val="331"/>
        </w:trPr>
        <w:tc>
          <w:tcPr>
            <w:tcW w:w="1000" w:type="dxa"/>
            <w:vAlign w:val="bottom"/>
          </w:tcPr>
          <w:p>
            <w:pPr>
              <w:spacing w:after="0"/>
              <w:rPr>
                <w:sz w:val="24"/>
                <w:szCs w:val="24"/>
                <w:color w:val="auto"/>
              </w:rPr>
            </w:pPr>
          </w:p>
        </w:tc>
        <w:tc>
          <w:tcPr>
            <w:tcW w:w="3880" w:type="dxa"/>
            <w:vAlign w:val="bottom"/>
          </w:tcPr>
          <w:p>
            <w:pPr>
              <w:ind w:left="900"/>
              <w:spacing w:after="0"/>
              <w:rPr>
                <w:sz w:val="20"/>
                <w:szCs w:val="20"/>
                <w:color w:val="auto"/>
              </w:rPr>
            </w:pPr>
            <w:r>
              <w:rPr>
                <w:rFonts w:ascii="Courier New" w:cs="Courier New" w:eastAsia="Courier New" w:hAnsi="Courier New"/>
                <w:sz w:val="14"/>
                <w:szCs w:val="14"/>
                <w:color w:val="auto"/>
              </w:rPr>
              <w:t>Director since 1999</w:t>
            </w:r>
          </w:p>
        </w:tc>
        <w:tc>
          <w:tcPr>
            <w:tcW w:w="3560" w:type="dxa"/>
            <w:vAlign w:val="bottom"/>
          </w:tcPr>
          <w:p>
            <w:pPr>
              <w:ind w:left="380"/>
              <w:spacing w:after="0"/>
              <w:rPr>
                <w:sz w:val="20"/>
                <w:szCs w:val="20"/>
                <w:color w:val="auto"/>
              </w:rPr>
            </w:pPr>
            <w:r>
              <w:rPr>
                <w:rFonts w:ascii="Courier New" w:cs="Courier New" w:eastAsia="Courier New" w:hAnsi="Courier New"/>
                <w:sz w:val="14"/>
                <w:szCs w:val="14"/>
                <w:color w:val="auto"/>
              </w:rPr>
              <w:t>Age 58</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[Photo]</w:t>
            </w: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MARSHALL N. CARTER, Chairman and Chief Executive Officer of State Street</w:t>
            </w:r>
          </w:p>
        </w:tc>
      </w:tr>
      <w:tr>
        <w:trPr>
          <w:trHeight w:val="166"/>
        </w:trPr>
        <w:tc>
          <w:tcPr>
            <w:tcW w:w="1000" w:type="dxa"/>
            <w:vAlign w:val="bottom"/>
          </w:tcPr>
          <w:p>
            <w:pPr>
              <w:spacing w:after="0"/>
              <w:rPr>
                <w:sz w:val="14"/>
                <w:szCs w:val="14"/>
                <w:color w:val="auto"/>
              </w:rPr>
            </w:pPr>
          </w:p>
        </w:tc>
        <w:tc>
          <w:tcPr>
            <w:tcW w:w="3880" w:type="dxa"/>
            <w:vAlign w:val="bottom"/>
          </w:tcPr>
          <w:p>
            <w:pPr>
              <w:ind w:left="900"/>
              <w:spacing w:after="0"/>
              <w:rPr>
                <w:sz w:val="20"/>
                <w:szCs w:val="20"/>
                <w:color w:val="auto"/>
              </w:rPr>
            </w:pPr>
            <w:r>
              <w:rPr>
                <w:rFonts w:ascii="Courier New" w:cs="Courier New" w:eastAsia="Courier New" w:hAnsi="Courier New"/>
                <w:sz w:val="14"/>
                <w:szCs w:val="14"/>
                <w:color w:val="auto"/>
              </w:rPr>
              <w:t>Corporation</w:t>
            </w:r>
          </w:p>
        </w:tc>
        <w:tc>
          <w:tcPr>
            <w:tcW w:w="356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Mr. Carter joined State Street Corporation and its principal subsidiary,</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State Street Bank and Trust Company, as President and Chief Operating</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Officer in 1991. He became Chief Executive Officer in 1992 and Chairman of</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the Board in 1993. State Street is a provider of services to institutional</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investors worldwide. Prior to joining State Street, Mr. Carter was with</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Chase Manhattan Bank for 15 years, and before that he served as an officer</w:t>
            </w:r>
          </w:p>
        </w:tc>
      </w:tr>
      <w:tr>
        <w:trPr>
          <w:trHeight w:val="166"/>
        </w:trPr>
        <w:tc>
          <w:tcPr>
            <w:tcW w:w="1000" w:type="dxa"/>
            <w:vAlign w:val="bottom"/>
          </w:tcPr>
          <w:p>
            <w:pPr>
              <w:spacing w:after="0"/>
              <w:rPr>
                <w:sz w:val="14"/>
                <w:szCs w:val="14"/>
                <w:color w:val="auto"/>
              </w:rPr>
            </w:pPr>
          </w:p>
        </w:tc>
        <w:tc>
          <w:tcPr>
            <w:tcW w:w="3880" w:type="dxa"/>
            <w:vAlign w:val="bottom"/>
          </w:tcPr>
          <w:p>
            <w:pPr>
              <w:ind w:left="900"/>
              <w:spacing w:after="0"/>
              <w:rPr>
                <w:sz w:val="20"/>
                <w:szCs w:val="20"/>
                <w:color w:val="auto"/>
              </w:rPr>
            </w:pPr>
            <w:r>
              <w:rPr>
                <w:rFonts w:ascii="Courier New" w:cs="Courier New" w:eastAsia="Courier New" w:hAnsi="Courier New"/>
                <w:sz w:val="14"/>
                <w:szCs w:val="14"/>
                <w:color w:val="auto"/>
              </w:rPr>
              <w:t>in the U.S. Marine Corps.</w:t>
            </w:r>
          </w:p>
        </w:tc>
        <w:tc>
          <w:tcPr>
            <w:tcW w:w="3560" w:type="dxa"/>
            <w:vAlign w:val="bottom"/>
          </w:tcPr>
          <w:p>
            <w:pPr>
              <w:spacing w:after="0"/>
              <w:rPr>
                <w:sz w:val="14"/>
                <w:szCs w:val="14"/>
                <w:color w:val="auto"/>
              </w:rPr>
            </w:pPr>
          </w:p>
        </w:tc>
      </w:tr>
      <w:tr>
        <w:trPr>
          <w:trHeight w:val="331"/>
        </w:trPr>
        <w:tc>
          <w:tcPr>
            <w:tcW w:w="1000" w:type="dxa"/>
            <w:vAlign w:val="bottom"/>
          </w:tcPr>
          <w:p>
            <w:pPr>
              <w:spacing w:after="0"/>
              <w:rPr>
                <w:sz w:val="24"/>
                <w:szCs w:val="24"/>
                <w:color w:val="auto"/>
              </w:rPr>
            </w:pPr>
          </w:p>
        </w:tc>
        <w:tc>
          <w:tcPr>
            <w:tcW w:w="3880" w:type="dxa"/>
            <w:vAlign w:val="bottom"/>
          </w:tcPr>
          <w:p>
            <w:pPr>
              <w:ind w:left="900"/>
              <w:spacing w:after="0"/>
              <w:rPr>
                <w:sz w:val="20"/>
                <w:szCs w:val="20"/>
                <w:color w:val="auto"/>
              </w:rPr>
            </w:pPr>
            <w:r>
              <w:rPr>
                <w:rFonts w:ascii="Courier New" w:cs="Courier New" w:eastAsia="Courier New" w:hAnsi="Courier New"/>
                <w:sz w:val="14"/>
                <w:szCs w:val="14"/>
                <w:color w:val="auto"/>
              </w:rPr>
              <w:t>Director since 1999</w:t>
            </w:r>
          </w:p>
        </w:tc>
        <w:tc>
          <w:tcPr>
            <w:tcW w:w="3560" w:type="dxa"/>
            <w:vAlign w:val="bottom"/>
          </w:tcPr>
          <w:p>
            <w:pPr>
              <w:ind w:left="380"/>
              <w:spacing w:after="0"/>
              <w:rPr>
                <w:sz w:val="20"/>
                <w:szCs w:val="20"/>
                <w:color w:val="auto"/>
              </w:rPr>
            </w:pPr>
            <w:r>
              <w:rPr>
                <w:rFonts w:ascii="Courier New" w:cs="Courier New" w:eastAsia="Courier New" w:hAnsi="Courier New"/>
                <w:sz w:val="14"/>
                <w:szCs w:val="14"/>
                <w:color w:val="auto"/>
              </w:rPr>
              <w:t>Age 59</w:t>
            </w:r>
          </w:p>
        </w:tc>
      </w:tr>
      <w:tr>
        <w:trPr>
          <w:trHeight w:val="166"/>
        </w:trPr>
        <w:tc>
          <w:tcPr>
            <w:tcW w:w="1000" w:type="dxa"/>
            <w:vAlign w:val="bottom"/>
          </w:tcPr>
          <w:p>
            <w:pPr>
              <w:spacing w:after="0"/>
              <w:rPr>
                <w:sz w:val="14"/>
                <w:szCs w:val="14"/>
                <w:color w:val="auto"/>
              </w:rPr>
            </w:pPr>
          </w:p>
        </w:tc>
        <w:tc>
          <w:tcPr>
            <w:tcW w:w="7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w:t>
            </w:r>
          </w:p>
        </w:tc>
      </w:tr>
      <w:tr>
        <w:trPr>
          <w:trHeight w:val="497"/>
        </w:trPr>
        <w:tc>
          <w:tcPr>
            <w:tcW w:w="1000" w:type="dxa"/>
            <w:vAlign w:val="bottom"/>
          </w:tcPr>
          <w:p>
            <w:pPr>
              <w:spacing w:after="0"/>
              <w:rPr>
                <w:sz w:val="24"/>
                <w:szCs w:val="24"/>
                <w:color w:val="auto"/>
              </w:rPr>
            </w:pPr>
          </w:p>
        </w:tc>
        <w:tc>
          <w:tcPr>
            <w:tcW w:w="3880" w:type="dxa"/>
            <w:vAlign w:val="bottom"/>
          </w:tcPr>
          <w:p>
            <w:pPr>
              <w:ind w:left="2360"/>
              <w:spacing w:after="0"/>
              <w:rPr>
                <w:sz w:val="20"/>
                <w:szCs w:val="20"/>
                <w:color w:val="auto"/>
              </w:rPr>
            </w:pPr>
            <w:r>
              <w:rPr>
                <w:rFonts w:ascii="Courier New" w:cs="Courier New" w:eastAsia="Courier New" w:hAnsi="Courier New"/>
                <w:sz w:val="14"/>
                <w:szCs w:val="14"/>
                <w:color w:val="auto"/>
              </w:rPr>
              <w:t>9</w:t>
            </w:r>
          </w:p>
        </w:tc>
        <w:tc>
          <w:tcPr>
            <w:tcW w:w="3560" w:type="dxa"/>
            <w:vAlign w:val="bottom"/>
          </w:tcPr>
          <w:p>
            <w:pPr>
              <w:spacing w:after="0"/>
              <w:rPr>
                <w:sz w:val="24"/>
                <w:szCs w:val="24"/>
                <w:color w:val="auto"/>
              </w:rPr>
            </w:pPr>
          </w:p>
        </w:tc>
      </w:tr>
    </w:tbl>
    <w:p>
      <w:pPr>
        <w:sectPr>
          <w:pgSz w:w="11900" w:h="16838" w:orient="portrait"/>
          <w:cols w:equalWidth="0" w:num="1">
            <w:col w:w="10159"/>
          </w:cols>
          <w:pgMar w:left="300" w:top="1113" w:right="1440"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[Photo]</w:t>
            </w: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ROBERT P. LUCIANO, Chairman Emeritus of Schering-Plough Corporation</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Mr. Luciano joined Schering-Plough Corporation, a manufacturer and marketer</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of pharmaceuticals and consumer products, in 1978. He served as President</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from 1980 to 1986, Chief Executive Officer from 1982 through 1995, and</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Chairman of the Board from 1984 through October 1998. He became Chairman</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Emeritus in October 1999. He is a director of C.R. Bard, Inc., Merrill Lynch</w:t>
            </w:r>
          </w:p>
        </w:tc>
      </w:tr>
      <w:tr>
        <w:trPr>
          <w:trHeight w:val="166"/>
        </w:trPr>
        <w:tc>
          <w:tcPr>
            <w:tcW w:w="1260" w:type="dxa"/>
            <w:vAlign w:val="bottom"/>
          </w:tcPr>
          <w:p>
            <w:pPr>
              <w:spacing w:after="0"/>
              <w:rPr>
                <w:sz w:val="14"/>
                <w:szCs w:val="14"/>
                <w:color w:val="auto"/>
              </w:rPr>
            </w:pPr>
          </w:p>
        </w:tc>
        <w:tc>
          <w:tcPr>
            <w:tcW w:w="3960" w:type="dxa"/>
            <w:vAlign w:val="bottom"/>
          </w:tcPr>
          <w:p>
            <w:pPr>
              <w:ind w:left="640"/>
              <w:spacing w:after="0"/>
              <w:rPr>
                <w:sz w:val="20"/>
                <w:szCs w:val="20"/>
                <w:color w:val="auto"/>
              </w:rPr>
            </w:pPr>
            <w:r>
              <w:rPr>
                <w:rFonts w:ascii="Courier New" w:cs="Courier New" w:eastAsia="Courier New" w:hAnsi="Courier New"/>
                <w:sz w:val="14"/>
                <w:szCs w:val="14"/>
                <w:color w:val="auto"/>
              </w:rPr>
              <w:t>&amp; Co. and Schering-Plough Corporation.</w:t>
            </w:r>
          </w:p>
        </w:tc>
        <w:tc>
          <w:tcPr>
            <w:tcW w:w="3220" w:type="dxa"/>
            <w:vAlign w:val="bottom"/>
          </w:tcPr>
          <w:p>
            <w:pPr>
              <w:spacing w:after="0"/>
              <w:rPr>
                <w:sz w:val="14"/>
                <w:szCs w:val="14"/>
                <w:color w:val="auto"/>
              </w:rPr>
            </w:pPr>
          </w:p>
        </w:tc>
      </w:tr>
      <w:tr>
        <w:trPr>
          <w:trHeight w:val="331"/>
        </w:trPr>
        <w:tc>
          <w:tcPr>
            <w:tcW w:w="1260" w:type="dxa"/>
            <w:vAlign w:val="bottom"/>
          </w:tcPr>
          <w:p>
            <w:pPr>
              <w:spacing w:after="0"/>
              <w:rPr>
                <w:sz w:val="24"/>
                <w:szCs w:val="24"/>
                <w:color w:val="auto"/>
              </w:rPr>
            </w:pPr>
          </w:p>
        </w:tc>
        <w:tc>
          <w:tcPr>
            <w:tcW w:w="3960" w:type="dxa"/>
            <w:vAlign w:val="bottom"/>
          </w:tcPr>
          <w:p>
            <w:pPr>
              <w:ind w:left="640"/>
              <w:spacing w:after="0"/>
              <w:rPr>
                <w:sz w:val="20"/>
                <w:szCs w:val="20"/>
                <w:color w:val="auto"/>
              </w:rPr>
            </w:pPr>
            <w:r>
              <w:rPr>
                <w:rFonts w:ascii="Courier New" w:cs="Courier New" w:eastAsia="Courier New" w:hAnsi="Courier New"/>
                <w:sz w:val="14"/>
                <w:szCs w:val="14"/>
                <w:color w:val="auto"/>
              </w:rPr>
              <w:t>Director since 1989</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Age 66</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w:t>
            </w: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[Photo]</w:t>
            </w: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JOHN R. STAFFORD, Chairman, President and Chief Executive Officer of</w:t>
            </w:r>
          </w:p>
        </w:tc>
      </w:tr>
      <w:tr>
        <w:trPr>
          <w:trHeight w:val="166"/>
        </w:trPr>
        <w:tc>
          <w:tcPr>
            <w:tcW w:w="1260" w:type="dxa"/>
            <w:vAlign w:val="bottom"/>
          </w:tcPr>
          <w:p>
            <w:pPr>
              <w:spacing w:after="0"/>
              <w:rPr>
                <w:sz w:val="14"/>
                <w:szCs w:val="14"/>
                <w:color w:val="auto"/>
              </w:rPr>
            </w:pPr>
          </w:p>
        </w:tc>
        <w:tc>
          <w:tcPr>
            <w:tcW w:w="3960" w:type="dxa"/>
            <w:vAlign w:val="bottom"/>
          </w:tcPr>
          <w:p>
            <w:pPr>
              <w:ind w:left="640"/>
              <w:spacing w:after="0"/>
              <w:rPr>
                <w:sz w:val="20"/>
                <w:szCs w:val="20"/>
                <w:color w:val="auto"/>
              </w:rPr>
            </w:pPr>
            <w:r>
              <w:rPr>
                <w:rFonts w:ascii="Courier New" w:cs="Courier New" w:eastAsia="Courier New" w:hAnsi="Courier New"/>
                <w:sz w:val="14"/>
                <w:szCs w:val="14"/>
                <w:color w:val="auto"/>
              </w:rPr>
              <w:t>American Home Products Corporation</w:t>
            </w:r>
          </w:p>
        </w:tc>
        <w:tc>
          <w:tcPr>
            <w:tcW w:w="3220" w:type="dxa"/>
            <w:vAlign w:val="bottom"/>
          </w:tcPr>
          <w:p>
            <w:pPr>
              <w:spacing w:after="0"/>
              <w:rPr>
                <w:sz w:val="14"/>
                <w:szCs w:val="14"/>
                <w:color w:val="auto"/>
              </w:rPr>
            </w:pP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Mr. Stafford has held a number of positions with American Home Products, a</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manufacturer of pharmaceutical, health care, animal health and agricultural</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products, since joining that company in 1970. He served as General Counsel,</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Vice President, Senior Vice President and Executive Vice President before</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becoming President in 1981, an office he held until 1990 and which he</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resumed in early 1994. Mr. Stafford was elected Chairman of the Board and</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Chief Executive Officer in 1986. He is also a director of Bell Atlantic</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Corporation, The Chase Manhattan Corporation and Deere &amp; Company.</w:t>
            </w:r>
          </w:p>
        </w:tc>
      </w:tr>
      <w:tr>
        <w:trPr>
          <w:trHeight w:val="331"/>
        </w:trPr>
        <w:tc>
          <w:tcPr>
            <w:tcW w:w="1260" w:type="dxa"/>
            <w:vAlign w:val="bottom"/>
          </w:tcPr>
          <w:p>
            <w:pPr>
              <w:spacing w:after="0"/>
              <w:rPr>
                <w:sz w:val="24"/>
                <w:szCs w:val="24"/>
                <w:color w:val="auto"/>
              </w:rPr>
            </w:pPr>
          </w:p>
        </w:tc>
        <w:tc>
          <w:tcPr>
            <w:tcW w:w="3960" w:type="dxa"/>
            <w:vAlign w:val="bottom"/>
          </w:tcPr>
          <w:p>
            <w:pPr>
              <w:ind w:left="640"/>
              <w:spacing w:after="0"/>
              <w:rPr>
                <w:sz w:val="20"/>
                <w:szCs w:val="20"/>
                <w:color w:val="auto"/>
              </w:rPr>
            </w:pPr>
            <w:r>
              <w:rPr>
                <w:rFonts w:ascii="Courier New" w:cs="Courier New" w:eastAsia="Courier New" w:hAnsi="Courier New"/>
                <w:sz w:val="14"/>
                <w:szCs w:val="14"/>
                <w:color w:val="auto"/>
              </w:rPr>
              <w:t>Director since 1993</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Age 62</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w:t>
            </w: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[Photo]</w:t>
            </w: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MICHAEL W. WRIGHT, Chairman of the Board, President and Chief Executive</w:t>
            </w:r>
          </w:p>
        </w:tc>
      </w:tr>
      <w:tr>
        <w:trPr>
          <w:trHeight w:val="166"/>
        </w:trPr>
        <w:tc>
          <w:tcPr>
            <w:tcW w:w="1260" w:type="dxa"/>
            <w:vAlign w:val="bottom"/>
          </w:tcPr>
          <w:p>
            <w:pPr>
              <w:spacing w:after="0"/>
              <w:rPr>
                <w:sz w:val="14"/>
                <w:szCs w:val="14"/>
                <w:color w:val="auto"/>
              </w:rPr>
            </w:pPr>
          </w:p>
        </w:tc>
        <w:tc>
          <w:tcPr>
            <w:tcW w:w="3960" w:type="dxa"/>
            <w:vAlign w:val="bottom"/>
          </w:tcPr>
          <w:p>
            <w:pPr>
              <w:ind w:left="640"/>
              <w:spacing w:after="0"/>
              <w:rPr>
                <w:sz w:val="20"/>
                <w:szCs w:val="20"/>
                <w:color w:val="auto"/>
              </w:rPr>
            </w:pPr>
            <w:r>
              <w:rPr>
                <w:rFonts w:ascii="Courier New" w:cs="Courier New" w:eastAsia="Courier New" w:hAnsi="Courier New"/>
                <w:sz w:val="14"/>
                <w:szCs w:val="14"/>
                <w:color w:val="auto"/>
              </w:rPr>
              <w:t>Officer, SUPERVALU INC.</w:t>
            </w:r>
          </w:p>
        </w:tc>
        <w:tc>
          <w:tcPr>
            <w:tcW w:w="3220" w:type="dxa"/>
            <w:vAlign w:val="bottom"/>
          </w:tcPr>
          <w:p>
            <w:pPr>
              <w:spacing w:after="0"/>
              <w:rPr>
                <w:sz w:val="14"/>
                <w:szCs w:val="14"/>
                <w:color w:val="auto"/>
              </w:rPr>
            </w:pP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Mr. Wright was elected President and Chief Operating Officer of SUPERVALU</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INC., a major food distributor and retailer, in 1978, Chief Executive</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Officer in 1981, and Chairman of the Board in 1982. He joined SUPERVALU INC.</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as Senior Vice President of Administration and as a member of the board of</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directors in 1977. Prior to 1977, Mr. Wright was a partner in the law firm</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of Dorsey &amp; Whitney. Mr. Wright is also a director of Cargill, Inc.,</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Musicland Stores Corporation, and Wells Fargo and Company. He was a director</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of Honeywell Inc. from April 1987 to December 1999.</w:t>
            </w:r>
          </w:p>
        </w:tc>
      </w:tr>
      <w:tr>
        <w:trPr>
          <w:trHeight w:val="331"/>
        </w:trPr>
        <w:tc>
          <w:tcPr>
            <w:tcW w:w="1260" w:type="dxa"/>
            <w:vAlign w:val="bottom"/>
          </w:tcPr>
          <w:p>
            <w:pPr>
              <w:spacing w:after="0"/>
              <w:rPr>
                <w:sz w:val="24"/>
                <w:szCs w:val="24"/>
                <w:color w:val="auto"/>
              </w:rPr>
            </w:pPr>
          </w:p>
        </w:tc>
        <w:tc>
          <w:tcPr>
            <w:tcW w:w="3960" w:type="dxa"/>
            <w:vAlign w:val="bottom"/>
          </w:tcPr>
          <w:p>
            <w:pPr>
              <w:ind w:left="640"/>
              <w:spacing w:after="0"/>
              <w:rPr>
                <w:sz w:val="20"/>
                <w:szCs w:val="20"/>
                <w:color w:val="auto"/>
              </w:rPr>
            </w:pPr>
            <w:r>
              <w:rPr>
                <w:rFonts w:ascii="Courier New" w:cs="Courier New" w:eastAsia="Courier New" w:hAnsi="Courier New"/>
                <w:sz w:val="14"/>
                <w:szCs w:val="14"/>
                <w:color w:val="auto"/>
              </w:rPr>
              <w:t>Director since 1999</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Age 61</w:t>
            </w:r>
          </w:p>
        </w:tc>
      </w:tr>
      <w:tr>
        <w:trPr>
          <w:trHeight w:val="166"/>
        </w:trPr>
        <w:tc>
          <w:tcPr>
            <w:tcW w:w="1260" w:type="dxa"/>
            <w:vAlign w:val="bottom"/>
          </w:tcPr>
          <w:p>
            <w:pPr>
              <w:spacing w:after="0"/>
              <w:rPr>
                <w:sz w:val="14"/>
                <w:szCs w:val="14"/>
                <w:color w:val="auto"/>
              </w:rPr>
            </w:pPr>
          </w:p>
        </w:tc>
        <w:tc>
          <w:tcPr>
            <w:tcW w:w="71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DIRECTOR COMPENSATION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Directors who are employees of the Company receive no compensation for service on the Board. Each non-employee director receives an annual Board retainer of $50,000, of which $15,000 is automatically credited to the director's account in the Deferred Compensation Plan for Non-Employee Directors in the form of common stock equivalents (which are only payable after termination of Board service). They also receive a fee of $1,500 for Board meetings attended on any day (nine during 1999),</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1113" w:right="1440" w:bottom="1440" w:gutter="0" w:footer="0" w:header="0"/>
        </w:sectPr>
      </w:pPr>
    </w:p>
    <w:bookmarkStart w:id="14" w:name="page15"/>
    <w:bookmarkEnd w:id="14"/>
    <w:p>
      <w:pPr>
        <w:ind w:right="3259"/>
        <w:spacing w:after="0" w:line="251" w:lineRule="auto"/>
        <w:rPr>
          <w:sz w:val="20"/>
          <w:szCs w:val="20"/>
          <w:color w:val="auto"/>
        </w:rPr>
      </w:pPr>
      <w:r>
        <w:rPr>
          <w:rFonts w:ascii="Courier New" w:cs="Courier New" w:eastAsia="Courier New" w:hAnsi="Courier New"/>
          <w:sz w:val="14"/>
          <w:szCs w:val="14"/>
          <w:color w:val="auto"/>
        </w:rPr>
        <w:t>an annual retainer of $5,400 for each Board Committee served, and an additional Committee Chair retainer of $4,000 for the Audit and Management Development and Compensation Committees and $2,000 for all other Board Committees. While no fees are generally paid for attending Committee meetings, a $1,000 fee is paid for attendance at a Committee meeting, or other extraordinary meeting related to Board business which occurs apart from a Board meeting. Non-employee directors are also provided with $350,000 in business travel accident insurance and are eligible to elect $100,000 in term life insurance and medical and dental coverage for themselves and their eligible dependents.</w:t>
      </w:r>
    </w:p>
    <w:p>
      <w:pPr>
        <w:spacing w:after="0" w:line="163"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Directors may elect to defer, until a specified calendar year or retirement from the Board, all or any portion of their annual retainers and fees that are not automatically deferred and to have such compensation credited to their account in the Deferred Compensation Plan. Amounts credited either accrue interest (11% for 2000) or are valued as if invested in common stock equivalents or one of the other funds available to participants in the Company's savings plan. Amounts deferred in a Common Stock account earn amounts equivalent to dividends. Upon a change of control, a director will be entitled to a lump-sum cash payment of all deferred amounts.</w:t>
      </w:r>
    </w:p>
    <w:p>
      <w:pPr>
        <w:spacing w:after="0" w:line="163" w:lineRule="exact"/>
        <w:rPr>
          <w:sz w:val="20"/>
          <w:szCs w:val="20"/>
          <w:color w:val="auto"/>
        </w:rPr>
      </w:pPr>
    </w:p>
    <w:p>
      <w:pPr>
        <w:ind w:right="3259" w:firstLine="344"/>
        <w:spacing w:after="0" w:line="250" w:lineRule="auto"/>
        <w:rPr>
          <w:sz w:val="20"/>
          <w:szCs w:val="20"/>
          <w:color w:val="auto"/>
        </w:rPr>
      </w:pPr>
      <w:r>
        <w:rPr>
          <w:rFonts w:ascii="Courier New" w:cs="Courier New" w:eastAsia="Courier New" w:hAnsi="Courier New"/>
          <w:sz w:val="14"/>
          <w:szCs w:val="14"/>
          <w:color w:val="auto"/>
        </w:rPr>
        <w:t>Under the Stock Plan for Non-Employee Directors, each new director receives a one-time grant of 3,000 shares of Common Stock, which are subject to transfer restrictions until the director's service terminates with the consent of a majority of the Board, provided termination occurs at or after age 65. During the restricted period, the director has the right to receive dividends on and the right to vote the shares. At the end of the restricted period, the director is entitled to one-fifth of the shares granted for each year of service (up to five). However, the shares will be forfeited if the director's service terminates (other than for death or disability) prior to the end of the restricted period. The Plan also provides for an annual grant to each director of options to purchase 2,000 shares of Common Stock at 100% of the fair market value on the date of grant. Option grants vest in cumulative installments of 40% on April 1 of the year following the grant date and an additional 30% on April 1 of each of the next two years.</w:t>
      </w:r>
    </w:p>
    <w:p>
      <w:pPr>
        <w:spacing w:after="0" w:line="171"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ITEM 2 -- APPROVAL OF INDEPENDENT ACCOUNTANTS</w:t>
      </w:r>
    </w:p>
    <w:p>
      <w:pPr>
        <w:spacing w:after="0" w:line="173"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Upon the recommendation of the Audit Committee, which is composed entirely of independent directors, the Board of Directors has appointed PricewaterhouseCoopers LLP ('PwC') as independent accountants for the Company to audit its consolidated financial statements for 2000 and to perform audit-related services, including review of the Company's quarterly interim financial information and periodic reports and registration statements filed with the Securities and Exchange Commission and consultation in connection with various accounting and financial reporting matters. PwC also performs non-audit services for the Company.</w:t>
      </w:r>
    </w:p>
    <w:p>
      <w:pPr>
        <w:spacing w:after="0" w:line="329" w:lineRule="exact"/>
        <w:rPr>
          <w:sz w:val="20"/>
          <w:szCs w:val="20"/>
          <w:color w:val="auto"/>
        </w:rPr>
      </w:pPr>
    </w:p>
    <w:p>
      <w:pPr>
        <w:ind w:right="3259" w:firstLine="344"/>
        <w:spacing w:after="0" w:line="252" w:lineRule="auto"/>
        <w:rPr>
          <w:sz w:val="20"/>
          <w:szCs w:val="20"/>
          <w:color w:val="auto"/>
        </w:rPr>
      </w:pPr>
      <w:r>
        <w:rPr>
          <w:rFonts w:ascii="Courier New" w:cs="Courier New" w:eastAsia="Courier New" w:hAnsi="Courier New"/>
          <w:sz w:val="14"/>
          <w:szCs w:val="14"/>
          <w:color w:val="auto"/>
        </w:rPr>
        <w:t>The Board has directed that the appointment of PwC be submitted to the shareowners for approval. If the shareowners do not approve, the Audit Committee and the Board will reconsider the appointment.</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Total fees for services rendered by PwC in 1999 to the Company and its subsidiaries worldwide were approximately $17.5 million. The Company has been advised by PwC that it will have a representative present at the Annual Meeting who will be available to respond to appropriate questions. The representative will also have the opportunity to make a statement if he desires to do so.</w:t>
      </w:r>
    </w:p>
    <w:p>
      <w:pPr>
        <w:spacing w:after="0" w:line="164" w:lineRule="exact"/>
        <w:rPr>
          <w:sz w:val="20"/>
          <w:szCs w:val="20"/>
          <w:color w:val="auto"/>
        </w:rPr>
      </w:pPr>
    </w:p>
    <w:p>
      <w:pPr>
        <w:ind w:right="3259" w:firstLine="344"/>
        <w:spacing w:after="0" w:line="255" w:lineRule="auto"/>
        <w:rPr>
          <w:sz w:val="20"/>
          <w:szCs w:val="20"/>
          <w:color w:val="auto"/>
        </w:rPr>
      </w:pPr>
      <w:r>
        <w:rPr>
          <w:rFonts w:ascii="Courier New" w:cs="Courier New" w:eastAsia="Courier New" w:hAnsi="Courier New"/>
          <w:sz w:val="14"/>
          <w:szCs w:val="14"/>
          <w:color w:val="auto"/>
        </w:rPr>
        <w:t>THE BOARD OF DIRECTORS RECOMMENDS THAT THE SHAREOWNERS VOTE FOR THE APPROVAL OF THE APPOINTMENT OF PRICEWATERHOUSECOOPERS LLP AS INDEPENDENT ACCOUNTANTS.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451" w:right="1440" w:bottom="1440" w:gutter="0" w:footer="0" w:header="0"/>
        </w:sectPr>
      </w:pPr>
    </w:p>
    <w:bookmarkStart w:id="15" w:name="page16"/>
    <w:bookmarkEnd w:id="15"/>
    <w:p>
      <w:pPr>
        <w:ind w:left="2240"/>
        <w:spacing w:after="0"/>
        <w:rPr>
          <w:sz w:val="20"/>
          <w:szCs w:val="20"/>
          <w:color w:val="auto"/>
        </w:rPr>
      </w:pPr>
      <w:r>
        <w:rPr>
          <w:rFonts w:ascii="Courier New" w:cs="Courier New" w:eastAsia="Courier New" w:hAnsi="Courier New"/>
          <w:sz w:val="14"/>
          <w:szCs w:val="14"/>
          <w:color w:val="auto"/>
        </w:rPr>
        <w:t>STOCK OWNERSHIP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COMPLIANCE WITH BENEFICIAL OWNERSHIP REPORTING REQUIREMENTS</w:t>
      </w:r>
    </w:p>
    <w:p>
      <w:pPr>
        <w:spacing w:after="0" w:line="173"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The rules of the Securities and Exchange Commission require that the Company disclose late filings of reports of stock ownership (and changes in stock ownership) by its directors and executive officers. To the best of the Company's knowledge, all of the filings for the Company's executive officers and directors were made on a timely basis in 1999.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 PERCENT OWNER OF COMPANY STOCK</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As of December 31, 1999, State Street Bank and Trust Company, 225 Franklin Street, Boston, Massachusetts, 02101 held 52,278,309 shares or approximately 6.5% of the outstanding common stock as trustee of certain of the Company's savings plans. Under the terms of the plans, State Street is required to vote shares attributable to any participant in accordance with instructions received from the participant and to vote all shares for which it does not receive instructions in the same ratio as the shares for which instructions were received. State Street disclaims beneficial ownership of the shares referred to above. State Street also held 13,425,224 shares, or approximately 1.76% of the outstanding Common Stock in various other fiduciary capacities.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OWNERSHIP OF DIRECTORS AND EXECUTIVE OFFICERS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general, 'beneficial ownership' includes those shares a director or executive officer has the power to vote or transfer, and stock options that are exercisable currently or within 60 days. On January 31, 2000, the directors and executive officers of the Company beneficially owned, in the aggregate, 6,970,373 shares of common stock which are included in the table below. Directors and executive officers also have interests in stock-based units under Company plans. While these units may not be voted or transferred, we have included them in the table below as they represent the total economic interest of the directors and executive officers in Company stock.</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Number of</w:t>
            </w:r>
          </w:p>
        </w:tc>
      </w:tr>
      <w:tr>
        <w:trPr>
          <w:trHeight w:val="166"/>
        </w:trPr>
        <w:tc>
          <w:tcPr>
            <w:tcW w:w="4780" w:type="dxa"/>
            <w:vAlign w:val="bottom"/>
          </w:tcPr>
          <w:p>
            <w:pPr>
              <w:ind w:left="700"/>
              <w:spacing w:after="0"/>
              <w:rPr>
                <w:sz w:val="20"/>
                <w:szCs w:val="20"/>
                <w:color w:val="auto"/>
              </w:rPr>
            </w:pPr>
            <w:r>
              <w:rPr>
                <w:rFonts w:ascii="Courier New" w:cs="Courier New" w:eastAsia="Courier New" w:hAnsi="Courier New"/>
                <w:sz w:val="14"/>
                <w:szCs w:val="14"/>
                <w:color w:val="auto"/>
              </w:rPr>
              <w:t>Name</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Shares(1)(2)(3)</w:t>
            </w:r>
          </w:p>
        </w:tc>
      </w:tr>
      <w:tr>
        <w:trPr>
          <w:trHeight w:val="166"/>
        </w:trPr>
        <w:tc>
          <w:tcPr>
            <w:tcW w:w="478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Hans W. Becherer......................................</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26,370</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Gordon M. Bethune.....................................</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4,517</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Michael R. Bonsignore.................................</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1,639,986</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Lawrence A. Bossidy...................................</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3,658,667</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Marshall N. Carter....................................</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16,259</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Jaime Chico Pardo.....................................</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9,429</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Giannantonio Ferrari..................................</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372,530</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Ann M. Fudge..........................................</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15,841</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James J. Howard.......................................</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34,507</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Robert D. Johnson.....................................</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71,090</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Bruce Karatz..........................................</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26,348</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Peter M. Kreindler....................................</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253,688</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Robert M. Luciano.....................................</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20,924</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Russell E. Palmer.....................................</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17,671</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Ivan G. Seidenberg....................................</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15,719</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Andrew C. Sigler......................................</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27,580</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John R. Stafford......................................</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38,790</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Richard F. Wallman....................................</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332,471</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Michael W. Wright.....................................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39,421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right="3259" w:hanging="352"/>
        <w:spacing w:after="0" w:line="252" w:lineRule="auto"/>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beneficial ownership for any individual is less than 0.5%, and the total for the group is less than 0.9%, of the shares of Common Stock outstanding.</w:t>
      </w:r>
    </w:p>
    <w:p>
      <w:pPr>
        <w:spacing w:after="0" w:line="162" w:lineRule="exact"/>
        <w:rPr>
          <w:rFonts w:ascii="Courier New" w:cs="Courier New" w:eastAsia="Courier New" w:hAnsi="Courier New"/>
          <w:sz w:val="14"/>
          <w:szCs w:val="14"/>
          <w:color w:val="auto"/>
        </w:rPr>
      </w:pPr>
    </w:p>
    <w:p>
      <w:pPr>
        <w:ind w:left="360" w:right="3519" w:hanging="352"/>
        <w:spacing w:after="0" w:line="252" w:lineRule="auto"/>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following number of shares or share-equivalents in deferred accounts, as to which no voting or investment power exists: Mr. Becherer, 12,170; Mr. Bethune, 1,517; Mr. Bossidy, 23,505;</w:t>
      </w:r>
    </w:p>
    <w:p>
      <w:pPr>
        <w:spacing w:after="0" w:line="163"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4"/>
          <w:szCs w:val="14"/>
          <w:color w:val="auto"/>
        </w:rPr>
        <w:t>(footnotes continued on next page)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616"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(footnotes continued from previous page)</w:t>
      </w:r>
    </w:p>
    <w:p>
      <w:pPr>
        <w:spacing w:after="0" w:line="173" w:lineRule="exact"/>
        <w:rPr>
          <w:sz w:val="20"/>
          <w:szCs w:val="20"/>
          <w:color w:val="auto"/>
        </w:rPr>
      </w:pPr>
    </w:p>
    <w:p>
      <w:pPr>
        <w:ind w:left="360" w:right="3439"/>
        <w:spacing w:after="0" w:line="250" w:lineRule="auto"/>
        <w:rPr>
          <w:sz w:val="20"/>
          <w:szCs w:val="20"/>
          <w:color w:val="auto"/>
        </w:rPr>
      </w:pPr>
      <w:r>
        <w:rPr>
          <w:rFonts w:ascii="Courier New" w:cs="Courier New" w:eastAsia="Courier New" w:hAnsi="Courier New"/>
          <w:sz w:val="14"/>
          <w:szCs w:val="14"/>
          <w:color w:val="auto"/>
        </w:rPr>
        <w:t>Mr. Bonsignore, 159; Mr. Carter, 1,759; Mr. Chico Pardo, 3,279; Ms. Fudge, 1,641; Mr. Howard, 26,711; Mr. Karatz, 16,957; Mr. Kreindler, 20,834;</w:t>
      </w:r>
    </w:p>
    <w:p>
      <w:pPr>
        <w:spacing w:after="0" w:line="1" w:lineRule="exact"/>
        <w:rPr>
          <w:sz w:val="20"/>
          <w:szCs w:val="20"/>
          <w:color w:val="auto"/>
        </w:rPr>
      </w:pPr>
    </w:p>
    <w:p>
      <w:pPr>
        <w:ind w:left="360" w:right="3259"/>
        <w:spacing w:after="0" w:line="252" w:lineRule="auto"/>
        <w:rPr>
          <w:sz w:val="20"/>
          <w:szCs w:val="20"/>
          <w:color w:val="auto"/>
        </w:rPr>
      </w:pPr>
      <w:r>
        <w:rPr>
          <w:rFonts w:ascii="Courier New" w:cs="Courier New" w:eastAsia="Courier New" w:hAnsi="Courier New"/>
          <w:sz w:val="14"/>
          <w:szCs w:val="14"/>
          <w:color w:val="auto"/>
        </w:rPr>
        <w:t>Mr. Luciano, 4,724; Mr. Palmer, 4,471; Mr. Seidenberg, 6,519; Mr. Sigler, 9,380; Mr. Stafford, 8,590; Mr. Wallman, 21,134; Mr. Wright, 34,171; and all directors and executive officers as a group, 218,863.</w:t>
      </w:r>
    </w:p>
    <w:p>
      <w:pPr>
        <w:spacing w:after="0" w:line="163" w:lineRule="exact"/>
        <w:rPr>
          <w:sz w:val="20"/>
          <w:szCs w:val="20"/>
          <w:color w:val="auto"/>
        </w:rPr>
      </w:pPr>
    </w:p>
    <w:p>
      <w:pPr>
        <w:ind w:left="360" w:right="3259" w:hanging="352"/>
        <w:spacing w:after="0" w:line="250"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shares which the following have the right to acquire within 60 days through the exercise of vested stock options: Mr. Becherer, 8,200;</w:t>
      </w:r>
    </w:p>
    <w:p>
      <w:pPr>
        <w:ind w:left="360"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Mr. Bossidy, 2,520,000; Mr. Bonsignore, 1,377,312; Mr. Ferrari, 292,460; Ms. Fudge, 8,200; Mr. Johnson, 70,000; Mr. Kreindler, 220,000; Mr. Luciano, 8,200; Mr. Palmer, 6,200; Mr. Seidenberg, 6,200; Mr. Sigler, 8,200;</w:t>
      </w:r>
    </w:p>
    <w:p>
      <w:pPr>
        <w:spacing w:after="0" w:line="1" w:lineRule="exact"/>
        <w:rPr>
          <w:rFonts w:ascii="Courier New" w:cs="Courier New" w:eastAsia="Courier New" w:hAnsi="Courier New"/>
          <w:sz w:val="14"/>
          <w:szCs w:val="14"/>
          <w:color w:val="auto"/>
        </w:rPr>
      </w:pPr>
    </w:p>
    <w:p>
      <w:pPr>
        <w:ind w:left="360" w:right="34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Mr. Stafford, 8,200; Mr. Wallman, 309,000; and all directors and executive officers as a group, 5,317,171.</w:t>
      </w:r>
    </w:p>
    <w:p>
      <w:pPr>
        <w:spacing w:after="0" w:line="160"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REPORT ON EXECUTIVE COMPENSATION</w:t>
      </w:r>
    </w:p>
    <w:p>
      <w:pPr>
        <w:spacing w:after="0" w:line="173"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The Management Development and Compensation Committee of the Board of Directors, subject to the approval of the Board of Directors, determines the compensation of the Company's executive officers and oversees the administration of executive compensation programs. The Committee is composed entirely of independent directors.</w:t>
      </w:r>
    </w:p>
    <w:p>
      <w:pPr>
        <w:spacing w:after="0" w:line="164"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Since AlliedSignal Inc. and Honeywell Inc. merged on December 1, 1999 to form Honeywell International, this Report will also discuss compensation paid to executives for 1999 based on the compensation policies and programs of Honeywell Inc., as appropriate. At the time of the merger, each share of Honeywell Inc. common stock was converted into a right to receive 1.875 shares of Honeywell International Inc. common stock. All data regarding common stock in this Report reflects the conversion.</w:t>
      </w:r>
    </w:p>
    <w:p>
      <w:pPr>
        <w:spacing w:after="0" w:line="16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EXECUTIVE COMPENSATION POLICIES AND PROGRAMS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Company's executive compensation programs are designed to attract and retain highly qualified executives and to motivate them to maximize shareowner returns by achieving aggressive goals. The programs link each executive's compensation directly to performance. A significant portion of each executive's compensation is dependent upon stock price appreciation and meeting financial goals and other individual performance objectives.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Each year, the Committee reviews the executive compensation policies with respect to the linkage between executive compensation and the creation of shareowner value, as well as competitiveness of the programs. In 1999, the Committee re-examined all aspects of the executive compensation strategy and programs in connection with the merger. The Committee determines what changes, if any, are appropriate in the compensation programs. With Board authorization, the Committee approves salary actions and determines the amount of annual bonus and the number and amount of long-term awards for officers.</w:t>
      </w:r>
    </w:p>
    <w:p>
      <w:pPr>
        <w:spacing w:after="0" w:line="163"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The Company intends to the extent practicable, to preserve deductibility under the Internal Revenue Code of compensation paid to its executive officers while maintaining compensation programs to attract and retain highly qualified executives in a competitive environment. Accordingly, compensation paid under the Company's stock plan and incentive compensation plan is generally deductible although certain compensation paid to some executives may not be deductible.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COMPONENTS OF COMPENSATION</w:t>
      </w:r>
    </w:p>
    <w:p>
      <w:pPr>
        <w:spacing w:after="0" w:line="173" w:lineRule="exact"/>
        <w:rPr>
          <w:sz w:val="20"/>
          <w:szCs w:val="20"/>
          <w:color w:val="auto"/>
        </w:rPr>
      </w:pPr>
    </w:p>
    <w:p>
      <w:pPr>
        <w:ind w:right="3439" w:firstLine="344"/>
        <w:spacing w:after="0" w:line="251" w:lineRule="auto"/>
        <w:rPr>
          <w:sz w:val="20"/>
          <w:szCs w:val="20"/>
          <w:color w:val="auto"/>
        </w:rPr>
      </w:pPr>
      <w:r>
        <w:rPr>
          <w:rFonts w:ascii="Courier New" w:cs="Courier New" w:eastAsia="Courier New" w:hAnsi="Courier New"/>
          <w:sz w:val="14"/>
          <w:szCs w:val="14"/>
          <w:color w:val="auto"/>
        </w:rPr>
        <w:t>There are three basic components to the Company's 'pay for performance' system: base pay; annual incentive bonus; and long-term incentive compensation (primarily stock options). Each component is addressed in the context of competitive conditions. In determining competitive compensation levels, the Company analyzes information from several independent surveys which include information regarding industrial companies which compete with us for executive talent.</w:t>
      </w:r>
    </w:p>
    <w:p>
      <w:pPr>
        <w:spacing w:after="0" w:line="164" w:lineRule="exact"/>
        <w:rPr>
          <w:sz w:val="20"/>
          <w:szCs w:val="20"/>
          <w:color w:val="auto"/>
        </w:rPr>
      </w:pPr>
    </w:p>
    <w:p>
      <w:pPr>
        <w:ind w:right="3439" w:firstLine="344"/>
        <w:spacing w:after="0" w:line="252" w:lineRule="auto"/>
        <w:rPr>
          <w:sz w:val="20"/>
          <w:szCs w:val="20"/>
          <w:color w:val="auto"/>
        </w:rPr>
      </w:pPr>
      <w:r>
        <w:rPr>
          <w:rFonts w:ascii="Courier New" w:cs="Courier New" w:eastAsia="Courier New" w:hAnsi="Courier New"/>
          <w:sz w:val="14"/>
          <w:szCs w:val="14"/>
          <w:color w:val="auto"/>
        </w:rPr>
        <w:t>Base Pay. Base pay is designed to be competitive within 20% above or below median salary levels at other large industrial companies for equivalent positions. The executive's actual salary relative to this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450" w:right="1440" w:bottom="1440" w:gutter="0" w:footer="0" w:header="0"/>
        </w:sectPr>
      </w:pPr>
    </w:p>
    <w:bookmarkStart w:id="17" w:name="page18"/>
    <w:bookmarkEnd w:id="17"/>
    <w:p>
      <w:pPr>
        <w:ind w:right="4299"/>
        <w:spacing w:after="0" w:line="255" w:lineRule="auto"/>
        <w:rPr>
          <w:sz w:val="20"/>
          <w:szCs w:val="20"/>
          <w:color w:val="auto"/>
        </w:rPr>
      </w:pPr>
      <w:r>
        <w:rPr>
          <w:rFonts w:ascii="Courier New" w:cs="Courier New" w:eastAsia="Courier New" w:hAnsi="Courier New"/>
          <w:sz w:val="14"/>
          <w:szCs w:val="14"/>
          <w:color w:val="auto"/>
        </w:rPr>
        <w:t>competitive framework varies based on individual performance and the individual's skills, experience and background.</w:t>
      </w:r>
    </w:p>
    <w:p>
      <w:pPr>
        <w:spacing w:after="0" w:line="160" w:lineRule="exact"/>
        <w:rPr>
          <w:sz w:val="20"/>
          <w:szCs w:val="20"/>
          <w:color w:val="auto"/>
        </w:rPr>
      </w:pPr>
    </w:p>
    <w:p>
      <w:pPr>
        <w:ind w:right="3439" w:firstLine="344"/>
        <w:spacing w:after="0" w:line="250" w:lineRule="auto"/>
        <w:rPr>
          <w:sz w:val="20"/>
          <w:szCs w:val="20"/>
          <w:color w:val="auto"/>
        </w:rPr>
      </w:pPr>
      <w:r>
        <w:rPr>
          <w:rFonts w:ascii="Courier New" w:cs="Courier New" w:eastAsia="Courier New" w:hAnsi="Courier New"/>
          <w:sz w:val="14"/>
          <w:szCs w:val="14"/>
          <w:color w:val="auto"/>
        </w:rPr>
        <w:t>Annual Incentive Bonus. Award levels, like the base salary levels, are set with reference to competitive conditions and are intended to motivate the executives by providing substantial bonus payments for the achievement of aggressive goals. The actual amounts paid for 1999 were determined by performance based on two factors: first, financial performance, which was measured against objectives established for cash flow, productivity increases and revenue growth; and second, the individual executive's performance against other specific management objectives, such as increasing the use of Six Sigma processes and improving customer satisfaction. Financial objectives were given greater weight than other management objectives in determining bonus payments. The types and relative importance of specific financial and other business objectives varied among the Company's executives depending on their positions and the particular operations or functions for which they were responsible.</w:t>
      </w:r>
    </w:p>
    <w:p>
      <w:pPr>
        <w:spacing w:after="0" w:line="171" w:lineRule="exact"/>
        <w:rPr>
          <w:sz w:val="20"/>
          <w:szCs w:val="20"/>
          <w:color w:val="auto"/>
        </w:rPr>
      </w:pPr>
    </w:p>
    <w:p>
      <w:pPr>
        <w:ind w:right="3439" w:firstLine="344"/>
        <w:spacing w:after="0" w:line="251" w:lineRule="auto"/>
        <w:rPr>
          <w:sz w:val="20"/>
          <w:szCs w:val="20"/>
          <w:color w:val="auto"/>
        </w:rPr>
      </w:pPr>
      <w:r>
        <w:rPr>
          <w:rFonts w:ascii="Courier New" w:cs="Courier New" w:eastAsia="Courier New" w:hAnsi="Courier New"/>
          <w:sz w:val="14"/>
          <w:szCs w:val="14"/>
          <w:color w:val="auto"/>
        </w:rPr>
        <w:t>Long Term Incentive Compensation. The principal purpose of the long-term incentive compensation program is to encourage the Company's executives to enhance the value of the Company and, hence, the price of the Common Stock and the shareowners' return. The long-term incentive component of the compensation system (through extended vesting) is also designed to create an incentive for the individual to remain with the Company. The Committee approved the termination of a previously existing cash-based incentive award program and replaced it with long-term equity awards as described below.</w:t>
      </w:r>
    </w:p>
    <w:p>
      <w:pPr>
        <w:spacing w:after="0" w:line="163"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The long-term, equity-based compensation program consists primarily of stock option grants that vest over a multi-year period. The Company periodically grants new awards to provide continuing incentives for future performance. Like the annual bonus, award levels are set with regard to competitive considerations, and each individual's actual award is based upon the individual's performance, potential for increased responsibility and contributions, leadership ability and commitment to the Company's strategic efforts.</w:t>
      </w:r>
    </w:p>
    <w:p>
      <w:pPr>
        <w:spacing w:after="0" w:line="32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addition to stock options, awards of restricted units, each of which entitles the holder to one share of Common Stock on vesting (or cash in the Committee's discretion), may be made on a select basis to individual executives in order to enhance the incentive for them to remain with the Company. These units vest over an extended period of up to ten years.</w:t>
      </w:r>
    </w:p>
    <w:p>
      <w:pPr>
        <w:spacing w:after="0" w:line="164"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Shortly following the closing of the merger in December 1999, the Committee approved stock option grants to executive officers, a portion of which vest only upon satisfaction of performance conditions tied to growth in earnings per share. These performance conditions parallel the vesting conditions for Mr. Bonsignore's performance options as provided in his employment agreement described below. The timing of these option grants was designed to link executive and shareowner interest immediately following the merger. These awards were intended to replace the annual grant for 2000 that would have typically been made in the first quarter.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THE CHIEF EXECUTIVE OFFICERS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determining the compensation of the Chief Executive Officers, the Committee considers three factors: the absolute and relative performance of the business (particularly in determining bonus awards); the market for such positions (in establishing total compensation levels); and the Company's compensation strategy (in determining the mix of pay components).</w:t>
      </w:r>
    </w:p>
    <w:p>
      <w:pPr>
        <w:spacing w:after="0" w:line="164" w:lineRule="exact"/>
        <w:rPr>
          <w:sz w:val="20"/>
          <w:szCs w:val="20"/>
          <w:color w:val="auto"/>
        </w:rPr>
      </w:pPr>
    </w:p>
    <w:p>
      <w:pPr>
        <w:ind w:right="3259" w:firstLine="344"/>
        <w:spacing w:after="0" w:line="252" w:lineRule="auto"/>
        <w:rPr>
          <w:sz w:val="20"/>
          <w:szCs w:val="20"/>
          <w:color w:val="auto"/>
        </w:rPr>
      </w:pPr>
      <w:r>
        <w:rPr>
          <w:rFonts w:ascii="Courier New" w:cs="Courier New" w:eastAsia="Courier New" w:hAnsi="Courier New"/>
          <w:sz w:val="14"/>
          <w:szCs w:val="14"/>
          <w:color w:val="auto"/>
        </w:rPr>
        <w:t>In general, the Company's strategy is to emphasize linkage to shareowner returns through a predominant emphasis on stock options in the total compensation mix. Both Mr. Bossidy and Mr. Bonsignore receive periodic grants of stock options with vesting tied to achievement of performance goals.</w:t>
      </w:r>
    </w:p>
    <w:p>
      <w:pPr>
        <w:spacing w:after="0" w:line="162" w:lineRule="exact"/>
        <w:rPr>
          <w:sz w:val="20"/>
          <w:szCs w:val="20"/>
          <w:color w:val="auto"/>
        </w:rPr>
      </w:pPr>
    </w:p>
    <w:p>
      <w:pPr>
        <w:ind w:right="3439" w:firstLine="344"/>
        <w:spacing w:after="0" w:line="251" w:lineRule="auto"/>
        <w:rPr>
          <w:sz w:val="20"/>
          <w:szCs w:val="20"/>
          <w:color w:val="auto"/>
        </w:rPr>
      </w:pPr>
      <w:r>
        <w:rPr>
          <w:rFonts w:ascii="Courier New" w:cs="Courier New" w:eastAsia="Courier New" w:hAnsi="Courier New"/>
          <w:sz w:val="14"/>
          <w:szCs w:val="14"/>
          <w:color w:val="auto"/>
        </w:rPr>
        <w:t>The primary factors considered in determining bonus payments include performance vs. plan for financial results (including revenue growth, earnings and cash flow), performance relative to peer companies and strategic achievements. For 1999, the significance of the merger as a critical strategic accomplishment with excellent prospects for shareowner value creation resulted in special bonus awards of $1,000,000 for each chief executive officer.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616" w:right="1440" w:bottom="1440" w:gutter="0" w:footer="0" w:header="0"/>
        </w:sectPr>
      </w:pPr>
    </w:p>
    <w:bookmarkStart w:id="18" w:name="page19"/>
    <w:bookmarkEnd w:id="18"/>
    <w:p>
      <w:pPr>
        <w:ind w:right="3339" w:firstLine="344"/>
        <w:spacing w:after="0" w:line="251" w:lineRule="auto"/>
        <w:rPr>
          <w:sz w:val="20"/>
          <w:szCs w:val="20"/>
          <w:color w:val="auto"/>
        </w:rPr>
      </w:pPr>
      <w:r>
        <w:rPr>
          <w:rFonts w:ascii="Courier New" w:cs="Courier New" w:eastAsia="Courier New" w:hAnsi="Courier New"/>
          <w:sz w:val="14"/>
          <w:szCs w:val="14"/>
          <w:color w:val="auto"/>
        </w:rPr>
        <w:t>Compensation of Lawrence A. Bossidy. Under Mr. Bossidy's employment agreement, he is entitled to an annual salary of $2,000,000, which has remained unchanged since 1994. Based on the Company's financial performance in 1999 (which included a 15% increase in ongoing earnings per share, a 21% increase in free cash flow and a 14% increase in ongoing net income), a 30% increase in the price of the Common Stock and the results of the Company's Six Sigma program, the Committee awarded Mr. Bossidy a bonus of $5,000,000.</w:t>
      </w:r>
    </w:p>
    <w:p>
      <w:pPr>
        <w:spacing w:after="0" w:line="164" w:lineRule="exact"/>
        <w:rPr>
          <w:sz w:val="20"/>
          <w:szCs w:val="20"/>
          <w:color w:val="auto"/>
        </w:rPr>
      </w:pPr>
    </w:p>
    <w:p>
      <w:pPr>
        <w:ind w:right="3259" w:firstLine="344"/>
        <w:spacing w:after="0" w:line="252" w:lineRule="auto"/>
        <w:rPr>
          <w:sz w:val="20"/>
          <w:szCs w:val="20"/>
          <w:color w:val="auto"/>
        </w:rPr>
      </w:pPr>
      <w:r>
        <w:rPr>
          <w:rFonts w:ascii="Courier New" w:cs="Courier New" w:eastAsia="Courier New" w:hAnsi="Courier New"/>
          <w:sz w:val="14"/>
          <w:szCs w:val="14"/>
          <w:color w:val="auto"/>
        </w:rPr>
        <w:t>Compensation of Michael R. Bonsignore. Mr. Bonsignore became Chief Executive Officer of the Company on December 1, 1999. Prior to that time, he served as Chairman and Chief Executive Officer of Honeywell Inc. from April of 1993.</w:t>
      </w:r>
    </w:p>
    <w:p>
      <w:pPr>
        <w:spacing w:after="0" w:line="163"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Mr. Bonsignore's salary for 1999 was $1,087,817. Effective December 1, 1999, he will receive an annual salary of $1,500,000 pursuant to the terms of his employment agreement described below. Based primarily on Honeywell Inc. financial performance in terms of net income, working capital, total shareowner return, return on equity and earnings per share growth, Mr. Bonsignore received an annual incentive payment of $2,000,000 for 1999.</w:t>
      </w:r>
    </w:p>
    <w:p>
      <w:pPr>
        <w:spacing w:after="0" w:line="164"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Mr. Bonsignore received a grant of 281,249 stock options under Honeywell Inc.'s stock option program in February 1999. In accordance with the terms of his employment agreement, Mr. Bonsignore received a grant in December of 1999 of 1,000,000 stock options. These options become exercisable in increments of 40%, 30% and 30%, respectively, on December 31 of 2000, 2001 and 2002. They also will become exercisable in the event Mr. Bonsignore's employment is terminated other than for cause or voluntary resignation without good reason (as defined in the employment agreement). Mr. Bonsignore also received a grant of 500,000 stock options which will vest upon the achievement of certain earnings per share growth targets.</w:t>
      </w:r>
    </w:p>
    <w:p>
      <w:pPr>
        <w:spacing w:after="0" w:line="163"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In 1999 Mr. Bonsignore became entitled to receive 82,500 shares under the performance share program of Honeywell Inc. The amount of the award was based on Honeywell Inc. objectives for cumulative revenue growth and cumulative economic value added over a 24-month performance period. While the original performance period was three years, the period was shortened in accordance with the terms of the plan following a change of control of Honeywell Inc. Outstanding stock options and time-based restricted stock awards of Honeywell Inc. executives, including Mr. Bonsignore, vested upon the change in control of Honeywell Inc. on September 1, 1999.</w:t>
      </w:r>
    </w:p>
    <w:p>
      <w:pPr>
        <w:spacing w:after="0" w:line="16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In accordance with his employment agreement, Mr. Bonsignore also received a grant of 375,000 restricted units which will vest in increments of one-third on each of April 1, 2001, 2002 and 2003, if the Company achieves specified operating margin targets.</w:t>
      </w:r>
    </w:p>
    <w:p>
      <w:pPr>
        <w:spacing w:after="0" w:line="162" w:lineRule="exact"/>
        <w:rPr>
          <w:sz w:val="20"/>
          <w:szCs w:val="20"/>
          <w:color w:val="auto"/>
        </w:rPr>
      </w:pPr>
    </w:p>
    <w:p>
      <w:pPr>
        <w:ind w:right="4219"/>
        <w:spacing w:after="0" w:line="255" w:lineRule="auto"/>
        <w:rPr>
          <w:sz w:val="20"/>
          <w:szCs w:val="20"/>
          <w:color w:val="auto"/>
        </w:rPr>
      </w:pPr>
      <w:r>
        <w:rPr>
          <w:rFonts w:ascii="Courier New" w:cs="Courier New" w:eastAsia="Courier New" w:hAnsi="Courier New"/>
          <w:sz w:val="14"/>
          <w:szCs w:val="14"/>
          <w:color w:val="auto"/>
        </w:rPr>
        <w:t>SUBMITTED BY THE MANAGEMENT DEVELOPMENT AND COMPENSATION COMMITTEE OF THE BOARD OF DIRECTORS:</w:t>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Robert P. Luciano (Chair)</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Hans W. Becherer</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Gordon M. Bethune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Bruce Karatz</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Ivan G. Seidenberg</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Andrew C. Sigler</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John R. Stafford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616" w:right="1440" w:bottom="1440" w:gutter="0" w:footer="0" w:header="0"/>
        </w:sectPr>
      </w:pPr>
    </w:p>
    <w:bookmarkStart w:id="19" w:name="page20"/>
    <w:bookmarkEnd w:id="19"/>
    <w:p>
      <w:pPr>
        <w:ind w:left="2340"/>
        <w:spacing w:after="0"/>
        <w:rPr>
          <w:sz w:val="20"/>
          <w:szCs w:val="20"/>
          <w:color w:val="auto"/>
        </w:rPr>
      </w:pPr>
      <w:r>
        <w:rPr>
          <w:rFonts w:ascii="Courier New" w:cs="Courier New" w:eastAsia="Courier New" w:hAnsi="Courier New"/>
          <w:sz w:val="14"/>
          <w:szCs w:val="14"/>
          <w:color w:val="auto"/>
        </w:rPr>
        <w:t>SUMMARY COMPENSATION TABLE</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following table shows compensation for:</w:t>
      </w:r>
    </w:p>
    <w:p>
      <w:pPr>
        <w:spacing w:after="0" w:line="173" w:lineRule="exact"/>
        <w:rPr>
          <w:sz w:val="20"/>
          <w:szCs w:val="20"/>
          <w:color w:val="auto"/>
        </w:rPr>
      </w:pPr>
    </w:p>
    <w:p>
      <w:pPr>
        <w:ind w:left="440" w:right="4220"/>
        <w:spacing w:after="0" w:line="255" w:lineRule="auto"/>
        <w:rPr>
          <w:sz w:val="20"/>
          <w:szCs w:val="20"/>
          <w:color w:val="auto"/>
        </w:rPr>
      </w:pPr>
      <w:r>
        <w:rPr>
          <w:rFonts w:ascii="Courier New" w:cs="Courier New" w:eastAsia="Courier New" w:hAnsi="Courier New"/>
          <w:sz w:val="14"/>
          <w:szCs w:val="14"/>
          <w:color w:val="auto"/>
        </w:rPr>
        <w:t>two individuals who served as the Company's chief executive officer in 1999;</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four most highly compensated executive officers (other than the CEOs)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who were employed by the Company on December 31, 1999; and</w:t>
      </w:r>
    </w:p>
    <w:p>
      <w:pPr>
        <w:spacing w:after="0" w:line="173" w:lineRule="exact"/>
        <w:rPr>
          <w:sz w:val="20"/>
          <w:szCs w:val="20"/>
          <w:color w:val="auto"/>
        </w:rPr>
      </w:pPr>
    </w:p>
    <w:p>
      <w:pPr>
        <w:ind w:left="440" w:right="3960"/>
        <w:spacing w:after="0" w:line="252" w:lineRule="auto"/>
        <w:rPr>
          <w:sz w:val="20"/>
          <w:szCs w:val="20"/>
          <w:color w:val="auto"/>
        </w:rPr>
      </w:pPr>
      <w:r>
        <w:rPr>
          <w:rFonts w:ascii="Courier New" w:cs="Courier New" w:eastAsia="Courier New" w:hAnsi="Courier New"/>
          <w:sz w:val="14"/>
          <w:szCs w:val="14"/>
          <w:color w:val="auto"/>
        </w:rPr>
        <w:t>one former executive officer who would have been one of the four most highly compensated executive officers had he been employed by the Company on December 31, 1999.</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Annual Compensation</w:t>
            </w:r>
          </w:p>
        </w:tc>
        <w:tc>
          <w:tcPr>
            <w:tcW w:w="1800" w:type="dxa"/>
            <w:vAlign w:val="bottom"/>
          </w:tcPr>
          <w:p>
            <w:pPr>
              <w:spacing w:after="0"/>
              <w:rPr>
                <w:sz w:val="14"/>
                <w:szCs w:val="14"/>
                <w:color w:val="auto"/>
              </w:rPr>
            </w:pPr>
          </w:p>
        </w:tc>
        <w:tc>
          <w:tcPr>
            <w:tcW w:w="21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Long-Term Compensation</w:t>
            </w:r>
          </w:p>
        </w:tc>
        <w:tc>
          <w:tcPr>
            <w:tcW w:w="154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spacing w:after="0"/>
              <w:rPr>
                <w:sz w:val="14"/>
                <w:szCs w:val="14"/>
                <w:color w:val="auto"/>
              </w:rPr>
            </w:pPr>
          </w:p>
        </w:tc>
        <w:tc>
          <w:tcPr>
            <w:tcW w:w="21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Awards</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Payouts</w:t>
            </w:r>
          </w:p>
        </w:tc>
      </w:tr>
      <w:tr>
        <w:trPr>
          <w:trHeight w:val="166"/>
        </w:trPr>
        <w:tc>
          <w:tcPr>
            <w:tcW w:w="2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ind w:left="440"/>
              <w:spacing w:after="0"/>
              <w:rPr>
                <w:sz w:val="20"/>
                <w:szCs w:val="20"/>
                <w:color w:val="auto"/>
              </w:rPr>
            </w:pPr>
            <w:r>
              <w:rPr>
                <w:rFonts w:ascii="Courier New" w:cs="Courier New" w:eastAsia="Courier New" w:hAnsi="Courier New"/>
                <w:sz w:val="14"/>
                <w:szCs w:val="14"/>
                <w:color w:val="auto"/>
              </w:rPr>
              <w:t>Name and Principal</w:t>
            </w: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Restricted</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Options</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LTIP</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All Other</w:t>
            </w:r>
          </w:p>
        </w:tc>
      </w:tr>
      <w:tr>
        <w:trPr>
          <w:trHeight w:val="166"/>
        </w:trPr>
        <w:tc>
          <w:tcPr>
            <w:tcW w:w="2500" w:type="dxa"/>
            <w:vAlign w:val="bottom"/>
          </w:tcPr>
          <w:p>
            <w:pPr>
              <w:ind w:left="860"/>
              <w:spacing w:after="0"/>
              <w:rPr>
                <w:sz w:val="20"/>
                <w:szCs w:val="20"/>
                <w:color w:val="auto"/>
              </w:rPr>
            </w:pPr>
            <w:r>
              <w:rPr>
                <w:rFonts w:ascii="Courier New" w:cs="Courier New" w:eastAsia="Courier New" w:hAnsi="Courier New"/>
                <w:sz w:val="14"/>
                <w:szCs w:val="14"/>
                <w:color w:val="auto"/>
              </w:rPr>
              <w:t>Position</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Year</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Salary($)</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Bonus($)</w:t>
            </w:r>
          </w:p>
        </w:tc>
        <w:tc>
          <w:tcPr>
            <w:tcW w:w="1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Stock Units($)(1)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(Shares)</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Payouts($)</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Compensation(2)</w:t>
            </w:r>
          </w:p>
        </w:tc>
      </w:tr>
      <w:tr>
        <w:trPr>
          <w:trHeight w:val="166"/>
        </w:trPr>
        <w:tc>
          <w:tcPr>
            <w:tcW w:w="250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Lawrence A. Bossidy(3)</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1999</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$2,000,000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$5,000,000</w:t>
            </w:r>
          </w:p>
        </w:tc>
        <w:tc>
          <w:tcPr>
            <w:tcW w:w="18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$1,383,697</w:t>
            </w: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Chairman of the Board</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1998</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2,000,000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4,000,000</w:t>
            </w:r>
          </w:p>
        </w:tc>
        <w:tc>
          <w:tcPr>
            <w:tcW w:w="18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451,119</w:t>
            </w:r>
          </w:p>
        </w:tc>
      </w:tr>
      <w:tr>
        <w:trPr>
          <w:trHeight w:val="166"/>
        </w:trPr>
        <w:tc>
          <w:tcPr>
            <w:tcW w:w="2500" w:type="dxa"/>
            <w:vAlign w:val="bottom"/>
          </w:tcPr>
          <w:p>
            <w:pPr>
              <w:spacing w:after="0"/>
              <w:rPr>
                <w:sz w:val="14"/>
                <w:szCs w:val="1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1997</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2,000,000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3,150,000</w:t>
            </w:r>
          </w:p>
        </w:tc>
        <w:tc>
          <w:tcPr>
            <w:tcW w:w="18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1,500,000</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576,969</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Michael R. Bonsignore(4)</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1999</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1,087,817</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2,000,000</w:t>
            </w:r>
          </w:p>
        </w:tc>
        <w:tc>
          <w:tcPr>
            <w:tcW w:w="18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375,000</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1,781,249</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2,565,000</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1,039,122</w:t>
            </w: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Chief Executive Officer</w:t>
            </w: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Giannantonio Ferrari(5)</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1999</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536,896</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775,000</w:t>
            </w:r>
          </w:p>
        </w:tc>
        <w:tc>
          <w:tcPr>
            <w:tcW w:w="18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32,500</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612,251</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1,282,500</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272,915</w:t>
            </w: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Chief Operating Officer and</w:t>
            </w: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Executive Vice President</w:t>
            </w: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Robert D. Johnson</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1999</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370,833</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625,000</w:t>
            </w:r>
          </w:p>
        </w:tc>
        <w:tc>
          <w:tcPr>
            <w:tcW w:w="18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30,000</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400,000</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36,469</w:t>
            </w: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Chief Operating Officer and</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1998</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267,917</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300,000</w:t>
            </w:r>
          </w:p>
        </w:tc>
        <w:tc>
          <w:tcPr>
            <w:tcW w:w="18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190,000</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31,505</w:t>
            </w: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Executive Vice President</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1997</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232,285</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150,000</w:t>
            </w:r>
          </w:p>
        </w:tc>
        <w:tc>
          <w:tcPr>
            <w:tcW w:w="18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40,000</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9,294</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Peter M. Kreindler</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1999</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462,500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640,000</w:t>
            </w:r>
          </w:p>
        </w:tc>
        <w:tc>
          <w:tcPr>
            <w:tcW w:w="18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17,500</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333,000</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386,986</w:t>
            </w: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Sr. Vice President and</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1998</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445,000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550,000</w:t>
            </w:r>
          </w:p>
        </w:tc>
        <w:tc>
          <w:tcPr>
            <w:tcW w:w="18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105,705</w:t>
            </w: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General Counsel</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1997</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410,000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480,000</w:t>
            </w:r>
          </w:p>
        </w:tc>
        <w:tc>
          <w:tcPr>
            <w:tcW w:w="18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54,301</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Richard F. Wallman</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1999</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455,833</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590,000</w:t>
            </w:r>
          </w:p>
        </w:tc>
        <w:tc>
          <w:tcPr>
            <w:tcW w:w="18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17,500</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333,000</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352,478</w:t>
            </w: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Sr. Vice President and</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1998</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410,000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500,000</w:t>
            </w:r>
          </w:p>
        </w:tc>
        <w:tc>
          <w:tcPr>
            <w:tcW w:w="18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79,136</w:t>
            </w: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Chief Financial Officer</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1997</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377,917</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420,000</w:t>
            </w:r>
          </w:p>
        </w:tc>
        <w:tc>
          <w:tcPr>
            <w:tcW w:w="18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44,129</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Frederic M. Poses</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1999</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700,000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1,150,000</w:t>
            </w:r>
          </w:p>
        </w:tc>
        <w:tc>
          <w:tcPr>
            <w:tcW w:w="18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125,000</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341,086</w:t>
            </w: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Former President and Chief</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1998</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600,000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1,000,000</w:t>
            </w:r>
          </w:p>
        </w:tc>
        <w:tc>
          <w:tcPr>
            <w:tcW w:w="18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100,000</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206,948</w:t>
            </w: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Operating Officer</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1997</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510,000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735,000</w:t>
            </w:r>
          </w:p>
        </w:tc>
        <w:tc>
          <w:tcPr>
            <w:tcW w:w="18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126,282</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right="3860" w:hanging="352"/>
        <w:spacing w:after="0" w:line="251" w:lineRule="auto"/>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unit awards, valued on the date of the award, entitle the holder to receive one share of Common Stock for each unit when the unit vests. The Committee has the discretion to pay all or part of such awards in cash. The total number of units held and their value as of January 31, 2000 were as follows: Mr. Bossidy, 250,000 ($12,000,000); Mr. Bonsignore, 375,000 units ($18,000,000); Mr. Ferrari, 32,500 units ($1,560,000); Mr. Johnson, 45,000 units ($2,160,000); Mr. Kreindler, 57,500 units ($2,760,000); Mr. Wallman, 67,500 units ($3,240,000); and Mr. Poses, 60,000 units ($2,880,000).</w:t>
      </w:r>
    </w:p>
    <w:p>
      <w:pPr>
        <w:spacing w:after="0" w:line="163" w:lineRule="exact"/>
        <w:rPr>
          <w:rFonts w:ascii="Courier New" w:cs="Courier New" w:eastAsia="Courier New" w:hAnsi="Courier New"/>
          <w:sz w:val="14"/>
          <w:szCs w:val="14"/>
          <w:color w:val="auto"/>
        </w:rPr>
      </w:pPr>
    </w:p>
    <w:p>
      <w:pPr>
        <w:ind w:left="360" w:right="3780" w:hanging="352"/>
        <w:spacing w:after="0" w:line="250" w:lineRule="auto"/>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shown for 1999 consists of matching contributions made by the Company under the Savings Plan and Supplemental Savings Plan or by Honeywell Inc. under its savings plans: for Mr. Bossidy, $160,008; Mr. Bonsignore, $4,800; Mr. Johnson, $7,269; Mr. Kreindler, $37,002; Mr. Wallman, $19,784; and Mr. Poses, $56,004; the value of life insurance premiums: for</w:t>
      </w:r>
    </w:p>
    <w:p>
      <w:pPr>
        <w:spacing w:after="0" w:line="1"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Mr. Bossidy, $17,918; Mr. Bonsignore, $34,322; Mr. Johnson, $29,200;</w:t>
      </w:r>
    </w:p>
    <w:p>
      <w:pPr>
        <w:spacing w:after="0" w:line="6" w:lineRule="exact"/>
        <w:rPr>
          <w:rFonts w:ascii="Courier New" w:cs="Courier New" w:eastAsia="Courier New" w:hAnsi="Courier New"/>
          <w:sz w:val="14"/>
          <w:szCs w:val="14"/>
          <w:color w:val="auto"/>
        </w:rPr>
      </w:pPr>
    </w:p>
    <w:p>
      <w:pPr>
        <w:ind w:left="360" w:right="3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Mr. Kreindler, $11,500; and Mr. Poses, $42,000; above-market interest earned on deferred compensation: for Mr. Bossidy, $205,771; Mr. Kreindler, $88,484; Mr. Wallman, $107,694; and Mr. Poses, $243,082; awards for contributions to the merger of Honeywell and AlliedSignal: for Mr. Bossidy, $1,000,000;</w:t>
      </w:r>
    </w:p>
    <w:p>
      <w:pPr>
        <w:spacing w:after="0" w:line="1" w:lineRule="exact"/>
        <w:rPr>
          <w:rFonts w:ascii="Courier New" w:cs="Courier New" w:eastAsia="Courier New" w:hAnsi="Courier New"/>
          <w:sz w:val="14"/>
          <w:szCs w:val="14"/>
          <w:color w:val="auto"/>
        </w:rPr>
      </w:pPr>
    </w:p>
    <w:p>
      <w:pPr>
        <w:ind w:left="360" w:right="386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Mr. Bonsignore, $1,000,000; Mr. Ferrari, $175,000; Mr. Kreindler, $250,000; and Mr. Wallman, $225.000; $97,915 for relocation allowances in connection with foreign assignments for Mr. Ferrari.</w:t>
      </w:r>
    </w:p>
    <w:p>
      <w:pPr>
        <w:spacing w:after="0" w:line="16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Bossidy also served as Chief Executive Officer until December 1, 1999.</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Bonsignore became an executive officer on December 1, 1999.</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Ferrari became an executive officer on December 1, 1999.</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680"/>
          </w:cols>
          <w:pgMar w:left="300" w:top="616" w:right="9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OPTION GRANTS IN LAST FISCAL</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940" w:type="dxa"/>
            <w:vAlign w:val="bottom"/>
            <w:gridSpan w:val="4"/>
          </w:tcPr>
          <w:p>
            <w:pPr>
              <w:jc w:val="right"/>
              <w:ind w:right="148"/>
              <w:spacing w:after="0"/>
              <w:rPr>
                <w:sz w:val="20"/>
                <w:szCs w:val="20"/>
                <w:color w:val="auto"/>
              </w:rPr>
            </w:pPr>
            <w:r>
              <w:rPr>
                <w:rFonts w:ascii="Courier New" w:cs="Courier New" w:eastAsia="Courier New" w:hAnsi="Courier New"/>
                <w:sz w:val="14"/>
                <w:szCs w:val="14"/>
                <w:color w:val="auto"/>
              </w:rPr>
              <w:t>The stock options included in the following table were all granted with an</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940" w:type="dxa"/>
            <w:vAlign w:val="bottom"/>
            <w:gridSpan w:val="4"/>
          </w:tcPr>
          <w:p>
            <w:pPr>
              <w:spacing w:after="0"/>
              <w:rPr>
                <w:sz w:val="20"/>
                <w:szCs w:val="20"/>
                <w:color w:val="auto"/>
              </w:rPr>
            </w:pPr>
            <w:r>
              <w:rPr>
                <w:rFonts w:ascii="Courier New" w:cs="Courier New" w:eastAsia="Courier New" w:hAnsi="Courier New"/>
                <w:sz w:val="14"/>
                <w:szCs w:val="14"/>
                <w:color w:val="auto"/>
              </w:rPr>
              <w:t>exercise price equal to 100% of the fair market value of the Common Stock on the</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date of grant.</w:t>
            </w:r>
          </w:p>
        </w:tc>
        <w:tc>
          <w:tcPr>
            <w:tcW w:w="2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2"/>
        </w:trPr>
        <w:tc>
          <w:tcPr>
            <w:tcW w:w="1980" w:type="dxa"/>
            <w:vAlign w:val="bottom"/>
          </w:tcPr>
          <w:p>
            <w:pPr>
              <w:spacing w:after="0"/>
              <w:rPr>
                <w:sz w:val="24"/>
                <w:szCs w:val="24"/>
                <w:color w:val="auto"/>
              </w:rPr>
            </w:pPr>
          </w:p>
        </w:tc>
        <w:tc>
          <w:tcPr>
            <w:tcW w:w="2460" w:type="dxa"/>
            <w:vAlign w:val="bottom"/>
          </w:tcPr>
          <w:p>
            <w:pPr>
              <w:ind w:left="1380"/>
              <w:spacing w:after="0"/>
              <w:rPr>
                <w:sz w:val="20"/>
                <w:szCs w:val="20"/>
                <w:color w:val="auto"/>
              </w:rPr>
            </w:pPr>
            <w:r>
              <w:rPr>
                <w:rFonts w:ascii="Courier New" w:cs="Courier New" w:eastAsia="Courier New" w:hAnsi="Courier New"/>
                <w:sz w:val="14"/>
                <w:szCs w:val="14"/>
                <w:color w:val="auto"/>
              </w:rPr>
              <w:t>Number of</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 of Total</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1980" w:type="dxa"/>
            <w:vAlign w:val="bottom"/>
          </w:tcPr>
          <w:p>
            <w:pPr>
              <w:spacing w:after="0"/>
              <w:rPr>
                <w:sz w:val="14"/>
                <w:szCs w:val="14"/>
                <w:color w:val="auto"/>
              </w:rPr>
            </w:pPr>
          </w:p>
        </w:tc>
        <w:tc>
          <w:tcPr>
            <w:tcW w:w="2460" w:type="dxa"/>
            <w:vAlign w:val="bottom"/>
          </w:tcPr>
          <w:p>
            <w:pPr>
              <w:ind w:left="1380"/>
              <w:spacing w:after="0"/>
              <w:rPr>
                <w:sz w:val="20"/>
                <w:szCs w:val="20"/>
                <w:color w:val="auto"/>
              </w:rPr>
            </w:pPr>
            <w:r>
              <w:rPr>
                <w:rFonts w:ascii="Courier New" w:cs="Courier New" w:eastAsia="Courier New" w:hAnsi="Courier New"/>
                <w:sz w:val="14"/>
                <w:szCs w:val="14"/>
                <w:color w:val="auto"/>
              </w:rPr>
              <w:t>Securities</w:t>
            </w:r>
          </w:p>
        </w:tc>
        <w:tc>
          <w:tcPr>
            <w:tcW w:w="1200" w:type="dxa"/>
            <w:vAlign w:val="bottom"/>
          </w:tcPr>
          <w:p>
            <w:pPr>
              <w:ind w:left="220"/>
              <w:spacing w:after="0"/>
              <w:rPr>
                <w:sz w:val="20"/>
                <w:szCs w:val="20"/>
                <w:color w:val="auto"/>
              </w:rPr>
            </w:pPr>
            <w:r>
              <w:rPr>
                <w:rFonts w:ascii="Courier New" w:cs="Courier New" w:eastAsia="Courier New" w:hAnsi="Courier New"/>
                <w:sz w:val="14"/>
                <w:szCs w:val="14"/>
                <w:color w:val="auto"/>
              </w:rPr>
              <w:t>Options</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2460" w:type="dxa"/>
            <w:vAlign w:val="bottom"/>
          </w:tcPr>
          <w:p>
            <w:pPr>
              <w:ind w:left="1380"/>
              <w:spacing w:after="0"/>
              <w:rPr>
                <w:sz w:val="20"/>
                <w:szCs w:val="20"/>
                <w:color w:val="auto"/>
              </w:rPr>
            </w:pPr>
            <w:r>
              <w:rPr>
                <w:rFonts w:ascii="Courier New" w:cs="Courier New" w:eastAsia="Courier New" w:hAnsi="Courier New"/>
                <w:sz w:val="14"/>
                <w:szCs w:val="14"/>
                <w:color w:val="auto"/>
              </w:rPr>
              <w:t>Underlying</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Granted to</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Exercise or</w:t>
            </w:r>
          </w:p>
        </w:tc>
        <w:tc>
          <w:tcPr>
            <w:tcW w:w="104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Grant Date</w:t>
            </w:r>
          </w:p>
        </w:tc>
      </w:tr>
      <w:tr>
        <w:trPr>
          <w:trHeight w:val="166"/>
        </w:trPr>
        <w:tc>
          <w:tcPr>
            <w:tcW w:w="1980" w:type="dxa"/>
            <w:vAlign w:val="bottom"/>
          </w:tcPr>
          <w:p>
            <w:pPr>
              <w:spacing w:after="0"/>
              <w:rPr>
                <w:sz w:val="14"/>
                <w:szCs w:val="14"/>
                <w:color w:val="auto"/>
              </w:rPr>
            </w:pPr>
          </w:p>
        </w:tc>
        <w:tc>
          <w:tcPr>
            <w:tcW w:w="2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Options</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Employees in</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Base Price</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Expiration</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Present</w:t>
            </w:r>
          </w:p>
        </w:tc>
      </w:tr>
      <w:tr>
        <w:trPr>
          <w:trHeight w:val="166"/>
        </w:trPr>
        <w:tc>
          <w:tcPr>
            <w:tcW w:w="1980" w:type="dxa"/>
            <w:vAlign w:val="bottom"/>
          </w:tcPr>
          <w:p>
            <w:pPr>
              <w:ind w:left="1380"/>
              <w:spacing w:after="0"/>
              <w:rPr>
                <w:sz w:val="20"/>
                <w:szCs w:val="20"/>
                <w:color w:val="auto"/>
              </w:rPr>
            </w:pPr>
            <w:r>
              <w:rPr>
                <w:rFonts w:ascii="Courier New" w:cs="Courier New" w:eastAsia="Courier New" w:hAnsi="Courier New"/>
                <w:sz w:val="14"/>
                <w:szCs w:val="14"/>
                <w:color w:val="auto"/>
              </w:rPr>
              <w:t>Name</w:t>
            </w:r>
          </w:p>
        </w:tc>
        <w:tc>
          <w:tcPr>
            <w:tcW w:w="2460" w:type="dxa"/>
            <w:vAlign w:val="bottom"/>
          </w:tcPr>
          <w:p>
            <w:pPr>
              <w:ind w:left="1380"/>
              <w:spacing w:after="0"/>
              <w:rPr>
                <w:sz w:val="20"/>
                <w:szCs w:val="20"/>
                <w:color w:val="auto"/>
              </w:rPr>
            </w:pPr>
            <w:r>
              <w:rPr>
                <w:rFonts w:ascii="Courier New" w:cs="Courier New" w:eastAsia="Courier New" w:hAnsi="Courier New"/>
                <w:sz w:val="14"/>
                <w:szCs w:val="14"/>
                <w:color w:val="auto"/>
              </w:rPr>
              <w:t>Granted(#)</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Fiscal Year</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($/Sh)</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Date</w:t>
            </w:r>
          </w:p>
        </w:tc>
        <w:tc>
          <w:tcPr>
            <w:tcW w:w="200" w:type="dxa"/>
            <w:vAlign w:val="bottom"/>
          </w:tcPr>
          <w:p>
            <w:pPr>
              <w:spacing w:after="0"/>
              <w:rPr>
                <w:sz w:val="14"/>
                <w:szCs w:val="14"/>
                <w:color w:val="auto"/>
              </w:rPr>
            </w:pPr>
          </w:p>
        </w:tc>
        <w:tc>
          <w:tcPr>
            <w:tcW w:w="8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Value(6)</w:t>
            </w:r>
          </w:p>
        </w:tc>
      </w:tr>
      <w:tr>
        <w:trPr>
          <w:trHeight w:val="166"/>
        </w:trPr>
        <w:tc>
          <w:tcPr>
            <w:tcW w:w="1980" w:type="dxa"/>
            <w:vAlign w:val="bottom"/>
          </w:tcPr>
          <w:p>
            <w:pPr>
              <w:ind w:left="1380"/>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ind w:left="138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2"/>
                <w:szCs w:val="12"/>
                <w:color w:val="auto"/>
                <w:w w:val="73"/>
              </w:rPr>
              <w:t>L. Bossidy...........................</w:t>
            </w:r>
          </w:p>
        </w:tc>
        <w:tc>
          <w:tcPr>
            <w:tcW w:w="2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24"/>
                <w:szCs w:val="24"/>
                <w:color w:val="auto"/>
              </w:rPr>
            </w:pPr>
          </w:p>
        </w:tc>
        <w:tc>
          <w:tcPr>
            <w:tcW w:w="8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2"/>
                <w:szCs w:val="12"/>
                <w:color w:val="auto"/>
                <w:w w:val="73"/>
              </w:rPr>
              <w:t>M. Bonsignore........................</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281,249(1)</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1%</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$39.1666</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02/16/09</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4,620,921</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2"/>
                <w:szCs w:val="12"/>
                <w:color w:val="auto"/>
                <w:w w:val="73"/>
              </w:rPr>
              <w:t>M. Bonsignore........................</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1,000,000(2)</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5%</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$61.7800</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11/30/09</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16,430,000</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2"/>
                <w:szCs w:val="12"/>
                <w:color w:val="auto"/>
                <w:w w:val="73"/>
              </w:rPr>
              <w:t>M. Bonsignore........................</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500,000(3)</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2%</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$61.7800</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11/30/09</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8,215,000</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2"/>
                <w:szCs w:val="12"/>
                <w:color w:val="auto"/>
                <w:w w:val="73"/>
              </w:rPr>
              <w:t>G. Ferrari...........................</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140,625(1)</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1%</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$39.1666</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02/16/09</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2,310,469</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2"/>
                <w:szCs w:val="12"/>
                <w:color w:val="auto"/>
                <w:w w:val="73"/>
              </w:rPr>
              <w:t>G. Ferrari...........................</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38,626(1)</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0%</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$61.3166</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02/18/07</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634,625</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2"/>
                <w:szCs w:val="12"/>
                <w:color w:val="auto"/>
                <w:w w:val="73"/>
              </w:rPr>
              <w:t>G. Ferrari...........................</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325,000(4)</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2%</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$63.0000</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12/02/09</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5,339,750</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2"/>
                <w:szCs w:val="12"/>
                <w:color w:val="auto"/>
                <w:w w:val="73"/>
              </w:rPr>
              <w:t>G. Ferrari...........................</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108,000(3)</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1%</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$63.0000</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12/02/09</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1,774,440</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2"/>
                <w:szCs w:val="12"/>
                <w:color w:val="auto"/>
                <w:w w:val="73"/>
              </w:rPr>
              <w:t>R. Johnson...........................</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300,000(4)</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1%</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$63.0000</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12/02/09</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4,929,000</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2"/>
                <w:szCs w:val="12"/>
                <w:color w:val="auto"/>
                <w:w w:val="73"/>
              </w:rPr>
              <w:t>R. Johnson...........................</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100,000(3)</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0%</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$63.0000</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12/02/09</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1,643,000</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2"/>
                <w:szCs w:val="12"/>
                <w:color w:val="auto"/>
                <w:w w:val="73"/>
              </w:rPr>
              <w:t>P. Kreindler.........................</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100,000(5)</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0%</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$41.4100</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02/04/09</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1,643,000</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2"/>
                <w:szCs w:val="12"/>
                <w:color w:val="auto"/>
                <w:w w:val="73"/>
              </w:rPr>
              <w:t>P. Kreindler.........................</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175,000(4)</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1%</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$63.0000</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12/02/09</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2,875,250</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2"/>
                <w:szCs w:val="12"/>
                <w:color w:val="auto"/>
                <w:w w:val="73"/>
              </w:rPr>
              <w:t>P. Kreindler.........................</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58,000(3)</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0%</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$63.0000</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12/02/09</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952,940</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2"/>
                <w:szCs w:val="12"/>
                <w:color w:val="auto"/>
                <w:w w:val="73"/>
              </w:rPr>
              <w:t>R. Wallman...........................</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100,000(5)</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0%</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$41.4100</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02/04/09</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1,643,000</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2"/>
                <w:szCs w:val="12"/>
                <w:color w:val="auto"/>
                <w:w w:val="73"/>
              </w:rPr>
              <w:t>R. Wallman...........................</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175,000(4)</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1%</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$63.0000</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12/02/09</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2,875,250</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2"/>
                <w:szCs w:val="12"/>
                <w:color w:val="auto"/>
                <w:w w:val="73"/>
              </w:rPr>
              <w:t>R. Wallman...........................</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58,000(3)</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0%</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$63.0000</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12/02/09</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952,940</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2"/>
                <w:szCs w:val="12"/>
                <w:color w:val="auto"/>
                <w:w w:val="73"/>
              </w:rPr>
              <w:t>F. Poses.............................</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125,000(5)</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1%</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$41.4100</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02/04/09</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2,053,750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hanging="352"/>
        <w:spacing w:after="0"/>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Vested as of the Change of Control (9/1/99).</w:t>
      </w:r>
    </w:p>
    <w:p>
      <w:pPr>
        <w:spacing w:after="0" w:line="172" w:lineRule="exact"/>
        <w:rPr>
          <w:rFonts w:ascii="Courier New" w:cs="Courier New" w:eastAsia="Courier New" w:hAnsi="Courier New"/>
          <w:sz w:val="14"/>
          <w:szCs w:val="14"/>
          <w:color w:val="auto"/>
        </w:rPr>
      </w:pPr>
    </w:p>
    <w:p>
      <w:pPr>
        <w:ind w:left="360" w:right="3339" w:hanging="352"/>
        <w:spacing w:after="0" w:line="251" w:lineRule="auto"/>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Vests 40% on 12/31/00 and 30% on each of 12/31/01 and 12/31/02. Options, excluding those originally granted by Honeywell Inc., are accompanied by tandem limited stock appreciation rights, which are designed to provide the executive with an economic benefit comparable to that available to all shareowners in the event of a tender offer for Company shares, a change of control or similar event.</w:t>
      </w:r>
    </w:p>
    <w:p>
      <w:pPr>
        <w:spacing w:after="0" w:line="163" w:lineRule="exact"/>
        <w:rPr>
          <w:rFonts w:ascii="Courier New" w:cs="Courier New" w:eastAsia="Courier New" w:hAnsi="Courier New"/>
          <w:sz w:val="14"/>
          <w:szCs w:val="14"/>
          <w:color w:val="auto"/>
        </w:rPr>
      </w:pPr>
    </w:p>
    <w:p>
      <w:pPr>
        <w:ind w:left="360" w:right="3339" w:hanging="352"/>
        <w:spacing w:after="0" w:line="251" w:lineRule="auto"/>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Vests 40% on April 1, 2001 if consolidated basic earnings per share of the company increases at least 20% from 1999 to 2000; 30% on April 1, 2002 if consolidated basic earnings per share of the company increases at least 17% from 2000 to 2001; 30% on April 1, 2003 if consolidated basic earnings per share of the company increases at least 16% from 2001 to 2002; and notwithstanding the previous schedules, 100% on April 1, 2003 if cumulative growth in consolidated basic earnings per share of the company is at least 53% for the three-year period ending December 31, 2002 over calendar year 1999.</w:t>
      </w:r>
    </w:p>
    <w:p>
      <w:pPr>
        <w:spacing w:after="0" w:line="163"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Vests 40% on 1/1/01 and 30% on each of 1/1/02 and 1/1/03.</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Vested 40% on 1/1/00 and will vest 30% on each of 1/1/01 and 1/1/02.</w:t>
      </w:r>
    </w:p>
    <w:p>
      <w:pPr>
        <w:spacing w:after="0" w:line="172" w:lineRule="exact"/>
        <w:rPr>
          <w:rFonts w:ascii="Courier New" w:cs="Courier New" w:eastAsia="Courier New" w:hAnsi="Courier New"/>
          <w:sz w:val="14"/>
          <w:szCs w:val="14"/>
          <w:color w:val="auto"/>
        </w:rPr>
      </w:pPr>
    </w:p>
    <w:p>
      <w:pPr>
        <w:ind w:left="360" w:right="3259" w:hanging="352"/>
        <w:spacing w:after="0" w:line="250" w:lineRule="auto"/>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are valued using a Black-Scholes option pricing model which assumes a historic five-year average volatility of 25.23%, the average dividend yield for the three years ended December 31, 1999 (1.3%), a 5.89% risk-free rate of return (based on the average zero coupon five-year U.S. Treasury note yield for the month of grant), and an expected option life of 5.0 years based on past experience. No adjustments are made for non-transferability or risk of forfeiture. Options will have no actual value unless, and then only to the extent that, the Common Stock price appreciates from the grant date to the exercise date. If the grant date present values are realized, total shareowner value will have appreciated by approximately $13.0 billion, and the value of the granted options reflected in the table will be less than 0.46% of the total shareowner appreciation.</w:t>
      </w:r>
    </w:p>
    <w:p>
      <w:pPr>
        <w:spacing w:after="0" w:line="1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616"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AGGREGATED</w:t>
            </w:r>
          </w:p>
        </w:tc>
        <w:tc>
          <w:tcPr>
            <w:tcW w:w="350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OPTION EXERCISES IN LAST FISCAL</w:t>
            </w: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YEAR</w:t>
            </w:r>
          </w:p>
        </w:tc>
        <w:tc>
          <w:tcPr>
            <w:tcW w:w="22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AND FY-END OPTION VALUES</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662"/>
        </w:trPr>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4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Number of Securities</w:t>
            </w:r>
          </w:p>
        </w:tc>
        <w:tc>
          <w:tcPr>
            <w:tcW w:w="2540" w:type="dxa"/>
            <w:vAlign w:val="bottom"/>
            <w:gridSpan w:val="2"/>
          </w:tcPr>
          <w:p>
            <w:pPr>
              <w:jc w:val="center"/>
              <w:ind w:left="68"/>
              <w:spacing w:after="0"/>
              <w:rPr>
                <w:sz w:val="20"/>
                <w:szCs w:val="20"/>
                <w:color w:val="auto"/>
              </w:rPr>
            </w:pPr>
            <w:r>
              <w:rPr>
                <w:rFonts w:ascii="Courier New" w:cs="Courier New" w:eastAsia="Courier New" w:hAnsi="Courier New"/>
                <w:sz w:val="14"/>
                <w:szCs w:val="14"/>
                <w:color w:val="auto"/>
              </w:rPr>
              <w:t>Value of Unexercised</w:t>
            </w:r>
          </w:p>
        </w:tc>
      </w:tr>
      <w:tr>
        <w:trPr>
          <w:trHeight w:val="166"/>
        </w:trPr>
        <w:tc>
          <w:tcPr>
            <w:tcW w:w="1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54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Underlying Unexercised</w:t>
            </w:r>
          </w:p>
        </w:tc>
        <w:tc>
          <w:tcPr>
            <w:tcW w:w="2540" w:type="dxa"/>
            <w:vAlign w:val="bottom"/>
            <w:gridSpan w:val="2"/>
          </w:tcPr>
          <w:p>
            <w:pPr>
              <w:jc w:val="center"/>
              <w:ind w:left="68"/>
              <w:spacing w:after="0"/>
              <w:rPr>
                <w:sz w:val="20"/>
                <w:szCs w:val="20"/>
                <w:color w:val="auto"/>
              </w:rPr>
            </w:pPr>
            <w:r>
              <w:rPr>
                <w:rFonts w:ascii="Courier New" w:cs="Courier New" w:eastAsia="Courier New" w:hAnsi="Courier New"/>
                <w:sz w:val="14"/>
                <w:szCs w:val="14"/>
                <w:color w:val="auto"/>
              </w:rPr>
              <w:t>In-the-Money Options</w:t>
            </w:r>
          </w:p>
        </w:tc>
      </w:tr>
      <w:tr>
        <w:trPr>
          <w:trHeight w:val="166"/>
        </w:trPr>
        <w:tc>
          <w:tcPr>
            <w:tcW w:w="1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Shares</w:t>
            </w:r>
          </w:p>
        </w:tc>
        <w:tc>
          <w:tcPr>
            <w:tcW w:w="1240" w:type="dxa"/>
            <w:vAlign w:val="bottom"/>
          </w:tcPr>
          <w:p>
            <w:pPr>
              <w:spacing w:after="0"/>
              <w:rPr>
                <w:sz w:val="14"/>
                <w:szCs w:val="14"/>
                <w:color w:val="auto"/>
              </w:rPr>
            </w:pPr>
          </w:p>
        </w:tc>
        <w:tc>
          <w:tcPr>
            <w:tcW w:w="254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Options at FY-End(#)</w:t>
            </w:r>
          </w:p>
        </w:tc>
        <w:tc>
          <w:tcPr>
            <w:tcW w:w="2540" w:type="dxa"/>
            <w:vAlign w:val="bottom"/>
            <w:gridSpan w:val="2"/>
          </w:tcPr>
          <w:p>
            <w:pPr>
              <w:jc w:val="center"/>
              <w:ind w:left="68"/>
              <w:spacing w:after="0"/>
              <w:rPr>
                <w:sz w:val="20"/>
                <w:szCs w:val="20"/>
                <w:color w:val="auto"/>
              </w:rPr>
            </w:pPr>
            <w:r>
              <w:rPr>
                <w:rFonts w:ascii="Courier New" w:cs="Courier New" w:eastAsia="Courier New" w:hAnsi="Courier New"/>
                <w:sz w:val="14"/>
                <w:szCs w:val="14"/>
                <w:color w:val="auto"/>
              </w:rPr>
              <w:t>at FY-End($)</w:t>
            </w:r>
          </w:p>
        </w:tc>
      </w:tr>
      <w:tr>
        <w:trPr>
          <w:trHeight w:val="166"/>
        </w:trPr>
        <w:tc>
          <w:tcPr>
            <w:tcW w:w="1640" w:type="dxa"/>
            <w:vAlign w:val="bottom"/>
          </w:tcPr>
          <w:p>
            <w:pPr>
              <w:spacing w:after="0"/>
              <w:rPr>
                <w:sz w:val="14"/>
                <w:szCs w:val="14"/>
                <w:color w:val="auto"/>
              </w:rPr>
            </w:pPr>
          </w:p>
        </w:tc>
        <w:tc>
          <w:tcPr>
            <w:tcW w:w="1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Acquired on</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Value</w:t>
            </w:r>
          </w:p>
        </w:tc>
        <w:tc>
          <w:tcPr>
            <w:tcW w:w="25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40" w:type="dxa"/>
            <w:vAlign w:val="bottom"/>
          </w:tcPr>
          <w:p>
            <w:pPr>
              <w:jc w:val="center"/>
              <w:ind w:left="548"/>
              <w:spacing w:after="0"/>
              <w:rPr>
                <w:sz w:val="20"/>
                <w:szCs w:val="20"/>
                <w:color w:val="auto"/>
              </w:rPr>
            </w:pPr>
            <w:r>
              <w:rPr>
                <w:rFonts w:ascii="Courier New" w:cs="Courier New" w:eastAsia="Courier New" w:hAnsi="Courier New"/>
                <w:sz w:val="14"/>
                <w:szCs w:val="14"/>
                <w:color w:val="auto"/>
              </w:rPr>
              <w:t>Name</w:t>
            </w:r>
          </w:p>
        </w:tc>
        <w:tc>
          <w:tcPr>
            <w:tcW w:w="1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Exercise(#)</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Realized($)</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Exercisable</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Unexercisable</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Exercisable</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Unexercisable</w:t>
            </w:r>
          </w:p>
        </w:tc>
      </w:tr>
      <w:tr>
        <w:trPr>
          <w:trHeight w:val="166"/>
        </w:trPr>
        <w:tc>
          <w:tcPr>
            <w:tcW w:w="1640" w:type="dxa"/>
            <w:vAlign w:val="bottom"/>
          </w:tcPr>
          <w:p>
            <w:pPr>
              <w:jc w:val="center"/>
              <w:ind w:left="5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540" w:type="dxa"/>
            <w:vAlign w:val="bottom"/>
            <w:gridSpan w:val="2"/>
          </w:tcPr>
          <w:p>
            <w:pPr>
              <w:jc w:val="center"/>
              <w:ind w:right="228"/>
              <w:spacing w:after="0"/>
              <w:rPr>
                <w:sz w:val="20"/>
                <w:szCs w:val="20"/>
                <w:color w:val="auto"/>
              </w:rPr>
            </w:pPr>
            <w:r>
              <w:rPr>
                <w:rFonts w:ascii="Courier New" w:cs="Courier New" w:eastAsia="Courier New" w:hAnsi="Courier New"/>
                <w:sz w:val="14"/>
                <w:szCs w:val="14"/>
                <w:color w:val="auto"/>
              </w:rPr>
              <w:t>L. A. Bossidy.............</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900,000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$39,878,650</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2,520,000</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1,500,000</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$102,053,700</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$33,371,250</w:t>
            </w:r>
          </w:p>
        </w:tc>
      </w:tr>
      <w:tr>
        <w:trPr>
          <w:trHeight w:val="166"/>
        </w:trPr>
        <w:tc>
          <w:tcPr>
            <w:tcW w:w="2540" w:type="dxa"/>
            <w:vAlign w:val="bottom"/>
            <w:gridSpan w:val="2"/>
          </w:tcPr>
          <w:p>
            <w:pPr>
              <w:jc w:val="center"/>
              <w:ind w:right="228"/>
              <w:spacing w:after="0"/>
              <w:rPr>
                <w:sz w:val="20"/>
                <w:szCs w:val="20"/>
                <w:color w:val="auto"/>
              </w:rPr>
            </w:pPr>
            <w:r>
              <w:rPr>
                <w:rFonts w:ascii="Courier New" w:cs="Courier New" w:eastAsia="Courier New" w:hAnsi="Courier New"/>
                <w:sz w:val="14"/>
                <w:szCs w:val="14"/>
                <w:color w:val="auto"/>
              </w:rPr>
              <w:t>M. R. Bonsignore..........</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118,010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5,127,778</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1,377,312</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1,500,000</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34,014,017</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gridSpan w:val="2"/>
          </w:tcPr>
          <w:p>
            <w:pPr>
              <w:jc w:val="center"/>
              <w:ind w:right="228"/>
              <w:spacing w:after="0"/>
              <w:rPr>
                <w:sz w:val="20"/>
                <w:szCs w:val="20"/>
                <w:color w:val="auto"/>
              </w:rPr>
            </w:pPr>
            <w:r>
              <w:rPr>
                <w:rFonts w:ascii="Courier New" w:cs="Courier New" w:eastAsia="Courier New" w:hAnsi="Courier New"/>
                <w:sz w:val="14"/>
                <w:szCs w:val="14"/>
                <w:color w:val="auto"/>
              </w:rPr>
              <w:t>G. Ferrari................</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81,786</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2,046,162</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292,460</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433,000</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4,477,421</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gridSpan w:val="2"/>
          </w:tcPr>
          <w:p>
            <w:pPr>
              <w:jc w:val="center"/>
              <w:ind w:right="228"/>
              <w:spacing w:after="0"/>
              <w:rPr>
                <w:sz w:val="20"/>
                <w:szCs w:val="20"/>
                <w:color w:val="auto"/>
              </w:rPr>
            </w:pPr>
            <w:r>
              <w:rPr>
                <w:rFonts w:ascii="Courier New" w:cs="Courier New" w:eastAsia="Courier New" w:hAnsi="Courier New"/>
                <w:sz w:val="14"/>
                <w:szCs w:val="14"/>
                <w:color w:val="auto"/>
              </w:rPr>
              <w:t>R. D. Johnson.............</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40,000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1,192,320</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46,000</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556,000</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931,905</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3,141,690</w:t>
            </w:r>
          </w:p>
        </w:tc>
      </w:tr>
      <w:tr>
        <w:trPr>
          <w:trHeight w:val="166"/>
        </w:trPr>
        <w:tc>
          <w:tcPr>
            <w:tcW w:w="2540" w:type="dxa"/>
            <w:vAlign w:val="bottom"/>
            <w:gridSpan w:val="2"/>
          </w:tcPr>
          <w:p>
            <w:pPr>
              <w:jc w:val="center"/>
              <w:ind w:right="228"/>
              <w:spacing w:after="0"/>
              <w:rPr>
                <w:sz w:val="20"/>
                <w:szCs w:val="20"/>
                <w:color w:val="auto"/>
              </w:rPr>
            </w:pPr>
            <w:r>
              <w:rPr>
                <w:rFonts w:ascii="Courier New" w:cs="Courier New" w:eastAsia="Courier New" w:hAnsi="Courier New"/>
                <w:sz w:val="14"/>
                <w:szCs w:val="14"/>
                <w:color w:val="auto"/>
              </w:rPr>
              <w:t>P. M. Kreindler...........</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162,000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6,375,634</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120,000</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933,000</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3,884,100</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21,048,250</w:t>
            </w:r>
          </w:p>
        </w:tc>
      </w:tr>
      <w:tr>
        <w:trPr>
          <w:trHeight w:val="166"/>
        </w:trPr>
        <w:tc>
          <w:tcPr>
            <w:tcW w:w="2540" w:type="dxa"/>
            <w:vAlign w:val="bottom"/>
            <w:gridSpan w:val="2"/>
          </w:tcPr>
          <w:p>
            <w:pPr>
              <w:jc w:val="center"/>
              <w:ind w:right="228"/>
              <w:spacing w:after="0"/>
              <w:rPr>
                <w:sz w:val="20"/>
                <w:szCs w:val="20"/>
                <w:color w:val="auto"/>
              </w:rPr>
            </w:pPr>
            <w:r>
              <w:rPr>
                <w:rFonts w:ascii="Courier New" w:cs="Courier New" w:eastAsia="Courier New" w:hAnsi="Courier New"/>
                <w:sz w:val="14"/>
                <w:szCs w:val="14"/>
                <w:color w:val="auto"/>
              </w:rPr>
              <w:t>R. F. Wallman.............</w:t>
            </w:r>
          </w:p>
        </w:tc>
        <w:tc>
          <w:tcPr>
            <w:tcW w:w="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214,000</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883,000</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7,237,795</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19,429,875</w:t>
            </w:r>
          </w:p>
        </w:tc>
      </w:tr>
      <w:tr>
        <w:trPr>
          <w:trHeight w:val="166"/>
        </w:trPr>
        <w:tc>
          <w:tcPr>
            <w:tcW w:w="2540" w:type="dxa"/>
            <w:vAlign w:val="bottom"/>
            <w:gridSpan w:val="2"/>
          </w:tcPr>
          <w:p>
            <w:pPr>
              <w:jc w:val="center"/>
              <w:ind w:right="228"/>
              <w:spacing w:after="0"/>
              <w:rPr>
                <w:sz w:val="20"/>
                <w:szCs w:val="20"/>
                <w:color w:val="auto"/>
              </w:rPr>
            </w:pPr>
            <w:r>
              <w:rPr>
                <w:rFonts w:ascii="Courier New" w:cs="Courier New" w:eastAsia="Courier New" w:hAnsi="Courier New"/>
                <w:sz w:val="14"/>
                <w:szCs w:val="14"/>
                <w:color w:val="auto"/>
              </w:rPr>
              <w:t>F. M. Poses...............</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410,000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22,357,554</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295,000</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1,085,000</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10,650,113</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39,215,488</w:t>
            </w:r>
          </w:p>
        </w:tc>
      </w:tr>
    </w:tbl>
    <w:p>
      <w:pPr>
        <w:spacing w:after="0" w:line="33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PERFORMANCE GRAPH</w:t>
      </w:r>
    </w:p>
    <w:p>
      <w:pPr>
        <w:spacing w:after="0" w:line="173" w:lineRule="exact"/>
        <w:rPr>
          <w:sz w:val="20"/>
          <w:szCs w:val="20"/>
          <w:color w:val="auto"/>
        </w:rPr>
      </w:pPr>
    </w:p>
    <w:p>
      <w:pPr>
        <w:ind w:right="3259" w:firstLine="344"/>
        <w:spacing w:after="0" w:line="250" w:lineRule="auto"/>
        <w:rPr>
          <w:sz w:val="20"/>
          <w:szCs w:val="20"/>
          <w:color w:val="auto"/>
        </w:rPr>
      </w:pPr>
      <w:r>
        <w:rPr>
          <w:rFonts w:ascii="Courier New" w:cs="Courier New" w:eastAsia="Courier New" w:hAnsi="Courier New"/>
          <w:sz w:val="14"/>
          <w:szCs w:val="14"/>
          <w:color w:val="auto"/>
        </w:rPr>
        <w:t>The following graph compares the five-year cumulative total return on the Common Stock to the total returns on the Standard &amp; Poor's 500 Stock Index, the Standard &amp; Poor's Manufacturing (Diversified Companies) Index and a Composite index of corporations. In light of the merger, the Company has chosen to replace the Composite index with the Diversified Company index. The Composite index combines the total returns on the published Dow Jones indices for the Aerospace</w:t>
      </w:r>
    </w:p>
    <w:p>
      <w:pPr>
        <w:spacing w:after="0" w:line="2" w:lineRule="exact"/>
        <w:rPr>
          <w:sz w:val="20"/>
          <w:szCs w:val="20"/>
          <w:color w:val="auto"/>
        </w:rPr>
      </w:pPr>
    </w:p>
    <w:p>
      <w:pPr>
        <w:ind w:right="3439" w:firstLine="8"/>
        <w:spacing w:after="0" w:line="252" w:lineRule="auto"/>
        <w:tabs>
          <w:tab w:leader="none" w:pos="172"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Defense, Automobile Parts &amp; Equipment Excluding Tire and Rubber Makers, and Chemical Groups. As required by SEC rules, we are including both the Composite index and the Diversified Company index in this proxy statement.</w:t>
      </w:r>
    </w:p>
    <w:p>
      <w:pPr>
        <w:spacing w:after="0" w:line="163"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4"/>
          <w:szCs w:val="14"/>
          <w:color w:val="auto"/>
        </w:rPr>
        <w:t>CUMULATIVE TOTAL RETURN</w:t>
      </w:r>
    </w:p>
    <w:p>
      <w:pPr>
        <w:spacing w:after="0" w:line="7" w:lineRule="exact"/>
        <w:rPr>
          <w:sz w:val="20"/>
          <w:szCs w:val="20"/>
          <w:color w:val="auto"/>
        </w:rPr>
      </w:pPr>
    </w:p>
    <w:p>
      <w:pPr>
        <w:ind w:left="2420" w:right="3959" w:hanging="1463"/>
        <w:spacing w:after="0" w:line="255" w:lineRule="auto"/>
        <w:rPr>
          <w:sz w:val="20"/>
          <w:szCs w:val="20"/>
          <w:color w:val="auto"/>
        </w:rPr>
      </w:pPr>
      <w:r>
        <w:rPr>
          <w:rFonts w:ascii="Courier New" w:cs="Courier New" w:eastAsia="Courier New" w:hAnsi="Courier New"/>
          <w:sz w:val="14"/>
          <w:szCs w:val="14"/>
          <w:color w:val="auto"/>
        </w:rPr>
        <w:t>Based upon an initial investment of $100 on December 31, 1994 with dividends reinvested</w:t>
      </w:r>
    </w:p>
    <w:p>
      <w:pPr>
        <w:spacing w:after="0" w:line="32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80" w:type="dxa"/>
            <w:vAlign w:val="bottom"/>
          </w:tcPr>
          <w:p>
            <w:pPr>
              <w:ind w:left="340"/>
              <w:spacing w:after="0"/>
              <w:rPr>
                <w:sz w:val="20"/>
                <w:szCs w:val="20"/>
                <w:color w:val="auto"/>
              </w:rPr>
            </w:pPr>
            <w:r>
              <w:rPr>
                <w:rFonts w:ascii="Courier New" w:cs="Courier New" w:eastAsia="Courier New" w:hAnsi="Courier New"/>
                <w:sz w:val="14"/>
                <w:szCs w:val="14"/>
                <w:color w:val="auto"/>
              </w:rPr>
              <w:t>1994</w:t>
            </w:r>
          </w:p>
        </w:tc>
        <w:tc>
          <w:tcPr>
            <w:tcW w:w="960" w:type="dxa"/>
            <w:vAlign w:val="bottom"/>
          </w:tcPr>
          <w:p>
            <w:pPr>
              <w:ind w:left="300"/>
              <w:spacing w:after="0"/>
              <w:rPr>
                <w:sz w:val="20"/>
                <w:szCs w:val="20"/>
                <w:color w:val="auto"/>
              </w:rPr>
            </w:pPr>
            <w:r>
              <w:rPr>
                <w:rFonts w:ascii="Courier New" w:cs="Courier New" w:eastAsia="Courier New" w:hAnsi="Courier New"/>
                <w:sz w:val="14"/>
                <w:szCs w:val="14"/>
                <w:color w:val="auto"/>
              </w:rPr>
              <w:t>1995</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1996</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1998</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w w:val="95"/>
              </w:rPr>
              <w:t>1999</w:t>
            </w:r>
          </w:p>
        </w:tc>
      </w:tr>
      <w:tr>
        <w:trPr>
          <w:trHeight w:val="331"/>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Honeywell</w:t>
            </w:r>
          </w:p>
        </w:tc>
        <w:tc>
          <w:tcPr>
            <w:tcW w:w="980" w:type="dxa"/>
            <w:vAlign w:val="bottom"/>
          </w:tcPr>
          <w:p>
            <w:pPr>
              <w:ind w:left="340"/>
              <w:spacing w:after="0"/>
              <w:rPr>
                <w:sz w:val="20"/>
                <w:szCs w:val="20"/>
                <w:color w:val="auto"/>
              </w:rPr>
            </w:pPr>
            <w:r>
              <w:rPr>
                <w:rFonts w:ascii="Courier New" w:cs="Courier New" w:eastAsia="Courier New" w:hAnsi="Courier New"/>
                <w:sz w:val="14"/>
                <w:szCs w:val="14"/>
                <w:color w:val="auto"/>
              </w:rPr>
              <w:t>100</w:t>
            </w:r>
          </w:p>
        </w:tc>
        <w:tc>
          <w:tcPr>
            <w:tcW w:w="960" w:type="dxa"/>
            <w:vAlign w:val="bottom"/>
          </w:tcPr>
          <w:p>
            <w:pPr>
              <w:ind w:left="300"/>
              <w:spacing w:after="0"/>
              <w:rPr>
                <w:sz w:val="20"/>
                <w:szCs w:val="20"/>
                <w:color w:val="auto"/>
              </w:rPr>
            </w:pPr>
            <w:r>
              <w:rPr>
                <w:rFonts w:ascii="Courier New" w:cs="Courier New" w:eastAsia="Courier New" w:hAnsi="Courier New"/>
                <w:sz w:val="14"/>
                <w:szCs w:val="14"/>
                <w:color w:val="auto"/>
              </w:rPr>
              <w:t>142</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204</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239</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277</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365</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S&amp;P</w:t>
            </w: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500'r'</w:t>
            </w:r>
          </w:p>
        </w:tc>
        <w:tc>
          <w:tcPr>
            <w:tcW w:w="980" w:type="dxa"/>
            <w:vAlign w:val="bottom"/>
          </w:tcPr>
          <w:p>
            <w:pPr>
              <w:ind w:left="340"/>
              <w:spacing w:after="0"/>
              <w:rPr>
                <w:sz w:val="20"/>
                <w:szCs w:val="20"/>
                <w:color w:val="auto"/>
              </w:rPr>
            </w:pPr>
            <w:r>
              <w:rPr>
                <w:rFonts w:ascii="Courier New" w:cs="Courier New" w:eastAsia="Courier New" w:hAnsi="Courier New"/>
                <w:sz w:val="14"/>
                <w:szCs w:val="14"/>
                <w:color w:val="auto"/>
              </w:rPr>
              <w:t>100</w:t>
            </w:r>
          </w:p>
        </w:tc>
        <w:tc>
          <w:tcPr>
            <w:tcW w:w="960" w:type="dxa"/>
            <w:vAlign w:val="bottom"/>
          </w:tcPr>
          <w:p>
            <w:pPr>
              <w:ind w:left="300"/>
              <w:spacing w:after="0"/>
              <w:rPr>
                <w:sz w:val="20"/>
                <w:szCs w:val="20"/>
                <w:color w:val="auto"/>
              </w:rPr>
            </w:pPr>
            <w:r>
              <w:rPr>
                <w:rFonts w:ascii="Courier New" w:cs="Courier New" w:eastAsia="Courier New" w:hAnsi="Courier New"/>
                <w:sz w:val="14"/>
                <w:szCs w:val="14"/>
                <w:color w:val="auto"/>
              </w:rPr>
              <w:t>138</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169</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226</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290</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351</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S&amp;P'r' Manufacturing</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(Diversified) Index</w:t>
            </w:r>
          </w:p>
        </w:tc>
        <w:tc>
          <w:tcPr>
            <w:tcW w:w="980" w:type="dxa"/>
            <w:vAlign w:val="bottom"/>
          </w:tcPr>
          <w:p>
            <w:pPr>
              <w:ind w:left="340"/>
              <w:spacing w:after="0"/>
              <w:rPr>
                <w:sz w:val="20"/>
                <w:szCs w:val="20"/>
                <w:color w:val="auto"/>
              </w:rPr>
            </w:pPr>
            <w:r>
              <w:rPr>
                <w:rFonts w:ascii="Courier New" w:cs="Courier New" w:eastAsia="Courier New" w:hAnsi="Courier New"/>
                <w:sz w:val="14"/>
                <w:szCs w:val="14"/>
                <w:color w:val="auto"/>
              </w:rPr>
              <w:t>100</w:t>
            </w:r>
          </w:p>
        </w:tc>
        <w:tc>
          <w:tcPr>
            <w:tcW w:w="960" w:type="dxa"/>
            <w:vAlign w:val="bottom"/>
          </w:tcPr>
          <w:p>
            <w:pPr>
              <w:ind w:left="300"/>
              <w:spacing w:after="0"/>
              <w:rPr>
                <w:sz w:val="20"/>
                <w:szCs w:val="20"/>
                <w:color w:val="auto"/>
              </w:rPr>
            </w:pPr>
            <w:r>
              <w:rPr>
                <w:rFonts w:ascii="Courier New" w:cs="Courier New" w:eastAsia="Courier New" w:hAnsi="Courier New"/>
                <w:sz w:val="14"/>
                <w:szCs w:val="14"/>
                <w:color w:val="auto"/>
              </w:rPr>
              <w:t>141</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194</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231</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268</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329</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Composite</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Index</w:t>
            </w:r>
          </w:p>
        </w:tc>
        <w:tc>
          <w:tcPr>
            <w:tcW w:w="980" w:type="dxa"/>
            <w:vAlign w:val="bottom"/>
          </w:tcPr>
          <w:p>
            <w:pPr>
              <w:ind w:left="340"/>
              <w:spacing w:after="0"/>
              <w:rPr>
                <w:sz w:val="20"/>
                <w:szCs w:val="20"/>
                <w:color w:val="auto"/>
              </w:rPr>
            </w:pPr>
            <w:r>
              <w:rPr>
                <w:rFonts w:ascii="Courier New" w:cs="Courier New" w:eastAsia="Courier New" w:hAnsi="Courier New"/>
                <w:sz w:val="14"/>
                <w:szCs w:val="14"/>
                <w:color w:val="auto"/>
              </w:rPr>
              <w:t>100</w:t>
            </w:r>
          </w:p>
        </w:tc>
        <w:tc>
          <w:tcPr>
            <w:tcW w:w="960" w:type="dxa"/>
            <w:vAlign w:val="bottom"/>
          </w:tcPr>
          <w:p>
            <w:pPr>
              <w:ind w:left="300"/>
              <w:spacing w:after="0"/>
              <w:rPr>
                <w:sz w:val="20"/>
                <w:szCs w:val="20"/>
                <w:color w:val="auto"/>
              </w:rPr>
            </w:pPr>
            <w:r>
              <w:rPr>
                <w:rFonts w:ascii="Courier New" w:cs="Courier New" w:eastAsia="Courier New" w:hAnsi="Courier New"/>
                <w:sz w:val="14"/>
                <w:szCs w:val="14"/>
                <w:color w:val="auto"/>
              </w:rPr>
              <w:t>143</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185</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217</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194</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209</w:t>
            </w:r>
          </w:p>
        </w:tc>
      </w:tr>
      <w:tr>
        <w:trPr>
          <w:trHeight w:val="497"/>
        </w:trPr>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ind w:left="300"/>
              <w:spacing w:after="0"/>
              <w:rPr>
                <w:sz w:val="20"/>
                <w:szCs w:val="20"/>
                <w:color w:val="auto"/>
              </w:rPr>
            </w:pPr>
            <w:r>
              <w:rPr>
                <w:rFonts w:ascii="Courier New" w:cs="Courier New" w:eastAsia="Courier New" w:hAnsi="Courier New"/>
                <w:sz w:val="14"/>
                <w:szCs w:val="14"/>
                <w:color w:val="auto"/>
              </w:rPr>
              <w:t>18</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159"/>
          </w:cols>
          <w:pgMar w:left="300" w:top="616" w:right="1440" w:bottom="1440" w:gutter="0" w:footer="0" w:header="0"/>
        </w:sectPr>
      </w:pPr>
    </w:p>
    <w:bookmarkStart w:id="22" w:name="page23"/>
    <w:bookmarkEnd w:id="22"/>
    <w:p>
      <w:pPr>
        <w:ind w:left="1740"/>
        <w:spacing w:after="0"/>
        <w:rPr>
          <w:sz w:val="20"/>
          <w:szCs w:val="20"/>
          <w:color w:val="auto"/>
        </w:rPr>
      </w:pPr>
      <w:r>
        <w:rPr>
          <w:rFonts w:ascii="Courier New" w:cs="Courier New" w:eastAsia="Courier New" w:hAnsi="Courier New"/>
          <w:sz w:val="14"/>
          <w:szCs w:val="14"/>
          <w:color w:val="auto"/>
        </w:rPr>
        <w:t>EMPLOYMENT AND TERMINATION ARRANGEMENTS</w:t>
      </w:r>
    </w:p>
    <w:p>
      <w:pPr>
        <w:spacing w:after="0" w:line="173" w:lineRule="exact"/>
        <w:rPr>
          <w:sz w:val="20"/>
          <w:szCs w:val="20"/>
          <w:color w:val="auto"/>
        </w:rPr>
      </w:pPr>
    </w:p>
    <w:p>
      <w:pPr>
        <w:ind w:right="3439" w:firstLine="344"/>
        <w:spacing w:after="0" w:line="251" w:lineRule="auto"/>
        <w:rPr>
          <w:sz w:val="20"/>
          <w:szCs w:val="20"/>
          <w:color w:val="auto"/>
        </w:rPr>
      </w:pPr>
      <w:r>
        <w:rPr>
          <w:rFonts w:ascii="Courier New" w:cs="Courier New" w:eastAsia="Courier New" w:hAnsi="Courier New"/>
          <w:sz w:val="14"/>
          <w:szCs w:val="14"/>
          <w:color w:val="auto"/>
        </w:rPr>
        <w:t>Mr. Bossidy's employment agreement with the Company provides for his employment as Chairman of the Board through April 1, 2000 at a salary of $2,000,000 per year, and a target annual incentive bonus of at least 80% of salary. His employment agreement also provides for certain post-retirement benefits which are described under 'Retirement Benefits.' The Company has assumed obligations for certain life insurance policies and will be reimbursed from the proceeds of the policies for premiums it pays; the value of these premiums is reflected in the Summary Compensation Table.</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Mr. Bonsignore's employment agreement provides for his employment as Chairman and Chief Executive Officer through December 31, 2004. During the term of the agreement, Mr. Bonsignore will have an annual salary of at least $1,500,000 and, beginning in 2000, will have an annual target bonus equal to 100% of base salary. His agreement also provides for a one-time grant of stock options and restricted units as described above, as well as certain post-retirement benefits described under 'Retirement Benefits.' If his employment is terminated without good cause, he will be entitled to a severance payment of three times his annual salary and bonus.</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When Mr. Ferrari became President of Honeywell Europe in 1992, he entered into an employment agreement with Honeywell Europe which provided for certain salary and benefits in accordance with Belgian law. Mr. Ferrari's current position is considered to be an international assignment under his Belgian employment contract; therefore, the contract remains in effect until his retirement from the Company. As an executive of Honeywell Inc., Mr. Ferrari was also a party to a change of control agreement, which remains in effect until September 2002. Under this agreement, he is entitled to a lump sum payment of three times his salary and target incentive bonus if either his employment is terminated (other than for cause) or his duties are diminished.</w:t>
      </w:r>
    </w:p>
    <w:p>
      <w:pPr>
        <w:spacing w:after="0" w:line="163"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When Mr. Poses left the Company in the fourth quarter of 1999 after 30 years of service, he entered into an agreement with the Company. In general, the agreement provided for salary and fringe benefits for November and December, 1999, and that his unvested stock options and unvested restricted units would vest in accordance with their original terms.</w:t>
      </w:r>
    </w:p>
    <w:p>
      <w:pPr>
        <w:spacing w:after="0" w:line="164" w:lineRule="exact"/>
        <w:rPr>
          <w:sz w:val="20"/>
          <w:szCs w:val="20"/>
          <w:color w:val="auto"/>
        </w:rPr>
      </w:pPr>
    </w:p>
    <w:p>
      <w:pPr>
        <w:ind w:right="3259" w:firstLine="344"/>
        <w:spacing w:after="0" w:line="250" w:lineRule="auto"/>
        <w:rPr>
          <w:sz w:val="20"/>
          <w:szCs w:val="20"/>
          <w:color w:val="auto"/>
        </w:rPr>
      </w:pPr>
      <w:r>
        <w:rPr>
          <w:rFonts w:ascii="Courier New" w:cs="Courier New" w:eastAsia="Courier New" w:hAnsi="Courier New"/>
          <w:sz w:val="14"/>
          <w:szCs w:val="14"/>
          <w:color w:val="auto"/>
        </w:rPr>
        <w:t>Under the Severance Plan for Senior Executives, the current executive officers named in the Summary Compensation Table (other than Messrs. Bonsignore and Ferrari) would be entitled to payments equivalent to base salary and annual incentive bonus (and continuation of certain benefits, such as group life and medical insurance coverage) for a period of time if their employment is terminated other than for 'gross cause' (which includes fraud and criminal conduct). The period would be 36 months (but in no event beyond age 65), provided that payments would be made in a lump sum following a change in control. The Plan provides for an additional payment sufficient to eliminate the effect of any applicable excise tax on severance payments in excess of an amount determined under Section 280G of the Internal Revenue Code. Payments subject to the excise tax would not be deductible by the Company.</w:t>
      </w:r>
    </w:p>
    <w:p>
      <w:pPr>
        <w:spacing w:after="0" w:line="170"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RETIREMENT BENEFITS</w:t>
      </w:r>
    </w:p>
    <w:p>
      <w:pPr>
        <w:spacing w:after="0" w:line="173"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The following table illustrates the estimated annual pension benefits which would be provided on retirement at age 65 under the Company's Retirement Program (the 'Pension Plan'), and an unfunded supplemental retirement plan (the 'Supplemental Plan'), after applicable deductions for Social Security benefits, to salaried employees having specified average annual remuneration and years of service.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PENSION TABLE</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62"/>
        </w:trPr>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Average</w:t>
            </w: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Years of Service</w:t>
            </w:r>
          </w:p>
        </w:tc>
        <w:tc>
          <w:tcPr>
            <w:tcW w:w="1000" w:type="dxa"/>
            <w:vAlign w:val="bottom"/>
          </w:tcPr>
          <w:p>
            <w:pPr>
              <w:spacing w:after="0"/>
              <w:rPr>
                <w:sz w:val="24"/>
                <w:szCs w:val="24"/>
                <w:color w:val="auto"/>
              </w:rPr>
            </w:pPr>
          </w:p>
        </w:tc>
      </w:tr>
      <w:tr>
        <w:trPr>
          <w:trHeight w:val="166"/>
        </w:trPr>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Annual</w:t>
            </w:r>
          </w:p>
        </w:tc>
        <w:tc>
          <w:tcPr>
            <w:tcW w:w="176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1"/>
              </w:rPr>
              <w:t>----------------------------------------------------------</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Remuneration</w:t>
            </w:r>
          </w:p>
        </w:tc>
        <w:tc>
          <w:tcPr>
            <w:tcW w:w="980" w:type="dxa"/>
            <w:vAlign w:val="bottom"/>
          </w:tcPr>
          <w:p>
            <w:pPr>
              <w:jc w:val="right"/>
              <w:ind w:right="532"/>
              <w:spacing w:after="0"/>
              <w:rPr>
                <w:sz w:val="20"/>
                <w:szCs w:val="20"/>
                <w:color w:val="auto"/>
              </w:rPr>
            </w:pPr>
            <w:r>
              <w:rPr>
                <w:rFonts w:ascii="Courier New" w:cs="Courier New" w:eastAsia="Courier New" w:hAnsi="Courier New"/>
                <w:sz w:val="14"/>
                <w:szCs w:val="14"/>
                <w:color w:val="auto"/>
              </w:rPr>
              <w:t>5</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25-30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80" w:type="dxa"/>
            <w:vAlign w:val="bottom"/>
          </w:tcPr>
          <w:p>
            <w:pPr>
              <w:jc w:val="right"/>
              <w:ind w:right="352"/>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600,000</w:t>
            </w:r>
          </w:p>
        </w:tc>
        <w:tc>
          <w:tcPr>
            <w:tcW w:w="98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$ 49,455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$109,455</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169,455</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229,455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289,455</w:t>
            </w:r>
          </w:p>
        </w:tc>
      </w:tr>
      <w:tr>
        <w:trPr>
          <w:trHeight w:val="166"/>
        </w:trPr>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800,000</w:t>
            </w:r>
          </w:p>
        </w:tc>
        <w:tc>
          <w:tcPr>
            <w:tcW w:w="98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69,455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149,455</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229,455</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309,455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389,455</w:t>
            </w:r>
          </w:p>
        </w:tc>
      </w:tr>
      <w:tr>
        <w:trPr>
          <w:trHeight w:val="166"/>
        </w:trPr>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1,000,000</w:t>
            </w:r>
          </w:p>
        </w:tc>
        <w:tc>
          <w:tcPr>
            <w:tcW w:w="98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89,455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189,455</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289,455</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389,455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489,455</w:t>
            </w:r>
          </w:p>
        </w:tc>
      </w:tr>
      <w:tr>
        <w:trPr>
          <w:trHeight w:val="166"/>
        </w:trPr>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2,000,000</w:t>
            </w:r>
          </w:p>
        </w:tc>
        <w:tc>
          <w:tcPr>
            <w:tcW w:w="98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189,455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389,455</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589,455</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789,455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989,455</w:t>
            </w:r>
          </w:p>
        </w:tc>
      </w:tr>
      <w:tr>
        <w:trPr>
          <w:trHeight w:val="166"/>
        </w:trPr>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3,000,000</w:t>
            </w:r>
          </w:p>
        </w:tc>
        <w:tc>
          <w:tcPr>
            <w:tcW w:w="98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289,455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589,455</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889,455</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1,189,455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1,489,455</w:t>
            </w:r>
          </w:p>
        </w:tc>
      </w:tr>
      <w:tr>
        <w:trPr>
          <w:trHeight w:val="166"/>
        </w:trPr>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4,000,000</w:t>
            </w:r>
          </w:p>
        </w:tc>
        <w:tc>
          <w:tcPr>
            <w:tcW w:w="98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389,455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789,455</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1,189,455</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1,589,455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1,989,455</w:t>
            </w:r>
          </w:p>
        </w:tc>
      </w:tr>
      <w:tr>
        <w:trPr>
          <w:trHeight w:val="166"/>
        </w:trPr>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5,000,000</w:t>
            </w:r>
          </w:p>
        </w:tc>
        <w:tc>
          <w:tcPr>
            <w:tcW w:w="98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489,455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989,455</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1,489,455</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1,989,455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2,489,455</w:t>
            </w:r>
          </w:p>
        </w:tc>
      </w:tr>
      <w:tr>
        <w:trPr>
          <w:trHeight w:val="497"/>
        </w:trPr>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159"/>
          </w:cols>
          <w:pgMar w:left="300" w:top="616" w:right="1440" w:bottom="1440" w:gutter="0" w:footer="0" w:header="0"/>
        </w:sectPr>
      </w:pPr>
    </w:p>
    <w:bookmarkStart w:id="23" w:name="page24"/>
    <w:bookmarkEnd w:id="23"/>
    <w:p>
      <w:pPr>
        <w:ind w:right="3259" w:firstLine="344"/>
        <w:spacing w:after="0" w:line="251" w:lineRule="auto"/>
        <w:rPr>
          <w:sz w:val="20"/>
          <w:szCs w:val="20"/>
          <w:color w:val="auto"/>
        </w:rPr>
      </w:pPr>
      <w:r>
        <w:rPr>
          <w:rFonts w:ascii="Courier New" w:cs="Courier New" w:eastAsia="Courier New" w:hAnsi="Courier New"/>
          <w:sz w:val="14"/>
          <w:szCs w:val="14"/>
          <w:color w:val="auto"/>
        </w:rPr>
        <w:t>The benefit amounts shown in the Pension Table are computed on a straight life annuity basis. At January 1, 2000, the following individuals had the indicated number of years of credited service for pension purposes: Mr. Bossidy, 8; Mr. Bonsignore, 30; Mr. Poses, 30; Mr. Ferrari, 39; Mr. Johnson, 5; Mr. Kreindler, 8; and Mr. Wallman, 4.</w:t>
      </w:r>
    </w:p>
    <w:p>
      <w:pPr>
        <w:spacing w:after="0" w:line="164" w:lineRule="exact"/>
        <w:rPr>
          <w:sz w:val="20"/>
          <w:szCs w:val="20"/>
          <w:color w:val="auto"/>
        </w:rPr>
      </w:pPr>
    </w:p>
    <w:p>
      <w:pPr>
        <w:ind w:right="3259" w:firstLine="344"/>
        <w:spacing w:after="0" w:line="252" w:lineRule="auto"/>
        <w:rPr>
          <w:sz w:val="20"/>
          <w:szCs w:val="20"/>
          <w:color w:val="auto"/>
        </w:rPr>
      </w:pPr>
      <w:r>
        <w:rPr>
          <w:rFonts w:ascii="Courier New" w:cs="Courier New" w:eastAsia="Courier New" w:hAnsi="Courier New"/>
          <w:sz w:val="14"/>
          <w:szCs w:val="14"/>
          <w:color w:val="auto"/>
        </w:rPr>
        <w:t>The amounts in the Salary and Bonus columns of the Summary Compensation Table for 1999 would be included in computing remuneration for pension purposes. Average annual remuneration under the Pension Plan is calculated based on the highest paid 60 consecutive months of an employee's last 120 months of employment.</w:t>
      </w:r>
    </w:p>
    <w:p>
      <w:pPr>
        <w:spacing w:after="0" w:line="327"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Under their employment agreements, Messrs. Bossidy and Bonsignore are entitled to receive during their lifetimes, commencing on retirement, Company facilities and services comparable to those provided prior to their retirement, and a retirement benefit equivalent to 60% of final average compensation (based on their highest three years of salary and bonus) payable annually for life. Benefits under the agreements will be reduced by any retirement benefits payable under the Company's retirement and supplemental retirement plans, and under certain circumstances, benefits payable under retirement plans of former employers.</w:t>
      </w:r>
    </w:p>
    <w:p>
      <w:pPr>
        <w:spacing w:after="0" w:line="32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Mr. Ferrari is covered by the Belgium pension arrangement, which provides a benefit of 55% of final average compensation after 30 years of service, through a combination of the plan and equivalent pension plans in other countries. This arrangement also provides for an additional benefit of 15% of final average compensation which is funded by contributions from Mr. Ferrari.</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159"/>
          </w:cols>
          <w:pgMar w:left="300" w:top="616" w:right="1440" w:bottom="1440" w:gutter="0" w:footer="0" w:header="0"/>
        </w:sectPr>
      </w:pPr>
    </w:p>
    <w:bookmarkStart w:id="24" w:name="page25"/>
    <w:bookmarkEnd w:id="24"/>
    <w:p>
      <w:pPr>
        <w:jc w:val="center"/>
        <w:ind w:right="3259"/>
        <w:spacing w:after="0"/>
        <w:rPr>
          <w:sz w:val="20"/>
          <w:szCs w:val="20"/>
          <w:color w:val="auto"/>
        </w:rPr>
      </w:pPr>
      <w:r>
        <w:rPr>
          <w:rFonts w:ascii="Courier New" w:cs="Courier New" w:eastAsia="Courier New" w:hAnsi="Courier New"/>
          <w:sz w:val="14"/>
          <w:szCs w:val="14"/>
          <w:color w:val="auto"/>
        </w:rPr>
        <w:t>SHAREOWNER PROPOSALS</w:t>
      </w:r>
    </w:p>
    <w:p>
      <w:pPr>
        <w:spacing w:after="0" w:line="173"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Shareowners have given the Company notice of their intention to introduce the following proposals for consideration and action by the shareowners at the Annual Meeting. The respective proponents have provided the proposed resolutions and accompanying statements and the Company is not responsible for any inaccuracies contained therein. For the reasons stated, the Board of Directors does not support these proposals.</w:t>
      </w:r>
    </w:p>
    <w:p>
      <w:pPr>
        <w:spacing w:after="0" w:line="16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ITEM 3 -- SHAREOWNER PROPOSAL REGARDING CEO COMPENSATION</w:t>
      </w:r>
    </w:p>
    <w:p>
      <w:pPr>
        <w:spacing w:after="0" w:line="173" w:lineRule="exact"/>
        <w:rPr>
          <w:sz w:val="20"/>
          <w:szCs w:val="20"/>
          <w:color w:val="auto"/>
        </w:rPr>
      </w:pPr>
    </w:p>
    <w:p>
      <w:pPr>
        <w:ind w:right="3259" w:firstLine="344"/>
        <w:spacing w:after="0" w:line="252" w:lineRule="auto"/>
        <w:rPr>
          <w:sz w:val="20"/>
          <w:szCs w:val="20"/>
          <w:color w:val="auto"/>
        </w:rPr>
      </w:pPr>
      <w:r>
        <w:rPr>
          <w:rFonts w:ascii="Courier New" w:cs="Courier New" w:eastAsia="Courier New" w:hAnsi="Courier New"/>
          <w:sz w:val="14"/>
          <w:szCs w:val="14"/>
          <w:color w:val="auto"/>
        </w:rPr>
        <w:t>This proposal has been submitted by the Eleanora Halfman Trust, c/o Trillium Asset Management Corporation, 711 Atlantic Avenue, Boston, Massachusetts 02111 (the owner of 700 shares of common stock).</w:t>
      </w:r>
    </w:p>
    <w:p>
      <w:pPr>
        <w:spacing w:after="0" w:line="16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0" w:right="3339"/>
        <w:spacing w:after="0" w:line="252" w:lineRule="auto"/>
        <w:rPr>
          <w:sz w:val="20"/>
          <w:szCs w:val="20"/>
          <w:color w:val="auto"/>
        </w:rPr>
      </w:pPr>
      <w:r>
        <w:rPr>
          <w:rFonts w:ascii="Courier New" w:cs="Courier New" w:eastAsia="Courier New" w:hAnsi="Courier New"/>
          <w:sz w:val="14"/>
          <w:szCs w:val="14"/>
          <w:color w:val="auto"/>
        </w:rPr>
        <w:t>WHEREAS, during the period 1990-98, corporate profits rose 108%, the S&amp;P 500 rose 224%, and CEO pay rose 481%. During the same period, the average worker's pay rose 28%, barely more than inflation;</w:t>
      </w:r>
    </w:p>
    <w:p>
      <w:pPr>
        <w:spacing w:after="0" w:line="163" w:lineRule="exact"/>
        <w:rPr>
          <w:sz w:val="20"/>
          <w:szCs w:val="20"/>
          <w:color w:val="auto"/>
        </w:rPr>
      </w:pPr>
    </w:p>
    <w:p>
      <w:pPr>
        <w:ind w:left="260" w:right="3339"/>
        <w:spacing w:after="0" w:line="251" w:lineRule="auto"/>
        <w:rPr>
          <w:sz w:val="20"/>
          <w:szCs w:val="20"/>
          <w:color w:val="auto"/>
        </w:rPr>
      </w:pPr>
      <w:r>
        <w:rPr>
          <w:rFonts w:ascii="Courier New" w:cs="Courier New" w:eastAsia="Courier New" w:hAnsi="Courier New"/>
          <w:sz w:val="14"/>
          <w:szCs w:val="14"/>
          <w:color w:val="auto"/>
        </w:rPr>
        <w:t>WHEREAS, the average large company CEO made 419 times more than the average manufacturing worker in 1998 (Business Week). If the pay of the average manufacturing worker had increased as fast as CEO pay between 1990 and 1998, it would today be $110,399, rather than $29,267. If the minimum wage rose as fast as CEO pay it would today be $22.08/hour, not $5.15/hour;</w:t>
      </w:r>
    </w:p>
    <w:p>
      <w:pPr>
        <w:spacing w:after="0" w:line="164" w:lineRule="exact"/>
        <w:rPr>
          <w:sz w:val="20"/>
          <w:szCs w:val="20"/>
          <w:color w:val="auto"/>
        </w:rPr>
      </w:pPr>
    </w:p>
    <w:p>
      <w:pPr>
        <w:ind w:left="260" w:right="3439"/>
        <w:spacing w:after="0" w:line="251" w:lineRule="auto"/>
        <w:rPr>
          <w:sz w:val="20"/>
          <w:szCs w:val="20"/>
          <w:color w:val="auto"/>
        </w:rPr>
      </w:pPr>
      <w:r>
        <w:rPr>
          <w:rFonts w:ascii="Courier New" w:cs="Courier New" w:eastAsia="Courier New" w:hAnsi="Courier New"/>
          <w:sz w:val="14"/>
          <w:szCs w:val="14"/>
          <w:color w:val="auto"/>
        </w:rPr>
        <w:t>WHEREAS, though U.S. multinational corporations see themselves as global companies, taking advantage of global labor markets, they continue to pay their executives at levels far surpassing international standards. CEOs in Germany, Japan, and the United Kingdom make well less than 50 times the pay of average manufacturing workers;</w:t>
      </w:r>
    </w:p>
    <w:p>
      <w:pPr>
        <w:spacing w:after="0" w:line="164" w:lineRule="exact"/>
        <w:rPr>
          <w:sz w:val="20"/>
          <w:szCs w:val="20"/>
          <w:color w:val="auto"/>
        </w:rPr>
      </w:pPr>
    </w:p>
    <w:p>
      <w:pPr>
        <w:ind w:left="260" w:right="3259"/>
        <w:spacing w:after="0" w:line="252" w:lineRule="auto"/>
        <w:rPr>
          <w:sz w:val="20"/>
          <w:szCs w:val="20"/>
          <w:color w:val="auto"/>
        </w:rPr>
      </w:pPr>
      <w:r>
        <w:rPr>
          <w:rFonts w:ascii="Courier New" w:cs="Courier New" w:eastAsia="Courier New" w:hAnsi="Courier New"/>
          <w:sz w:val="14"/>
          <w:szCs w:val="14"/>
          <w:color w:val="auto"/>
        </w:rPr>
        <w:t>WHEREAS, AlliedSignal's CEO made $14.1 million in 1998, 481 times the average U.S. manufacturing worker and more than 2,800 times the average wage for Mexican maquiladora workers (about $5,000 a year), a nation where AlliedSignal continues to expand;</w:t>
      </w:r>
    </w:p>
    <w:p>
      <w:pPr>
        <w:spacing w:after="0" w:line="162" w:lineRule="exact"/>
        <w:rPr>
          <w:sz w:val="20"/>
          <w:szCs w:val="20"/>
          <w:color w:val="auto"/>
        </w:rPr>
      </w:pPr>
    </w:p>
    <w:p>
      <w:pPr>
        <w:ind w:left="260" w:right="3259"/>
        <w:spacing w:after="0" w:line="252" w:lineRule="auto"/>
        <w:rPr>
          <w:sz w:val="20"/>
          <w:szCs w:val="20"/>
          <w:color w:val="auto"/>
        </w:rPr>
      </w:pPr>
      <w:r>
        <w:rPr>
          <w:rFonts w:ascii="Courier New" w:cs="Courier New" w:eastAsia="Courier New" w:hAnsi="Courier New"/>
          <w:sz w:val="14"/>
          <w:szCs w:val="14"/>
          <w:color w:val="auto"/>
        </w:rPr>
        <w:t>WHEREAS, AlliedSignal's efforts to cut costs have been disproportionately focused on the factory floor, cutting more than 11,000 jobs since 1995, while costs in the executive suite and the board room continue to climb.</w:t>
      </w:r>
    </w:p>
    <w:p>
      <w:pPr>
        <w:spacing w:after="0" w:line="163" w:lineRule="exact"/>
        <w:rPr>
          <w:sz w:val="20"/>
          <w:szCs w:val="20"/>
          <w:color w:val="auto"/>
        </w:rPr>
      </w:pPr>
    </w:p>
    <w:p>
      <w:pPr>
        <w:ind w:left="260" w:right="3259"/>
        <w:spacing w:after="0" w:line="251" w:lineRule="auto"/>
        <w:rPr>
          <w:sz w:val="20"/>
          <w:szCs w:val="20"/>
          <w:color w:val="auto"/>
        </w:rPr>
      </w:pPr>
      <w:r>
        <w:rPr>
          <w:rFonts w:ascii="Courier New" w:cs="Courier New" w:eastAsia="Courier New" w:hAnsi="Courier New"/>
          <w:sz w:val="14"/>
          <w:szCs w:val="14"/>
          <w:color w:val="auto"/>
        </w:rPr>
        <w:t>WHEREAS, a growing body of research suggests that wide wage gaps within organizations can undermine the firm's mission. A 1992 study by the Haas School of Business at the University of California at Berkeley found that firms with the widest pay gaps experienced lower quality. A study published in the Journal of Organizational Behavior found that high levels of executive compensation generated cynicism among white-collar workers;</w:t>
      </w:r>
    </w:p>
    <w:p>
      <w:pPr>
        <w:spacing w:after="0" w:line="164" w:lineRule="exact"/>
        <w:rPr>
          <w:sz w:val="20"/>
          <w:szCs w:val="20"/>
          <w:color w:val="auto"/>
        </w:rPr>
      </w:pPr>
    </w:p>
    <w:p>
      <w:pPr>
        <w:ind w:left="260" w:right="3339"/>
        <w:spacing w:after="0" w:line="252" w:lineRule="auto"/>
        <w:rPr>
          <w:sz w:val="20"/>
          <w:szCs w:val="20"/>
          <w:color w:val="auto"/>
        </w:rPr>
      </w:pPr>
      <w:r>
        <w:rPr>
          <w:rFonts w:ascii="Courier New" w:cs="Courier New" w:eastAsia="Courier New" w:hAnsi="Courier New"/>
          <w:sz w:val="14"/>
          <w:szCs w:val="14"/>
          <w:color w:val="auto"/>
        </w:rPr>
        <w:t>WHEREAS, finance magnate J. P. Morgan espoused the opinion that CEOs should not make more than 20 times the compensation of the average employee. Modern management consultant Peter Drucker has similarly argued for CEO pay no higher than 25 times the average worker;</w:t>
      </w:r>
    </w:p>
    <w:p>
      <w:pPr>
        <w:spacing w:after="0" w:line="162"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THEREFORE, BE IT RESOLVED, that shareholders urge the Board of Directors to address the issue of runaway remuneration of CEOs and the widening gap between highest and lowest paid workers by:</w:t>
      </w:r>
    </w:p>
    <w:p>
      <w:pPr>
        <w:spacing w:after="0" w:line="163" w:lineRule="exact"/>
        <w:rPr>
          <w:sz w:val="20"/>
          <w:szCs w:val="20"/>
          <w:color w:val="auto"/>
        </w:rPr>
      </w:pPr>
    </w:p>
    <w:p>
      <w:pPr>
        <w:ind w:left="620" w:right="3339" w:hanging="267"/>
        <w:spacing w:after="0" w:line="255" w:lineRule="auto"/>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Establishing a cap on CEO compensation expressed as a multiple of pay of the lowest paid worker at Honeywell International;</w:t>
      </w:r>
    </w:p>
    <w:p>
      <w:pPr>
        <w:spacing w:after="0" w:line="159" w:lineRule="exact"/>
        <w:rPr>
          <w:rFonts w:ascii="Courier New" w:cs="Courier New" w:eastAsia="Courier New" w:hAnsi="Courier New"/>
          <w:sz w:val="14"/>
          <w:szCs w:val="14"/>
          <w:color w:val="auto"/>
        </w:rPr>
      </w:pPr>
    </w:p>
    <w:p>
      <w:pPr>
        <w:ind w:left="620" w:right="3259" w:hanging="267"/>
        <w:spacing w:after="0" w:line="255" w:lineRule="auto"/>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Preparing a report for shareholders explaining the determinations used in order to determine the appropriate cap.</w:t>
      </w:r>
    </w:p>
    <w:p>
      <w:pPr>
        <w:spacing w:after="0" w:line="160" w:lineRule="exact"/>
        <w:rPr>
          <w:sz w:val="20"/>
          <w:szCs w:val="20"/>
          <w:color w:val="auto"/>
        </w:rPr>
      </w:pPr>
    </w:p>
    <w:p>
      <w:pPr>
        <w:ind w:left="260" w:right="3339"/>
        <w:spacing w:after="0" w:line="251" w:lineRule="auto"/>
        <w:rPr>
          <w:sz w:val="20"/>
          <w:szCs w:val="20"/>
          <w:color w:val="auto"/>
        </w:rPr>
      </w:pPr>
      <w:r>
        <w:rPr>
          <w:rFonts w:ascii="Courier New" w:cs="Courier New" w:eastAsia="Courier New" w:hAnsi="Courier New"/>
          <w:sz w:val="14"/>
          <w:szCs w:val="14"/>
          <w:color w:val="auto"/>
        </w:rPr>
        <w:t>SUPPORTING STATEMENT: Last year, this resolution drew the support of 12% of AlliedSignal's shareholders. With the transition in CEO leadership comes the opportunity for a fresh start on executive pay policies. Through the financial discipline of a pay cap, we hope our company can help reverse a long-standing trend that is neither good for business nor society. Please vote YES.</w:t>
      </w:r>
    </w:p>
    <w:p>
      <w:pPr>
        <w:spacing w:after="0" w:line="330" w:lineRule="exact"/>
        <w:rPr>
          <w:sz w:val="20"/>
          <w:szCs w:val="20"/>
          <w:color w:val="auto"/>
        </w:rPr>
      </w:pPr>
    </w:p>
    <w:p>
      <w:pPr>
        <w:ind w:right="3259"/>
        <w:spacing w:after="0" w:line="255" w:lineRule="auto"/>
        <w:rPr>
          <w:sz w:val="20"/>
          <w:szCs w:val="20"/>
          <w:color w:val="auto"/>
        </w:rPr>
      </w:pPr>
      <w:r>
        <w:rPr>
          <w:rFonts w:ascii="Courier New" w:cs="Courier New" w:eastAsia="Courier New" w:hAnsi="Courier New"/>
          <w:sz w:val="14"/>
          <w:szCs w:val="14"/>
          <w:color w:val="auto"/>
        </w:rPr>
        <w:t>BOARD OF DIRECTORS' RECOMMENDATION -- THE BOARD OF DIRECTORS RECOMMENDS THAT THE SHAREOWNERS VOTE AGAINST THIS PROPOSAL FOR THE FOLLOWING REASONS:</w:t>
      </w:r>
    </w:p>
    <w:p>
      <w:pPr>
        <w:spacing w:after="0" w:line="160" w:lineRule="exact"/>
        <w:rPr>
          <w:sz w:val="20"/>
          <w:szCs w:val="20"/>
          <w:color w:val="auto"/>
        </w:rPr>
      </w:pPr>
    </w:p>
    <w:p>
      <w:pPr>
        <w:ind w:right="3259" w:firstLine="344"/>
        <w:spacing w:after="0" w:line="252" w:lineRule="auto"/>
        <w:rPr>
          <w:sz w:val="20"/>
          <w:szCs w:val="20"/>
          <w:color w:val="auto"/>
        </w:rPr>
      </w:pPr>
      <w:r>
        <w:rPr>
          <w:rFonts w:ascii="Courier New" w:cs="Courier New" w:eastAsia="Courier New" w:hAnsi="Courier New"/>
          <w:sz w:val="14"/>
          <w:szCs w:val="14"/>
          <w:color w:val="auto"/>
        </w:rPr>
        <w:t>The determination of the appropriate level of compensation for the Company's Chief Executive Officer is a key responsibility of the Board of Directors and its Management Development and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159"/>
          </w:cols>
          <w:pgMar w:left="300" w:top="616" w:right="1440" w:bottom="1440" w:gutter="0" w:footer="0" w:header="0"/>
        </w:sectPr>
      </w:pPr>
    </w:p>
    <w:bookmarkStart w:id="25" w:name="page26"/>
    <w:bookmarkEnd w:id="25"/>
    <w:p>
      <w:pPr>
        <w:ind w:right="3519"/>
        <w:spacing w:after="0" w:line="252" w:lineRule="auto"/>
        <w:rPr>
          <w:sz w:val="20"/>
          <w:szCs w:val="20"/>
          <w:color w:val="auto"/>
        </w:rPr>
      </w:pPr>
      <w:r>
        <w:rPr>
          <w:rFonts w:ascii="Courier New" w:cs="Courier New" w:eastAsia="Courier New" w:hAnsi="Courier New"/>
          <w:sz w:val="14"/>
          <w:szCs w:val="14"/>
          <w:color w:val="auto"/>
        </w:rPr>
        <w:t>Compensation Committee. As discussed above in the 'Report on Executive Compensation,' the directors consider a number of factors in establishing CEO compensation.</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To compete in an increasingly complex global marketplace, the Company must attract and retain the best leadership talent. The Board believes that a cap, whether internally or externally imposed, would limit its ability to secure the leadership necessary to continue the Company's preeminent business results. Therefore, the Board believes it would not be in the best interest of the shareowners to establish an arbitrary cap on the compensation paid to the Chief Executive Officer. Doing so could unduly inhibit the Company's flexibility in providing compensation arrangements needed to reward and retain a current Chief Executive Officer in a competitive environment or to attract and motivate other Chief Executive Officers in the future.</w:t>
      </w:r>
    </w:p>
    <w:p>
      <w:pPr>
        <w:spacing w:after="0" w:line="163" w:lineRule="exact"/>
        <w:rPr>
          <w:sz w:val="20"/>
          <w:szCs w:val="20"/>
          <w:color w:val="auto"/>
        </w:rPr>
      </w:pPr>
    </w:p>
    <w:p>
      <w:pPr>
        <w:ind w:right="3699" w:firstLine="344"/>
        <w:spacing w:after="0" w:line="255" w:lineRule="auto"/>
        <w:rPr>
          <w:sz w:val="20"/>
          <w:szCs w:val="20"/>
          <w:color w:val="auto"/>
        </w:rPr>
      </w:pPr>
      <w:r>
        <w:rPr>
          <w:rFonts w:ascii="Courier New" w:cs="Courier New" w:eastAsia="Courier New" w:hAnsi="Courier New"/>
          <w:sz w:val="14"/>
          <w:szCs w:val="14"/>
          <w:color w:val="auto"/>
        </w:rPr>
        <w:t>FOR THE REASONS STATED ABOVE, YOUR BOARD OF DIRECTORS RECOMMENDS A VOTE AGAINST THIS PROPOSAL.</w:t>
      </w:r>
    </w:p>
    <w:p>
      <w:pPr>
        <w:spacing w:after="0" w:line="160"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ITEM 4 -- SHAREOWNER PROPOSAL REGARDING</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ANNUAL ELECTION OF DIRECTORS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This proposal has been submitted by John Chevedden, 2215 Nelson Ave.,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205, Redondo Beach, California 90278 (the holder of 884 shares of common stock).</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RESOLVED: ADOPT SHAREHOLDER PROPOSAL THAT WON GREATER THAN 49% APPROVAL IN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BOTH 1999 AND 1998: ANNUAL ELECTION OF ALL DIRECTORS</w:t>
      </w:r>
    </w:p>
    <w:p>
      <w:pPr>
        <w:spacing w:after="0" w:line="173" w:lineRule="exact"/>
        <w:rPr>
          <w:sz w:val="20"/>
          <w:szCs w:val="20"/>
          <w:color w:val="auto"/>
        </w:rPr>
      </w:pPr>
    </w:p>
    <w:p>
      <w:pPr>
        <w:ind w:left="260" w:right="3519" w:firstLine="344"/>
        <w:spacing w:after="0" w:line="252" w:lineRule="auto"/>
        <w:rPr>
          <w:sz w:val="20"/>
          <w:szCs w:val="20"/>
          <w:color w:val="auto"/>
        </w:rPr>
      </w:pPr>
      <w:r>
        <w:rPr>
          <w:rFonts w:ascii="Courier New" w:cs="Courier New" w:eastAsia="Courier New" w:hAnsi="Courier New"/>
          <w:sz w:val="14"/>
          <w:szCs w:val="14"/>
          <w:color w:val="auto"/>
        </w:rPr>
        <w:t>Elect the entire Board of Directors each year. Honeywell International shareholders request the Board of Directors take all the required steps. Reason: Proper oversight of the company's new management.</w:t>
      </w:r>
    </w:p>
    <w:p>
      <w:pPr>
        <w:spacing w:after="0" w:line="163" w:lineRule="exact"/>
        <w:rPr>
          <w:sz w:val="20"/>
          <w:szCs w:val="20"/>
          <w:color w:val="auto"/>
        </w:rPr>
      </w:pPr>
    </w:p>
    <w:p>
      <w:pPr>
        <w:ind w:left="260" w:right="3519" w:firstLine="344"/>
        <w:spacing w:after="0" w:line="252" w:lineRule="auto"/>
        <w:rPr>
          <w:sz w:val="20"/>
          <w:szCs w:val="20"/>
          <w:color w:val="auto"/>
        </w:rPr>
      </w:pPr>
      <w:r>
        <w:rPr>
          <w:rFonts w:ascii="Courier New" w:cs="Courier New" w:eastAsia="Courier New" w:hAnsi="Courier New"/>
          <w:sz w:val="14"/>
          <w:szCs w:val="14"/>
          <w:color w:val="auto"/>
        </w:rPr>
        <w:t>This resolution includes the requirement that any future change in the frequency of director election be submitted to a shareholder vote as a stand-alone resolution.</w:t>
      </w:r>
    </w:p>
    <w:p>
      <w:pPr>
        <w:spacing w:after="0" w:line="163" w:lineRule="exact"/>
        <w:rPr>
          <w:sz w:val="20"/>
          <w:szCs w:val="20"/>
          <w:color w:val="auto"/>
        </w:rPr>
      </w:pPr>
    </w:p>
    <w:p>
      <w:pPr>
        <w:ind w:left="260" w:right="3439" w:firstLine="344"/>
        <w:spacing w:after="0" w:line="252" w:lineRule="auto"/>
        <w:rPr>
          <w:sz w:val="20"/>
          <w:szCs w:val="20"/>
          <w:color w:val="auto"/>
        </w:rPr>
      </w:pPr>
      <w:r>
        <w:rPr>
          <w:rFonts w:ascii="Courier New" w:cs="Courier New" w:eastAsia="Courier New" w:hAnsi="Courier New"/>
          <w:sz w:val="14"/>
          <w:szCs w:val="14"/>
          <w:color w:val="auto"/>
        </w:rPr>
        <w:t>SUPPORTING STATEMENT: This resolution won greater than 49%* approval by AlliedSignal shareholders in both 1998 and 1999. Honeywell Inc. had annual election of all directors.</w:t>
      </w:r>
    </w:p>
    <w:p>
      <w:pPr>
        <w:spacing w:after="0" w:line="163" w:lineRule="exact"/>
        <w:rPr>
          <w:sz w:val="20"/>
          <w:szCs w:val="20"/>
          <w:color w:val="auto"/>
        </w:rPr>
      </w:pPr>
    </w:p>
    <w:p>
      <w:pPr>
        <w:ind w:left="260" w:right="3339" w:firstLine="344"/>
        <w:spacing w:after="0" w:line="252" w:lineRule="auto"/>
        <w:rPr>
          <w:sz w:val="20"/>
          <w:szCs w:val="20"/>
          <w:color w:val="auto"/>
        </w:rPr>
      </w:pPr>
      <w:r>
        <w:rPr>
          <w:rFonts w:ascii="Courier New" w:cs="Courier New" w:eastAsia="Courier New" w:hAnsi="Courier New"/>
          <w:sz w:val="14"/>
          <w:szCs w:val="14"/>
          <w:color w:val="auto"/>
        </w:rPr>
        <w:t>Annual election of all directors is increasingly important for effective oversight of the company's new management. Institutional investors increasingly support annual election of all directors.</w:t>
      </w:r>
    </w:p>
    <w:p>
      <w:pPr>
        <w:spacing w:after="0" w:line="163" w:lineRule="exact"/>
        <w:rPr>
          <w:sz w:val="20"/>
          <w:szCs w:val="20"/>
          <w:color w:val="auto"/>
        </w:rPr>
      </w:pPr>
    </w:p>
    <w:p>
      <w:pPr>
        <w:ind w:left="260" w:right="3439" w:firstLine="344"/>
        <w:spacing w:after="0" w:line="252" w:lineRule="auto"/>
        <w:rPr>
          <w:sz w:val="20"/>
          <w:szCs w:val="20"/>
          <w:color w:val="auto"/>
        </w:rPr>
      </w:pPr>
      <w:r>
        <w:rPr>
          <w:rFonts w:ascii="Courier New" w:cs="Courier New" w:eastAsia="Courier New" w:hAnsi="Courier New"/>
          <w:sz w:val="14"/>
          <w:szCs w:val="14"/>
          <w:color w:val="auto"/>
        </w:rPr>
        <w:t>A record 17 shareholder proposals for annual election of all directors won majority vote in 1998. Annual election of directors is a core policy in the Council of Institutional Investors Shareholder Bill of Rights.</w:t>
      </w:r>
    </w:p>
    <w:p>
      <w:pPr>
        <w:spacing w:after="0" w:line="163" w:lineRule="exact"/>
        <w:rPr>
          <w:sz w:val="20"/>
          <w:szCs w:val="20"/>
          <w:color w:val="auto"/>
        </w:rPr>
      </w:pPr>
    </w:p>
    <w:p>
      <w:pPr>
        <w:ind w:left="260" w:right="3259" w:firstLine="344"/>
        <w:spacing w:after="0" w:line="253" w:lineRule="auto"/>
        <w:rPr>
          <w:sz w:val="20"/>
          <w:szCs w:val="20"/>
          <w:color w:val="auto"/>
        </w:rPr>
      </w:pPr>
      <w:r>
        <w:rPr>
          <w:rFonts w:ascii="Courier New" w:cs="Courier New" w:eastAsia="Courier New" w:hAnsi="Courier New"/>
          <w:sz w:val="14"/>
          <w:szCs w:val="14"/>
          <w:color w:val="auto"/>
        </w:rPr>
        <w:t>Honeywell International directors are further isolated from performance accountability by a 80% vote requirement to remove directors. A 57%* majority of shares voted to end this 80% barrier at the 1998 Allied shareholder meeting.</w:t>
      </w:r>
    </w:p>
    <w:p>
      <w:pPr>
        <w:spacing w:after="0" w:line="326" w:lineRule="exact"/>
        <w:rPr>
          <w:sz w:val="20"/>
          <w:szCs w:val="20"/>
          <w:color w:val="auto"/>
        </w:rPr>
      </w:pPr>
    </w:p>
    <w:p>
      <w:pPr>
        <w:ind w:left="260" w:right="3519"/>
        <w:spacing w:after="0" w:line="255" w:lineRule="auto"/>
        <w:rPr>
          <w:sz w:val="20"/>
          <w:szCs w:val="20"/>
          <w:color w:val="auto"/>
        </w:rPr>
      </w:pPr>
      <w:r>
        <w:rPr>
          <w:rFonts w:ascii="Courier New" w:cs="Courier New" w:eastAsia="Courier New" w:hAnsi="Courier New"/>
          <w:sz w:val="14"/>
          <w:szCs w:val="14"/>
          <w:color w:val="auto"/>
        </w:rPr>
        <w:t>Note also the pattern of heavy interlocking board commitments of Honeywell International directors:</w:t>
      </w:r>
    </w:p>
    <w:p>
      <w:pPr>
        <w:spacing w:after="0" w:line="200" w:lineRule="exact"/>
        <w:rPr>
          <w:sz w:val="20"/>
          <w:szCs w:val="20"/>
          <w:color w:val="auto"/>
        </w:rPr>
      </w:pPr>
    </w:p>
    <w:p>
      <w:pPr>
        <w:spacing w:after="0" w:line="291"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360" w:type="dxa"/>
            <w:vAlign w:val="bottom"/>
          </w:tcPr>
          <w:p>
            <w:pPr>
              <w:spacing w:after="0"/>
              <w:rPr>
                <w:sz w:val="20"/>
                <w:szCs w:val="20"/>
                <w:color w:val="auto"/>
              </w:rPr>
            </w:pPr>
            <w:r>
              <w:rPr>
                <w:rFonts w:ascii="Courier New" w:cs="Courier New" w:eastAsia="Courier New" w:hAnsi="Courier New"/>
                <w:sz w:val="14"/>
                <w:szCs w:val="14"/>
                <w:color w:val="auto"/>
              </w:rPr>
              <w:t>Company</w:t>
            </w:r>
          </w:p>
        </w:tc>
        <w:tc>
          <w:tcPr>
            <w:tcW w:w="45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Interlocking Allied Directors from 1999 proxy</w:t>
            </w:r>
          </w:p>
        </w:tc>
      </w:tr>
      <w:tr>
        <w:trPr>
          <w:trHeight w:val="166"/>
        </w:trPr>
        <w:tc>
          <w:tcPr>
            <w:tcW w:w="2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5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2360" w:type="dxa"/>
            <w:vAlign w:val="bottom"/>
          </w:tcPr>
          <w:p>
            <w:pPr>
              <w:spacing w:after="0"/>
              <w:rPr>
                <w:sz w:val="20"/>
                <w:szCs w:val="20"/>
                <w:color w:val="auto"/>
              </w:rPr>
            </w:pPr>
            <w:r>
              <w:rPr>
                <w:rFonts w:ascii="Courier New" w:cs="Courier New" w:eastAsia="Courier New" w:hAnsi="Courier New"/>
                <w:sz w:val="14"/>
                <w:szCs w:val="14"/>
                <w:color w:val="auto"/>
              </w:rPr>
              <w:t>Bell Atlantic</w:t>
            </w:r>
          </w:p>
        </w:tc>
        <w:tc>
          <w:tcPr>
            <w:tcW w:w="45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Seidenberg, J. Stafford</w:t>
            </w:r>
          </w:p>
        </w:tc>
      </w:tr>
      <w:tr>
        <w:trPr>
          <w:trHeight w:val="166"/>
        </w:trPr>
        <w:tc>
          <w:tcPr>
            <w:tcW w:w="2360" w:type="dxa"/>
            <w:vAlign w:val="bottom"/>
          </w:tcPr>
          <w:p>
            <w:pPr>
              <w:spacing w:after="0"/>
              <w:rPr>
                <w:sz w:val="20"/>
                <w:szCs w:val="20"/>
                <w:color w:val="auto"/>
              </w:rPr>
            </w:pPr>
            <w:r>
              <w:rPr>
                <w:rFonts w:ascii="Courier New" w:cs="Courier New" w:eastAsia="Courier New" w:hAnsi="Courier New"/>
                <w:sz w:val="14"/>
                <w:szCs w:val="14"/>
                <w:color w:val="auto"/>
              </w:rPr>
              <w:t>American Home Products</w:t>
            </w:r>
          </w:p>
        </w:tc>
        <w:tc>
          <w:tcPr>
            <w:tcW w:w="45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Seidenberg and J. Stafford again</w:t>
            </w:r>
          </w:p>
        </w:tc>
      </w:tr>
      <w:tr>
        <w:trPr>
          <w:trHeight w:val="166"/>
        </w:trPr>
        <w:tc>
          <w:tcPr>
            <w:tcW w:w="2360" w:type="dxa"/>
            <w:vAlign w:val="bottom"/>
          </w:tcPr>
          <w:p>
            <w:pPr>
              <w:spacing w:after="0"/>
              <w:rPr>
                <w:sz w:val="20"/>
                <w:szCs w:val="20"/>
                <w:color w:val="auto"/>
              </w:rPr>
            </w:pPr>
            <w:r>
              <w:rPr>
                <w:rFonts w:ascii="Courier New" w:cs="Courier New" w:eastAsia="Courier New" w:hAnsi="Courier New"/>
                <w:sz w:val="14"/>
                <w:szCs w:val="14"/>
                <w:color w:val="auto"/>
              </w:rPr>
              <w:t>(Seidenberg, full-time CEO</w:t>
            </w:r>
          </w:p>
        </w:tc>
        <w:tc>
          <w:tcPr>
            <w:tcW w:w="940" w:type="dxa"/>
            <w:vAlign w:val="bottom"/>
          </w:tcPr>
          <w:p>
            <w:pPr>
              <w:ind w:left="120"/>
              <w:spacing w:after="0"/>
              <w:rPr>
                <w:sz w:val="20"/>
                <w:szCs w:val="20"/>
                <w:color w:val="auto"/>
              </w:rPr>
            </w:pPr>
            <w:r>
              <w:rPr>
                <w:rFonts w:ascii="Courier New" w:cs="Courier New" w:eastAsia="Courier New" w:hAnsi="Courier New"/>
                <w:sz w:val="14"/>
                <w:szCs w:val="14"/>
                <w:color w:val="auto"/>
              </w:rPr>
              <w:t>Sits on 4</w:t>
            </w:r>
          </w:p>
        </w:tc>
        <w:tc>
          <w:tcPr>
            <w:tcW w:w="3580" w:type="dxa"/>
            <w:vAlign w:val="bottom"/>
          </w:tcPr>
          <w:p>
            <w:pPr>
              <w:ind w:left="60"/>
              <w:spacing w:after="0"/>
              <w:rPr>
                <w:sz w:val="20"/>
                <w:szCs w:val="20"/>
                <w:color w:val="auto"/>
              </w:rPr>
            </w:pPr>
            <w:r>
              <w:rPr>
                <w:rFonts w:ascii="Courier New" w:cs="Courier New" w:eastAsia="Courier New" w:hAnsi="Courier New"/>
                <w:sz w:val="14"/>
                <w:szCs w:val="14"/>
                <w:color w:val="auto"/>
              </w:rPr>
              <w:t>outside boards)</w:t>
            </w:r>
          </w:p>
        </w:tc>
      </w:tr>
      <w:tr>
        <w:trPr>
          <w:trHeight w:val="166"/>
        </w:trPr>
        <w:tc>
          <w:tcPr>
            <w:tcW w:w="2360" w:type="dxa"/>
            <w:vAlign w:val="bottom"/>
          </w:tcPr>
          <w:p>
            <w:pPr>
              <w:spacing w:after="0"/>
              <w:rPr>
                <w:sz w:val="20"/>
                <w:szCs w:val="20"/>
                <w:color w:val="auto"/>
              </w:rPr>
            </w:pPr>
            <w:r>
              <w:rPr>
                <w:rFonts w:ascii="Courier New" w:cs="Courier New" w:eastAsia="Courier New" w:hAnsi="Courier New"/>
                <w:sz w:val="14"/>
                <w:szCs w:val="14"/>
                <w:color w:val="auto"/>
              </w:rPr>
              <w:t>Chase Manhattan</w:t>
            </w:r>
          </w:p>
        </w:tc>
        <w:tc>
          <w:tcPr>
            <w:tcW w:w="45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Sigler, J. Stafford, Becherer</w:t>
            </w:r>
          </w:p>
        </w:tc>
      </w:tr>
      <w:tr>
        <w:trPr>
          <w:trHeight w:val="166"/>
        </w:trPr>
        <w:tc>
          <w:tcPr>
            <w:tcW w:w="2360" w:type="dxa"/>
            <w:vAlign w:val="bottom"/>
          </w:tcPr>
          <w:p>
            <w:pPr>
              <w:spacing w:after="0"/>
              <w:rPr>
                <w:sz w:val="20"/>
                <w:szCs w:val="20"/>
                <w:color w:val="auto"/>
              </w:rPr>
            </w:pPr>
            <w:r>
              <w:rPr>
                <w:rFonts w:ascii="Courier New" w:cs="Courier New" w:eastAsia="Courier New" w:hAnsi="Courier New"/>
                <w:sz w:val="14"/>
                <w:szCs w:val="14"/>
                <w:color w:val="auto"/>
              </w:rPr>
              <w:t>Deere</w:t>
            </w:r>
          </w:p>
        </w:tc>
        <w:tc>
          <w:tcPr>
            <w:tcW w:w="940" w:type="dxa"/>
            <w:vAlign w:val="bottom"/>
          </w:tcPr>
          <w:p>
            <w:pPr>
              <w:ind w:left="120"/>
              <w:spacing w:after="0"/>
              <w:rPr>
                <w:sz w:val="20"/>
                <w:szCs w:val="20"/>
                <w:color w:val="auto"/>
              </w:rPr>
            </w:pPr>
            <w:r>
              <w:rPr>
                <w:rFonts w:ascii="Courier New" w:cs="Courier New" w:eastAsia="Courier New" w:hAnsi="Courier New"/>
                <w:sz w:val="14"/>
                <w:szCs w:val="14"/>
                <w:color w:val="auto"/>
              </w:rPr>
              <w:t>Becherer,</w:t>
            </w:r>
          </w:p>
        </w:tc>
        <w:tc>
          <w:tcPr>
            <w:tcW w:w="3580" w:type="dxa"/>
            <w:vAlign w:val="bottom"/>
          </w:tcPr>
          <w:p>
            <w:pPr>
              <w:ind w:left="60"/>
              <w:spacing w:after="0"/>
              <w:rPr>
                <w:sz w:val="20"/>
                <w:szCs w:val="20"/>
                <w:color w:val="auto"/>
              </w:rPr>
            </w:pPr>
            <w:r>
              <w:rPr>
                <w:rFonts w:ascii="Courier New" w:cs="Courier New" w:eastAsia="Courier New" w:hAnsi="Courier New"/>
                <w:sz w:val="14"/>
                <w:szCs w:val="14"/>
                <w:color w:val="auto"/>
              </w:rPr>
              <w:t>J. Stafford (J. Stafford's 4th interlock)</w:t>
            </w:r>
          </w:p>
        </w:tc>
      </w:tr>
      <w:tr>
        <w:trPr>
          <w:trHeight w:val="166"/>
        </w:trPr>
        <w:tc>
          <w:tcPr>
            <w:tcW w:w="2360" w:type="dxa"/>
            <w:vAlign w:val="bottom"/>
          </w:tcPr>
          <w:p>
            <w:pPr>
              <w:spacing w:after="0"/>
              <w:rPr>
                <w:sz w:val="20"/>
                <w:szCs w:val="20"/>
                <w:color w:val="auto"/>
              </w:rPr>
            </w:pPr>
            <w:r>
              <w:rPr>
                <w:rFonts w:ascii="Courier New" w:cs="Courier New" w:eastAsia="Courier New" w:hAnsi="Courier New"/>
                <w:sz w:val="14"/>
                <w:szCs w:val="14"/>
                <w:color w:val="auto"/>
              </w:rPr>
              <w:t>Schering-Plough</w:t>
            </w:r>
          </w:p>
        </w:tc>
        <w:tc>
          <w:tcPr>
            <w:tcW w:w="940" w:type="dxa"/>
            <w:vAlign w:val="bottom"/>
          </w:tcPr>
          <w:p>
            <w:pPr>
              <w:ind w:left="120"/>
              <w:spacing w:after="0"/>
              <w:rPr>
                <w:sz w:val="20"/>
                <w:szCs w:val="20"/>
                <w:color w:val="auto"/>
              </w:rPr>
            </w:pPr>
            <w:r>
              <w:rPr>
                <w:rFonts w:ascii="Courier New" w:cs="Courier New" w:eastAsia="Courier New" w:hAnsi="Courier New"/>
                <w:sz w:val="14"/>
                <w:szCs w:val="14"/>
                <w:color w:val="auto"/>
              </w:rPr>
              <w:t>Becherer,</w:t>
            </w:r>
          </w:p>
        </w:tc>
        <w:tc>
          <w:tcPr>
            <w:tcW w:w="3580" w:type="dxa"/>
            <w:vAlign w:val="bottom"/>
          </w:tcPr>
          <w:p>
            <w:pPr>
              <w:ind w:left="60"/>
              <w:spacing w:after="0"/>
              <w:rPr>
                <w:sz w:val="20"/>
                <w:szCs w:val="20"/>
                <w:color w:val="auto"/>
              </w:rPr>
            </w:pPr>
            <w:r>
              <w:rPr>
                <w:rFonts w:ascii="Courier New" w:cs="Courier New" w:eastAsia="Courier New" w:hAnsi="Courier New"/>
                <w:sz w:val="14"/>
                <w:szCs w:val="14"/>
                <w:color w:val="auto"/>
              </w:rPr>
              <w:t>Luciano</w:t>
            </w:r>
          </w:p>
        </w:tc>
      </w:tr>
    </w:tbl>
    <w:p>
      <w:pPr>
        <w:spacing w:after="0" w:line="335" w:lineRule="exact"/>
        <w:rPr>
          <w:sz w:val="20"/>
          <w:szCs w:val="20"/>
          <w:color w:val="auto"/>
        </w:rPr>
      </w:pPr>
    </w:p>
    <w:p>
      <w:pPr>
        <w:ind w:left="260" w:right="3339" w:firstLine="344"/>
        <w:spacing w:after="0" w:line="255" w:lineRule="auto"/>
        <w:rPr>
          <w:sz w:val="20"/>
          <w:szCs w:val="20"/>
          <w:color w:val="auto"/>
        </w:rPr>
      </w:pPr>
      <w:r>
        <w:rPr>
          <w:rFonts w:ascii="Courier New" w:cs="Courier New" w:eastAsia="Courier New" w:hAnsi="Courier New"/>
          <w:sz w:val="14"/>
          <w:szCs w:val="14"/>
          <w:color w:val="auto"/>
        </w:rPr>
        <w:t>Corporate governance experts say Interlocking directors tend to look out for each other, rather than shareholders.</w:t>
      </w:r>
    </w:p>
    <w:p>
      <w:pPr>
        <w:spacing w:after="0" w:line="160" w:lineRule="exact"/>
        <w:rPr>
          <w:sz w:val="20"/>
          <w:szCs w:val="20"/>
          <w:color w:val="auto"/>
        </w:rPr>
      </w:pPr>
    </w:p>
    <w:p>
      <w:pPr>
        <w:ind w:left="260" w:right="3599" w:firstLine="344"/>
        <w:spacing w:after="0" w:line="252" w:lineRule="auto"/>
        <w:rPr>
          <w:sz w:val="20"/>
          <w:szCs w:val="20"/>
          <w:color w:val="auto"/>
        </w:rPr>
      </w:pPr>
      <w:r>
        <w:rPr>
          <w:rFonts w:ascii="Courier New" w:cs="Courier New" w:eastAsia="Courier New" w:hAnsi="Courier New"/>
          <w:sz w:val="14"/>
          <w:szCs w:val="14"/>
          <w:color w:val="auto"/>
        </w:rPr>
        <w:t>Additionally, Mr. Bossidy is a director for J.P. Morgan. This is a conflict: J.P. Morgan gave 'Independent' approval of the Allied-Honeywell merger.</w:t>
      </w:r>
    </w:p>
    <w:p>
      <w:pPr>
        <w:spacing w:after="0" w:line="163" w:lineRule="exact"/>
        <w:rPr>
          <w:sz w:val="20"/>
          <w:szCs w:val="20"/>
          <w:color w:val="auto"/>
        </w:rPr>
      </w:pPr>
    </w:p>
    <w:p>
      <w:pPr>
        <w:ind w:left="780" w:hanging="169"/>
        <w:spacing w:after="0"/>
        <w:tabs>
          <w:tab w:leader="none" w:pos="7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49% and 57% of shareholder votes cast.</w:t>
      </w:r>
    </w:p>
    <w:p>
      <w:pPr>
        <w:spacing w:after="0" w:line="172"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22</w:t>
      </w:r>
    </w:p>
    <w:p>
      <w:pPr>
        <w:sectPr>
          <w:pgSz w:w="11900" w:h="16838" w:orient="portrait"/>
          <w:cols w:equalWidth="0" w:num="1">
            <w:col w:w="10159"/>
          </w:cols>
          <w:pgMar w:left="300" w:top="616"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To enhance board oversight of the company's new management, vote for:</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ANNUAL ELECTION OF ALL DIRECTORS</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YES ON 4</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BOARD OF DIRECTORS RECOMMENDATION -- THE BOARD OF DIRECTORS RECOMMENDS THAT THE SHAREOWNERS VOTE AGAINST THIS PROPOSAL FOR THE FOLLOWING REASONS:</w:t>
      </w:r>
    </w:p>
    <w:p>
      <w:pPr>
        <w:spacing w:after="0" w:line="160" w:lineRule="exact"/>
        <w:rPr>
          <w:sz w:val="20"/>
          <w:szCs w:val="20"/>
          <w:color w:val="auto"/>
        </w:rPr>
      </w:pPr>
    </w:p>
    <w:p>
      <w:pPr>
        <w:ind w:right="3439" w:firstLine="344"/>
        <w:spacing w:after="0" w:line="252" w:lineRule="auto"/>
        <w:rPr>
          <w:sz w:val="20"/>
          <w:szCs w:val="20"/>
          <w:color w:val="auto"/>
        </w:rPr>
      </w:pPr>
      <w:r>
        <w:rPr>
          <w:rFonts w:ascii="Courier New" w:cs="Courier New" w:eastAsia="Courier New" w:hAnsi="Courier New"/>
          <w:sz w:val="14"/>
          <w:szCs w:val="14"/>
          <w:color w:val="auto"/>
        </w:rPr>
        <w:t>The Company's current system of electing directors by classes was approved by the shareowners in 1985. Under this method, as provided in the Company's Certificate of Incorporation and By-laws, approximately one-third of the directors are elected annually by the shareowners.</w:t>
      </w:r>
    </w:p>
    <w:p>
      <w:pPr>
        <w:spacing w:after="0" w:line="162"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same proponent has presented a proposal to eliminate the classified Board in each of the last four years. The Board of Directors has again reviewed the issues raised in the proposal and, for the reasons indicated below, continues to believe that the classified Board best serves the Company and its shareowners.</w:t>
      </w:r>
    </w:p>
    <w:p>
      <w:pPr>
        <w:spacing w:after="0" w:line="327"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With the classified Board, the likelihood of continuity and stability in the Board's business strategies and policies is enhanced since generally two thirds of the directors at all times will have had prior experience and familiarity with the business and affairs of the Company. This enables the directors to build on past experience and plan for a reasonable period into the future.</w:t>
      </w:r>
    </w:p>
    <w:p>
      <w:pPr>
        <w:spacing w:after="0" w:line="164"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The classified Board is intended to encourage persons who may seek to acquire control of the Company to initiate such action through negotiations with the Board. Otherwise, at least two meetings of shareowners would generally be required to replace a majority of the Board. By reducing the threat of an abrupt change in the composition of the entire Board, classification of directors would provide the Board with an adequate opportunity to fulfill its duties to the Company's shareowners to review any takeover proposal, study appropriate alternatives and achieve the best results for all shareowners. The Board believes that a classified Board enhances the ability to negotiate favorable terms with the proponent of an unfriendly or unsolicited proposal, but that it does not preclude takeover offers.</w:t>
      </w:r>
    </w:p>
    <w:p>
      <w:pPr>
        <w:spacing w:after="0" w:line="328"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Board believes that directors elected to a classified Board are no less accountable to shareowners than they would be if all directors were elected annually. Since at least four directors must stand for election each year, the shareowners have the opportunity annually to vote against management. The Board addresses many important issues during the year and it disagrees with any suggestion that its attention to these issues is in any way affected by the timing of elections.</w:t>
      </w:r>
    </w:p>
    <w:p>
      <w:pPr>
        <w:spacing w:after="0" w:line="164"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The Board also disagrees with the proponent's suggestion that its oversight is in question because of directors' service on outside boards; on the contrary, such service can be beneficial to the Company since it provides perspective and experience that enhances a director's contributions to the Board's deliberations. Further, the Board disputes the inference that service by certain of the Company's directors on common outside boards negatively impacts their ability to act in the best interest of the Company's shareowners.</w:t>
      </w:r>
    </w:p>
    <w:p>
      <w:pPr>
        <w:spacing w:after="0" w:line="164"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Adoption of this proposal would not automatically eliminate the classified Board. Further action by the shareowners would be required to amend the By-laws and the Certificate of Incorporation. Under these documents, an 80% vote of the outstanding shares would be required for approval. Under Delaware law, an amendment to the Certificate of Incorporation requires a recommendation from the Board of Directors prior to submission to shareowners. While the Board would consider such an amendment, it would do so consistent with its fiduciary duty to act in a manner it believes to be in the best interest of the Company and its shareowners.</w:t>
      </w:r>
    </w:p>
    <w:p>
      <w:pPr>
        <w:spacing w:after="0" w:line="163" w:lineRule="exact"/>
        <w:rPr>
          <w:sz w:val="20"/>
          <w:szCs w:val="20"/>
          <w:color w:val="auto"/>
        </w:rPr>
      </w:pPr>
    </w:p>
    <w:p>
      <w:pPr>
        <w:ind w:right="3699" w:firstLine="344"/>
        <w:spacing w:after="0" w:line="255" w:lineRule="auto"/>
        <w:rPr>
          <w:sz w:val="20"/>
          <w:szCs w:val="20"/>
          <w:color w:val="auto"/>
        </w:rPr>
      </w:pPr>
      <w:r>
        <w:rPr>
          <w:rFonts w:ascii="Courier New" w:cs="Courier New" w:eastAsia="Courier New" w:hAnsi="Courier New"/>
          <w:sz w:val="14"/>
          <w:szCs w:val="14"/>
          <w:color w:val="auto"/>
        </w:rPr>
        <w:t>FOR THE REASONS STATED ABOVE, YOUR BOARD OF DIRECTORS RECOMMENDS A VOTE AGAINST THIS PROPOSAL.</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159"/>
          </w:cols>
          <w:pgMar w:left="300" w:top="616" w:right="1440" w:bottom="1440" w:gutter="0" w:footer="0" w:header="0"/>
        </w:sectPr>
      </w:pPr>
    </w:p>
    <w:bookmarkStart w:id="27" w:name="page28"/>
    <w:bookmarkEnd w:id="27"/>
    <w:p>
      <w:pPr>
        <w:ind w:left="1740"/>
        <w:spacing w:after="0"/>
        <w:rPr>
          <w:sz w:val="20"/>
          <w:szCs w:val="20"/>
          <w:color w:val="auto"/>
        </w:rPr>
      </w:pPr>
      <w:r>
        <w:rPr>
          <w:rFonts w:ascii="Courier New" w:cs="Courier New" w:eastAsia="Courier New" w:hAnsi="Courier New"/>
          <w:sz w:val="14"/>
          <w:szCs w:val="14"/>
          <w:color w:val="auto"/>
        </w:rPr>
        <w:t>ITEM 5 -- SHAREOWNER PROPOSAL REGARDING</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SHAREOWNER VOTING PROVISIONS</w:t>
      </w:r>
    </w:p>
    <w:p>
      <w:pPr>
        <w:spacing w:after="0" w:line="173"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This proposal has been submitted by Harold J. Mathis, Jr., P.O. Box 1209, Richmond, Texas 77406-1209 (owner of 1,292 shares of common stock).</w:t>
      </w:r>
    </w:p>
    <w:p>
      <w:pPr>
        <w:spacing w:after="0" w:line="160"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RESOLVED: ENACT THE 1998 SHAREHOLDER RESOLUTION ADOPTED BY 57%* VOTE OF SHAREHOLDERS: RETURN TO SIMPLE MAJORITY VOTE. Shareholders request Honeywell International delete all requirements for more than a 51%-majority vote. This includes Honeywell International's monumental 80%-supermajority requirement.</w:t>
      </w:r>
    </w:p>
    <w:p>
      <w:pPr>
        <w:spacing w:after="0" w:line="162" w:lineRule="exact"/>
        <w:rPr>
          <w:sz w:val="20"/>
          <w:szCs w:val="20"/>
          <w:color w:val="auto"/>
        </w:rPr>
      </w:pPr>
    </w:p>
    <w:p>
      <w:pPr>
        <w:ind w:right="3259" w:firstLine="344"/>
        <w:spacing w:after="0" w:line="252" w:lineRule="auto"/>
        <w:rPr>
          <w:sz w:val="20"/>
          <w:szCs w:val="20"/>
          <w:color w:val="auto"/>
        </w:rPr>
      </w:pPr>
      <w:r>
        <w:rPr>
          <w:rFonts w:ascii="Courier New" w:cs="Courier New" w:eastAsia="Courier New" w:hAnsi="Courier New"/>
          <w:sz w:val="14"/>
          <w:szCs w:val="14"/>
          <w:color w:val="auto"/>
        </w:rPr>
        <w:t>Reinstating simple majority vote is particularly important to hold Honeywell International's new management accountable. The new management is inexperienced in the integration of a $45 Billion company.</w:t>
      </w:r>
    </w:p>
    <w:p>
      <w:pPr>
        <w:spacing w:after="0" w:line="163"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AlliedSignal was a niche acquisition company. Now the Honeywell merger switches the company into the megamerger category. This will require greater scrutiny by shareholders and directors. Scrutiny of megamergers is supported by the Aviation Week Aug. 10, 1998, p. 45 headline, 'Efficiency Gains Elude Biggest Merger Survivors.'</w:t>
      </w:r>
    </w:p>
    <w:p>
      <w:pPr>
        <w:spacing w:after="0" w:line="164" w:lineRule="exact"/>
        <w:rPr>
          <w:sz w:val="20"/>
          <w:szCs w:val="20"/>
          <w:color w:val="auto"/>
        </w:rPr>
      </w:pPr>
    </w:p>
    <w:p>
      <w:pPr>
        <w:jc w:val="both"/>
        <w:ind w:right="3519" w:firstLine="344"/>
        <w:spacing w:after="0" w:line="252" w:lineRule="auto"/>
        <w:rPr>
          <w:sz w:val="20"/>
          <w:szCs w:val="20"/>
          <w:color w:val="auto"/>
        </w:rPr>
      </w:pPr>
      <w:r>
        <w:rPr>
          <w:rFonts w:ascii="Courier New" w:cs="Courier New" w:eastAsia="Courier New" w:hAnsi="Courier New"/>
          <w:sz w:val="14"/>
          <w:szCs w:val="14"/>
          <w:color w:val="auto"/>
        </w:rPr>
        <w:t>'Megamergers among the largest U.S. contractors in the mid-1990s have not resulted in significantly more competitive companies thus far -- contrary to what some U.S. executives continue to profess (AW&amp;ST Aug. 10, 1998, p. 45),' said Aviation Week, May 31, 1999, p. 45.</w:t>
      </w:r>
    </w:p>
    <w:p>
      <w:pPr>
        <w:spacing w:after="0" w:line="162"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WHY RETURN TO SIMPLE MAJORITY VOTE?</w:t>
      </w:r>
    </w:p>
    <w:p>
      <w:pPr>
        <w:spacing w:after="0" w:line="173" w:lineRule="exact"/>
        <w:rPr>
          <w:sz w:val="20"/>
          <w:szCs w:val="20"/>
          <w:color w:val="auto"/>
        </w:rPr>
      </w:pPr>
    </w:p>
    <w:p>
      <w:pPr>
        <w:ind w:left="440" w:right="3439"/>
        <w:spacing w:after="0" w:line="255" w:lineRule="auto"/>
        <w:rPr>
          <w:sz w:val="20"/>
          <w:szCs w:val="20"/>
          <w:color w:val="auto"/>
        </w:rPr>
      </w:pPr>
      <w:r>
        <w:rPr>
          <w:rFonts w:ascii="Courier New" w:cs="Courier New" w:eastAsia="Courier New" w:hAnsi="Courier New"/>
          <w:sz w:val="14"/>
          <w:szCs w:val="14"/>
          <w:color w:val="auto"/>
        </w:rPr>
        <w:t>The bi-partisan National Conference of State Legislatures urged States to ban super-majority rules.</w:t>
      </w:r>
    </w:p>
    <w:p>
      <w:pPr>
        <w:spacing w:after="0" w:line="160" w:lineRule="exact"/>
        <w:rPr>
          <w:sz w:val="20"/>
          <w:szCs w:val="20"/>
          <w:color w:val="auto"/>
        </w:rPr>
      </w:pPr>
    </w:p>
    <w:p>
      <w:pPr>
        <w:ind w:left="440" w:right="3259"/>
        <w:spacing w:after="0" w:line="252" w:lineRule="auto"/>
        <w:rPr>
          <w:sz w:val="20"/>
          <w:szCs w:val="20"/>
          <w:color w:val="auto"/>
        </w:rPr>
      </w:pPr>
      <w:r>
        <w:rPr>
          <w:rFonts w:ascii="Courier New" w:cs="Courier New" w:eastAsia="Courier New" w:hAnsi="Courier New"/>
          <w:sz w:val="14"/>
          <w:szCs w:val="14"/>
          <w:color w:val="auto"/>
        </w:rPr>
        <w:t>Major pension funds, including those holding Honeywell International stock, declare that super-majority rules are not in the best interest of shareholders.</w:t>
      </w:r>
    </w:p>
    <w:p>
      <w:pPr>
        <w:spacing w:after="0" w:line="16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Honeywell International super-majority provision means that if the vast majority of shareholders (but less than an overwhelming 80%) vote to change certain key rules, management can ignore the majority.</w:t>
      </w:r>
    </w:p>
    <w:p>
      <w:pPr>
        <w:spacing w:after="0" w:line="16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THIS RESOLUTION ACHIEVED AN OUTSTANDING 57%* APPROVAL AT THE 1998 SHAREHOLDER MEETING. Shareholders do not benefit, particularly from the new, untested management combined with directors entrenched by a 80%-vote required for DIRECTOR REMOVAL WITH GOOD CAUSE.</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These news reports highlight challenges facing the new management:</w:t>
      </w:r>
    </w:p>
    <w:p>
      <w:pPr>
        <w:spacing w:after="0" w:line="173" w:lineRule="exact"/>
        <w:rPr>
          <w:sz w:val="20"/>
          <w:szCs w:val="20"/>
          <w:color w:val="auto"/>
        </w:rPr>
      </w:pPr>
    </w:p>
    <w:p>
      <w:pPr>
        <w:ind w:left="440" w:right="3519"/>
        <w:spacing w:after="0" w:line="252" w:lineRule="auto"/>
        <w:rPr>
          <w:sz w:val="20"/>
          <w:szCs w:val="20"/>
          <w:color w:val="auto"/>
        </w:rPr>
      </w:pPr>
      <w:r>
        <w:rPr>
          <w:rFonts w:ascii="Courier New" w:cs="Courier New" w:eastAsia="Courier New" w:hAnsi="Courier New"/>
          <w:sz w:val="14"/>
          <w:szCs w:val="14"/>
          <w:color w:val="auto"/>
        </w:rPr>
        <w:t>Honeywell International could face $400 million to $600 million in severance costs to eliminate facilities and cut jobs. Source: Securities and Exchange Commission documents.</w:t>
      </w:r>
    </w:p>
    <w:p>
      <w:pPr>
        <w:spacing w:after="0" w:line="163" w:lineRule="exact"/>
        <w:rPr>
          <w:sz w:val="20"/>
          <w:szCs w:val="20"/>
          <w:color w:val="auto"/>
        </w:rPr>
      </w:pPr>
    </w:p>
    <w:p>
      <w:pPr>
        <w:ind w:left="440" w:right="3699"/>
        <w:spacing w:after="0" w:line="250" w:lineRule="auto"/>
        <w:rPr>
          <w:sz w:val="20"/>
          <w:szCs w:val="20"/>
          <w:color w:val="auto"/>
        </w:rPr>
      </w:pPr>
      <w:r>
        <w:rPr>
          <w:rFonts w:ascii="Courier New" w:cs="Courier New" w:eastAsia="Courier New" w:hAnsi="Courier New"/>
          <w:sz w:val="14"/>
          <w:szCs w:val="14"/>
          <w:color w:val="auto"/>
        </w:rPr>
        <w:t>Mr. Bossidy said AlliedSignal will be responsible for lawsuits against Honeywell. It will be less than $750 million.</w:t>
      </w:r>
    </w:p>
    <w:p>
      <w:pPr>
        <w:spacing w:after="0" w:line="1" w:lineRule="exact"/>
        <w:rPr>
          <w:sz w:val="20"/>
          <w:szCs w:val="20"/>
          <w:color w:val="auto"/>
        </w:rPr>
      </w:pPr>
    </w:p>
    <w:p>
      <w:pPr>
        <w:ind w:left="700"/>
        <w:spacing w:after="0"/>
        <w:tabs>
          <w:tab w:leader="none" w:pos="3080" w:val="left"/>
        </w:tabs>
        <w:rPr>
          <w:sz w:val="20"/>
          <w:szCs w:val="20"/>
          <w:color w:val="auto"/>
        </w:rPr>
      </w:pPr>
      <w:r>
        <w:rPr>
          <w:rFonts w:ascii="Courier New" w:cs="Courier New" w:eastAsia="Courier New" w:hAnsi="Courier New"/>
          <w:sz w:val="14"/>
          <w:szCs w:val="14"/>
          <w:color w:val="auto"/>
        </w:rPr>
        <w:t>Newark Star Ledger</w:t>
      </w:r>
      <w:r>
        <w:rPr>
          <w:sz w:val="20"/>
          <w:szCs w:val="20"/>
          <w:color w:val="auto"/>
        </w:rPr>
        <w:tab/>
      </w:r>
      <w:r>
        <w:rPr>
          <w:rFonts w:ascii="Courier New" w:cs="Courier New" w:eastAsia="Courier New" w:hAnsi="Courier New"/>
          <w:sz w:val="14"/>
          <w:szCs w:val="14"/>
          <w:color w:val="auto"/>
        </w:rPr>
        <w:t>Sept. 2, 1999</w:t>
      </w:r>
    </w:p>
    <w:p>
      <w:pPr>
        <w:spacing w:after="0" w:line="173" w:lineRule="exact"/>
        <w:rPr>
          <w:sz w:val="20"/>
          <w:szCs w:val="20"/>
          <w:color w:val="auto"/>
        </w:rPr>
      </w:pPr>
    </w:p>
    <w:p>
      <w:pPr>
        <w:ind w:left="440" w:right="3599"/>
        <w:spacing w:after="0" w:line="250" w:lineRule="auto"/>
        <w:rPr>
          <w:sz w:val="20"/>
          <w:szCs w:val="20"/>
          <w:color w:val="auto"/>
        </w:rPr>
      </w:pPr>
      <w:r>
        <w:rPr>
          <w:rFonts w:ascii="Courier New" w:cs="Courier New" w:eastAsia="Courier New" w:hAnsi="Courier New"/>
          <w:sz w:val="14"/>
          <w:szCs w:val="14"/>
          <w:color w:val="auto"/>
        </w:rPr>
        <w:t>A federal jury orders Honeywell to pay $250 million in damages to rival Litton Industries in antitrust-monopoly case.</w:t>
      </w:r>
    </w:p>
    <w:p>
      <w:pPr>
        <w:spacing w:after="0" w:line="1" w:lineRule="exact"/>
        <w:rPr>
          <w:sz w:val="20"/>
          <w:szCs w:val="20"/>
          <w:color w:val="auto"/>
        </w:rPr>
      </w:pPr>
    </w:p>
    <w:p>
      <w:pPr>
        <w:ind w:left="700"/>
        <w:spacing w:after="0"/>
        <w:tabs>
          <w:tab w:leader="none" w:pos="3080" w:val="left"/>
        </w:tabs>
        <w:rPr>
          <w:sz w:val="20"/>
          <w:szCs w:val="20"/>
          <w:color w:val="auto"/>
        </w:rPr>
      </w:pPr>
      <w:r>
        <w:rPr>
          <w:rFonts w:ascii="Courier New" w:cs="Courier New" w:eastAsia="Courier New" w:hAnsi="Courier New"/>
          <w:sz w:val="14"/>
          <w:szCs w:val="14"/>
          <w:color w:val="auto"/>
        </w:rPr>
        <w:t>Wall Street Journal</w:t>
      </w:r>
      <w:r>
        <w:rPr>
          <w:sz w:val="20"/>
          <w:szCs w:val="20"/>
          <w:color w:val="auto"/>
        </w:rPr>
        <w:tab/>
      </w:r>
      <w:r>
        <w:rPr>
          <w:rFonts w:ascii="Courier New" w:cs="Courier New" w:eastAsia="Courier New" w:hAnsi="Courier New"/>
          <w:sz w:val="14"/>
          <w:szCs w:val="14"/>
          <w:color w:val="auto"/>
        </w:rPr>
        <w:t>Dec. 10, 1998</w:t>
      </w:r>
    </w:p>
    <w:p>
      <w:pPr>
        <w:spacing w:after="0" w:line="173" w:lineRule="exact"/>
        <w:rPr>
          <w:sz w:val="20"/>
          <w:szCs w:val="20"/>
          <w:color w:val="auto"/>
        </w:rPr>
      </w:pPr>
    </w:p>
    <w:p>
      <w:pPr>
        <w:ind w:left="440" w:right="3439"/>
        <w:spacing w:after="0" w:line="252" w:lineRule="auto"/>
        <w:rPr>
          <w:sz w:val="20"/>
          <w:szCs w:val="20"/>
          <w:color w:val="auto"/>
        </w:rPr>
      </w:pPr>
      <w:r>
        <w:rPr>
          <w:rFonts w:ascii="Courier New" w:cs="Courier New" w:eastAsia="Courier New" w:hAnsi="Courier New"/>
          <w:sz w:val="14"/>
          <w:szCs w:val="14"/>
          <w:color w:val="auto"/>
        </w:rPr>
        <w:t>FAA urged to require the earliest replacement of Honeywell terminal parts used on 747s as a result of TWA flight 800 crash investigation. Wall Street Journal Apr. 8, 1998</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Pentagon audit said AlliedSignal overcharged the military -- up to 200%.</w:t>
      </w:r>
    </w:p>
    <w:p>
      <w:pPr>
        <w:spacing w:after="0" w:line="7" w:lineRule="exact"/>
        <w:rPr>
          <w:sz w:val="20"/>
          <w:szCs w:val="20"/>
          <w:color w:val="auto"/>
        </w:rPr>
      </w:pPr>
    </w:p>
    <w:p>
      <w:pPr>
        <w:ind w:left="700"/>
        <w:spacing w:after="0"/>
        <w:tabs>
          <w:tab w:leader="none" w:pos="3080" w:val="left"/>
        </w:tabs>
        <w:rPr>
          <w:sz w:val="20"/>
          <w:szCs w:val="20"/>
          <w:color w:val="auto"/>
        </w:rPr>
      </w:pPr>
      <w:r>
        <w:rPr>
          <w:rFonts w:ascii="Courier New" w:cs="Courier New" w:eastAsia="Courier New" w:hAnsi="Courier New"/>
          <w:sz w:val="14"/>
          <w:szCs w:val="14"/>
          <w:color w:val="auto"/>
        </w:rPr>
        <w:t>Los Angeles Times</w:t>
      </w:r>
      <w:r>
        <w:rPr>
          <w:sz w:val="20"/>
          <w:szCs w:val="20"/>
          <w:color w:val="auto"/>
        </w:rPr>
        <w:tab/>
      </w:r>
      <w:r>
        <w:rPr>
          <w:rFonts w:ascii="Courier New" w:cs="Courier New" w:eastAsia="Courier New" w:hAnsi="Courier New"/>
          <w:sz w:val="14"/>
          <w:szCs w:val="14"/>
          <w:color w:val="auto"/>
        </w:rPr>
        <w:t>June 5, 1999</w:t>
      </w:r>
    </w:p>
    <w:p>
      <w:pPr>
        <w:spacing w:after="0" w:line="173" w:lineRule="exact"/>
        <w:rPr>
          <w:sz w:val="20"/>
          <w:szCs w:val="20"/>
          <w:color w:val="auto"/>
        </w:rPr>
      </w:pPr>
    </w:p>
    <w:p>
      <w:pPr>
        <w:ind w:right="3259" w:firstLine="344"/>
        <w:spacing w:after="0" w:line="250" w:lineRule="auto"/>
        <w:rPr>
          <w:sz w:val="20"/>
          <w:szCs w:val="20"/>
          <w:color w:val="auto"/>
        </w:rPr>
      </w:pPr>
      <w:r>
        <w:rPr>
          <w:rFonts w:ascii="Courier New" w:cs="Courier New" w:eastAsia="Courier New" w:hAnsi="Courier New"/>
          <w:sz w:val="14"/>
          <w:szCs w:val="14"/>
          <w:color w:val="auto"/>
        </w:rPr>
        <w:t>Mr. Lawrence Bossidy said: 'I declare that this simple majority proposal has been adopted.' However, Mr. Bossidy has not acted, even after a formal request by the Council of Institutional Investors (www.ciicentral.com). Honeywell International is 65% owned by institutional investors.</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Vote yes to monitor the company's new management -- untested in megamergers.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*57% of shareholder votes cast.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159"/>
          </w:cols>
          <w:pgMar w:left="300" w:top="616" w:right="1440" w:bottom="1440" w:gutter="0" w:footer="0" w:header="0"/>
        </w:sectPr>
      </w:pPr>
    </w:p>
    <w:bookmarkStart w:id="28" w:name="page29"/>
    <w:bookmarkEnd w:id="28"/>
    <w:p>
      <w:pPr>
        <w:jc w:val="center"/>
        <w:ind w:right="3259"/>
        <w:spacing w:after="0"/>
        <w:rPr>
          <w:sz w:val="20"/>
          <w:szCs w:val="20"/>
          <w:color w:val="auto"/>
        </w:rPr>
      </w:pPr>
      <w:r>
        <w:rPr>
          <w:rFonts w:ascii="Courier New" w:cs="Courier New" w:eastAsia="Courier New" w:hAnsi="Courier New"/>
          <w:sz w:val="14"/>
          <w:szCs w:val="14"/>
          <w:color w:val="auto"/>
        </w:rPr>
        <w:t>RETURN TO SIMPLE MAJORITY VOTE</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YES ON 5</w:t>
      </w:r>
    </w:p>
    <w:p>
      <w:pPr>
        <w:spacing w:after="0" w:line="173" w:lineRule="exact"/>
        <w:rPr>
          <w:sz w:val="20"/>
          <w:szCs w:val="20"/>
          <w:color w:val="auto"/>
        </w:rPr>
      </w:pPr>
    </w:p>
    <w:p>
      <w:pPr>
        <w:ind w:right="3259"/>
        <w:spacing w:after="0" w:line="255" w:lineRule="auto"/>
        <w:rPr>
          <w:sz w:val="20"/>
          <w:szCs w:val="20"/>
          <w:color w:val="auto"/>
        </w:rPr>
      </w:pPr>
      <w:r>
        <w:rPr>
          <w:rFonts w:ascii="Courier New" w:cs="Courier New" w:eastAsia="Courier New" w:hAnsi="Courier New"/>
          <w:sz w:val="14"/>
          <w:szCs w:val="14"/>
          <w:color w:val="auto"/>
        </w:rPr>
        <w:t>BOARD OF DIRECTORS' RECOMMENDATION -- THE BOARD OF DIRECTORS RECOMMENDS THAT THE SHAREOWNERS VOTE AGAINST THIS PROPOSAL FOR THE FOLLOWING REASONS:</w:t>
      </w:r>
    </w:p>
    <w:p>
      <w:pPr>
        <w:spacing w:after="0" w:line="160"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Most proposals submitted to a vote of the Company's shareowners, whether by management or the shareowners, currently require a vote of a majority of the shares represented at a meeting, whether in person or by proxy. Consistent with applicable Delaware law, the Company's shareowners in 1985 approved a Certificate of Incorporation and By-laws that contained provisions requiring the vote of 80% of the outstanding shares for certain actions. These limited provisions relate to the elimination of the classified Board of Directors, removal of directors, the calling of special meetings of shareowners and the requirement that shareowner action be taken at a meeting.</w:t>
      </w:r>
    </w:p>
    <w:p>
      <w:pPr>
        <w:spacing w:after="0" w:line="163"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These special voting provisions of the Company's Certificate of Incorporation and By-laws are intended to provide protection for all shareowners against self-interested actions by one or a few large shareowners. Similar provisions are included in the governing documents of many public corporations. Such provisions are intended to encourage a person making an unsolicited bid for the Company to negotiate with the Board of Directors to reach terms that are fair and provide the best results for all shareowners. Without such provisions, it may be possible for the holders of a majority of the shares represented at a meeting to take actions that would give them effective control of the Company without negotiating with the Board to achieve the best results for the other shareowners.</w:t>
      </w:r>
    </w:p>
    <w:p>
      <w:pPr>
        <w:spacing w:after="0" w:line="328"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Adoption of this proposal would not in itself effectuate the changes contemplated by the proposal. Further action by the shareowners would be required to amend the By-laws and the Certificate of Incorporation. Under these documents, an 80% vote of the outstanding shares would be required for approval. Under Delaware law, amendments to the Certificate of Incorporation require a recommendation from the Board of Directors prior to submission to shareowners. While the Board would consider such amendments, it would do so consistent with its fiduciary duty to act in a manner it believes to be in the best interest of the Company and its shareowners.</w:t>
      </w:r>
    </w:p>
    <w:p>
      <w:pPr>
        <w:spacing w:after="0" w:line="163" w:lineRule="exact"/>
        <w:rPr>
          <w:sz w:val="20"/>
          <w:szCs w:val="20"/>
          <w:color w:val="auto"/>
        </w:rPr>
      </w:pPr>
    </w:p>
    <w:p>
      <w:pPr>
        <w:ind w:right="3699" w:firstLine="344"/>
        <w:spacing w:after="0" w:line="255" w:lineRule="auto"/>
        <w:rPr>
          <w:sz w:val="20"/>
          <w:szCs w:val="20"/>
          <w:color w:val="auto"/>
        </w:rPr>
      </w:pPr>
      <w:r>
        <w:rPr>
          <w:rFonts w:ascii="Courier New" w:cs="Courier New" w:eastAsia="Courier New" w:hAnsi="Courier New"/>
          <w:sz w:val="14"/>
          <w:szCs w:val="14"/>
          <w:color w:val="auto"/>
        </w:rPr>
        <w:t>FOR THE REASONS STATED ABOVE, YOUR BOARD OF DIRECTORS RECOMMENDS A VOTE AGAINST THIS PROPOSAL.</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159"/>
          </w:cols>
          <w:pgMar w:left="300" w:top="616" w:right="1440" w:bottom="1440" w:gutter="0" w:footer="0" w:header="0"/>
        </w:sectPr>
      </w:pPr>
    </w:p>
    <w:bookmarkStart w:id="29" w:name="page30"/>
    <w:bookmarkEnd w:id="29"/>
    <w:p>
      <w:pPr>
        <w:ind w:left="2680"/>
        <w:spacing w:after="0"/>
        <w:rPr>
          <w:sz w:val="20"/>
          <w:szCs w:val="20"/>
          <w:color w:val="auto"/>
        </w:rPr>
      </w:pPr>
      <w:r>
        <w:rPr>
          <w:rFonts w:ascii="Courier New" w:cs="Courier New" w:eastAsia="Courier New" w:hAnsi="Courier New"/>
          <w:sz w:val="14"/>
          <w:szCs w:val="14"/>
          <w:color w:val="auto"/>
        </w:rPr>
        <w:t>OTHER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SHAREOWNER PROPOSALS FOR 2001 ANNUAL MEETING</w:t>
      </w:r>
    </w:p>
    <w:p>
      <w:pPr>
        <w:spacing w:after="0" w:line="173"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In order for a shareowner proposal to be considered for inclusion in Honeywell International's proxy statement for the 2001 Annual Meeting, the proposal must be received at the Company's offices no later than November 13, 2000. Securities and Exchange Commission Rule 14a-8 contains standards as to what shareowner proposals are required to be included in a proxy statement.</w:t>
      </w:r>
    </w:p>
    <w:p>
      <w:pPr>
        <w:spacing w:after="0" w:line="164" w:lineRule="exact"/>
        <w:rPr>
          <w:sz w:val="20"/>
          <w:szCs w:val="20"/>
          <w:color w:val="auto"/>
        </w:rPr>
      </w:pPr>
    </w:p>
    <w:p>
      <w:pPr>
        <w:ind w:left="440" w:right="3259"/>
        <w:spacing w:after="0" w:line="251" w:lineRule="auto"/>
        <w:rPr>
          <w:sz w:val="20"/>
          <w:szCs w:val="20"/>
          <w:color w:val="auto"/>
        </w:rPr>
      </w:pPr>
      <w:r>
        <w:rPr>
          <w:rFonts w:ascii="Courier New" w:cs="Courier New" w:eastAsia="Courier New" w:hAnsi="Courier New"/>
          <w:sz w:val="14"/>
          <w:szCs w:val="14"/>
          <w:color w:val="auto"/>
        </w:rPr>
        <w:t>If a shareowner intends to present a proposal for consideration at the 2001 Annual Meeting outside the processes of SEC Rule 14a-8, the Company must receive notice of such proposal on or before January 27, 2001. Otherwise the proposal will be considered untimely under SEC rules and the Company's proxies will have discretionary voting authority with respect to such proposal, if presented at the meeting, without including information regarding the proposal in its proxy materials.</w:t>
      </w:r>
    </w:p>
    <w:p>
      <w:pPr>
        <w:spacing w:after="0" w:line="164" w:lineRule="exact"/>
        <w:rPr>
          <w:sz w:val="20"/>
          <w:szCs w:val="20"/>
          <w:color w:val="auto"/>
        </w:rPr>
      </w:pPr>
    </w:p>
    <w:p>
      <w:pPr>
        <w:jc w:val="both"/>
        <w:ind w:right="3259" w:firstLine="344"/>
        <w:spacing w:after="0" w:line="252" w:lineRule="auto"/>
        <w:rPr>
          <w:sz w:val="20"/>
          <w:szCs w:val="20"/>
          <w:color w:val="auto"/>
        </w:rPr>
      </w:pPr>
      <w:r>
        <w:rPr>
          <w:rFonts w:ascii="Courier New" w:cs="Courier New" w:eastAsia="Courier New" w:hAnsi="Courier New"/>
          <w:sz w:val="14"/>
          <w:szCs w:val="14"/>
          <w:color w:val="auto"/>
        </w:rPr>
        <w:t>Any shareowner who wishes to submit a shareowner proposal, should send it to the Vice President and Secretary, Honeywell, 101 Columbia Road, Morris Township, New Jersey 07962.</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NOMINATIONS</w:t>
      </w:r>
    </w:p>
    <w:p>
      <w:pPr>
        <w:spacing w:after="0" w:line="173"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The Company's By-laws provide that any shareowner of record entitled to vote at the Annual Meeting who intends to make a nomination for director, must notify the Secretary of the Company in writing not more than 60 days and not less than 30 days prior to the meeting. The notice must meet other requirements contained in the By-laws, a copy of which can be obtained from the Secretary of the Company at the address set forth above.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OF SOLICITATION</w:t>
      </w:r>
    </w:p>
    <w:p>
      <w:pPr>
        <w:spacing w:after="0" w:line="173"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Honeywell pays the cost of preparing, assembling and mailing this proxy-soliciting material. In addition to the use of the mail, proxies may be solicited by Honeywell officers and employees by telephone or other means of communication. Honeywell pays all costs of solicitation, including certain expenses of brokers and nominees who mail proxy material to their customers or principals. In addition, Georgeson &amp; Company Inc. has been retained to assist in the solicitation of proxies for the 2000 Annual Meeting of Shareowners at a fee of approximately $12,500 plus associated costs and expenses.</w:t>
      </w:r>
    </w:p>
    <w:p>
      <w:pPr>
        <w:spacing w:after="0" w:line="16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Kathleen M. Gibson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Vice President and 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13, 2000</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159"/>
          </w:cols>
          <w:pgMar w:left="300" w:top="616" w:right="1440" w:bottom="1440" w:gutter="0" w:footer="0" w:header="0"/>
        </w:sectPr>
      </w:pPr>
    </w:p>
    <w:bookmarkStart w:id="30" w:name="page31"/>
    <w:bookmarkEnd w:id="30"/>
    <w:p>
      <w:pPr>
        <w:jc w:val="center"/>
        <w:ind w:right="3259"/>
        <w:spacing w:after="0"/>
        <w:rPr>
          <w:sz w:val="20"/>
          <w:szCs w:val="20"/>
          <w:color w:val="auto"/>
        </w:rPr>
      </w:pPr>
      <w:r>
        <w:rPr>
          <w:rFonts w:ascii="Courier New" w:cs="Courier New" w:eastAsia="Courier New" w:hAnsi="Courier New"/>
          <w:sz w:val="14"/>
          <w:szCs w:val="14"/>
          <w:color w:val="auto"/>
        </w:rPr>
        <w:t>DIRECTIONS TO COMPANY HEADQUARTERS</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101 COLUMBIA ROAD, MORRIS TOWNSHIP, N.J.</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[MAP OF LOCATION]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RTE. 80 (EAST OR WEST) AND RTE. 287 SOUTH:</w:t>
      </w:r>
    </w:p>
    <w:p>
      <w:pPr>
        <w:spacing w:after="0" w:line="7"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Take Rte. 80 to Rte. 287 South to Exit 37 (Rte. 24 East -- Springfield). Follow Rte. 24 East to Exit 2A (Rte. 510 West -- Morristown), which exits onto Columbia Road. At second traffic light, make left into Honeywell.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RTE. 287 NORTH:</w:t>
      </w:r>
    </w:p>
    <w:p>
      <w:pPr>
        <w:spacing w:after="0" w:line="7"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Take Rte. 287 North to Exit 37 (Rte. 24 East -- Springfield). Follow Rte. 24 East to Exit 2A (Rte. 510 West -- Morristown), which exits onto Columbia Road. At second traffic light, make left into Honeywell.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NEWARK INTERNATIONAL AIRPORT:</w:t>
      </w:r>
    </w:p>
    <w:p>
      <w:pPr>
        <w:spacing w:after="0" w:line="7"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Take Rte. 78 West to Rte. 24 West (Springfield -- Morristown). Follow Rte. 24 West to Exit 2A (Rte. 510 West -- Morristown), which exits onto Columbia Road. At second traffic light, make left into Honeywell.</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159"/>
          </w:cols>
          <w:pgMar w:left="300" w:top="616" w:right="1440" w:bottom="1440" w:gutter="0" w:footer="0" w:header="0"/>
        </w:sectPr>
      </w:pPr>
    </w:p>
    <w:bookmarkStart w:id="31" w:name="page32"/>
    <w:bookmarkEnd w:id="31"/>
    <w:p>
      <w:pPr>
        <w:jc w:val="center"/>
        <w:ind w:right="3599"/>
        <w:spacing w:after="0"/>
        <w:rPr>
          <w:sz w:val="20"/>
          <w:szCs w:val="20"/>
          <w:color w:val="auto"/>
        </w:rPr>
      </w:pPr>
      <w:r>
        <w:rPr>
          <w:rFonts w:ascii="Courier New" w:cs="Courier New" w:eastAsia="Courier New" w:hAnsi="Courier New"/>
          <w:sz w:val="14"/>
          <w:szCs w:val="14"/>
          <w:color w:val="auto"/>
        </w:rPr>
        <w:t>APPENDIX 1</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PROXY CARD</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[LOGO]</w:t>
      </w:r>
    </w:p>
    <w:p>
      <w:pPr>
        <w:spacing w:after="0" w:line="200" w:lineRule="exact"/>
        <w:rPr>
          <w:sz w:val="20"/>
          <w:szCs w:val="20"/>
          <w:color w:val="auto"/>
        </w:rPr>
      </w:pPr>
    </w:p>
    <w:p>
      <w:pPr>
        <w:spacing w:after="0" w:line="30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Annual Meeting of Shareowners</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101 Columbia Road</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Morris Township, New Jersey</w:t>
      </w:r>
    </w:p>
    <w:p>
      <w:pPr>
        <w:spacing w:after="0" w:line="173"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4"/>
          <w:szCs w:val="14"/>
          <w:color w:val="auto"/>
        </w:rPr>
        <w:t>May 1, 2000</w:t>
      </w:r>
    </w:p>
    <w:p>
      <w:pPr>
        <w:spacing w:after="0" w:line="7"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4"/>
          <w:szCs w:val="14"/>
          <w:color w:val="auto"/>
        </w:rPr>
        <w:t>10:00 A.M.</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You May Vote by</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the Internet, by Telephone or by Mail</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(see instructions on reverse side)</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YOUR VOTE IS IMPORTANT</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Detach proxy card here if you are not voting by the Internet or by telephone.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w:t>
      </w:r>
    </w:p>
    <w:p>
      <w:pPr>
        <w:sectPr>
          <w:pgSz w:w="11900" w:h="16838" w:orient="portrait"/>
          <w:cols w:equalWidth="0" w:num="1">
            <w:col w:w="10159"/>
          </w:cols>
          <w:pgMar w:left="30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[LOGO]</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w:t>
      </w:r>
    </w:p>
    <w:p>
      <w:pPr>
        <w:spacing w:after="0" w:line="173" w:lineRule="exact"/>
        <w:rPr>
          <w:sz w:val="20"/>
          <w:szCs w:val="20"/>
          <w:color w:val="auto"/>
        </w:rPr>
      </w:pPr>
    </w:p>
    <w:p>
      <w:pPr>
        <w:sectPr>
          <w:pgSz w:w="11900" w:h="16838" w:orient="portrait"/>
          <w:cols w:equalWidth="0" w:num="2">
            <w:col w:w="5400" w:space="720"/>
            <w:col w:w="4039"/>
          </w:cols>
          <w:pgMar w:left="300" w:top="616" w:right="1440" w:bottom="1440" w:gutter="0" w:footer="0" w:header="0"/>
          <w:type w:val="continuous"/>
        </w:sectPr>
      </w:pPr>
    </w:p>
    <w:p>
      <w:pPr>
        <w:ind w:left="360" w:right="3519" w:firstLine="517"/>
        <w:spacing w:after="0" w:line="255" w:lineRule="auto"/>
        <w:rPr>
          <w:sz w:val="20"/>
          <w:szCs w:val="20"/>
          <w:color w:val="auto"/>
        </w:rPr>
      </w:pPr>
      <w:r>
        <w:rPr>
          <w:rFonts w:ascii="Courier New" w:cs="Courier New" w:eastAsia="Courier New" w:hAnsi="Courier New"/>
          <w:sz w:val="14"/>
          <w:szCs w:val="14"/>
          <w:color w:val="auto"/>
        </w:rPr>
        <w:t>THIS PROXY IS SOLICITED ON BEHALF OF THE BOARD OF DIRECTORS OF HONEYWELL INTERNATIONAL INC. ANNUAL MEETING OF SHAREOWNERS -- MAY 1, 2000</w:t>
      </w:r>
    </w:p>
    <w:p>
      <w:pPr>
        <w:sectPr>
          <w:pgSz w:w="11900" w:h="16838" w:orient="portrait"/>
          <w:cols w:equalWidth="0" w:num="1">
            <w:col w:w="10159"/>
          </w:cols>
          <w:pgMar w:left="300" w:top="616" w:right="1440" w:bottom="1440" w:gutter="0" w:footer="0" w:header="0"/>
          <w:type w:val="continuous"/>
        </w:sectPr>
      </w:pPr>
    </w:p>
    <w:p>
      <w:pPr>
        <w:spacing w:after="0" w:line="160" w:lineRule="exact"/>
        <w:rPr>
          <w:sz w:val="20"/>
          <w:szCs w:val="20"/>
          <w:color w:val="auto"/>
        </w:rPr>
      </w:pPr>
    </w:p>
    <w:p>
      <w:pPr>
        <w:ind w:right="3259" w:firstLine="258"/>
        <w:spacing w:after="0" w:line="251" w:lineRule="auto"/>
        <w:rPr>
          <w:sz w:val="20"/>
          <w:szCs w:val="20"/>
          <w:color w:val="auto"/>
        </w:rPr>
      </w:pPr>
      <w:r>
        <w:rPr>
          <w:rFonts w:ascii="Courier New" w:cs="Courier New" w:eastAsia="Courier New" w:hAnsi="Courier New"/>
          <w:sz w:val="14"/>
          <w:szCs w:val="14"/>
          <w:color w:val="auto"/>
        </w:rPr>
        <w:t>The undersigned hereby appoints MICHAEL R. BONSIGNORE, PETER M. KREINDLER and KATHLEEN M. GIBSON as proxies (each with power to act alone and with full power of substitution) to vote, as designated herein, all shares the undersigned is entitled to vote at the Annual Meeting of Shareowners of Honeywell International Inc. to be held on May 1, 2000, and at any and all adjournments thereof. The proxies are authorized to vote in their discretion upon such other business as may properly come before the Meeting and any and all adjournments thereof.</w:t>
      </w:r>
    </w:p>
    <w:p>
      <w:pPr>
        <w:spacing w:after="0" w:line="329"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Your vote for the election of Directors and the other proposals described in the accompanying Proxy Statement may be specified on the reverse side. The nominees for Director are: Hans W. Becherer, Gordon M. Bethune, Jaime Chico Pardo and Ann M. Fudge.</w:t>
      </w:r>
    </w:p>
    <w:p>
      <w:pPr>
        <w:sectPr>
          <w:pgSz w:w="11900" w:h="16838" w:orient="portrait"/>
          <w:cols w:equalWidth="0" w:num="1">
            <w:col w:w="10159"/>
          </w:cols>
          <w:pgMar w:left="300" w:top="61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
        <w:spacing w:after="0" w:line="252" w:lineRule="auto"/>
        <w:rPr>
          <w:sz w:val="20"/>
          <w:szCs w:val="20"/>
          <w:color w:val="auto"/>
        </w:rPr>
      </w:pPr>
      <w:r>
        <w:rPr>
          <w:rFonts w:ascii="Courier New" w:cs="Courier New" w:eastAsia="Courier New" w:hAnsi="Courier New"/>
          <w:sz w:val="14"/>
          <w:szCs w:val="14"/>
          <w:color w:val="auto"/>
        </w:rPr>
        <w:t>NOTE: After signing, please insert this Proxy in the enclosed envelope so that the address at right shows through the window.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HONEYWELL INTERNATIONAL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11004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N.Y. 10203-0004</w:t>
      </w:r>
    </w:p>
    <w:p>
      <w:pPr>
        <w:spacing w:after="0" w:line="209" w:lineRule="exact"/>
        <w:rPr>
          <w:sz w:val="20"/>
          <w:szCs w:val="20"/>
          <w:color w:val="auto"/>
        </w:rPr>
      </w:pPr>
    </w:p>
    <w:p>
      <w:pPr>
        <w:sectPr>
          <w:pgSz w:w="11900" w:h="16838" w:orient="portrait"/>
          <w:cols w:equalWidth="0" w:num="2">
            <w:col w:w="4580" w:space="680"/>
            <w:col w:w="4899"/>
          </w:cols>
          <w:pgMar w:left="300" w:top="616" w:right="1440" w:bottom="1440" w:gutter="0" w:footer="0" w:header="0"/>
          <w:type w:val="continuous"/>
        </w:sectPr>
      </w:pPr>
    </w:p>
    <w:p>
      <w:pPr>
        <w:spacing w:after="0" w:line="128" w:lineRule="exact"/>
        <w:rPr>
          <w:sz w:val="20"/>
          <w:szCs w:val="20"/>
          <w:color w:val="auto"/>
        </w:rPr>
      </w:pPr>
    </w:p>
    <w:p>
      <w:pPr>
        <w:ind w:right="3259" w:firstLine="258"/>
        <w:spacing w:after="0" w:line="252" w:lineRule="auto"/>
        <w:rPr>
          <w:sz w:val="20"/>
          <w:szCs w:val="20"/>
          <w:color w:val="auto"/>
        </w:rPr>
      </w:pPr>
      <w:r>
        <w:rPr>
          <w:rFonts w:ascii="Courier New" w:cs="Courier New" w:eastAsia="Courier New" w:hAnsi="Courier New"/>
          <w:sz w:val="14"/>
          <w:szCs w:val="14"/>
          <w:color w:val="auto"/>
        </w:rPr>
        <w:t>IF PROPERLY SIGNED, DATED AND RETURNED, THIS PROXY WILL BE VOTED AS SPECIFIED ON THE REVERSE SIDE OR, IF NO CHOICE IS SPECIFIED, THIS PROXY WILL BE VOTED "FOR" THE ELECTION OF ALL NOMINEES FOR DIRECTOR, "FOR" PROPOSAL 2 AND "AGAINST" PROPOSALS 3 THROUGH 5.</w:t>
      </w:r>
    </w:p>
    <w:p>
      <w:pPr>
        <w:spacing w:after="0" w:line="162"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(SPECIFY CHOICES AND SIGN ON REVERSE SIDE)</w:t>
      </w:r>
    </w:p>
    <w:p>
      <w:pPr>
        <w:sectPr>
          <w:pgSz w:w="11900" w:h="16838" w:orient="portrait"/>
          <w:cols w:equalWidth="0" w:num="1">
            <w:col w:w="10159"/>
          </w:cols>
          <w:pgMar w:left="300" w:top="616" w:right="1440" w:bottom="1440" w:gutter="0" w:footer="0" w:header="0"/>
          <w:type w:val="continuous"/>
        </w:sectPr>
      </w:pPr>
    </w:p>
    <w:bookmarkStart w:id="32" w:name="page33"/>
    <w:bookmarkEnd w:id="32"/>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[LOGO]</w:t>
            </w:r>
          </w:p>
        </w:tc>
        <w:tc>
          <w:tcPr>
            <w:tcW w:w="5300" w:type="dxa"/>
            <w:vAlign w:val="bottom"/>
            <w:gridSpan w:val="3"/>
          </w:tcPr>
          <w:p>
            <w:pPr>
              <w:jc w:val="center"/>
              <w:ind w:right="2648"/>
              <w:spacing w:after="0"/>
              <w:rPr>
                <w:sz w:val="20"/>
                <w:szCs w:val="20"/>
                <w:color w:val="auto"/>
              </w:rPr>
            </w:pPr>
            <w:r>
              <w:rPr>
                <w:rFonts w:ascii="Courier New" w:cs="Courier New" w:eastAsia="Courier New" w:hAnsi="Courier New"/>
                <w:sz w:val="14"/>
                <w:szCs w:val="14"/>
                <w:color w:val="auto"/>
              </w:rPr>
              <w:t>YOUR VOTE IS IMPORTANT</w:t>
            </w:r>
          </w:p>
        </w:tc>
        <w:tc>
          <w:tcPr>
            <w:tcW w:w="46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5300" w:type="dxa"/>
            <w:vAlign w:val="bottom"/>
            <w:gridSpan w:val="3"/>
          </w:tcPr>
          <w:p>
            <w:pPr>
              <w:jc w:val="center"/>
              <w:ind w:right="2628"/>
              <w:spacing w:after="0"/>
              <w:rPr>
                <w:sz w:val="20"/>
                <w:szCs w:val="20"/>
                <w:color w:val="auto"/>
              </w:rPr>
            </w:pPr>
            <w:r>
              <w:rPr>
                <w:rFonts w:ascii="Courier New" w:cs="Courier New" w:eastAsia="Courier New" w:hAnsi="Courier New"/>
                <w:sz w:val="14"/>
                <w:szCs w:val="14"/>
                <w:color w:val="auto"/>
              </w:rPr>
              <w:t>VOTE BY INTERNET/TELEPHONE</w:t>
            </w:r>
          </w:p>
        </w:tc>
        <w:tc>
          <w:tcPr>
            <w:tcW w:w="46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53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24 HOURS A DAY, 7 DAYS A WEEK</w:t>
            </w:r>
          </w:p>
        </w:tc>
        <w:tc>
          <w:tcPr>
            <w:tcW w:w="46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497"/>
        </w:trPr>
        <w:tc>
          <w:tcPr>
            <w:tcW w:w="2420" w:type="dxa"/>
            <w:vAlign w:val="bottom"/>
          </w:tcPr>
          <w:p>
            <w:pPr>
              <w:ind w:left="960"/>
              <w:spacing w:after="0"/>
              <w:rPr>
                <w:sz w:val="20"/>
                <w:szCs w:val="20"/>
                <w:color w:val="auto"/>
              </w:rPr>
            </w:pPr>
            <w:r>
              <w:rPr>
                <w:rFonts w:ascii="Courier New" w:cs="Courier New" w:eastAsia="Courier New" w:hAnsi="Courier New"/>
                <w:sz w:val="14"/>
                <w:szCs w:val="14"/>
                <w:color w:val="auto"/>
              </w:rPr>
              <w:t>INTERNET</w:t>
            </w: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60" w:type="dxa"/>
            <w:vAlign w:val="bottom"/>
          </w:tcPr>
          <w:p>
            <w:pPr>
              <w:ind w:left="1040"/>
              <w:spacing w:after="0"/>
              <w:rPr>
                <w:sz w:val="20"/>
                <w:szCs w:val="20"/>
                <w:color w:val="auto"/>
              </w:rPr>
            </w:pPr>
            <w:r>
              <w:rPr>
                <w:rFonts w:ascii="Courier New" w:cs="Courier New" w:eastAsia="Courier New" w:hAnsi="Courier New"/>
                <w:sz w:val="14"/>
                <w:szCs w:val="14"/>
                <w:color w:val="auto"/>
              </w:rPr>
              <w:t>TELEPHONE</w:t>
            </w:r>
          </w:p>
        </w:tc>
        <w:tc>
          <w:tcPr>
            <w:tcW w:w="460" w:type="dxa"/>
            <w:vAlign w:val="bottom"/>
          </w:tcPr>
          <w:p>
            <w:pPr>
              <w:spacing w:after="0"/>
              <w:rPr>
                <w:sz w:val="24"/>
                <w:szCs w:val="24"/>
                <w:color w:val="auto"/>
              </w:rPr>
            </w:pPr>
          </w:p>
        </w:tc>
        <w:tc>
          <w:tcPr>
            <w:tcW w:w="2340" w:type="dxa"/>
            <w:vAlign w:val="bottom"/>
          </w:tcPr>
          <w:p>
            <w:pPr>
              <w:ind w:left="1120"/>
              <w:spacing w:after="0"/>
              <w:rPr>
                <w:sz w:val="20"/>
                <w:szCs w:val="20"/>
                <w:color w:val="auto"/>
              </w:rPr>
            </w:pPr>
            <w:r>
              <w:rPr>
                <w:rFonts w:ascii="Courier New" w:cs="Courier New" w:eastAsia="Courier New" w:hAnsi="Courier New"/>
                <w:sz w:val="14"/>
                <w:szCs w:val="14"/>
                <w:color w:val="auto"/>
              </w:rPr>
              <w:t>MAIL</w:t>
            </w:r>
          </w:p>
        </w:tc>
      </w:tr>
      <w:tr>
        <w:trPr>
          <w:trHeight w:val="166"/>
        </w:trPr>
        <w:tc>
          <w:tcPr>
            <w:tcW w:w="3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http://proxy.shareholder.com/hon</w:t>
            </w:r>
          </w:p>
        </w:tc>
        <w:tc>
          <w:tcPr>
            <w:tcW w:w="460" w:type="dxa"/>
            <w:vAlign w:val="bottom"/>
          </w:tcPr>
          <w:p>
            <w:pPr>
              <w:spacing w:after="0"/>
              <w:rPr>
                <w:sz w:val="14"/>
                <w:szCs w:val="14"/>
                <w:color w:val="auto"/>
              </w:rPr>
            </w:pPr>
          </w:p>
        </w:tc>
        <w:tc>
          <w:tcPr>
            <w:tcW w:w="3760" w:type="dxa"/>
            <w:vAlign w:val="bottom"/>
          </w:tcPr>
          <w:p>
            <w:pPr>
              <w:ind w:left="780"/>
              <w:spacing w:after="0"/>
              <w:rPr>
                <w:sz w:val="20"/>
                <w:szCs w:val="20"/>
                <w:color w:val="auto"/>
              </w:rPr>
            </w:pPr>
            <w:r>
              <w:rPr>
                <w:rFonts w:ascii="Courier New" w:cs="Courier New" w:eastAsia="Courier New" w:hAnsi="Courier New"/>
                <w:sz w:val="14"/>
                <w:szCs w:val="14"/>
                <w:color w:val="auto"/>
              </w:rPr>
              <w:t>1-800-650-0150</w:t>
            </w:r>
          </w:p>
        </w:tc>
        <w:tc>
          <w:tcPr>
            <w:tcW w:w="46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GO TO THE WEBSITE ADDRESS LISTED ABOVE.</w:t>
            </w:r>
          </w:p>
        </w:tc>
        <w:tc>
          <w:tcPr>
            <w:tcW w:w="460" w:type="dxa"/>
            <w:vAlign w:val="bottom"/>
          </w:tcPr>
          <w:p>
            <w:pPr>
              <w:spacing w:after="0"/>
              <w:rPr>
                <w:sz w:val="14"/>
                <w:szCs w:val="14"/>
                <w:color w:val="auto"/>
              </w:rPr>
            </w:pPr>
          </w:p>
        </w:tc>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USE ANY TOUCH-TONE TELEPHONE.</w:t>
            </w:r>
          </w:p>
        </w:tc>
        <w:tc>
          <w:tcPr>
            <w:tcW w:w="460" w:type="dxa"/>
            <w:vAlign w:val="bottom"/>
          </w:tcPr>
          <w:p>
            <w:pPr>
              <w:spacing w:after="0"/>
              <w:rPr>
                <w:sz w:val="14"/>
                <w:szCs w:val="14"/>
                <w:color w:val="auto"/>
              </w:rPr>
            </w:pPr>
          </w:p>
        </w:tc>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MARK, SIGN AND DATE YOUR</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HAVE YOUR PROXY CARD READY.</w:t>
            </w:r>
          </w:p>
        </w:tc>
        <w:tc>
          <w:tcPr>
            <w:tcW w:w="10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Courier New" w:cs="Courier New" w:eastAsia="Courier New" w:hAnsi="Courier New"/>
                <w:sz w:val="14"/>
                <w:szCs w:val="14"/>
                <w:color w:val="auto"/>
              </w:rPr>
              <w:t>OR</w:t>
            </w:r>
          </w:p>
        </w:tc>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THIS IS A TOLL-FREE NUMBER.</w:t>
            </w:r>
          </w:p>
        </w:tc>
        <w:tc>
          <w:tcPr>
            <w:tcW w:w="460" w:type="dxa"/>
            <w:vAlign w:val="bottom"/>
          </w:tcPr>
          <w:p>
            <w:pPr>
              <w:ind w:left="120"/>
              <w:spacing w:after="0"/>
              <w:rPr>
                <w:sz w:val="20"/>
                <w:szCs w:val="20"/>
                <w:color w:val="auto"/>
              </w:rPr>
            </w:pPr>
            <w:r>
              <w:rPr>
                <w:rFonts w:ascii="Courier New" w:cs="Courier New" w:eastAsia="Courier New" w:hAnsi="Courier New"/>
                <w:sz w:val="14"/>
                <w:szCs w:val="14"/>
                <w:color w:val="auto"/>
              </w:rPr>
              <w:t>OR</w:t>
            </w:r>
          </w:p>
        </w:tc>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PROXY CARD.</w:t>
            </w: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ENTER YOUR CONTROL NUMBER LOCATED IN</w:t>
            </w:r>
          </w:p>
        </w:tc>
        <w:tc>
          <w:tcPr>
            <w:tcW w:w="460" w:type="dxa"/>
            <w:vAlign w:val="bottom"/>
          </w:tcPr>
          <w:p>
            <w:pPr>
              <w:spacing w:after="0"/>
              <w:rPr>
                <w:sz w:val="14"/>
                <w:szCs w:val="14"/>
                <w:color w:val="auto"/>
              </w:rPr>
            </w:pPr>
          </w:p>
        </w:tc>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HAVE YOUR PROXY CARD READY.</w:t>
            </w:r>
          </w:p>
        </w:tc>
        <w:tc>
          <w:tcPr>
            <w:tcW w:w="460" w:type="dxa"/>
            <w:vAlign w:val="bottom"/>
          </w:tcPr>
          <w:p>
            <w:pPr>
              <w:spacing w:after="0"/>
              <w:rPr>
                <w:sz w:val="14"/>
                <w:szCs w:val="14"/>
                <w:color w:val="auto"/>
              </w:rPr>
            </w:pPr>
          </w:p>
        </w:tc>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DETACH YOUR PROXY CARD.</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THE BOX BELOW.</w:t>
            </w: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ENTER YOUR CONTROL NUMBER LOCATED IN</w:t>
            </w:r>
          </w:p>
        </w:tc>
        <w:tc>
          <w:tcPr>
            <w:tcW w:w="460" w:type="dxa"/>
            <w:vAlign w:val="bottom"/>
          </w:tcPr>
          <w:p>
            <w:pPr>
              <w:spacing w:after="0"/>
              <w:rPr>
                <w:sz w:val="14"/>
                <w:szCs w:val="14"/>
                <w:color w:val="auto"/>
              </w:rPr>
            </w:pPr>
          </w:p>
        </w:tc>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RETURN YOUR PROXY CARD IN</w:t>
            </w: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FOLLOW THE SIMPLE INSTRUCTIONS THAT</w:t>
            </w:r>
          </w:p>
        </w:tc>
        <w:tc>
          <w:tcPr>
            <w:tcW w:w="460" w:type="dxa"/>
            <w:vAlign w:val="bottom"/>
          </w:tcPr>
          <w:p>
            <w:pPr>
              <w:spacing w:after="0"/>
              <w:rPr>
                <w:sz w:val="14"/>
                <w:szCs w:val="14"/>
                <w:color w:val="auto"/>
              </w:rPr>
            </w:pPr>
          </w:p>
        </w:tc>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THE BOX BELOW.</w:t>
            </w:r>
          </w:p>
        </w:tc>
        <w:tc>
          <w:tcPr>
            <w:tcW w:w="460" w:type="dxa"/>
            <w:vAlign w:val="bottom"/>
          </w:tcPr>
          <w:p>
            <w:pPr>
              <w:spacing w:after="0"/>
              <w:rPr>
                <w:sz w:val="14"/>
                <w:szCs w:val="14"/>
                <w:color w:val="auto"/>
              </w:rPr>
            </w:pPr>
          </w:p>
        </w:tc>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THE POSTAGE-PAID ENVELOPE</w:t>
            </w: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APPEAR ON YOUR COMPUTER SCREEN.</w:t>
            </w:r>
          </w:p>
        </w:tc>
        <w:tc>
          <w:tcPr>
            <w:tcW w:w="460" w:type="dxa"/>
            <w:vAlign w:val="bottom"/>
          </w:tcPr>
          <w:p>
            <w:pPr>
              <w:spacing w:after="0"/>
              <w:rPr>
                <w:sz w:val="14"/>
                <w:szCs w:val="14"/>
                <w:color w:val="auto"/>
              </w:rPr>
            </w:pPr>
          </w:p>
        </w:tc>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FOLLOW THE SIMPLE RECORDED INSTRUCTIONS.</w:t>
            </w:r>
          </w:p>
        </w:tc>
        <w:tc>
          <w:tcPr>
            <w:tcW w:w="460" w:type="dxa"/>
            <w:vAlign w:val="bottom"/>
          </w:tcPr>
          <w:p>
            <w:pPr>
              <w:spacing w:after="0"/>
              <w:rPr>
                <w:sz w:val="14"/>
                <w:szCs w:val="14"/>
                <w:color w:val="auto"/>
              </w:rPr>
            </w:pPr>
          </w:p>
        </w:tc>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PROVIDED.</w:t>
            </w:r>
          </w:p>
        </w:tc>
      </w:tr>
    </w:tbl>
    <w:p>
      <w:pPr>
        <w:spacing w:after="0" w:line="200" w:lineRule="exact"/>
        <w:rPr>
          <w:sz w:val="20"/>
          <w:szCs w:val="20"/>
          <w:color w:val="auto"/>
        </w:rPr>
      </w:pPr>
    </w:p>
    <w:p>
      <w:pPr>
        <w:sectPr>
          <w:pgSz w:w="11900" w:h="16872" w:orient="portrait"/>
          <w:cols w:equalWidth="0" w:num="1">
            <w:col w:w="11360"/>
          </w:cols>
          <w:pgMar w:left="300" w:top="616" w:right="239" w:bottom="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Internet or telephone vote authorizes the named Proxies to vote your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same manner as if you marked, signed and returned your Proxy Card.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ind w:firstLine="172"/>
        <w:spacing w:after="0" w:line="252" w:lineRule="auto"/>
        <w:rPr>
          <w:sz w:val="20"/>
          <w:szCs w:val="20"/>
          <w:color w:val="auto"/>
        </w:rPr>
      </w:pPr>
      <w:r>
        <w:rPr>
          <w:rFonts w:ascii="Courier New" w:cs="Courier New" w:eastAsia="Courier New" w:hAnsi="Courier New"/>
          <w:sz w:val="14"/>
          <w:szCs w:val="14"/>
          <w:color w:val="auto"/>
        </w:rPr>
        <w:t>---------------------------------------------- If you voted by the Internet or by telephone, do not return your proxy card by mail. ----------------------------------------------</w:t>
      </w:r>
    </w:p>
    <w:p>
      <w:pPr>
        <w:spacing w:after="0" w:line="200" w:lineRule="exact"/>
        <w:rPr>
          <w:sz w:val="20"/>
          <w:szCs w:val="20"/>
          <w:color w:val="auto"/>
        </w:rPr>
      </w:pPr>
    </w:p>
    <w:p>
      <w:pPr>
        <w:sectPr>
          <w:pgSz w:w="11900" w:h="16872" w:orient="portrait"/>
          <w:cols w:equalWidth="0" w:num="2">
            <w:col w:w="7160" w:space="80"/>
            <w:col w:w="4120"/>
          </w:cols>
          <w:pgMar w:left="300" w:top="616" w:right="239" w:bottom="0" w:gutter="0" w:footer="0" w:header="0"/>
          <w:type w:val="continuous"/>
        </w:sectPr>
      </w:pP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Honeywell Inc Savings and Stock Ownership Plan requires that the Trustee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receive voting instructions for shares held under the plan by April 26,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meet this requirement, either complete this card and mail it to be received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later than April 26, or vote by Telephone or via the Internet by April 26.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After April 26, your voting instructions for Plan shares cannot be revoked.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Also, you may not vote Plan shares in person at the meeting. The Trustee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 to vote the Plan shares for which instructions have been given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other business that may come before the meeting. The Bank of New York will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tally the vote on behalf of the Trustee.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1-800-650-0150</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CALL TOLL-FREE TO VOTE</w:t>
      </w:r>
    </w:p>
    <w:p>
      <w:pPr>
        <w:spacing w:after="0" w:line="173"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CONTROL NUMBER</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FOR INTERNET/TELEPHONE VOTING</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THE INTERNET AND TELEPHONE VOTING FACILITIES WILL CLOSE AT 9:00 A.M. E.D.T.</w:t>
      </w:r>
    </w:p>
    <w:p>
      <w:pPr>
        <w:spacing w:after="0" w:line="7"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ON MAY 1,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complete (X) in blue or black ink.</w:t>
      </w:r>
    </w:p>
    <w:p>
      <w:pPr>
        <w:sectPr>
          <w:pgSz w:w="11900" w:h="16872" w:orient="portrait"/>
          <w:cols w:equalWidth="0" w:num="1">
            <w:col w:w="11360"/>
          </w:cols>
          <w:pgMar w:left="300" w:top="616" w:right="239" w:bottom="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vote "FOR" Proposals 1 and 2 is recommended by the Board of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Election of Directors (H.W. Becherer, G.M. Bethune, J.C. Pardo and A.M. Fudge)</w:t>
      </w:r>
    </w:p>
    <w:p>
      <w:pPr>
        <w:sectPr>
          <w:pgSz w:w="11900" w:h="16872" w:orient="portrait"/>
          <w:cols w:equalWidth="0" w:num="1">
            <w:col w:w="11360"/>
          </w:cols>
          <w:pgMar w:left="300" w:top="616" w:right="239" w:bottom="0" w:gutter="0" w:footer="0" w:header="0"/>
          <w:type w:val="continuous"/>
        </w:sectPr>
      </w:pPr>
    </w:p>
    <w:p>
      <w:pPr>
        <w:spacing w:after="0" w:line="173"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FOR all nominees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WITHHOLD AUTHORITY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vote for all nominees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instruction)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w:t>
      </w:r>
    </w:p>
    <w:p>
      <w:pPr>
        <w:spacing w:after="0" w:line="349" w:lineRule="exact"/>
        <w:rPr>
          <w:sz w:val="20"/>
          <w:szCs w:val="20"/>
          <w:color w:val="auto"/>
        </w:rPr>
      </w:pPr>
    </w:p>
    <w:p>
      <w:pPr>
        <w:sectPr>
          <w:pgSz w:w="11900" w:h="16872" w:orient="portrait"/>
          <w:cols w:equalWidth="0" w:num="6">
            <w:col w:w="700" w:space="80"/>
            <w:col w:w="260" w:space="340"/>
            <w:col w:w="2080" w:space="80"/>
            <w:col w:w="260" w:space="340"/>
            <w:col w:w="1460" w:space="100"/>
            <w:col w:w="5660"/>
          </w:cols>
          <w:pgMar w:left="300" w:top="616" w:right="239" w:bottom="0" w:gutter="0" w:footer="0" w:header="0"/>
          <w:type w:val="continuous"/>
        </w:sectPr>
      </w:pPr>
    </w:p>
    <w:p>
      <w:pPr>
        <w:ind w:right="4640"/>
        <w:spacing w:after="0" w:line="255" w:lineRule="auto"/>
        <w:rPr>
          <w:sz w:val="20"/>
          <w:szCs w:val="20"/>
          <w:color w:val="auto"/>
        </w:rPr>
      </w:pPr>
      <w:r>
        <w:rPr>
          <w:rFonts w:ascii="Courier New" w:cs="Courier New" w:eastAsia="Courier New" w:hAnsi="Courier New"/>
          <w:sz w:val="14"/>
          <w:szCs w:val="14"/>
          <w:color w:val="auto"/>
        </w:rPr>
        <w:t>Instruction: To withhold authority to vote for any individual nominee(s), mark the "Exception" box and write the name(s) on the line below.</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Appointment of Independent Accountants</w:t>
      </w:r>
    </w:p>
    <w:p>
      <w:pPr>
        <w:sectPr>
          <w:pgSz w:w="11900" w:h="16872" w:orient="portrait"/>
          <w:cols w:equalWidth="0" w:num="1">
            <w:col w:w="11360"/>
          </w:cols>
          <w:pgMar w:left="300" w:top="616" w:right="239" w:bottom="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AGAINST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ectPr>
          <w:pgSz w:w="11900" w:h="16872" w:orient="portrait"/>
          <w:cols w:equalWidth="0" w:num="6">
            <w:col w:w="260" w:space="520"/>
            <w:col w:w="260" w:space="340"/>
            <w:col w:w="600" w:space="520"/>
            <w:col w:w="260" w:space="340"/>
            <w:col w:w="620" w:space="500"/>
            <w:col w:w="7140"/>
          </w:cols>
          <w:pgMar w:left="300" w:top="616" w:right="239" w:bottom="0" w:gutter="0" w:footer="0" w:header="0"/>
          <w:type w:val="continuous"/>
        </w:sect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vote "AGAINST" Proposals 3 through 5 is recommended by the Board of Directors: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25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Shareowner proposal regarding</w:t>
            </w:r>
          </w:p>
        </w:tc>
        <w:tc>
          <w:tcPr>
            <w:tcW w:w="4260" w:type="dxa"/>
            <w:vAlign w:val="bottom"/>
            <w:gridSpan w:val="2"/>
          </w:tcPr>
          <w:p>
            <w:pPr>
              <w:jc w:val="right"/>
              <w:ind w:right="2768"/>
              <w:spacing w:after="0"/>
              <w:rPr>
                <w:sz w:val="20"/>
                <w:szCs w:val="20"/>
                <w:color w:val="auto"/>
              </w:rPr>
            </w:pPr>
            <w:r>
              <w:rPr>
                <w:rFonts w:ascii="Courier New" w:cs="Courier New" w:eastAsia="Courier New" w:hAnsi="Courier New"/>
                <w:sz w:val="14"/>
                <w:szCs w:val="14"/>
                <w:color w:val="auto"/>
              </w:rPr>
              <w:t>CEO compensation</w:t>
            </w:r>
          </w:p>
        </w:tc>
      </w:tr>
      <w:tr>
        <w:trPr>
          <w:trHeight w:val="331"/>
        </w:trPr>
        <w:tc>
          <w:tcPr>
            <w:tcW w:w="520" w:type="dxa"/>
            <w:vAlign w:val="bottom"/>
            <w:gridSpan w:val="2"/>
          </w:tcPr>
          <w:p>
            <w:pPr>
              <w:spacing w:after="0"/>
              <w:rPr>
                <w:sz w:val="20"/>
                <w:szCs w:val="20"/>
                <w:color w:val="auto"/>
              </w:rPr>
            </w:pPr>
            <w:r>
              <w:rPr>
                <w:rFonts w:ascii="Courier New" w:cs="Courier New" w:eastAsia="Courier New" w:hAnsi="Courier New"/>
                <w:sz w:val="14"/>
                <w:szCs w:val="14"/>
                <w:color w:val="auto"/>
              </w:rPr>
              <w:t>FOR</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AGAINST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ABSTAIN</w:t>
            </w:r>
          </w:p>
        </w:tc>
        <w:tc>
          <w:tcPr>
            <w:tcW w:w="3260" w:type="dxa"/>
            <w:vAlign w:val="bottom"/>
          </w:tcPr>
          <w:p>
            <w:pPr>
              <w:jc w:val="right"/>
              <w:ind w:right="2508"/>
              <w:spacing w:after="0"/>
              <w:rPr>
                <w:sz w:val="20"/>
                <w:szCs w:val="20"/>
                <w:color w:val="auto"/>
              </w:rPr>
            </w:pPr>
            <w:r>
              <w:rPr>
                <w:rFonts w:ascii="Courier New" w:cs="Courier New" w:eastAsia="Courier New" w:hAnsi="Courier New"/>
                <w:sz w:val="14"/>
                <w:szCs w:val="14"/>
                <w:color w:val="auto"/>
              </w:rPr>
              <w:t>[ ]</w:t>
            </w: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25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Shareowner proposal regarding</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 annual</w:t>
            </w:r>
          </w:p>
        </w:tc>
        <w:tc>
          <w:tcPr>
            <w:tcW w:w="3260" w:type="dxa"/>
            <w:vAlign w:val="bottom"/>
          </w:tcPr>
          <w:p>
            <w:pPr>
              <w:spacing w:after="0"/>
              <w:rPr>
                <w:sz w:val="20"/>
                <w:szCs w:val="20"/>
                <w:color w:val="auto"/>
              </w:rPr>
            </w:pPr>
            <w:r>
              <w:rPr>
                <w:rFonts w:ascii="Courier New" w:cs="Courier New" w:eastAsia="Courier New" w:hAnsi="Courier New"/>
                <w:sz w:val="14"/>
                <w:szCs w:val="14"/>
                <w:color w:val="auto"/>
              </w:rPr>
              <w:t>election of directors</w:t>
            </w:r>
          </w:p>
        </w:tc>
      </w:tr>
      <w:tr>
        <w:trPr>
          <w:trHeight w:val="331"/>
        </w:trPr>
        <w:tc>
          <w:tcPr>
            <w:tcW w:w="520" w:type="dxa"/>
            <w:vAlign w:val="bottom"/>
            <w:gridSpan w:val="2"/>
          </w:tcPr>
          <w:p>
            <w:pPr>
              <w:spacing w:after="0"/>
              <w:rPr>
                <w:sz w:val="20"/>
                <w:szCs w:val="20"/>
                <w:color w:val="auto"/>
              </w:rPr>
            </w:pPr>
            <w:r>
              <w:rPr>
                <w:rFonts w:ascii="Courier New" w:cs="Courier New" w:eastAsia="Courier New" w:hAnsi="Courier New"/>
                <w:sz w:val="14"/>
                <w:szCs w:val="14"/>
                <w:color w:val="auto"/>
              </w:rPr>
              <w:t>FOR</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AGAINST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ABSTAIN</w:t>
            </w:r>
          </w:p>
        </w:tc>
        <w:tc>
          <w:tcPr>
            <w:tcW w:w="3260" w:type="dxa"/>
            <w:vAlign w:val="bottom"/>
          </w:tcPr>
          <w:p>
            <w:pPr>
              <w:jc w:val="right"/>
              <w:ind w:right="2508"/>
              <w:spacing w:after="0"/>
              <w:rPr>
                <w:sz w:val="20"/>
                <w:szCs w:val="20"/>
                <w:color w:val="auto"/>
              </w:rPr>
            </w:pPr>
            <w:r>
              <w:rPr>
                <w:rFonts w:ascii="Courier New" w:cs="Courier New" w:eastAsia="Courier New" w:hAnsi="Courier New"/>
                <w:sz w:val="14"/>
                <w:szCs w:val="14"/>
                <w:color w:val="auto"/>
              </w:rPr>
              <w:t>[ ]</w:t>
            </w: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25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Shareowner proposal regarding</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shareowner</w:t>
            </w:r>
          </w:p>
        </w:tc>
        <w:tc>
          <w:tcPr>
            <w:tcW w:w="3260" w:type="dxa"/>
            <w:vAlign w:val="bottom"/>
          </w:tcPr>
          <w:p>
            <w:pPr>
              <w:spacing w:after="0"/>
              <w:rPr>
                <w:sz w:val="20"/>
                <w:szCs w:val="20"/>
                <w:color w:val="auto"/>
              </w:rPr>
            </w:pPr>
            <w:r>
              <w:rPr>
                <w:rFonts w:ascii="Courier New" w:cs="Courier New" w:eastAsia="Courier New" w:hAnsi="Courier New"/>
                <w:sz w:val="14"/>
                <w:szCs w:val="14"/>
                <w:color w:val="auto"/>
              </w:rPr>
              <w:t>voting provisions</w:t>
            </w:r>
          </w:p>
        </w:tc>
      </w:tr>
      <w:tr>
        <w:trPr>
          <w:trHeight w:val="331"/>
        </w:trPr>
        <w:tc>
          <w:tcPr>
            <w:tcW w:w="520" w:type="dxa"/>
            <w:vAlign w:val="bottom"/>
            <w:gridSpan w:val="2"/>
          </w:tcPr>
          <w:p>
            <w:pPr>
              <w:spacing w:after="0"/>
              <w:rPr>
                <w:sz w:val="20"/>
                <w:szCs w:val="20"/>
                <w:color w:val="auto"/>
              </w:rPr>
            </w:pPr>
            <w:r>
              <w:rPr>
                <w:rFonts w:ascii="Courier New" w:cs="Courier New" w:eastAsia="Courier New" w:hAnsi="Courier New"/>
                <w:sz w:val="14"/>
                <w:szCs w:val="14"/>
                <w:color w:val="auto"/>
              </w:rPr>
              <w:t>FOR</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AGAINST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ABSTAIN</w:t>
            </w:r>
          </w:p>
        </w:tc>
        <w:tc>
          <w:tcPr>
            <w:tcW w:w="3260" w:type="dxa"/>
            <w:vAlign w:val="bottom"/>
          </w:tcPr>
          <w:p>
            <w:pPr>
              <w:jc w:val="right"/>
              <w:ind w:right="2508"/>
              <w:spacing w:after="0"/>
              <w:rPr>
                <w:sz w:val="20"/>
                <w:szCs w:val="20"/>
                <w:color w:val="auto"/>
              </w:rPr>
            </w:pPr>
            <w:r>
              <w:rPr>
                <w:rFonts w:ascii="Courier New" w:cs="Courier New" w:eastAsia="Courier New" w:hAnsi="Courier New"/>
                <w:sz w:val="14"/>
                <w:szCs w:val="14"/>
                <w:color w:val="auto"/>
              </w:rPr>
              <w:t>[ ]</w:t>
            </w:r>
          </w:p>
        </w:tc>
      </w:tr>
      <w:tr>
        <w:trPr>
          <w:trHeight w:val="331"/>
        </w:trPr>
        <w:tc>
          <w:tcPr>
            <w:tcW w:w="7060" w:type="dxa"/>
            <w:vAlign w:val="bottom"/>
            <w:gridSpan w:val="8"/>
          </w:tcPr>
          <w:p>
            <w:pPr>
              <w:spacing w:after="0"/>
              <w:rPr>
                <w:sz w:val="20"/>
                <w:szCs w:val="20"/>
                <w:color w:val="auto"/>
              </w:rPr>
            </w:pPr>
            <w:r>
              <w:rPr>
                <w:rFonts w:ascii="Courier New" w:cs="Courier New" w:eastAsia="Courier New" w:hAnsi="Courier New"/>
                <w:sz w:val="14"/>
                <w:szCs w:val="14"/>
                <w:color w:val="auto"/>
              </w:rPr>
              <w:t>- --------------------------------------------------------------------------------</w:t>
            </w:r>
          </w:p>
        </w:tc>
      </w:tr>
      <w:tr>
        <w:trPr>
          <w:trHeight w:val="497"/>
        </w:trPr>
        <w:tc>
          <w:tcPr>
            <w:tcW w:w="7060" w:type="dxa"/>
            <w:vAlign w:val="bottom"/>
            <w:gridSpan w:val="8"/>
          </w:tcPr>
          <w:p>
            <w:pPr>
              <w:spacing w:after="0"/>
              <w:rPr>
                <w:sz w:val="20"/>
                <w:szCs w:val="20"/>
                <w:color w:val="auto"/>
              </w:rPr>
            </w:pPr>
            <w:r>
              <w:rPr>
                <w:rFonts w:ascii="Courier New" w:cs="Courier New" w:eastAsia="Courier New" w:hAnsi="Courier New"/>
                <w:sz w:val="14"/>
                <w:szCs w:val="14"/>
                <w:color w:val="auto"/>
              </w:rPr>
              <w:t>Please complete (X) if you want your vote kept confidential under</w:t>
            </w:r>
          </w:p>
        </w:tc>
      </w:tr>
      <w:tr>
        <w:trPr>
          <w:trHeight w:val="166"/>
        </w:trPr>
        <w:tc>
          <w:tcPr>
            <w:tcW w:w="920" w:type="dxa"/>
            <w:vAlign w:val="bottom"/>
            <w:gridSpan w:val="3"/>
          </w:tcPr>
          <w:p>
            <w:pPr>
              <w:spacing w:after="0"/>
              <w:rPr>
                <w:sz w:val="20"/>
                <w:szCs w:val="20"/>
                <w:color w:val="auto"/>
              </w:rPr>
            </w:pPr>
            <w:r>
              <w:rPr>
                <w:rFonts w:ascii="Courier New" w:cs="Courier New" w:eastAsia="Courier New" w:hAnsi="Courier New"/>
                <w:sz w:val="14"/>
                <w:szCs w:val="14"/>
                <w:color w:val="auto"/>
              </w:rPr>
              <w:t>the policy</w:t>
            </w:r>
          </w:p>
        </w:tc>
        <w:tc>
          <w:tcPr>
            <w:tcW w:w="28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described in the Proxy Statement.</w:t>
            </w:r>
          </w:p>
        </w:tc>
        <w:tc>
          <w:tcPr>
            <w:tcW w:w="32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 ]</w:t>
            </w:r>
          </w:p>
        </w:tc>
      </w:tr>
    </w:tbl>
    <w:p>
      <w:pPr>
        <w:spacing w:after="0" w:line="200" w:lineRule="exact"/>
        <w:rPr>
          <w:sz w:val="20"/>
          <w:szCs w:val="20"/>
          <w:color w:val="auto"/>
        </w:rPr>
      </w:pPr>
    </w:p>
    <w:p>
      <w:pPr>
        <w:spacing w:after="0" w:line="301"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Please sign exactly as name appears on this Proxy. Joint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owners should all sign. Executors, administrators, trustees</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and others acting in a representative capacity should indicate</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 when signing.</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Dated _________________________________, 2000</w:t>
      </w:r>
    </w:p>
    <w:p>
      <w:pPr>
        <w:sectPr>
          <w:pgSz w:w="11900" w:h="16872" w:orient="portrait"/>
          <w:cols w:equalWidth="0" w:num="1">
            <w:col w:w="11360"/>
          </w:cols>
          <w:pgMar w:left="300" w:top="616" w:right="239" w:bottom="0" w:gutter="0" w:footer="0" w:header="0"/>
          <w:type w:val="continuous"/>
        </w:sectPr>
      </w:pPr>
    </w:p>
    <w:bookmarkStart w:id="33" w:name="page34"/>
    <w:bookmarkEnd w:id="33"/>
    <w:p>
      <w:pPr>
        <w:ind w:left="3800"/>
        <w:spacing w:after="0"/>
        <w:rPr>
          <w:sz w:val="20"/>
          <w:szCs w:val="20"/>
          <w:color w:val="auto"/>
        </w:rPr>
      </w:pPr>
      <w:r>
        <w:rPr>
          <w:rFonts w:ascii="Courier New" w:cs="Courier New" w:eastAsia="Courier New" w:hAnsi="Courier New"/>
          <w:sz w:val="14"/>
          <w:szCs w:val="14"/>
          <w:color w:val="auto"/>
        </w:rPr>
        <w:t>Signed ______________________________________</w:t>
      </w:r>
    </w:p>
    <w:p>
      <w:pPr>
        <w:spacing w:after="0" w:line="173"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Please sign, date and return this Proxy promptly in</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the enclosed envelope.</w:t>
      </w:r>
    </w:p>
    <w:p>
      <w:pPr>
        <w:sectPr>
          <w:pgSz w:w="11900" w:h="16838" w:orient="portrait"/>
          <w:cols w:equalWidth="0" w:num="1">
            <w:col w:w="10159"/>
          </w:cols>
          <w:pgMar w:left="300" w:top="307"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have included comments, or a change of address.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do not wish to receive future annual reports for this account.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plan to attend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ectPr>
          <w:pgSz w:w="11900" w:h="16838" w:orient="portrait"/>
          <w:cols w:equalWidth="0" w:num="2">
            <w:col w:w="5520" w:space="260"/>
            <w:col w:w="4379"/>
          </w:cols>
          <w:pgMar w:left="300" w:top="3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 agree to access future proxy statements and annual</w:t>
      </w:r>
    </w:p>
    <w:p>
      <w:pPr>
        <w:sectPr>
          <w:pgSz w:w="11900" w:h="16838" w:orient="portrait"/>
          <w:cols w:equalWidth="0" w:num="1">
            <w:col w:w="10159"/>
          </w:cols>
          <w:pgMar w:left="300" w:top="30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reports electronically.</w:t>
      </w:r>
    </w:p>
    <w:p>
      <w:pPr>
        <w:spacing w:after="0" w:line="20" w:lineRule="exact"/>
        <w:rPr>
          <w:sz w:val="20"/>
          <w:szCs w:val="20"/>
          <w:color w:val="auto"/>
        </w:rPr>
      </w:pPr>
      <w:r>
        <w:rPr>
          <w:sz w:val="20"/>
          <w:szCs w:val="20"/>
          <w:color w:val="auto"/>
        </w:rPr>
        <w:br w:type="column"/>
      </w:r>
    </w:p>
    <w:p>
      <w:pPr>
        <w:jc w:val="center"/>
        <w:ind w:right="4119"/>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ectPr>
          <w:pgSz w:w="11900" w:h="16838" w:orient="portrait"/>
          <w:cols w:equalWidth="0" w:num="2">
            <w:col w:w="5060" w:space="720"/>
            <w:col w:w="4379"/>
          </w:cols>
          <w:pgMar w:left="300" w:top="3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3111</w:t>
      </w:r>
    </w:p>
    <w:p>
      <w:pPr>
        <w:sectPr>
          <w:pgSz w:w="11900" w:h="16838" w:orient="portrait"/>
          <w:cols w:equalWidth="0" w:num="1">
            <w:col w:w="10159"/>
          </w:cols>
          <w:pgMar w:left="300" w:top="307" w:right="1440" w:bottom="1440" w:gutter="0" w:footer="0" w:header="0"/>
          <w:type w:val="continuous"/>
        </w:sectPr>
      </w:pPr>
    </w:p>
    <w:bookmarkStart w:id="34" w:name="page35"/>
    <w:bookmarkEnd w:id="34"/>
    <w:p>
      <w:pPr>
        <w:ind w:left="3020"/>
        <w:spacing w:after="0"/>
        <w:rPr>
          <w:sz w:val="20"/>
          <w:szCs w:val="20"/>
          <w:color w:val="auto"/>
        </w:rPr>
      </w:pPr>
      <w:r>
        <w:rPr>
          <w:rFonts w:ascii="Courier New" w:cs="Courier New" w:eastAsia="Courier New" w:hAnsi="Courier New"/>
          <w:sz w:val="14"/>
          <w:szCs w:val="14"/>
          <w:color w:val="auto"/>
        </w:rPr>
        <w:t>APPENDIX 2</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SAVINGS PLAN INSTRUCTION CARD</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YOU MAY VOTE TOLL-FREE BY TELEPHONE</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OR BY INTERNET</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(OR BY COMPLETING THE VOTING INSTRUCTION FORM BELOW</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AND RETURNING IT BY 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60" w:right="3519"/>
        <w:spacing w:after="0" w:line="255" w:lineRule="auto"/>
        <w:rPr>
          <w:sz w:val="20"/>
          <w:szCs w:val="20"/>
          <w:color w:val="auto"/>
        </w:rPr>
      </w:pPr>
      <w:r>
        <w:rPr>
          <w:rFonts w:ascii="Courier New" w:cs="Courier New" w:eastAsia="Courier New" w:hAnsi="Courier New"/>
          <w:sz w:val="14"/>
          <w:szCs w:val="14"/>
          <w:color w:val="auto"/>
        </w:rPr>
        <w:t>TO VOTE BY TELEPHONE OR INTERNET, USE THE CONTROL NUMBER IN THE BOX BELOW YOUR VOTE MUST BE RECEIVED ON OR BEFORE 5:00 P.M. E.D.T. ON APRIL 26, 2000</w:t>
      </w:r>
    </w:p>
    <w:p>
      <w:pPr>
        <w:sectPr>
          <w:pgSz w:w="11900" w:h="16838" w:orient="portrait"/>
          <w:cols w:equalWidth="0" w:num="1">
            <w:col w:w="10159"/>
          </w:cols>
          <w:pgMar w:left="300" w:top="616"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Call Toll-Free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on a Touch-Tone Telephone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24 hours a day, 7 days a week</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1-888-216-1304</w:t>
      </w:r>
    </w:p>
    <w:p>
      <w:pPr>
        <w:spacing w:after="0" w:line="173" w:lineRule="exact"/>
        <w:rPr>
          <w:sz w:val="20"/>
          <w:szCs w:val="20"/>
          <w:color w:val="auto"/>
        </w:rPr>
      </w:pPr>
    </w:p>
    <w:p>
      <w:pPr>
        <w:spacing w:after="0" w:line="250" w:lineRule="auto"/>
        <w:rPr>
          <w:sz w:val="20"/>
          <w:szCs w:val="20"/>
          <w:color w:val="auto"/>
        </w:rPr>
      </w:pPr>
      <w:r>
        <w:rPr>
          <w:rFonts w:ascii="Courier New" w:cs="Courier New" w:eastAsia="Courier New" w:hAnsi="Courier New"/>
          <w:sz w:val="14"/>
          <w:szCs w:val="14"/>
          <w:color w:val="auto"/>
        </w:rPr>
        <w:t>Have this form available when you call the toll-free number. Then, just enter your control number and follow the recorded instructions.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CONTROL 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vote by Internet, have this form available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follow the simple directions that appear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your computer screen. Internet voting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WWW.DIRECTVOTE.COM</w:t>
      </w:r>
    </w:p>
    <w:p>
      <w:pPr>
        <w:spacing w:after="0" w:line="504" w:lineRule="exact"/>
        <w:rPr>
          <w:sz w:val="20"/>
          <w:szCs w:val="20"/>
          <w:color w:val="auto"/>
        </w:rPr>
      </w:pPr>
    </w:p>
    <w:p>
      <w:pPr>
        <w:sectPr>
          <w:pgSz w:w="11900" w:h="16838" w:orient="portrait"/>
          <w:cols w:equalWidth="0" w:num="2">
            <w:col w:w="3620" w:space="440"/>
            <w:col w:w="6099"/>
          </w:cols>
          <w:pgMar w:left="300" w:top="616" w:right="1440" w:bottom="1440" w:gutter="0" w:footer="0" w:header="0"/>
          <w:type w:val="continuous"/>
        </w:sectPr>
      </w:pPr>
    </w:p>
    <w:p>
      <w:pPr>
        <w:ind w:left="1980"/>
        <w:spacing w:after="0"/>
        <w:rPr>
          <w:sz w:val="20"/>
          <w:szCs w:val="20"/>
          <w:color w:val="auto"/>
        </w:rPr>
      </w:pPr>
      <w:r>
        <w:rPr>
          <w:rFonts w:ascii="Courier New" w:cs="Courier New" w:eastAsia="Courier New" w:hAnsi="Courier New"/>
          <w:sz w:val="14"/>
          <w:szCs w:val="14"/>
          <w:color w:val="auto"/>
        </w:rPr>
        <w:t>(FOR MAILING, DETACH AT THE PERFORATION BELOW)</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REQUEST FOR CONFIDENTIAL INSTRUCTIONS</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SOLICITED ON BEHALF OF THE BOARD OF DIRECTORS OF</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HONEYWELL INTERNATIONAL INC.</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PURSUANT TO THE</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ALLIEDSIGNAL SAVINGS PLAN</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ALLIEDSIGNAL THRIFT PLAN</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VERICOR POWER SYSTEMS SAVINGS PLAN</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ALLIEDSIGNAL TRUCK BRAKE SYSTEMS COMPANY SAVINGS PLAN (THE 'PLANS')</w:t>
      </w:r>
    </w:p>
    <w:p>
      <w:pPr>
        <w:spacing w:after="0" w:line="173"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YOUR CONTROL NUMBER</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undersigned hereby instructs State Street Bank and Trust Company, Trustee under the Plans, to vote, as designated herein, all shares of common stock with respect to which the undersigned is entitled to instruct the Trustee as to voting under the Plans at the Annual Meeting of Shareowners of Honeywell International Inc. to be held on May 1, 2000, and at any and all adjournments thereof. The Trustee is also authorized to vote such shares in connection with the transaction of such other business as may properly come before the Meeting and any and all adjournments thereof.</w:t>
      </w:r>
    </w:p>
    <w:p>
      <w:pPr>
        <w:spacing w:after="0" w:line="16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Your vote for the election of Directors and the other proposals described in the accompanying Proxy Statement may be specified on the reverse side. The nominees for Director are: (01) Hans W. Becherer, (02) Gordon M. Bethune, (03) Jaime Chico Pardo and (04) Ann M. Fudge.</w:t>
      </w:r>
    </w:p>
    <w:p>
      <w:pPr>
        <w:spacing w:after="0" w:line="162"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IF THIS CARD IS PROPERLY SIGNED AND RETURNED, THE SHARES WILL BE VOTED AS SPECIFIED HEREIN OR, IF NO CHOICE IS SPECIFIED, THEY WILL BE VOTED 'FOR' THE ELECTION OF ALL NOMINEES FOR DIRECTOR, 'FOR' PROPOSAL 2 AND 'AGAINST' PROPOSALS 3 THROUGH 5. THE TRUSTEE WILL VOTE SHARES AS TO WHICH NO INSTRUCTIONS ARE RECEIVED IN THE SAME RATIO AS SHARES WITH RESPECT TO WHICH INSTRUCTIONS HAVE BEEN RECEIVED FROM OTHER PARTICIPANTS IN THE PLANS.</w:t>
      </w:r>
    </w:p>
    <w:p>
      <w:pPr>
        <w:sectPr>
          <w:pgSz w:w="11900" w:h="16838" w:orient="portrait"/>
          <w:cols w:equalWidth="0" w:num="1">
            <w:col w:w="10159"/>
          </w:cols>
          <w:pgMar w:left="300" w:top="616" w:right="1440" w:bottom="1440" w:gutter="0" w:footer="0" w:header="0"/>
          <w:type w:val="continuous"/>
        </w:sectPr>
      </w:pPr>
    </w:p>
    <w:bookmarkStart w:id="35" w:name="page36"/>
    <w:bookmarkEnd w:id="35"/>
    <w:p>
      <w:pPr>
        <w:jc w:val="center"/>
        <w:ind w:right="3259"/>
        <w:spacing w:after="0"/>
        <w:rPr>
          <w:sz w:val="20"/>
          <w:szCs w:val="20"/>
          <w:color w:val="auto"/>
        </w:rPr>
      </w:pPr>
      <w:r>
        <w:rPr>
          <w:rFonts w:ascii="Courier New" w:cs="Courier New" w:eastAsia="Courier New" w:hAnsi="Courier New"/>
          <w:sz w:val="14"/>
          <w:szCs w:val="14"/>
          <w:color w:val="auto"/>
        </w:rPr>
        <w:t>TO VOTE TOLL-FREE BY TELEPHONE OR BY INTERNET, SEE INSTRUCTIONS ON REVERSE SIDE.</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OR</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COMPLETE, SIGN AND DATE THE FORM BELOW, DETACH AT THE PERFORATION, AND MAIL</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PROMPTLY IN THE ENCLOSED, POSTAGE-PAID ENVELOPE.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520" w:hanging="426"/>
        <w:spacing w:after="0"/>
        <w:tabs>
          <w:tab w:leader="none" w:pos="52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Please mark votes as in the example in black or blue ink.</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 Election of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(01) H. W. Becherer, (02) G.M. Bethune, (03) J.C. Pardo, (04) A.M. Fudge</w:t>
      </w:r>
    </w:p>
    <w:p>
      <w:pPr>
        <w:sectPr>
          <w:pgSz w:w="11900" w:h="16838" w:orient="portrait"/>
          <w:cols w:equalWidth="0" w:num="1">
            <w:col w:w="10159"/>
          </w:cols>
          <w:pgMar w:left="30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NOMINEES</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WITHHOLD AUTHORITY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Vote for all Nominees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4"/>
          <w:szCs w:val="14"/>
          <w:color w:val="auto"/>
        </w:rPr>
        <w:t>EXCEPTION</w:t>
      </w:r>
    </w:p>
    <w:p>
      <w:pPr>
        <w:spacing w:after="0" w:line="7"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ectPr>
          <w:pgSz w:w="11900" w:h="16838" w:orient="portrait"/>
          <w:cols w:equalWidth="0" w:num="3">
            <w:col w:w="1040" w:space="600"/>
            <w:col w:w="2080" w:space="600"/>
            <w:col w:w="5839"/>
          </w:cols>
          <w:pgMar w:left="300" w:top="616" w:right="1440" w:bottom="1440" w:gutter="0" w:footer="0" w:header="0"/>
          <w:type w:val="continuous"/>
        </w:sectPr>
      </w:pPr>
    </w:p>
    <w:p>
      <w:pPr>
        <w:spacing w:after="0" w:line="138"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INSTRUCTION: TO WITHHOLD AUTHORITY TO VOTE FOR ANY INDIVIDUAL NOMINEE(S), MARK THE 'EXCEPTION' BOX AND WRITE THE NAMES(S) ON THE LINE BELOW.</w:t>
      </w:r>
    </w:p>
    <w:p>
      <w:pPr>
        <w:spacing w:after="0" w:line="16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Appointment of Independent Accountants.</w:t>
      </w:r>
    </w:p>
    <w:p>
      <w:pPr>
        <w:sectPr>
          <w:pgSz w:w="11900" w:h="16838" w:orient="portrait"/>
          <w:cols w:equalWidth="0" w:num="1">
            <w:col w:w="10159"/>
          </w:cols>
          <w:pgMar w:left="300" w:top="616"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FOR</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ind w:right="840"/>
        <w:spacing w:after="0"/>
        <w:rPr>
          <w:sz w:val="20"/>
          <w:szCs w:val="20"/>
          <w:color w:val="auto"/>
        </w:rPr>
      </w:pPr>
      <w:r>
        <w:rPr>
          <w:rFonts w:ascii="Courier New" w:cs="Courier New" w:eastAsia="Courier New" w:hAnsi="Courier New"/>
          <w:sz w:val="14"/>
          <w:szCs w:val="14"/>
          <w:color w:val="auto"/>
        </w:rPr>
        <w:t>AGAINST</w:t>
      </w:r>
    </w:p>
    <w:p>
      <w:pPr>
        <w:spacing w:after="0" w:line="7" w:lineRule="exact"/>
        <w:rPr>
          <w:sz w:val="20"/>
          <w:szCs w:val="20"/>
          <w:color w:val="auto"/>
        </w:rPr>
      </w:pPr>
    </w:p>
    <w:p>
      <w:pPr>
        <w:jc w:val="center"/>
        <w:ind w:right="84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4"/>
          <w:szCs w:val="14"/>
          <w:color w:val="auto"/>
        </w:rPr>
        <w:t>ABSTAIN</w:t>
      </w:r>
    </w:p>
    <w:p>
      <w:pPr>
        <w:spacing w:after="0" w:line="7"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ectPr>
          <w:pgSz w:w="11900" w:h="16838" w:orient="portrait"/>
          <w:cols w:equalWidth="0" w:num="3">
            <w:col w:w="1520" w:space="720"/>
            <w:col w:w="1440" w:space="720"/>
            <w:col w:w="5759"/>
          </w:cols>
          <w:pgMar w:left="30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VOTE 'AGAINST' PROPOSALS 3 TO 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RECOMMENDED BY 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Shareowner proposal regarding CEO compensation.</w:t>
      </w:r>
    </w:p>
    <w:p>
      <w:pPr>
        <w:sectPr>
          <w:pgSz w:w="11900" w:h="16838" w:orient="portrait"/>
          <w:cols w:equalWidth="0" w:num="1">
            <w:col w:w="10159"/>
          </w:cols>
          <w:pgMar w:left="300" w:top="616"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FOR</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ind w:right="840"/>
        <w:spacing w:after="0"/>
        <w:rPr>
          <w:sz w:val="20"/>
          <w:szCs w:val="20"/>
          <w:color w:val="auto"/>
        </w:rPr>
      </w:pPr>
      <w:r>
        <w:rPr>
          <w:rFonts w:ascii="Courier New" w:cs="Courier New" w:eastAsia="Courier New" w:hAnsi="Courier New"/>
          <w:sz w:val="14"/>
          <w:szCs w:val="14"/>
          <w:color w:val="auto"/>
        </w:rPr>
        <w:t>AGAINST</w:t>
      </w:r>
    </w:p>
    <w:p>
      <w:pPr>
        <w:spacing w:after="0" w:line="7" w:lineRule="exact"/>
        <w:rPr>
          <w:sz w:val="20"/>
          <w:szCs w:val="20"/>
          <w:color w:val="auto"/>
        </w:rPr>
      </w:pPr>
    </w:p>
    <w:p>
      <w:pPr>
        <w:jc w:val="center"/>
        <w:ind w:right="84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4"/>
          <w:szCs w:val="14"/>
          <w:color w:val="auto"/>
        </w:rPr>
        <w:t>ABSTAIN</w:t>
      </w:r>
    </w:p>
    <w:p>
      <w:pPr>
        <w:spacing w:after="0" w:line="7"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ectPr>
          <w:pgSz w:w="11900" w:h="16838" w:orient="portrait"/>
          <w:cols w:equalWidth="0" w:num="3">
            <w:col w:w="1520" w:space="720"/>
            <w:col w:w="1440" w:space="720"/>
            <w:col w:w="5759"/>
          </w:cols>
          <w:pgMar w:left="300" w:top="616" w:right="1440" w:bottom="1440" w:gutter="0" w:footer="0" w:header="0"/>
          <w:type w:val="continuous"/>
        </w:sectPr>
      </w:pPr>
    </w:p>
    <w:p>
      <w:pPr>
        <w:ind w:right="6439" w:firstLine="8"/>
        <w:spacing w:after="0" w:line="255" w:lineRule="auto"/>
        <w:tabs>
          <w:tab w:leader="none" w:pos="25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Shareowner proposal regarding the annual election of directors.</w:t>
      </w:r>
    </w:p>
    <w:p>
      <w:pPr>
        <w:sectPr>
          <w:pgSz w:w="11900" w:h="16838" w:orient="portrait"/>
          <w:cols w:equalWidth="0" w:num="1">
            <w:col w:w="10159"/>
          </w:cols>
          <w:pgMar w:left="300" w:top="616" w:right="1440" w:bottom="1440" w:gutter="0" w:footer="0" w:header="0"/>
          <w:type w:val="continuous"/>
        </w:sectPr>
      </w:pP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FOR</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right="840"/>
        <w:spacing w:after="0"/>
        <w:rPr>
          <w:sz w:val="20"/>
          <w:szCs w:val="20"/>
          <w:color w:val="auto"/>
        </w:rPr>
      </w:pPr>
      <w:r>
        <w:rPr>
          <w:rFonts w:ascii="Courier New" w:cs="Courier New" w:eastAsia="Courier New" w:hAnsi="Courier New"/>
          <w:sz w:val="14"/>
          <w:szCs w:val="14"/>
          <w:color w:val="auto"/>
        </w:rPr>
        <w:t>AGAINST</w:t>
      </w:r>
    </w:p>
    <w:p>
      <w:pPr>
        <w:spacing w:after="0" w:line="7" w:lineRule="exact"/>
        <w:rPr>
          <w:sz w:val="20"/>
          <w:szCs w:val="20"/>
          <w:color w:val="auto"/>
        </w:rPr>
      </w:pPr>
    </w:p>
    <w:p>
      <w:pPr>
        <w:jc w:val="center"/>
        <w:ind w:right="84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4"/>
          <w:szCs w:val="14"/>
          <w:color w:val="auto"/>
        </w:rPr>
        <w:t>ABSTAIN</w:t>
      </w:r>
    </w:p>
    <w:p>
      <w:pPr>
        <w:spacing w:after="0" w:line="7"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ectPr>
          <w:pgSz w:w="11900" w:h="16838" w:orient="portrait"/>
          <w:cols w:equalWidth="0" w:num="3">
            <w:col w:w="1520" w:space="720"/>
            <w:col w:w="1440" w:space="720"/>
            <w:col w:w="5759"/>
          </w:cols>
          <w:pgMar w:left="30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5. Shareowner proposal regarding shareowner voting provisions.</w:t>
      </w:r>
    </w:p>
    <w:p>
      <w:pPr>
        <w:sectPr>
          <w:pgSz w:w="11900" w:h="16838" w:orient="portrait"/>
          <w:cols w:equalWidth="0" w:num="1">
            <w:col w:w="10159"/>
          </w:cols>
          <w:pgMar w:left="300" w:top="616" w:right="1440" w:bottom="1440" w:gutter="0" w:footer="0" w:header="0"/>
          <w:type w:val="continuous"/>
        </w:sectPr>
      </w:pP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FOR</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840"/>
        <w:spacing w:after="0"/>
        <w:rPr>
          <w:sz w:val="20"/>
          <w:szCs w:val="20"/>
          <w:color w:val="auto"/>
        </w:rPr>
      </w:pPr>
      <w:r>
        <w:rPr>
          <w:rFonts w:ascii="Courier New" w:cs="Courier New" w:eastAsia="Courier New" w:hAnsi="Courier New"/>
          <w:sz w:val="14"/>
          <w:szCs w:val="14"/>
          <w:color w:val="auto"/>
        </w:rPr>
        <w:t>AGAINST</w:t>
      </w:r>
    </w:p>
    <w:p>
      <w:pPr>
        <w:spacing w:after="0" w:line="7" w:lineRule="exact"/>
        <w:rPr>
          <w:sz w:val="20"/>
          <w:szCs w:val="20"/>
          <w:color w:val="auto"/>
        </w:rPr>
      </w:pPr>
    </w:p>
    <w:p>
      <w:pPr>
        <w:jc w:val="center"/>
        <w:ind w:right="84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4"/>
          <w:szCs w:val="14"/>
          <w:color w:val="auto"/>
        </w:rPr>
        <w:t>ABSTAIN</w:t>
      </w:r>
    </w:p>
    <w:p>
      <w:pPr>
        <w:spacing w:after="0" w:line="7"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ectPr>
          <w:pgSz w:w="11900" w:h="16838" w:orient="portrait"/>
          <w:cols w:equalWidth="0" w:num="3">
            <w:col w:w="1520" w:space="720"/>
            <w:col w:w="1440" w:space="720"/>
            <w:col w:w="5759"/>
          </w:cols>
          <w:pgMar w:left="300" w:top="616" w:right="1440"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YOUR NAME EXACTLY AS IMPRINTED. DO NOT PRINT.)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___________________________, 2000</w:t>
      </w:r>
    </w:p>
    <w:p>
      <w:pPr>
        <w:sectPr>
          <w:pgSz w:w="11900" w:h="16838" w:orient="portrait"/>
          <w:cols w:equalWidth="0" w:num="1">
            <w:col w:w="10159"/>
          </w:cols>
          <w:pgMar w:left="300" w:top="616" w:right="1440" w:bottom="1440" w:gutter="0" w:footer="0" w:header="0"/>
          <w:type w:val="continuous"/>
        </w:sectPr>
      </w:pPr>
    </w:p>
    <w:bookmarkStart w:id="36" w:name="page37"/>
    <w:bookmarkEnd w:id="36"/>
    <w:p>
      <w:pPr>
        <w:ind w:left="2940"/>
        <w:spacing w:after="0"/>
        <w:rPr>
          <w:sz w:val="20"/>
          <w:szCs w:val="20"/>
          <w:color w:val="auto"/>
        </w:rPr>
      </w:pPr>
      <w:r>
        <w:rPr>
          <w:rFonts w:ascii="Courier New" w:cs="Courier New" w:eastAsia="Courier New" w:hAnsi="Courier New"/>
          <w:sz w:val="14"/>
          <w:szCs w:val="14"/>
          <w:color w:val="auto"/>
        </w:rPr>
        <w:t>APPENDIX 3</w:t>
      </w:r>
    </w:p>
    <w:p>
      <w:pPr>
        <w:spacing w:after="0" w:line="7" w:lineRule="exact"/>
        <w:rPr>
          <w:sz w:val="20"/>
          <w:szCs w:val="20"/>
          <w:color w:val="auto"/>
        </w:rPr>
      </w:pPr>
    </w:p>
    <w:p>
      <w:pPr>
        <w:ind w:left="6380"/>
        <w:spacing w:after="0"/>
        <w:rPr>
          <w:sz w:val="20"/>
          <w:szCs w:val="20"/>
          <w:color w:val="auto"/>
        </w:rPr>
      </w:pPr>
      <w:r>
        <w:rPr>
          <w:rFonts w:ascii="Courier New" w:cs="Courier New" w:eastAsia="Courier New" w:hAnsi="Courier New"/>
          <w:sz w:val="14"/>
          <w:szCs w:val="14"/>
          <w:color w:val="auto"/>
        </w:rPr>
        <w:t>[Logo]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R. Bonsignore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March 13,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Plan Participant:</w:t>
      </w:r>
    </w:p>
    <w:p>
      <w:pPr>
        <w:spacing w:after="0" w:line="17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I am enclosing with this letter a meeting notice, proxy statement and Annual Report for the 2000 Annual Meeting of Shareowners. As a savings plan participant, you are entitled to instruct the Trustee, State Street Bank and Trust Company, how to vote the Honeywell shares attributable to your plan account. All votes are important, and I urge you to exercise your right to vote. The proxy statement includes the proposals to be voted on, as well as the recommendations of the Board of Directors.</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 card requesting your confidential voting instructions is enclosed for your use. If you prefer, you can also vote via the Internet or by telephone. Simply follow the instructions on the proxy card. However, if you vote by the Internet or by telephone, do not return your proxy card by mail.</w:t>
      </w:r>
    </w:p>
    <w:p>
      <w:pPr>
        <w:spacing w:after="0" w:line="162"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If you own Honeywell shares other than through the savings plans, you will receive separate voting instructions for those shares.</w:t>
      </w:r>
    </w:p>
    <w:p>
      <w:pPr>
        <w:spacing w:after="0" w:line="16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Sincerely,</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MICHAEL R. BONSIGNORE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Enclosures</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STATEMENT OF DIFFERENCES</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registered trademark symbol shall be expressed as..................... 'r'</w:t>
      </w:r>
    </w:p>
    <w:sectPr>
      <w:pgSz w:w="11900" w:h="16838" w:orient="portrait"/>
      <w:cols w:equalWidth="0" w:num="1">
        <w:col w:w="10159"/>
      </w:cols>
      <w:pgMar w:left="300" w:top="9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upperLetter"/>
      <w:start w:val="24"/>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upperLetter"/>
      <w:start w:val="24"/>
    </w:lvl>
  </w:abstractNum>
  <w:abstractNum w:abstractNumId="4">
    <w:nsid w:val="109CF92E"/>
    <w:multiLevelType w:val="hybridMultilevel"/>
    <w:lvl w:ilvl="0">
      <w:lvlJc w:val="left"/>
      <w:lvlText w:val="["/>
      <w:numFmt w:val="bullet"/>
      <w:start w:val="1"/>
    </w:lvl>
    <w:lvl w:ilvl="1">
      <w:lvlJc w:val="left"/>
      <w:lvlText w:val="(%2)"/>
      <w:numFmt w:val="decimal"/>
      <w:start w:val="1"/>
    </w:lvl>
  </w:abstractNum>
  <w:abstractNum w:abstractNumId="5">
    <w:nsid w:val="DED7263"/>
    <w:multiLevelType w:val="hybridMultilevel"/>
    <w:lvl w:ilvl="0">
      <w:lvlJc w:val="left"/>
      <w:lvlText w:val="(%1)"/>
      <w:numFmt w:val="decimal"/>
      <w:start w:val="2"/>
    </w:lvl>
  </w:abstractNum>
  <w:abstractNum w:abstractNumId="6">
    <w:nsid w:val="7FDCC233"/>
    <w:multiLevelType w:val="hybridMultilevel"/>
    <w:lvl w:ilvl="0">
      <w:lvlJc w:val="left"/>
      <w:lvlText w:val="(%1)"/>
      <w:numFmt w:val="decimal"/>
      <w:start w:val="3"/>
    </w:lvl>
  </w:abstractNum>
  <w:abstractNum w:abstractNumId="7">
    <w:nsid w:val="1BEFD79F"/>
    <w:multiLevelType w:val="hybridMultilevel"/>
    <w:lvl w:ilvl="0">
      <w:lvlJc w:val="left"/>
      <w:lvlText w:val="(%1)"/>
      <w:numFmt w:val="decimal"/>
      <w:start w:val="5"/>
    </w:lvl>
  </w:abstractNum>
  <w:abstractNum w:abstractNumId="8">
    <w:nsid w:val="41A7C4C9"/>
    <w:multiLevelType w:val="hybridMultilevel"/>
    <w:lvl w:ilvl="0">
      <w:lvlJc w:val="left"/>
      <w:lvlText w:val="["/>
      <w:numFmt w:val="bullet"/>
      <w:start w:val="1"/>
    </w:lvl>
    <w:lvl w:ilvl="1">
      <w:lvlJc w:val="left"/>
      <w:lvlText w:val="(%2)"/>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3"/>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amp;"/>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lvl w:ilvl="1">
      <w:lvlJc w:val="left"/>
      <w:lvlText w:val="[%2]"/>
      <w:numFmt w:val="upperLetter"/>
      <w:start w:val="24"/>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2020-10-05T15:32:07Z</dcterms:created>
  <dcterms:modified xsi:type="dcterms:W3CDTF">2020-10-05T15:32:07Z</dcterms:modified>
</cp:coreProperties>
</file>