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February 29, 2000.</w:t>
      </w:r>
    </w:p>
    <w:p>
      <w:pPr>
        <w:spacing w:after="0" w:line="201"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80"/>
        <w:spacing w:after="0"/>
        <w:rPr>
          <w:sz w:val="20"/>
          <w:szCs w:val="20"/>
          <w:color w:val="auto"/>
        </w:rPr>
      </w:pPr>
      <w:r>
        <w:rPr>
          <w:rFonts w:ascii="Courier New" w:cs="Courier New" w:eastAsia="Courier New" w:hAnsi="Courier New"/>
          <w:sz w:val="18"/>
          <w:szCs w:val="18"/>
          <w:color w:val="auto"/>
        </w:rPr>
        <w:t>FORM S-8</w:t>
      </w:r>
    </w:p>
    <w:p>
      <w:pPr>
        <w:jc w:val="center"/>
        <w:ind w:right="188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40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Honeywell International Inc.</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320"/>
          </w:cols>
          <w:pgMar w:left="320" w:top="1440" w:right="1259" w:bottom="1440" w:gutter="0" w:footer="0" w:header="0"/>
        </w:sectPr>
      </w:pPr>
    </w:p>
    <w:p>
      <w:pPr>
        <w:spacing w:after="0" w:line="200"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ind w:left="86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22-2640650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440" w:space="720"/>
            <w:col w:w="5160"/>
          </w:cols>
          <w:pgMar w:left="320" w:top="1440" w:right="1259" w:bottom="1440" w:gutter="0" w:footer="0" w:header="0"/>
          <w:type w:val="continuous"/>
        </w:sectPr>
      </w:pPr>
    </w:p>
    <w:p>
      <w:pPr>
        <w:spacing w:after="0" w:line="1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P.O. Box 4000</w:t>
      </w:r>
    </w:p>
    <w:p>
      <w:pPr>
        <w:ind w:left="1160"/>
        <w:spacing w:after="0" w:line="238" w:lineRule="auto"/>
        <w:rPr>
          <w:sz w:val="20"/>
          <w:szCs w:val="20"/>
          <w:color w:val="auto"/>
        </w:rPr>
      </w:pPr>
      <w:r>
        <w:rPr>
          <w:rFonts w:ascii="Courier New" w:cs="Courier New" w:eastAsia="Courier New" w:hAnsi="Courier New"/>
          <w:sz w:val="18"/>
          <w:szCs w:val="18"/>
          <w:color w:val="auto"/>
        </w:rPr>
        <w:t>Morristown, New Jersey</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07962-2497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6" w:lineRule="exact"/>
        <w:rPr>
          <w:sz w:val="24"/>
          <w:szCs w:val="24"/>
          <w:color w:val="auto"/>
        </w:rPr>
      </w:pPr>
    </w:p>
    <w:p>
      <w:pPr>
        <w:sectPr>
          <w:pgSz w:w="11900" w:h="16838" w:orient="portrait"/>
          <w:cols w:equalWidth="0" w:num="2">
            <w:col w:w="5080" w:space="720"/>
            <w:col w:w="4520"/>
          </w:cols>
          <w:pgMar w:left="320" w:top="1440" w:right="1259" w:bottom="1440" w:gutter="0" w:footer="0" w:header="0"/>
          <w:type w:val="continuous"/>
        </w:sect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1880"/>
        <w:spacing w:after="0" w:line="238" w:lineRule="auto"/>
        <w:rPr>
          <w:sz w:val="20"/>
          <w:szCs w:val="20"/>
          <w:color w:val="auto"/>
        </w:rPr>
      </w:pPr>
      <w:r>
        <w:rPr>
          <w:rFonts w:ascii="Courier New" w:cs="Courier New" w:eastAsia="Courier New" w:hAnsi="Courier New"/>
          <w:sz w:val="18"/>
          <w:szCs w:val="18"/>
          <w:color w:val="auto"/>
        </w:rPr>
        <w:t>Honeywell Truck Brake Systems Company Savings Plan</w:t>
      </w:r>
    </w:p>
    <w:p>
      <w:pPr>
        <w:jc w:val="center"/>
        <w:ind w:right="1880"/>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306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PETER M. KREINDLER, ESQ.</w:t>
      </w:r>
    </w:p>
    <w:p>
      <w:pPr>
        <w:ind w:left="212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2740"/>
        <w:spacing w:after="0"/>
        <w:rPr>
          <w:sz w:val="20"/>
          <w:szCs w:val="20"/>
          <w:color w:val="auto"/>
        </w:rPr>
      </w:pPr>
      <w:r>
        <w:rPr>
          <w:rFonts w:ascii="Courier New" w:cs="Courier New" w:eastAsia="Courier New" w:hAnsi="Courier New"/>
          <w:sz w:val="18"/>
          <w:szCs w:val="18"/>
          <w:color w:val="auto"/>
        </w:rPr>
        <w:t>Honeywell International Inc.</w:t>
      </w:r>
    </w:p>
    <w:p>
      <w:pPr>
        <w:ind w:left="2960"/>
        <w:spacing w:after="0" w:line="237" w:lineRule="auto"/>
        <w:rPr>
          <w:sz w:val="20"/>
          <w:szCs w:val="20"/>
          <w:color w:val="auto"/>
        </w:rPr>
      </w:pPr>
      <w:r>
        <w:rPr>
          <w:rFonts w:ascii="Courier New" w:cs="Courier New" w:eastAsia="Courier New" w:hAnsi="Courier New"/>
          <w:sz w:val="18"/>
          <w:szCs w:val="18"/>
          <w:color w:val="auto"/>
        </w:rPr>
        <w:t>101 Columbia Road</w:t>
      </w:r>
    </w:p>
    <w:p>
      <w:pPr>
        <w:ind w:left="1580"/>
        <w:spacing w:after="0" w:line="238" w:lineRule="auto"/>
        <w:rPr>
          <w:sz w:val="20"/>
          <w:szCs w:val="20"/>
          <w:color w:val="auto"/>
        </w:rPr>
      </w:pPr>
      <w:r>
        <w:rPr>
          <w:rFonts w:ascii="Courier New" w:cs="Courier New" w:eastAsia="Courier New" w:hAnsi="Courier New"/>
          <w:sz w:val="18"/>
          <w:szCs w:val="18"/>
          <w:color w:val="auto"/>
        </w:rPr>
        <w:t>Morris Township, New Jersey 07962-2497 (Name and</w:t>
      </w:r>
    </w:p>
    <w:p>
      <w:pPr>
        <w:ind w:left="2740"/>
        <w:spacing w:after="0"/>
        <w:rPr>
          <w:sz w:val="20"/>
          <w:szCs w:val="20"/>
          <w:color w:val="auto"/>
        </w:rPr>
      </w:pPr>
      <w:r>
        <w:rPr>
          <w:rFonts w:ascii="Courier New" w:cs="Courier New" w:eastAsia="Courier New" w:hAnsi="Courier New"/>
          <w:sz w:val="18"/>
          <w:szCs w:val="18"/>
          <w:color w:val="auto"/>
        </w:rPr>
        <w:t>address of agent for service)</w:t>
      </w:r>
    </w:p>
    <w:p>
      <w:pPr>
        <w:jc w:val="center"/>
        <w:ind w:right="1880"/>
        <w:spacing w:after="0" w:line="237" w:lineRule="auto"/>
        <w:rPr>
          <w:sz w:val="20"/>
          <w:szCs w:val="20"/>
          <w:color w:val="auto"/>
        </w:rPr>
      </w:pPr>
      <w:r>
        <w:rPr>
          <w:rFonts w:ascii="Courier New" w:cs="Courier New" w:eastAsia="Courier New" w:hAnsi="Courier New"/>
          <w:sz w:val="18"/>
          <w:szCs w:val="18"/>
          <w:color w:val="auto"/>
        </w:rPr>
        <w:t>(973) 455-2000</w:t>
      </w:r>
    </w:p>
    <w:p>
      <w:pPr>
        <w:jc w:val="center"/>
        <w:ind w:right="1880"/>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306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2000" w:type="dxa"/>
            <w:vAlign w:val="bottom"/>
          </w:tcPr>
          <w:p>
            <w:pPr>
              <w:spacing w:after="0"/>
              <w:rPr>
                <w:sz w:val="17"/>
                <w:szCs w:val="17"/>
                <w:color w:val="auto"/>
              </w:rPr>
            </w:pP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000" w:type="dxa"/>
            <w:vAlign w:val="bottom"/>
          </w:tcPr>
          <w:p>
            <w:pPr>
              <w:spacing w:after="0"/>
              <w:rPr>
                <w:sz w:val="17"/>
                <w:szCs w:val="17"/>
                <w:color w:val="auto"/>
              </w:rPr>
            </w:pP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to be</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 per</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 (1)</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Registered</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 (2)</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price (2)</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 (2)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Common Stock, par</w:t>
            </w: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$1.00 per share (3)</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240,000 sh.</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$44.625</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$10,710,000</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$2,827.44</w:t>
            </w:r>
          </w:p>
        </w:tc>
      </w:tr>
    </w:tbl>
    <w:p>
      <w:pPr>
        <w:spacing w:after="0" w:line="200" w:lineRule="exact"/>
        <w:rPr>
          <w:sz w:val="24"/>
          <w:szCs w:val="24"/>
          <w:color w:val="auto"/>
        </w:rPr>
      </w:pPr>
    </w:p>
    <w:p>
      <w:pPr>
        <w:spacing w:after="0" w:line="209" w:lineRule="exact"/>
        <w:rPr>
          <w:sz w:val="24"/>
          <w:szCs w:val="24"/>
          <w:color w:val="auto"/>
        </w:rPr>
      </w:pPr>
    </w:p>
    <w:p>
      <w:pPr>
        <w:ind w:left="640" w:right="1880"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pursuant to Rule 416(c) of the Securities Act of 1933, this registration statement also covers an indeterminate amount of interests to be offered or sold pursuant to the plan.</w:t>
      </w:r>
    </w:p>
    <w:p>
      <w:pPr>
        <w:spacing w:after="0" w:line="208" w:lineRule="exact"/>
        <w:rPr>
          <w:rFonts w:ascii="Courier New" w:cs="Courier New" w:eastAsia="Courier New" w:hAnsi="Courier New"/>
          <w:sz w:val="18"/>
          <w:szCs w:val="18"/>
          <w:color w:val="auto"/>
        </w:rPr>
      </w:pPr>
    </w:p>
    <w:p>
      <w:pPr>
        <w:ind w:left="640" w:right="2100"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457(h) of the Act, solely for the purpose of calculating the registration fee. $44.625 represents the average of the high and low sales prices of common stock on the New York Stock Exchange Composite Tape on February 24, 2000.</w:t>
      </w:r>
    </w:p>
    <w:p>
      <w:pPr>
        <w:spacing w:after="0" w:line="207" w:lineRule="exact"/>
        <w:rPr>
          <w:rFonts w:ascii="Courier New" w:cs="Courier New" w:eastAsia="Courier New" w:hAnsi="Courier New"/>
          <w:sz w:val="18"/>
          <w:szCs w:val="18"/>
          <w:color w:val="auto"/>
        </w:rPr>
      </w:pPr>
    </w:p>
    <w:p>
      <w:pPr>
        <w:jc w:val="both"/>
        <w:ind w:left="540" w:right="1880"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registered consist of shares of common stock to be acquired by the plan trustee pursuant to the plan for the account of participants.</w:t>
      </w:r>
    </w:p>
    <w:p>
      <w:pPr>
        <w:sectPr>
          <w:pgSz w:w="11900" w:h="16838" w:orient="portrait"/>
          <w:cols w:equalWidth="0" w:num="1">
            <w:col w:w="10320"/>
          </w:cols>
          <w:pgMar w:left="320" w:top="1440" w:right="1259" w:bottom="1440" w:gutter="0" w:footer="0" w:header="0"/>
          <w:type w:val="continuous"/>
        </w:sectPr>
      </w:pPr>
    </w:p>
    <w:bookmarkStart w:id="1" w:name="page2"/>
    <w:bookmarkEnd w:id="1"/>
    <w:p>
      <w:pPr>
        <w:jc w:val="center"/>
        <w:ind w:right="169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document(s) containing the information specified in Part I of Form S-8 will be sent or given to participants in the Honeywell Truck Brake Systems Company Savings Plan (formerly the AlliedSignal Truck Brake Systems Company Savings Plan) as specified by Rule 428(b)(1) promulgated by the SEC under the Securities Act of 1933.</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Such document(s) are not being filed with the SEC, but constitute (along with the documents incorporated by reference into this registration statement pursuant to Item 3 of Part II hereof) a prospectus that meets the requirements of Section 10(a) of the Securities Act.</w:t>
      </w:r>
    </w:p>
    <w:p>
      <w:pPr>
        <w:spacing w:after="0" w:line="201"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a part of this prospectus, and information filed with the SEC after the date of this prospectus will update and supersede information on file with the SEC as of the date of this prospectus. We incorporate by reference: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HONEYWELL'S SEC FILINGS (FORMERLY ALLIEDSIGNAL INC.) (FILE NO. 1-8974)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Annual Report on Form 10-K for the year ended December 31, 1999.</w:t>
      </w:r>
    </w:p>
    <w:p>
      <w:pPr>
        <w:spacing w:after="0" w:line="207" w:lineRule="exact"/>
        <w:rPr>
          <w:sz w:val="20"/>
          <w:szCs w:val="20"/>
          <w:color w:val="auto"/>
        </w:rPr>
      </w:pPr>
    </w:p>
    <w:p>
      <w:pPr>
        <w:ind w:left="540" w:right="1919"/>
        <w:spacing w:after="0" w:line="235" w:lineRule="auto"/>
        <w:rPr>
          <w:sz w:val="20"/>
          <w:szCs w:val="20"/>
          <w:color w:val="auto"/>
        </w:rPr>
      </w:pPr>
      <w:r>
        <w:rPr>
          <w:rFonts w:ascii="Courier New" w:cs="Courier New" w:eastAsia="Courier New" w:hAnsi="Courier New"/>
          <w:sz w:val="18"/>
          <w:szCs w:val="18"/>
          <w:color w:val="auto"/>
        </w:rPr>
        <w:t>Current Reports on Form 8-K filed on January 21, February 14 and February 29, 2000.</w:t>
      </w:r>
    </w:p>
    <w:p>
      <w:pPr>
        <w:spacing w:after="0" w:line="208" w:lineRule="exact"/>
        <w:rPr>
          <w:sz w:val="20"/>
          <w:szCs w:val="20"/>
          <w:color w:val="auto"/>
        </w:rPr>
      </w:pPr>
    </w:p>
    <w:p>
      <w:pPr>
        <w:ind w:left="540" w:right="2239"/>
        <w:spacing w:after="0" w:line="235" w:lineRule="auto"/>
        <w:rPr>
          <w:sz w:val="20"/>
          <w:szCs w:val="20"/>
          <w:color w:val="auto"/>
        </w:rPr>
      </w:pPr>
      <w:r>
        <w:rPr>
          <w:rFonts w:ascii="Courier New" w:cs="Courier New" w:eastAsia="Courier New" w:hAnsi="Courier New"/>
          <w:sz w:val="18"/>
          <w:szCs w:val="18"/>
          <w:color w:val="auto"/>
        </w:rPr>
        <w:t>Annual Report on Form 11-K of the Plan for the year ended December 31, 1998.</w:t>
      </w:r>
    </w:p>
    <w:p>
      <w:pPr>
        <w:spacing w:after="0" w:line="208" w:lineRule="exact"/>
        <w:rPr>
          <w:sz w:val="20"/>
          <w:szCs w:val="20"/>
          <w:color w:val="auto"/>
        </w:rPr>
      </w:pPr>
    </w:p>
    <w:p>
      <w:pPr>
        <w:ind w:left="540" w:right="2239"/>
        <w:spacing w:after="0" w:line="235" w:lineRule="auto"/>
        <w:rPr>
          <w:sz w:val="20"/>
          <w:szCs w:val="20"/>
          <w:color w:val="auto"/>
        </w:rPr>
      </w:pPr>
      <w:r>
        <w:rPr>
          <w:rFonts w:ascii="Courier New" w:cs="Courier New" w:eastAsia="Courier New" w:hAnsi="Courier New"/>
          <w:sz w:val="18"/>
          <w:szCs w:val="18"/>
          <w:color w:val="auto"/>
        </w:rPr>
        <w:t>Registration Statement on Form 8-B filed on August 16, 1985 describing Honeywell's common stock.</w:t>
      </w:r>
    </w:p>
    <w:p>
      <w:pPr>
        <w:spacing w:after="0" w:line="208" w:lineRule="exact"/>
        <w:rPr>
          <w:sz w:val="20"/>
          <w:szCs w:val="20"/>
          <w:color w:val="auto"/>
        </w:rPr>
      </w:pPr>
    </w:p>
    <w:p>
      <w:pPr>
        <w:ind w:right="1819" w:firstLine="632"/>
        <w:spacing w:after="0" w:line="273" w:lineRule="auto"/>
        <w:rPr>
          <w:sz w:val="20"/>
          <w:szCs w:val="20"/>
          <w:color w:val="auto"/>
        </w:rPr>
      </w:pPr>
      <w:r>
        <w:rPr>
          <w:rFonts w:ascii="Courier New" w:cs="Courier New" w:eastAsia="Courier New" w:hAnsi="Courier New"/>
          <w:sz w:val="16"/>
          <w:szCs w:val="16"/>
          <w:color w:val="auto"/>
        </w:rPr>
        <w:t>We incorporate by reference additional documents that Honeywell or the Plan may file with the SEC after the date of this registration statement. These documents include periodic reports, which may include the Plan's Annual Report on Form 11-K, and Honeywell's Annual Reports on Form 10-K, Quarterly Reports on Form 10-Q, and Current Reports on Form 8-K, as well as proxy statements.</w:t>
      </w:r>
    </w:p>
    <w:p>
      <w:pPr>
        <w:sectPr>
          <w:pgSz w:w="11900" w:h="16838" w:orient="portrait"/>
          <w:cols w:equalWidth="0" w:num="1">
            <w:col w:w="10139"/>
          </w:cols>
          <w:pgMar w:left="320" w:top="132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7" w:lineRule="exact"/>
        <w:rPr>
          <w:sz w:val="20"/>
          <w:szCs w:val="20"/>
          <w:color w:val="auto"/>
        </w:rPr>
      </w:pPr>
    </w:p>
    <w:p>
      <w:pPr>
        <w:ind w:right="2119" w:firstLine="632"/>
        <w:spacing w:after="0" w:line="235" w:lineRule="auto"/>
        <w:rPr>
          <w:sz w:val="20"/>
          <w:szCs w:val="20"/>
          <w:color w:val="auto"/>
        </w:rPr>
      </w:pPr>
      <w:r>
        <w:rPr>
          <w:rFonts w:ascii="Courier New" w:cs="Courier New" w:eastAsia="Courier New" w:hAnsi="Courier New"/>
          <w:sz w:val="18"/>
          <w:szCs w:val="18"/>
          <w:color w:val="auto"/>
        </w:rPr>
        <w:t>The securities to be offered are registered under Section 12(b) of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legality of the common stock offered hereby has been passed upon by J. Edward Smith, Assistant General Counsel, Corporate and Finance, of Honeywell. Mr. Smith beneficially owns shares of Honeywell common stock and has options to purchase shares of Honeywell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699" w:firstLine="632"/>
        <w:spacing w:after="0" w:line="238" w:lineRule="auto"/>
        <w:rPr>
          <w:sz w:val="20"/>
          <w:szCs w:val="20"/>
          <w:color w:val="auto"/>
        </w:rPr>
      </w:pPr>
      <w:r>
        <w:rPr>
          <w:rFonts w:ascii="Courier New" w:cs="Courier New" w:eastAsia="Courier New" w:hAnsi="Courier New"/>
          <w:sz w:val="18"/>
          <w:szCs w:val="18"/>
          <w:color w:val="auto"/>
        </w:rPr>
        <w:t>Delaware law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or other indemnification that may be granted by a corporation's charter, by-laws, disinterested director vote, shareowner vote, agreement, or otherwise.</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Delaware law permits a corporation to provide in its certificate of incorporation that a director of the corporation shall not be personally liable to the corporation or its shareowners for monetary damages for breach of fiduciary duty as a director, except for liability for (i) any breach of the director's duly of loyalty to the corporation or its shareowners, (ii) acts or omissions not in good faith or which involve intentional misconduct or a knowing violation of law, (iii) payment of unlawful dividends or unlawful stock purchases or redemptions, or (iv) any transaction from which the director derived an improper personal benefit.</w:t>
      </w:r>
    </w:p>
    <w:p>
      <w:pPr>
        <w:spacing w:after="0" w:line="213"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Under Article ELEVENTH of Honeywell's Restated Certificate of Incorporation, each person who is or was a director or officer of Honeywell, and each director or officer of Honeywell who serves or served any other enterprise or organization at the request of Honeywell, shall be indemnified by Honeywell to the full extent permitted by Delaware law.</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Under Delaware law, to the extent that such a person is successful on the merits or otherwise in defense of a suit or proceeding brought against such person by reason of the fact that such person is or was a director or officer of Honeywell, or serves or served any other enterprise or organization at the request of Honeywell, such person shall be indemnified against expenses (including attorneys' fees) actually and reasonably incurred in connection with such action.</w:t>
      </w:r>
    </w:p>
    <w:p>
      <w:pPr>
        <w:spacing w:after="0" w:line="210" w:lineRule="exact"/>
        <w:rPr>
          <w:sz w:val="20"/>
          <w:szCs w:val="20"/>
          <w:color w:val="auto"/>
        </w:rPr>
      </w:pPr>
    </w:p>
    <w:p>
      <w:pPr>
        <w:jc w:val="both"/>
        <w:ind w:right="1819" w:firstLine="526"/>
        <w:spacing w:after="0" w:line="279" w:lineRule="auto"/>
        <w:rPr>
          <w:sz w:val="20"/>
          <w:szCs w:val="20"/>
          <w:color w:val="auto"/>
        </w:rPr>
      </w:pPr>
      <w:r>
        <w:rPr>
          <w:rFonts w:ascii="Courier New" w:cs="Courier New" w:eastAsia="Courier New" w:hAnsi="Courier New"/>
          <w:sz w:val="16"/>
          <w:szCs w:val="16"/>
          <w:color w:val="auto"/>
        </w:rPr>
        <w:t>If unsuccessful in defense of a third-party civil suit or a criminal suit, or if such a suit is settled, such a person shall be indemnified under such law against both (1) expenses (including attorneys' fees) and (2) judgments, fines</w:t>
      </w:r>
    </w:p>
    <w:p>
      <w:pPr>
        <w:sectPr>
          <w:pgSz w:w="11900" w:h="16838" w:orient="portrait"/>
          <w:cols w:equalWidth="0" w:num="1">
            <w:col w:w="10139"/>
          </w:cols>
          <w:pgMar w:left="320" w:top="919" w:right="1440" w:bottom="1440" w:gutter="0" w:footer="0" w:header="0"/>
        </w:sectPr>
      </w:pPr>
    </w:p>
    <w:bookmarkStart w:id="3" w:name="page4"/>
    <w:bookmarkEnd w:id="3"/>
    <w:p>
      <w:pPr>
        <w:ind w:right="2119"/>
        <w:spacing w:after="0" w:line="237" w:lineRule="auto"/>
        <w:rPr>
          <w:sz w:val="20"/>
          <w:szCs w:val="20"/>
          <w:color w:val="auto"/>
        </w:rPr>
      </w:pPr>
      <w:r>
        <w:rPr>
          <w:rFonts w:ascii="Courier New" w:cs="Courier New" w:eastAsia="Courier New" w:hAnsi="Courier New"/>
          <w:sz w:val="18"/>
          <w:szCs w:val="18"/>
          <w:color w:val="auto"/>
        </w:rPr>
        <w:t>and amounts paid in settlement if such person acted in good faith and in a manner such person reasonably believed to be in, or not opposed to, the best interests of Honeywell, and with respect to any criminal action, had no reasonable cause to believe such person's conduct was unlawful.</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If unsuccessful in defense of a suit brought by or in the right of Honeywell,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Honeywell except that if such person is adjudged to be liable in such suit to Honeywell, such person cannot be made whole even for expenses unless the court determines that such person is fairly and reasonably entitled to indemnity for such expenses.</w:t>
      </w:r>
    </w:p>
    <w:p>
      <w:pPr>
        <w:spacing w:after="0" w:line="213"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In addition, Honeywell maintains directors' and officers' reimbursement and liability insurance pursuant to standard form policies. The risks covered by such policies include certain liabilities under the securities laws.</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or persons controlling Honeywell pursuant to Honeywell's Restated Certificate of Incorporation, Delaware law, or otherwise, Honeywell has been informed that in the opinion of the SEC such indemnification is against public policy as expressed in the Securities Act and it therefore unenforceable.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ectPr>
          <w:pgSz w:w="11900" w:h="16838" w:orient="portrait"/>
          <w:cols w:equalWidth="0" w:num="1">
            <w:col w:w="10139"/>
          </w:cols>
          <w:pgMar w:left="32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280" w:space="720"/>
            <w:col w:w="6139"/>
          </w:cols>
          <w:pgMar w:left="320" w:top="925" w:right="1440" w:bottom="1440" w:gutter="0" w:footer="0" w:header="0"/>
          <w:type w:val="continuous"/>
        </w:sectPr>
      </w:pPr>
    </w:p>
    <w:p>
      <w:pPr>
        <w:spacing w:after="0" w:line="24" w:lineRule="exact"/>
        <w:rPr>
          <w:sz w:val="20"/>
          <w:szCs w:val="20"/>
          <w:color w:val="auto"/>
        </w:rPr>
      </w:pPr>
    </w:p>
    <w:p>
      <w:pPr>
        <w:ind w:left="1060" w:right="2019" w:hanging="526"/>
        <w:spacing w:after="0" w:line="290"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Honeywell's Restated Certificate of Incorporation, (incorporated by reference to Exhibit 3(i) to our Form 8-K filed December 3, 1999).</w:t>
      </w:r>
    </w:p>
    <w:p>
      <w:pPr>
        <w:spacing w:after="0" w:line="169" w:lineRule="exact"/>
        <w:rPr>
          <w:sz w:val="20"/>
          <w:szCs w:val="20"/>
          <w:color w:val="auto"/>
        </w:rPr>
      </w:pPr>
    </w:p>
    <w:p>
      <w:pPr>
        <w:ind w:left="1060" w:right="181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4.2</w:t>
        <w:tab/>
        <w:t>Honeywell's By-laws, as amended (incorporated by reference to Exhibit 3(ii) to our Form 8-K filed December 3, 1999).</w:t>
      </w:r>
    </w:p>
    <w:p>
      <w:pPr>
        <w:spacing w:after="0" w:line="208" w:lineRule="exact"/>
        <w:rPr>
          <w:sz w:val="20"/>
          <w:szCs w:val="20"/>
          <w:color w:val="auto"/>
        </w:rPr>
      </w:pPr>
    </w:p>
    <w:p>
      <w:pPr>
        <w:ind w:left="1060" w:right="1819" w:hanging="526"/>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J. Edward Smith, Esq., with respect to the legality of the securities being registered hereby (filed herewith).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23.1 Consent of PricewaterhouseCoopers LLP (filed herewith).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23.2 Consent of Deloitte &amp; Touche LLP (filed herewith).</w:t>
      </w:r>
    </w:p>
    <w:p>
      <w:pPr>
        <w:spacing w:after="0" w:line="207" w:lineRule="exact"/>
        <w:rPr>
          <w:sz w:val="20"/>
          <w:szCs w:val="20"/>
          <w:color w:val="auto"/>
        </w:rPr>
      </w:pPr>
    </w:p>
    <w:p>
      <w:pPr>
        <w:ind w:left="1060" w:right="1699" w:hanging="526"/>
        <w:spacing w:after="0" w:line="235" w:lineRule="auto"/>
        <w:rPr>
          <w:sz w:val="20"/>
          <w:szCs w:val="20"/>
          <w:color w:val="auto"/>
        </w:rPr>
      </w:pPr>
      <w:r>
        <w:rPr>
          <w:rFonts w:ascii="Courier New" w:cs="Courier New" w:eastAsia="Courier New" w:hAnsi="Courier New"/>
          <w:sz w:val="18"/>
          <w:szCs w:val="18"/>
          <w:color w:val="auto"/>
        </w:rPr>
        <w:t>23.3 The consent of J. Edward Smith, Esq. is contained in his opinion filed as Exhibit 5 to this registration statement.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(filed herewith).</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426"/>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060" w:right="2239" w:firstLine="1"/>
        <w:spacing w:after="0" w:line="290" w:lineRule="auto"/>
        <w:tabs>
          <w:tab w:leader="none" w:pos="148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ectPr>
          <w:pgSz w:w="11900" w:h="16838" w:orient="portrait"/>
          <w:cols w:equalWidth="0" w:num="1">
            <w:col w:w="10139"/>
          </w:cols>
          <w:pgMar w:left="320" w:top="925" w:right="1440" w:bottom="1440" w:gutter="0" w:footer="0" w:header="0"/>
          <w:type w:val="continuous"/>
        </w:sectPr>
      </w:pPr>
    </w:p>
    <w:bookmarkStart w:id="4" w:name="page5"/>
    <w:bookmarkEnd w:id="4"/>
    <w:p>
      <w:pPr>
        <w:ind w:left="1580" w:right="1699" w:firstLine="7"/>
        <w:spacing w:after="0" w:line="235" w:lineRule="auto"/>
        <w:tabs>
          <w:tab w:leader="none" w:pos="200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580" w:right="1699" w:firstLine="7"/>
        <w:spacing w:after="0" w:line="273" w:lineRule="auto"/>
        <w:tabs>
          <w:tab w:leader="none" w:pos="210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4" w:lineRule="exact"/>
        <w:rPr>
          <w:rFonts w:ascii="Courier New" w:cs="Courier New" w:eastAsia="Courier New" w:hAnsi="Courier New"/>
          <w:sz w:val="16"/>
          <w:szCs w:val="16"/>
          <w:color w:val="auto"/>
        </w:rPr>
      </w:pPr>
    </w:p>
    <w:p>
      <w:pPr>
        <w:ind w:left="1580" w:right="1699" w:firstLine="7"/>
        <w:spacing w:after="0" w:line="237" w:lineRule="auto"/>
        <w:tabs>
          <w:tab w:leader="none" w:pos="22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919" w:firstLine="526"/>
        <w:spacing w:after="0" w:line="273" w:lineRule="auto"/>
        <w:rPr>
          <w:sz w:val="20"/>
          <w:szCs w:val="20"/>
          <w:color w:val="auto"/>
        </w:rPr>
      </w:pPr>
      <w:r>
        <w:rPr>
          <w:rFonts w:ascii="Courier New" w:cs="Courier New" w:eastAsia="Courier New" w:hAnsi="Courier New"/>
          <w:sz w:val="16"/>
          <w:szCs w:val="16"/>
          <w:color w:val="auto"/>
        </w:rPr>
        <w:t>Provided, however, that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4" w:lineRule="exact"/>
        <w:rPr>
          <w:sz w:val="20"/>
          <w:szCs w:val="20"/>
          <w:color w:val="auto"/>
        </w:rPr>
      </w:pPr>
    </w:p>
    <w:p>
      <w:pPr>
        <w:ind w:left="1060" w:right="1919" w:firstLine="1"/>
        <w:spacing w:after="0" w:line="273" w:lineRule="auto"/>
        <w:tabs>
          <w:tab w:leader="none" w:pos="148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1060" w:right="1699" w:firstLine="1"/>
        <w:spacing w:after="0" w:line="236" w:lineRule="auto"/>
        <w:tabs>
          <w:tab w:leader="none" w:pos="148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left="540"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Securities Exchange Act of 1934, and each filing of the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139"/>
          </w:cols>
          <w:pgMar w:left="320" w:top="925"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699" w:firstLine="842"/>
        <w:spacing w:after="0" w:line="237" w:lineRule="auto"/>
        <w:rPr>
          <w:sz w:val="20"/>
          <w:szCs w:val="20"/>
          <w:color w:val="auto"/>
        </w:rPr>
      </w:pPr>
      <w:r>
        <w:rPr>
          <w:rFonts w:ascii="Courier New" w:cs="Courier New" w:eastAsia="Courier New" w:hAnsi="Courier New"/>
          <w:sz w:val="18"/>
          <w:szCs w:val="18"/>
          <w:color w:val="auto"/>
        </w:rPr>
        <w:t>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Township of Morris, State of New Jersey, on the 29th day of February, 2000.</w:t>
      </w: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Honeywell International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Richard F. Wallman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line="238" w:lineRule="auto"/>
        <w:rPr>
          <w:sz w:val="20"/>
          <w:szCs w:val="20"/>
          <w:color w:val="auto"/>
        </w:rPr>
      </w:pPr>
      <w:r>
        <w:rPr>
          <w:rFonts w:ascii="Courier New" w:cs="Courier New" w:eastAsia="Courier New" w:hAnsi="Courier New"/>
          <w:sz w:val="18"/>
          <w:szCs w:val="18"/>
          <w:color w:val="auto"/>
        </w:rPr>
        <w:t>Richard F. Wallman</w:t>
      </w:r>
    </w:p>
    <w:p>
      <w:pPr>
        <w:ind w:left="4960"/>
        <w:spacing w:after="0"/>
        <w:rPr>
          <w:sz w:val="20"/>
          <w:szCs w:val="20"/>
          <w:color w:val="auto"/>
        </w:rPr>
      </w:pPr>
      <w:r>
        <w:rPr>
          <w:rFonts w:ascii="Courier New" w:cs="Courier New" w:eastAsia="Courier New" w:hAnsi="Courier New"/>
          <w:sz w:val="18"/>
          <w:szCs w:val="18"/>
          <w:color w:val="auto"/>
        </w:rPr>
        <w:t>Senior Vice President and</w:t>
      </w:r>
    </w:p>
    <w:p>
      <w:pPr>
        <w:ind w:left="496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7" w:lineRule="exact"/>
        <w:rPr>
          <w:sz w:val="20"/>
          <w:szCs w:val="20"/>
          <w:color w:val="auto"/>
        </w:rPr>
      </w:pPr>
    </w:p>
    <w:p>
      <w:pPr>
        <w:ind w:right="2559" w:firstLine="84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139"/>
          </w:cols>
          <w:pgMar w:left="320" w:top="13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720" w:space="720"/>
            <w:col w:w="2740" w:space="720"/>
            <w:col w:w="2239"/>
          </w:cols>
          <w:pgMar w:left="320" w:top="1324" w:right="1440" w:bottom="1440" w:gutter="0" w:footer="0" w:header="0"/>
          <w:type w:val="continuous"/>
        </w:sectPr>
      </w:pP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(Lawrence A. Bossidy)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Chairman of the Board</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R. Bonsignore)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Chief Executive Officer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(Hans W. Becherer)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(Gordon M. Bethune)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(Marshall N. Carter)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(Jaime Chico Pardo)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(Ann M. Fudge)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(James J. Howard)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Karatz)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324"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(Robert P. Luciano)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3160" w:space="420"/>
            <w:col w:w="6559"/>
          </w:cols>
          <w:pgMar w:left="320" w:top="1324" w:right="1440" w:bottom="1440" w:gutter="0" w:footer="0" w:header="0"/>
          <w:type w:val="continuous"/>
        </w:sectPr>
      </w:pPr>
    </w:p>
    <w:bookmarkStart w:id="6" w:name="page7"/>
    <w:bookmarkEnd w:id="6"/>
    <w:p>
      <w:pPr>
        <w:spacing w:after="0" w:line="8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(Russell E. Palmer)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440" w:right="1440" w:bottom="1440" w:gutter="0" w:footer="0" w:header="0"/>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(Ivan G. Seidenberg)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440"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(Andrew C. Sigler)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440"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(John R. Stafford)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440"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(Michael W. Wright)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160" w:space="420"/>
            <w:col w:w="6559"/>
          </w:cols>
          <w:pgMar w:left="320" w:top="1440"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Richard F. Wallman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(Richard F. Wallman)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 President and</w:t>
      </w:r>
    </w:p>
    <w:p>
      <w:pPr>
        <w:ind w:left="2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29, 2000</w:t>
      </w:r>
    </w:p>
    <w:p>
      <w:pPr>
        <w:spacing w:after="0" w:line="621" w:lineRule="exact"/>
        <w:rPr>
          <w:sz w:val="20"/>
          <w:szCs w:val="20"/>
          <w:color w:val="auto"/>
        </w:rPr>
      </w:pPr>
    </w:p>
    <w:p>
      <w:pPr>
        <w:sectPr>
          <w:pgSz w:w="11900" w:h="16838" w:orient="portrait"/>
          <w:cols w:equalWidth="0" w:num="3">
            <w:col w:w="3480" w:space="100"/>
            <w:col w:w="3600" w:space="720"/>
            <w:col w:w="2239"/>
          </w:cols>
          <w:pgMar w:left="320" w:top="1440" w:right="1440" w:bottom="1440" w:gutter="0" w:footer="0" w:header="0"/>
          <w:type w:val="continuous"/>
        </w:sectPr>
      </w:pPr>
    </w:p>
    <w:p>
      <w:pPr>
        <w:spacing w:after="0" w:line="7" w:lineRule="exact"/>
        <w:rPr>
          <w:sz w:val="20"/>
          <w:szCs w:val="20"/>
          <w:color w:val="auto"/>
        </w:rPr>
      </w:pPr>
    </w:p>
    <w:p>
      <w:pPr>
        <w:ind w:left="220" w:firstLine="105"/>
        <w:spacing w:after="0" w:line="236" w:lineRule="auto"/>
        <w:rPr>
          <w:sz w:val="20"/>
          <w:szCs w:val="20"/>
          <w:color w:val="auto"/>
        </w:rPr>
      </w:pPr>
      <w:r>
        <w:rPr>
          <w:rFonts w:ascii="Courier New" w:cs="Courier New" w:eastAsia="Courier New" w:hAnsi="Courier New"/>
          <w:sz w:val="18"/>
          <w:szCs w:val="18"/>
          <w:color w:val="auto"/>
        </w:rPr>
        <w:t>/s/ Richard J. Diemer, Jr. ---------------------------- (Richard J. Diemer,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29, 2000</w:t>
      </w:r>
    </w:p>
    <w:p>
      <w:pPr>
        <w:spacing w:after="0" w:line="621" w:lineRule="exact"/>
        <w:rPr>
          <w:sz w:val="20"/>
          <w:szCs w:val="20"/>
          <w:color w:val="auto"/>
        </w:rPr>
      </w:pPr>
    </w:p>
    <w:p>
      <w:pPr>
        <w:sectPr>
          <w:pgSz w:w="11900" w:h="16838" w:orient="portrait"/>
          <w:cols w:equalWidth="0" w:num="3">
            <w:col w:w="3160" w:space="420"/>
            <w:col w:w="3600" w:space="720"/>
            <w:col w:w="2239"/>
          </w:cols>
          <w:pgMar w:left="320" w:top="144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M. Kreindler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(Peter M. Kreindler,</w:t>
      </w:r>
    </w:p>
    <w:p>
      <w:pPr>
        <w:ind w:left="7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29, 2000</w:t>
      </w:r>
    </w:p>
    <w:p>
      <w:pPr>
        <w:sectPr>
          <w:pgSz w:w="11900" w:h="16838" w:orient="portrait"/>
          <w:cols w:equalWidth="0" w:num="2">
            <w:col w:w="7180" w:space="720"/>
            <w:col w:w="2239"/>
          </w:cols>
          <w:pgMar w:left="320" w:top="1440" w:right="1440" w:bottom="1440" w:gutter="0" w:footer="0" w:header="0"/>
          <w:type w:val="continuous"/>
        </w:sectPr>
      </w:pPr>
    </w:p>
    <w:bookmarkStart w:id="7" w:name="page8"/>
    <w:bookmarkEnd w:id="7"/>
    <w:p>
      <w:pPr>
        <w:ind w:right="1819" w:firstLine="842"/>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administrator has duly caused this registration statement to be signed on its behalf by the undersigned, thereunto duly authorized, in the Township of Morris, State of New Jersey, on the 29th day of February, 2000.</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Honeywell Truck Brake Systems</w:t>
      </w:r>
    </w:p>
    <w:p>
      <w:pPr>
        <w:ind w:left="5060"/>
        <w:spacing w:after="0" w:line="238" w:lineRule="auto"/>
        <w:rPr>
          <w:sz w:val="20"/>
          <w:szCs w:val="20"/>
          <w:color w:val="auto"/>
        </w:rPr>
      </w:pPr>
      <w:r>
        <w:rPr>
          <w:rFonts w:ascii="Courier New" w:cs="Courier New" w:eastAsia="Courier New" w:hAnsi="Courier New"/>
          <w:sz w:val="18"/>
          <w:szCs w:val="18"/>
          <w:color w:val="auto"/>
        </w:rPr>
        <w:t>Company Savings Plan</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Brian Marcotte</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Brian Marcotte</w:t>
      </w:r>
    </w:p>
    <w:p>
      <w:pPr>
        <w:ind w:left="5380"/>
        <w:spacing w:after="0"/>
        <w:rPr>
          <w:sz w:val="20"/>
          <w:szCs w:val="20"/>
          <w:color w:val="auto"/>
        </w:rPr>
      </w:pPr>
      <w:r>
        <w:rPr>
          <w:rFonts w:ascii="Courier New" w:cs="Courier New" w:eastAsia="Courier New" w:hAnsi="Courier New"/>
          <w:sz w:val="18"/>
          <w:szCs w:val="18"/>
          <w:color w:val="auto"/>
        </w:rPr>
        <w:t>Vice President- Benefits</w:t>
      </w:r>
    </w:p>
    <w:p>
      <w:pPr>
        <w:sectPr>
          <w:pgSz w:w="11900" w:h="16838" w:orient="portrait"/>
          <w:cols w:equalWidth="0" w:num="1">
            <w:col w:w="10139"/>
          </w:cols>
          <w:pgMar w:left="320" w:top="1127" w:right="1440" w:bottom="1440" w:gutter="0" w:footer="0" w:header="0"/>
        </w:sectPr>
      </w:pPr>
    </w:p>
    <w:bookmarkStart w:id="8" w:name="page9"/>
    <w:bookmarkEnd w:id="8"/>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139"/>
          </w:cols>
          <w:pgMar w:left="320" w:top="1440"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Description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280" w:space="720"/>
            <w:col w:w="4140" w:space="720"/>
            <w:col w:w="1279"/>
          </w:cols>
          <w:pgMar w:left="320" w:top="1440" w:right="1440" w:bottom="1440" w:gutter="0" w:footer="0" w:header="0"/>
          <w:type w:val="continuous"/>
        </w:sectPr>
      </w:pPr>
    </w:p>
    <w:p>
      <w:pPr>
        <w:spacing w:after="0" w:line="24" w:lineRule="exact"/>
        <w:rPr>
          <w:sz w:val="20"/>
          <w:szCs w:val="20"/>
          <w:color w:val="auto"/>
        </w:rPr>
      </w:pPr>
    </w:p>
    <w:p>
      <w:pPr>
        <w:ind w:left="960" w:right="21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Honeywell's Restated Certificate of Incorporation, (incorporated by reference to Exhibit 3(i) to our Form 8-K filed December 3, 1999).</w:t>
      </w:r>
    </w:p>
    <w:p>
      <w:pPr>
        <w:spacing w:after="0" w:line="169" w:lineRule="exact"/>
        <w:rPr>
          <w:sz w:val="20"/>
          <w:szCs w:val="20"/>
          <w:color w:val="auto"/>
        </w:rPr>
      </w:pPr>
    </w:p>
    <w:p>
      <w:pPr>
        <w:ind w:left="960" w:right="19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Honeywell's By-laws, as amended (incorporated by reference to Exhibit 3(ii) to our Form 8-K filed December 3, 1999.)</w:t>
      </w:r>
    </w:p>
    <w:p>
      <w:pPr>
        <w:spacing w:after="0" w:line="208" w:lineRule="exact"/>
        <w:rPr>
          <w:sz w:val="20"/>
          <w:szCs w:val="20"/>
          <w:color w:val="auto"/>
        </w:rPr>
      </w:pPr>
    </w:p>
    <w:p>
      <w:pPr>
        <w:ind w:left="960" w:right="1919" w:hanging="952"/>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J. Edward Smith, Esq., with respect to the legality of the securities being registered hereby (filed herewith).</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PricewaterhouseCoopers LLP (filed herewith).</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Deloitte &amp; Touche LLP (filed herewith).</w:t>
      </w:r>
    </w:p>
    <w:p>
      <w:pPr>
        <w:spacing w:after="0" w:line="207" w:lineRule="exact"/>
        <w:rPr>
          <w:sz w:val="20"/>
          <w:szCs w:val="20"/>
          <w:color w:val="auto"/>
        </w:rPr>
      </w:pPr>
    </w:p>
    <w:p>
      <w:pPr>
        <w:ind w:left="960" w:right="18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8"/>
          <w:szCs w:val="18"/>
          <w:color w:val="auto"/>
        </w:rPr>
        <w:t>The consent of J. Edward Smith, Esq. is contained in his opinion filed as Exhibit 5 to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(filed herewith).</w:t>
      </w:r>
    </w:p>
    <w:p>
      <w:pPr>
        <w:sectPr>
          <w:pgSz w:w="11900" w:h="16838" w:orient="portrait"/>
          <w:cols w:equalWidth="0" w:num="1">
            <w:col w:w="10139"/>
          </w:cols>
          <w:pgMar w:left="320" w:top="1440" w:right="1440" w:bottom="1440" w:gutter="0" w:footer="0" w:header="0"/>
          <w:type w:val="continuous"/>
        </w:sectPr>
      </w:pPr>
    </w:p>
    <w:bookmarkStart w:id="9" w:name="page10"/>
    <w:bookmarkEnd w:id="9"/>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Honeywell</w:t>
      </w:r>
    </w:p>
    <w:p>
      <w:pPr>
        <w:ind w:left="3480"/>
        <w:spacing w:after="0" w:line="238" w:lineRule="auto"/>
        <w:rPr>
          <w:sz w:val="20"/>
          <w:szCs w:val="20"/>
          <w:color w:val="auto"/>
        </w:rPr>
      </w:pPr>
      <w:r>
        <w:rPr>
          <w:rFonts w:ascii="Courier New" w:cs="Courier New" w:eastAsia="Courier New" w:hAnsi="Courier New"/>
          <w:sz w:val="18"/>
          <w:szCs w:val="18"/>
          <w:color w:val="auto"/>
        </w:rPr>
        <w:t>Law Department</w:t>
      </w:r>
    </w:p>
    <w:p>
      <w:pPr>
        <w:ind w:left="3580"/>
        <w:spacing w:after="0" w:line="238" w:lineRule="auto"/>
        <w:rPr>
          <w:sz w:val="20"/>
          <w:szCs w:val="20"/>
          <w:color w:val="auto"/>
        </w:rPr>
      </w:pPr>
      <w:r>
        <w:rPr>
          <w:rFonts w:ascii="Courier New" w:cs="Courier New" w:eastAsia="Courier New" w:hAnsi="Courier New"/>
          <w:sz w:val="18"/>
          <w:szCs w:val="18"/>
          <w:color w:val="auto"/>
        </w:rPr>
        <w:t>P.O. Box 2245</w:t>
      </w:r>
    </w:p>
    <w:p>
      <w:pPr>
        <w:ind w:left="2960"/>
        <w:spacing w:after="0"/>
        <w:rPr>
          <w:sz w:val="20"/>
          <w:szCs w:val="20"/>
          <w:color w:val="auto"/>
        </w:rPr>
      </w:pPr>
      <w:r>
        <w:rPr>
          <w:rFonts w:ascii="Courier New" w:cs="Courier New" w:eastAsia="Courier New" w:hAnsi="Courier New"/>
          <w:sz w:val="18"/>
          <w:szCs w:val="18"/>
          <w:color w:val="auto"/>
        </w:rPr>
        <w:t>Morristown, NJ 07962-2245</w:t>
      </w:r>
    </w:p>
    <w:p>
      <w:pPr>
        <w:spacing w:after="0" w:line="200"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February 29,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Honeywell International Inc.</w:t>
      </w:r>
    </w:p>
    <w:p>
      <w:pPr>
        <w:spacing w:after="0" w:line="238" w:lineRule="auto"/>
        <w:rPr>
          <w:sz w:val="20"/>
          <w:szCs w:val="20"/>
          <w:color w:val="auto"/>
        </w:rPr>
      </w:pPr>
      <w:r>
        <w:rPr>
          <w:rFonts w:ascii="Courier New" w:cs="Courier New" w:eastAsia="Courier New" w:hAnsi="Courier New"/>
          <w:sz w:val="18"/>
          <w:szCs w:val="18"/>
          <w:color w:val="auto"/>
        </w:rPr>
        <w:t>101 Columbia Road</w:t>
      </w:r>
    </w:p>
    <w:p>
      <w:pPr>
        <w:spacing w:after="0" w:line="238" w:lineRule="auto"/>
        <w:rPr>
          <w:sz w:val="20"/>
          <w:szCs w:val="20"/>
          <w:color w:val="auto"/>
        </w:rPr>
      </w:pPr>
      <w:r>
        <w:rPr>
          <w:rFonts w:ascii="Courier New" w:cs="Courier New" w:eastAsia="Courier New" w:hAnsi="Courier New"/>
          <w:sz w:val="18"/>
          <w:szCs w:val="18"/>
          <w:color w:val="auto"/>
        </w:rPr>
        <w:t>Morristown, NJ 07962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19" w:firstLine="948"/>
        <w:spacing w:after="0" w:line="270" w:lineRule="auto"/>
        <w:rPr>
          <w:sz w:val="20"/>
          <w:szCs w:val="20"/>
          <w:color w:val="auto"/>
        </w:rPr>
      </w:pPr>
      <w:r>
        <w:rPr>
          <w:rFonts w:ascii="Courier New" w:cs="Courier New" w:eastAsia="Courier New" w:hAnsi="Courier New"/>
          <w:sz w:val="16"/>
          <w:szCs w:val="16"/>
          <w:color w:val="auto"/>
        </w:rPr>
        <w:t>As Assistant General Counsel, Corporate and Finance, of Honeywell International Inc., a Delaware corporation (the "Company"), I have examined the restated certificate of incorporation and bylaws of the Company as well as such other documents and proceedings as I have considered necessary for the purposes of this opinion. I have also examined and am familiar with the Company's registration statement on Form S-8 (the "Registration Statement") as filed with the Securities and Exchange Commission under the Securities Act of 1933, as amended, relating to 240,000 shares of the Company's Common Stock, par value $1.00 per share (the "Common Shares"), which may be issued pursuant to the Honeywell Truck Brake Systems Company Savings Plan (the "Plan").</w:t>
      </w:r>
    </w:p>
    <w:p>
      <w:pPr>
        <w:spacing w:after="0" w:line="188"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Based upon the foregoing, and having regard to legal considerations which I deem relevant, I am of the opinion that the Common Shares, when issued pursuant to the terms of the Plan, shall be validly issued, fully paid and non-assessable.</w:t>
      </w:r>
    </w:p>
    <w:p>
      <w:pPr>
        <w:spacing w:after="0" w:line="207" w:lineRule="exact"/>
        <w:rPr>
          <w:sz w:val="20"/>
          <w:szCs w:val="20"/>
          <w:color w:val="auto"/>
        </w:rPr>
      </w:pPr>
    </w:p>
    <w:p>
      <w:pPr>
        <w:ind w:right="1699" w:firstLine="1053"/>
        <w:spacing w:after="0" w:line="237" w:lineRule="auto"/>
        <w:rPr>
          <w:sz w:val="20"/>
          <w:szCs w:val="20"/>
          <w:color w:val="auto"/>
        </w:rPr>
      </w:pPr>
      <w:r>
        <w:rPr>
          <w:rFonts w:ascii="Courier New" w:cs="Courier New" w:eastAsia="Courier New" w:hAnsi="Courier New"/>
          <w:sz w:val="18"/>
          <w:szCs w:val="18"/>
          <w:color w:val="auto"/>
        </w:rPr>
        <w:t>I hereby consent to the inclusion of this opinion letter as an exhibit to the Registration Statement and the reference to me under the caption "Interests of Named Experts and Counsel". In giving such consent, I do not thereby admit that I am in the category of persons whose consent is required under Section 7 of the Securities Act.</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 Edward Smith</w:t>
      </w:r>
    </w:p>
    <w:p>
      <w:pPr>
        <w:ind w:left="4960"/>
        <w:spacing w:after="0" w:line="238" w:lineRule="auto"/>
        <w:rPr>
          <w:sz w:val="20"/>
          <w:szCs w:val="20"/>
          <w:color w:val="auto"/>
        </w:rPr>
      </w:pPr>
      <w:r>
        <w:rPr>
          <w:rFonts w:ascii="Courier New" w:cs="Courier New" w:eastAsia="Courier New" w:hAnsi="Courier New"/>
          <w:sz w:val="18"/>
          <w:szCs w:val="18"/>
          <w:color w:val="auto"/>
        </w:rPr>
        <w:t>J. Edward Smith</w:t>
      </w:r>
    </w:p>
    <w:p>
      <w:pPr>
        <w:ind w:left="496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4960"/>
        <w:spacing w:after="0"/>
        <w:rPr>
          <w:sz w:val="20"/>
          <w:szCs w:val="20"/>
          <w:color w:val="auto"/>
        </w:rPr>
      </w:pPr>
      <w:r>
        <w:rPr>
          <w:rFonts w:ascii="Courier New" w:cs="Courier New" w:eastAsia="Courier New" w:hAnsi="Courier New"/>
          <w:sz w:val="18"/>
          <w:szCs w:val="18"/>
          <w:color w:val="auto"/>
        </w:rPr>
        <w:t>Corporate and Finance</w:t>
      </w:r>
    </w:p>
    <w:p>
      <w:pPr>
        <w:sectPr>
          <w:pgSz w:w="11900" w:h="16838" w:orient="portrait"/>
          <w:cols w:equalWidth="0" w:num="1">
            <w:col w:w="10139"/>
          </w:cols>
          <w:pgMar w:left="320" w:top="1122"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right"/>
        <w:ind w:right="169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27, 2000, except as to the subsequent event described in Note 25 which is as of February 4, 2000, relating to the financial statements, which appears in the 1999 Annual Report to Shareowners of Honeywell International Inc. (the "Company"), which is incorporated by reference in the Company's Annual Report on Form 10-K for the year ended December 31, 1999. We also consent to the incorporation by reference in this Registration Statement of our report dated June 11, 1999 relating to the financial statements of the Honeywell Truck Brake Systems Company Savings Plan (the "Plan"), which appears in the Plan's Annual Report on Form 11-K for the plan year ended December 31, 1998.</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Florham Park, New Jersey</w:t>
      </w:r>
    </w:p>
    <w:p>
      <w:pPr>
        <w:spacing w:after="0" w:line="238" w:lineRule="auto"/>
        <w:rPr>
          <w:sz w:val="20"/>
          <w:szCs w:val="20"/>
          <w:color w:val="auto"/>
        </w:rPr>
      </w:pPr>
      <w:r>
        <w:rPr>
          <w:rFonts w:ascii="Courier New" w:cs="Courier New" w:eastAsia="Courier New" w:hAnsi="Courier New"/>
          <w:sz w:val="18"/>
          <w:szCs w:val="18"/>
          <w:color w:val="auto"/>
        </w:rPr>
        <w:t>February 29,2000</w:t>
      </w:r>
    </w:p>
    <w:p>
      <w:pPr>
        <w:sectPr>
          <w:pgSz w:w="11900" w:h="16838" w:orient="portrait"/>
          <w:cols w:equalWidth="0" w:num="1">
            <w:col w:w="10139"/>
          </w:cols>
          <w:pgMar w:left="320" w:top="1122" w:right="1440" w:bottom="1440" w:gutter="0" w:footer="0" w:header="0"/>
        </w:sectPr>
      </w:pPr>
    </w:p>
    <w:bookmarkStart w:id="13" w:name="page14"/>
    <w:bookmarkEnd w:id="1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right"/>
        <w:ind w:right="169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Honeywell International Inc. on Form S-8 of our report dated February 10, 1999, appearing in the Annual Report on Form 10-K of Honeywell International Inc. for the year ended December 31,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Parsipanny, New Jersey</w:t>
      </w:r>
    </w:p>
    <w:p>
      <w:pPr>
        <w:spacing w:after="0" w:line="238" w:lineRule="auto"/>
        <w:rPr>
          <w:sz w:val="20"/>
          <w:szCs w:val="20"/>
          <w:color w:val="auto"/>
        </w:rPr>
      </w:pPr>
      <w:r>
        <w:rPr>
          <w:rFonts w:ascii="Courier New" w:cs="Courier New" w:eastAsia="Courier New" w:hAnsi="Courier New"/>
          <w:sz w:val="18"/>
          <w:szCs w:val="18"/>
          <w:color w:val="auto"/>
        </w:rPr>
        <w:t>February 29, 2000</w:t>
      </w:r>
    </w:p>
    <w:p>
      <w:pPr>
        <w:sectPr>
          <w:pgSz w:w="11900" w:h="16838" w:orient="portrait"/>
          <w:cols w:equalWidth="0" w:num="1">
            <w:col w:w="10139"/>
          </w:cols>
          <w:pgMar w:left="320" w:top="919" w:right="1440" w:bottom="1440" w:gutter="0" w:footer="0" w:header="0"/>
        </w:sectPr>
      </w:pPr>
    </w:p>
    <w:bookmarkStart w:id="15" w:name="page16"/>
    <w:bookmarkEnd w:id="15"/>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right"/>
        <w:ind w:right="169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19" w:firstLine="948"/>
        <w:spacing w:after="0" w:line="271" w:lineRule="auto"/>
        <w:rPr>
          <w:sz w:val="20"/>
          <w:szCs w:val="20"/>
          <w:color w:val="auto"/>
        </w:rPr>
      </w:pPr>
      <w:r>
        <w:rPr>
          <w:rFonts w:ascii="Courier New" w:cs="Courier New" w:eastAsia="Courier New" w:hAnsi="Courier New"/>
          <w:sz w:val="16"/>
          <w:szCs w:val="16"/>
          <w:color w:val="auto"/>
        </w:rPr>
        <w:t>I, Lawrence A. Bossidy, a director of Honeywell International Inc., a Delaware corporation (the "Company"), hereby appoint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85" w:lineRule="exact"/>
        <w:rPr>
          <w:sz w:val="20"/>
          <w:szCs w:val="20"/>
          <w:color w:val="auto"/>
        </w:rPr>
      </w:pPr>
    </w:p>
    <w:p>
      <w:pPr>
        <w:ind w:right="1699" w:firstLine="1903"/>
        <w:spacing w:after="0" w:line="238" w:lineRule="auto"/>
        <w:tabs>
          <w:tab w:leader="none" w:pos="231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Lawrence A. Bossidy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Lawrence A. Bossidy</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919" w:right="1440" w:bottom="1440" w:gutter="0" w:footer="0" w:header="0"/>
        </w:sectPr>
      </w:pPr>
    </w:p>
    <w:bookmarkStart w:id="17" w:name="page18"/>
    <w:bookmarkEnd w:id="17"/>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71" w:lineRule="auto"/>
        <w:rPr>
          <w:sz w:val="20"/>
          <w:szCs w:val="20"/>
          <w:color w:val="auto"/>
        </w:rPr>
      </w:pPr>
      <w:r>
        <w:rPr>
          <w:rFonts w:ascii="Courier New" w:cs="Courier New" w:eastAsia="Courier New" w:hAnsi="Courier New"/>
          <w:sz w:val="16"/>
          <w:szCs w:val="16"/>
          <w:color w:val="auto"/>
        </w:rPr>
        <w:t>I, Michael R. Bonsignore, a director of Honeywell International Inc., a Delaware corporation (the "Company"), hereby appoint Lawrence A. Bossidy,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85" w:lineRule="exact"/>
        <w:rPr>
          <w:sz w:val="20"/>
          <w:szCs w:val="20"/>
          <w:color w:val="auto"/>
        </w:rPr>
      </w:pPr>
    </w:p>
    <w:p>
      <w:pPr>
        <w:ind w:right="1699" w:firstLine="1903"/>
        <w:spacing w:after="0" w:line="238" w:lineRule="auto"/>
        <w:tabs>
          <w:tab w:leader="none" w:pos="231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Michael R. Bonsignore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Michael R. Bonsignore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18" w:name="page19"/>
    <w:bookmarkEnd w:id="1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Hans W. Becherer,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Hans W. Becherer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Hans W. Becherer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19" w:name="page20"/>
    <w:bookmarkEnd w:id="19"/>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Gordon M. Bethune,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Gordon M. Bethune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Gordon M. Bethune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0" w:name="page21"/>
    <w:bookmarkEnd w:id="20"/>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Marshall N. Carter,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Marshall N. Carter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Marshall N. Carter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1" w:name="page22"/>
    <w:bookmarkEnd w:id="2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Jamie Chico Pardo,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Jaime Chico Pardo</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Jaime Chico Pardo</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2" w:name="page23"/>
    <w:bookmarkEnd w:id="22"/>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Ann M. Fudge,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Ann M. Fudge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Ann M. Fudge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3" w:name="page24"/>
    <w:bookmarkEnd w:id="23"/>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James J. Howard,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James J. Howard</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James J. Howard</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4" w:name="page25"/>
    <w:bookmarkEnd w:id="2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Bruce Karatz,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Bruce Karatz</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Bruce Karatz</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5" w:name="page26"/>
    <w:bookmarkEnd w:id="25"/>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Robert P. Luciano,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Robert P. Luciano</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Robert P. Luciano</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6" w:name="page27"/>
    <w:bookmarkEnd w:id="26"/>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Russell E. Palmer,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/s/Russell E. Palmer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Russell E. Palmer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7" w:name="page28"/>
    <w:bookmarkEnd w:id="27"/>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Ivan G. Seidenberg,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Ivan G. Seidenberg</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Ivan G. Seidenberg</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8" w:name="page29"/>
    <w:bookmarkEnd w:id="2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Andrew C. Sigler,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C. Sigler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C. Sigler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29" w:name="page30"/>
    <w:bookmarkEnd w:id="29"/>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John R. Stafford,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John R. Stafford</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R. Stafford</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22" w:right="1440" w:bottom="1440" w:gutter="0" w:footer="0" w:header="0"/>
        </w:sectPr>
      </w:pPr>
    </w:p>
    <w:bookmarkStart w:id="30" w:name="page31"/>
    <w:bookmarkEnd w:id="30"/>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 Michael W. Wright,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213" w:lineRule="exact"/>
        <w:rPr>
          <w:sz w:val="20"/>
          <w:szCs w:val="20"/>
          <w:color w:val="auto"/>
        </w:rPr>
      </w:pPr>
    </w:p>
    <w:p>
      <w:pPr>
        <w:ind w:right="1699" w:firstLine="1903"/>
        <w:spacing w:after="0" w:line="238" w:lineRule="auto"/>
        <w:tabs>
          <w:tab w:leader="none" w:pos="231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207"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207" w:lineRule="exact"/>
        <w:rPr>
          <w:sz w:val="20"/>
          <w:szCs w:val="20"/>
          <w:color w:val="auto"/>
        </w:rPr>
      </w:pPr>
    </w:p>
    <w:p>
      <w:pPr>
        <w:ind w:right="2439" w:firstLine="948"/>
        <w:spacing w:after="0" w:line="290"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spacing w:after="0" w:line="169"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Michael W. Wright</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Michael W. Wright</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sectPr>
      <w:pgSz w:w="11900" w:h="16838" w:orient="portrait"/>
      <w:cols w:equalWidth="0" w:num="1">
        <w:col w:w="10139"/>
      </w:cols>
      <w:pgMar w:left="32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5"/>
      <w:numFmt w:val="bullet"/>
      <w:start w:val="1"/>
    </w:lvl>
  </w:abstractNum>
  <w:abstractNum w:abstractNumId="2">
    <w:nsid w:val="140E0F76"/>
    <w:multiLevelType w:val="hybridMultilevel"/>
    <w:lvl w:ilvl="0">
      <w:lvlJc w:val="left"/>
      <w:lvlText w:val="(%1)"/>
      <w:numFmt w:val="lowerLetter"/>
      <w:start w:val="1"/>
    </w:lvl>
    <w:lvl w:ilvl="1">
      <w:lvlJc w:val="left"/>
      <w:lvlText w:val="(%2)"/>
      <w:numFmt w:val="decimal"/>
      <w:start w:val="1"/>
    </w:lvl>
  </w:abstractNum>
  <w:abstractNum w:abstractNumId="3">
    <w:nsid w:val="3352255A"/>
    <w:multiLevelType w:val="hybridMultilevel"/>
    <w:lvl w:ilvl="0">
      <w:lvlJc w:val="left"/>
      <w:lvlText w:val="(%1)"/>
      <w:numFmt w:val="lowerRoman"/>
      <w:start w:val="1"/>
    </w:lvl>
  </w:abstractNum>
  <w:abstractNum w:abstractNumId="4">
    <w:nsid w:val="109CF92E"/>
    <w:multiLevelType w:val="hybridMultilevel"/>
    <w:lvl w:ilvl="0">
      <w:lvlJc w:val="left"/>
      <w:lvlText w:val="%1"/>
      <w:numFmt w:val="lowerLetter"/>
      <w:start w:val="1"/>
    </w:lvl>
    <w:lvl w:ilvl="1">
      <w:lvlJc w:val="left"/>
      <w:lvlText w:val="(%2)"/>
      <w:numFmt w:val="decimal"/>
      <w:start w:val="2"/>
    </w:lvl>
  </w:abstractNum>
  <w:abstractNum w:abstractNumId="5">
    <w:nsid w:val="DED7263"/>
    <w:multiLevelType w:val="hybridMultilevel"/>
    <w:lvl w:ilvl="0">
      <w:lvlJc w:val="left"/>
      <w:lvlText w:val="(%1)"/>
      <w:numFmt w:val="lowerLetter"/>
      <w:start w:val="2"/>
    </w:lvl>
    <w:lvl w:ilvl="1">
      <w:lvlJc w:val="left"/>
      <w:lvlText w:val="%2"/>
      <w:numFmt w:val="decimal"/>
      <w:start w:val="1"/>
    </w:lvl>
  </w:abstractNum>
  <w:abstractNum w:abstractNumId="6">
    <w:nsid w:val="7FDCC233"/>
    <w:multiLevelType w:val="hybridMultilevel"/>
    <w:lvl w:ilvl="0">
      <w:lvlJc w:val="left"/>
      <w:lvlText w:val="5"/>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2020-10-07T04:00:28Z</dcterms:created>
  <dcterms:modified xsi:type="dcterms:W3CDTF">2020-10-07T04:00:28Z</dcterms:modified>
</cp:coreProperties>
</file>