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7794.xml.htm"/>
      <w:bookmarkStart w:id="1" w:name="kswkform4_17805177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Evanko Jillian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S. MINT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HONEYWELL INTERNATIONAL INC</w:t>
              </w:r>
            </w:hyperlink>
            <w:r>
              <w:rPr/>
              <w:t xml:space="preserve"> [ </w:t>
            </w:r>
            <w:r>
              <w:rPr>
                <w:rFonts w:ascii="Times;serif" w:hAnsi="Times;serif"/>
                <w:color w:val="0000FF"/>
                <w:sz w:val="24"/>
                <w:shd w:fill="FFFFFF" w:val="clear"/>
              </w:rPr>
              <w:t>HON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(Phantom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234.99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Deferred Compensation (Phantom Shares) are allocated based on the price of Common Stock on the contribution date by dividing the dollar amount of the contribution by the price per share of Common Stock. Common Stock prices are based on the mean of the highest and lowest sales price on the last trading day before the contribution or settlement. Phantom Shares are settled in cash based on the price of Common Stock at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Phantom Shares are accrued under the Deferred Compensation Plan for Non-Employee Directors and will be settled in cash based on elections by the Reporting Person as permitted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Instrument converts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were granted under the 2016 Stock Plan for Non-Employee Directors of Honeywell International Inc. and vest on April 15,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Richard Kent for Jillian Evanko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9043" TargetMode="External"/><Relationship Id="rId5" Type="http://schemas.openxmlformats.org/officeDocument/2006/relationships/hyperlink" Target="http://www.sec.gov/cgi-bin/browse-edgar?action=getcompany&amp;CIK=00007738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3855</Characters>
  <CharactersWithSpaces>4502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