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-236220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-617220</wp:posOffset>
            </wp:positionV>
            <wp:extent cx="57785" cy="630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3960495</wp:posOffset>
            </wp:positionH>
            <wp:positionV relativeFrom="paragraph">
              <wp:posOffset>-617220</wp:posOffset>
            </wp:positionV>
            <wp:extent cx="57785" cy="6305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56083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Kapur Vimal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COO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3,938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89.48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4,454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2,712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207.3301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7,500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207.4612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13,896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455.3737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89.48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11/07/2022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02/27/2018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02/26/2024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3,938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160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options held by the Reporting Person have been adjusted to increase the number of shares and reduce the exercise price, in a manner subject to the adjustment provisions of the AdvanSix Inc. spin-off from Honeywell which occurred on October 1, 2016; the Garrett Motion Inc. spin-off from Honeywell which occurred on October 1, 2018; and the Resideo Technologies, Inc. spin-off from Honeywell which occurred on October 29, 2018.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Employee Stock Options were granted under the Corporation's 2011 Stock Incentive Plan and vested in four equal annual installments, with the first installment vesting on February 27, 2015.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Su Ping Lu for Vimal Kapur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11/09/2022</w:t>
            </w: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2938" TargetMode="External"/><Relationship Id="rId13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2022-11-09T19:35:38Z</dcterms:created>
  <dcterms:modified xsi:type="dcterms:W3CDTF">2022-11-09T19:35:38Z</dcterms:modified>
</cp:coreProperties>
</file>