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-224790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3926840</wp:posOffset>
            </wp:positionH>
            <wp:positionV relativeFrom="paragraph">
              <wp:posOffset>-608330</wp:posOffset>
            </wp:positionV>
            <wp:extent cx="57150" cy="621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639445</wp:posOffset>
            </wp:positionV>
            <wp:extent cx="6997700" cy="4946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94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Lu Su Ping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63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SrVP, General Counsel, CorpSec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855 S. MINT STREET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02/23/2026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CHARLOTTE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02/23/2026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1,116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8,248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02/23/2026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244.19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7,912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1,214.9147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1,116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3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9"/>
                <w:vertAlign w:val="subscript"/>
              </w:rPr>
              <w:t>1,116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-1633855</wp:posOffset>
            </wp:positionV>
            <wp:extent cx="28575" cy="1638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held by the Reporting Person were adjusted based on an applicable adjustment factor for the Solstice Advanced Materials spin-off that occurred on October 30, 2025.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69 additional restricted stock units.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Incentive Plan and vested February 23, 2026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Richard Kent for Su Ping Lu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02/25/2026</w:t>
            </w:r>
          </w:p>
        </w:tc>
      </w:tr>
      <w:tr>
        <w:trPr>
          <w:trHeight w:val="22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8614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2026-02-25T15:23:00Z</dcterms:created>
  <dcterms:modified xsi:type="dcterms:W3CDTF">2026-02-25T15:23:00Z</dcterms:modified>
</cp:coreProperties>
</file>